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7"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8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88" w:lineRule="exact"/>
        <w:rPr>
          <w:sz w:val="24"/>
          <w:szCs w:val="24"/>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29" w:lineRule="exact"/>
        <w:rPr>
          <w:sz w:val="24"/>
          <w:szCs w:val="24"/>
          <w:color w:val="auto"/>
        </w:rPr>
      </w:pPr>
    </w:p>
    <w:p>
      <w:pPr>
        <w:ind w:left="346" w:right="1520" w:hanging="346"/>
        <w:spacing w:after="0" w:line="302" w:lineRule="auto"/>
        <w:tabs>
          <w:tab w:leader="none" w:pos="34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2023</w:t>
      </w:r>
    </w:p>
    <w:p>
      <w:pPr>
        <w:spacing w:after="0" w:line="35" w:lineRule="exact"/>
        <w:rPr>
          <w:sz w:val="24"/>
          <w:szCs w:val="24"/>
          <w:color w:val="auto"/>
        </w:rPr>
      </w:pPr>
    </w:p>
    <w:p>
      <w:pPr>
        <w:ind w:left="346" w:hanging="346"/>
        <w:spacing w:after="0"/>
        <w:tabs>
          <w:tab w:leader="none" w:pos="34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1" w:lineRule="exact"/>
        <w:rPr>
          <w:sz w:val="24"/>
          <w:szCs w:val="24"/>
          <w:color w:val="auto"/>
        </w:rPr>
      </w:pPr>
    </w:p>
    <w:tbl>
      <w:tblPr>
        <w:tblLayout w:type="fixed"/>
        <w:tblInd w:w="346" w:type="dxa"/>
        <w:tblCellMar>
          <w:top w:w="0" w:type="dxa"/>
          <w:left w:w="0" w:type="dxa"/>
          <w:bottom w:w="0" w:type="dxa"/>
          <w:right w:w="0" w:type="dxa"/>
        </w:tblCellMar>
      </w:tblPr>
      <w:tr>
        <w:trPr>
          <w:trHeight w:val="195"/>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210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to</w:t>
            </w: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26"/>
        </w:trPr>
        <w:tc>
          <w:tcPr>
            <w:tcW w:w="7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100" w:type="dxa"/>
            <w:vAlign w:val="bottom"/>
            <w:gridSpan w:val="5"/>
          </w:tcPr>
          <w:p>
            <w:pPr>
              <w:jc w:val="center"/>
              <w:ind w:left="777"/>
              <w:spacing w:after="0"/>
              <w:rPr>
                <w:sz w:val="20"/>
                <w:szCs w:val="20"/>
                <w:color w:val="auto"/>
              </w:rPr>
            </w:pPr>
            <w:r>
              <w:rPr>
                <w:rFonts w:ascii="Times New Roman" w:cs="Times New Roman" w:eastAsia="Times New Roman" w:hAnsi="Times New Roman"/>
                <w:sz w:val="17"/>
                <w:szCs w:val="17"/>
                <w:b w:val="1"/>
                <w:bCs w:val="1"/>
                <w:color w:val="auto"/>
              </w:rPr>
              <w:t>Commission File No. 1-13079</w:t>
            </w:r>
          </w:p>
        </w:tc>
        <w:tc>
          <w:tcPr>
            <w:tcW w:w="2440" w:type="dxa"/>
            <w:vAlign w:val="bottom"/>
          </w:tcPr>
          <w:p>
            <w:pPr>
              <w:spacing w:after="0"/>
              <w:rPr>
                <w:sz w:val="19"/>
                <w:szCs w:val="19"/>
                <w:color w:val="auto"/>
              </w:rPr>
            </w:pPr>
          </w:p>
        </w:tc>
      </w:tr>
      <w:tr>
        <w:trPr>
          <w:trHeight w:val="283"/>
        </w:trPr>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540" w:type="dxa"/>
            <w:vAlign w:val="bottom"/>
            <w:gridSpan w:val="6"/>
          </w:tcPr>
          <w:p>
            <w:pPr>
              <w:jc w:val="center"/>
              <w:ind w:right="1497"/>
              <w:spacing w:after="0"/>
              <w:rPr>
                <w:sz w:val="20"/>
                <w:szCs w:val="20"/>
                <w:color w:val="auto"/>
              </w:rPr>
            </w:pPr>
            <w:r>
              <w:rPr>
                <w:rFonts w:ascii="Times New Roman" w:cs="Times New Roman" w:eastAsia="Times New Roman" w:hAnsi="Times New Roman"/>
                <w:sz w:val="17"/>
                <w:szCs w:val="17"/>
                <w:b w:val="1"/>
                <w:bCs w:val="1"/>
                <w:color w:val="auto"/>
                <w:w w:val="99"/>
              </w:rPr>
              <w:t>RYMAN HOSPITALITY PROPERTIES, INC.</w:t>
            </w:r>
          </w:p>
        </w:tc>
      </w:tr>
      <w:tr>
        <w:trPr>
          <w:trHeight w:val="212"/>
        </w:trPr>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540" w:type="dxa"/>
            <w:vAlign w:val="bottom"/>
            <w:gridSpan w:val="6"/>
          </w:tcPr>
          <w:p>
            <w:pPr>
              <w:jc w:val="center"/>
              <w:ind w:right="1497"/>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tc>
      </w:tr>
      <w:tr>
        <w:trPr>
          <w:trHeight w:val="287"/>
        </w:trPr>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jc w:val="right"/>
              <w:ind w:right="1537"/>
              <w:spacing w:after="0"/>
              <w:rPr>
                <w:sz w:val="20"/>
                <w:szCs w:val="20"/>
                <w:color w:val="auto"/>
              </w:rPr>
            </w:pPr>
            <w:r>
              <w:rPr>
                <w:rFonts w:ascii="Times New Roman" w:cs="Times New Roman" w:eastAsia="Times New Roman" w:hAnsi="Times New Roman"/>
                <w:sz w:val="16"/>
                <w:szCs w:val="16"/>
                <w:b w:val="1"/>
                <w:bCs w:val="1"/>
                <w:color w:val="auto"/>
              </w:rPr>
              <w:t>73-0664379</w:t>
            </w:r>
          </w:p>
        </w:tc>
      </w:tr>
      <w:tr>
        <w:trPr>
          <w:trHeight w:val="212"/>
        </w:trPr>
        <w:tc>
          <w:tcPr>
            <w:tcW w:w="4880" w:type="dxa"/>
            <w:vAlign w:val="bottom"/>
            <w:gridSpan w:val="5"/>
          </w:tcPr>
          <w:p>
            <w:pPr>
              <w:jc w:val="center"/>
              <w:ind w:left="477"/>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tc>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r>
      <w:tr>
        <w:trPr>
          <w:trHeight w:val="287"/>
        </w:trPr>
        <w:tc>
          <w:tcPr>
            <w:tcW w:w="720" w:type="dxa"/>
            <w:vAlign w:val="bottom"/>
          </w:tcPr>
          <w:p>
            <w:pPr>
              <w:spacing w:after="0"/>
              <w:rPr>
                <w:sz w:val="24"/>
                <w:szCs w:val="24"/>
                <w:color w:val="auto"/>
              </w:rPr>
            </w:pPr>
          </w:p>
        </w:tc>
        <w:tc>
          <w:tcPr>
            <w:tcW w:w="3660" w:type="dxa"/>
            <w:vAlign w:val="bottom"/>
            <w:gridSpan w:val="3"/>
          </w:tcPr>
          <w:p>
            <w:pPr>
              <w:jc w:val="center"/>
              <w:ind w:left="277"/>
              <w:spacing w:after="0"/>
              <w:rPr>
                <w:sz w:val="20"/>
                <w:szCs w:val="20"/>
                <w:color w:val="auto"/>
              </w:rPr>
            </w:pPr>
            <w:r>
              <w:rPr>
                <w:rFonts w:ascii="Times New Roman" w:cs="Times New Roman" w:eastAsia="Times New Roman" w:hAnsi="Times New Roman"/>
                <w:sz w:val="16"/>
                <w:szCs w:val="16"/>
                <w:b w:val="1"/>
                <w:bCs w:val="1"/>
                <w:color w:val="auto"/>
              </w:rPr>
              <w:t>One Gaylord Drive, Nashville, Tennessee</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jc w:val="right"/>
              <w:ind w:right="1717"/>
              <w:spacing w:after="0"/>
              <w:rPr>
                <w:sz w:val="20"/>
                <w:szCs w:val="20"/>
                <w:color w:val="auto"/>
              </w:rPr>
            </w:pPr>
            <w:r>
              <w:rPr>
                <w:rFonts w:ascii="Times New Roman" w:cs="Times New Roman" w:eastAsia="Times New Roman" w:hAnsi="Times New Roman"/>
                <w:sz w:val="16"/>
                <w:szCs w:val="16"/>
                <w:b w:val="1"/>
                <w:bCs w:val="1"/>
                <w:color w:val="auto"/>
              </w:rPr>
              <w:t>37214</w:t>
            </w:r>
          </w:p>
        </w:tc>
      </w:tr>
      <w:tr>
        <w:trPr>
          <w:trHeight w:val="212"/>
        </w:trPr>
        <w:tc>
          <w:tcPr>
            <w:tcW w:w="720" w:type="dxa"/>
            <w:vAlign w:val="bottom"/>
          </w:tcPr>
          <w:p>
            <w:pPr>
              <w:spacing w:after="0"/>
              <w:rPr>
                <w:sz w:val="18"/>
                <w:szCs w:val="18"/>
                <w:color w:val="auto"/>
              </w:rPr>
            </w:pPr>
          </w:p>
        </w:tc>
        <w:tc>
          <w:tcPr>
            <w:tcW w:w="3660" w:type="dxa"/>
            <w:vAlign w:val="bottom"/>
            <w:gridSpan w:val="3"/>
          </w:tcPr>
          <w:p>
            <w:pPr>
              <w:jc w:val="center"/>
              <w:ind w:left="277"/>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tcPr>
          <w:p>
            <w:pPr>
              <w:jc w:val="center"/>
              <w:ind w:right="1497"/>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97"/>
        </w:trPr>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540" w:type="dxa"/>
            <w:vAlign w:val="bottom"/>
            <w:gridSpan w:val="6"/>
          </w:tcPr>
          <w:p>
            <w:pPr>
              <w:jc w:val="center"/>
              <w:ind w:right="1477"/>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(615) 316-6000</w:t>
            </w:r>
          </w:p>
        </w:tc>
      </w:tr>
      <w:tr>
        <w:trPr>
          <w:trHeight w:val="297"/>
        </w:trPr>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540" w:type="dxa"/>
            <w:vAlign w:val="bottom"/>
            <w:gridSpan w:val="6"/>
          </w:tcPr>
          <w:p>
            <w:pPr>
              <w:jc w:val="center"/>
              <w:ind w:right="1477"/>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08"/>
        </w:trPr>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Name of Each Exchange on</w:t>
            </w:r>
          </w:p>
        </w:tc>
      </w:tr>
      <w:tr>
        <w:trPr>
          <w:trHeight w:val="222"/>
        </w:trPr>
        <w:tc>
          <w:tcPr>
            <w:tcW w:w="720" w:type="dxa"/>
            <w:vAlign w:val="bottom"/>
          </w:tcPr>
          <w:p>
            <w:pPr>
              <w:spacing w:after="0"/>
              <w:rPr>
                <w:sz w:val="19"/>
                <w:szCs w:val="19"/>
                <w:color w:val="auto"/>
              </w:rPr>
            </w:pPr>
          </w:p>
        </w:tc>
        <w:tc>
          <w:tcPr>
            <w:tcW w:w="366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color w:val="auto"/>
              </w:rPr>
              <w:t>Title of Each Class</w:t>
            </w:r>
          </w:p>
        </w:tc>
        <w:tc>
          <w:tcPr>
            <w:tcW w:w="200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w w:val="99"/>
              </w:rPr>
              <w:t>Trading Symbol(s)</w:t>
            </w:r>
          </w:p>
        </w:tc>
        <w:tc>
          <w:tcPr>
            <w:tcW w:w="2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Which Registered</w:t>
            </w:r>
          </w:p>
        </w:tc>
      </w:tr>
      <w:tr>
        <w:trPr>
          <w:trHeight w:val="218"/>
        </w:trPr>
        <w:tc>
          <w:tcPr>
            <w:tcW w:w="720" w:type="dxa"/>
            <w:vAlign w:val="bottom"/>
          </w:tcPr>
          <w:p>
            <w:pPr>
              <w:spacing w:after="0"/>
              <w:rPr>
                <w:sz w:val="18"/>
                <w:szCs w:val="18"/>
                <w:color w:val="auto"/>
              </w:rPr>
            </w:pPr>
          </w:p>
        </w:tc>
        <w:tc>
          <w:tcPr>
            <w:tcW w:w="32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Common stock, par value $.01</w:t>
            </w:r>
          </w:p>
        </w:tc>
        <w:tc>
          <w:tcPr>
            <w:tcW w:w="4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457"/>
              <w:spacing w:after="0"/>
              <w:rPr>
                <w:sz w:val="20"/>
                <w:szCs w:val="20"/>
                <w:color w:val="auto"/>
              </w:rPr>
            </w:pPr>
            <w:r>
              <w:rPr>
                <w:rFonts w:ascii="Times New Roman" w:cs="Times New Roman" w:eastAsia="Times New Roman" w:hAnsi="Times New Roman"/>
                <w:sz w:val="17"/>
                <w:szCs w:val="17"/>
                <w:color w:val="auto"/>
              </w:rPr>
              <w:t>RHP</w:t>
            </w:r>
          </w:p>
        </w:tc>
        <w:tc>
          <w:tcPr>
            <w:tcW w:w="340" w:type="dxa"/>
            <w:vAlign w:val="bottom"/>
          </w:tcPr>
          <w:p>
            <w:pPr>
              <w:spacing w:after="0"/>
              <w:rPr>
                <w:sz w:val="18"/>
                <w:szCs w:val="18"/>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New York Stock Exchange</w:t>
            </w:r>
          </w:p>
        </w:tc>
      </w:tr>
    </w:tbl>
    <w:p>
      <w:pPr>
        <w:spacing w:after="0" w:line="167"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i w:val="1"/>
          <w:iCs w:val="1"/>
          <w:color w:val="auto"/>
        </w:rPr>
        <w:t>(Title of Class)</w:t>
      </w:r>
    </w:p>
    <w:p>
      <w:pPr>
        <w:spacing w:after="0" w:line="75" w:lineRule="exact"/>
        <w:rPr>
          <w:sz w:val="24"/>
          <w:szCs w:val="24"/>
          <w:color w:val="auto"/>
        </w:rPr>
      </w:pPr>
    </w:p>
    <w:p>
      <w:pPr>
        <w:ind w:left="6" w:right="3000"/>
        <w:spacing w:after="0" w:line="23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Indicate by check mark if the registrant is not required to file reports pursuant to Section 13 or Section 15(d) of the Act.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p>
      <w:pPr>
        <w:spacing w:after="0" w:line="35" w:lineRule="exact"/>
        <w:rPr>
          <w:sz w:val="24"/>
          <w:szCs w:val="24"/>
          <w:color w:val="auto"/>
        </w:rPr>
      </w:pPr>
    </w:p>
    <w:p>
      <w:pPr>
        <w:ind w:left="6" w:right="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p>
      <w:pPr>
        <w:spacing w:after="0" w:line="48" w:lineRule="exact"/>
        <w:rPr>
          <w:sz w:val="24"/>
          <w:szCs w:val="24"/>
          <w:color w:val="auto"/>
        </w:rPr>
      </w:pPr>
    </w:p>
    <w:p>
      <w:pPr>
        <w:ind w:left="6"/>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p>
      <w:pPr>
        <w:spacing w:after="0" w:line="48" w:lineRule="exact"/>
        <w:rPr>
          <w:sz w:val="24"/>
          <w:szCs w:val="24"/>
          <w:color w:val="auto"/>
        </w:rPr>
      </w:pPr>
    </w:p>
    <w:p>
      <w:pPr>
        <w:ind w:left="6"/>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0226"/>
          </w:cols>
          <w:pgMar w:left="834" w:top="661" w:right="839" w:bottom="1440" w:gutter="0" w:footer="0" w:header="0"/>
        </w:sectPr>
      </w:pPr>
    </w:p>
    <w:p>
      <w:pPr>
        <w:spacing w:after="0" w:line="1" w:lineRule="exact"/>
        <w:rPr>
          <w:sz w:val="24"/>
          <w:szCs w:val="24"/>
          <w:color w:val="auto"/>
        </w:rPr>
      </w:pPr>
    </w:p>
    <w:p>
      <w:pPr>
        <w:ind w:left="906"/>
        <w:spacing w:after="0" w:line="175"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906"/>
        <w:spacing w:after="0" w:line="175"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168"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75"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Arial Unicode MS" w:cs="Arial Unicode MS" w:eastAsia="Arial Unicode MS" w:hAnsi="Arial Unicode MS"/>
          <w:sz w:val="13"/>
          <w:szCs w:val="13"/>
          <w:color w:val="auto"/>
        </w:rPr>
        <w:t>☐</w:t>
      </w:r>
    </w:p>
    <w:p>
      <w:pPr>
        <w:spacing w:after="0" w:line="109" w:lineRule="exact"/>
        <w:rPr>
          <w:sz w:val="24"/>
          <w:szCs w:val="24"/>
          <w:color w:val="auto"/>
        </w:rPr>
      </w:pPr>
    </w:p>
    <w:p>
      <w:pPr>
        <w:sectPr>
          <w:pgSz w:w="11900" w:h="16838" w:orient="portrait"/>
          <w:cols w:equalWidth="0" w:num="2">
            <w:col w:w="3466" w:space="720"/>
            <w:col w:w="6040"/>
          </w:cols>
          <w:pgMar w:left="834" w:top="661" w:right="839" w:bottom="1440" w:gutter="0" w:footer="0" w:header="0"/>
          <w:type w:val="continuous"/>
        </w:sectPr>
      </w:pPr>
    </w:p>
    <w:p>
      <w:pPr>
        <w:jc w:val="both"/>
        <w:ind w:left="6"/>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48" w:lineRule="exact"/>
        <w:rPr>
          <w:sz w:val="24"/>
          <w:szCs w:val="24"/>
          <w:color w:val="auto"/>
        </w:rPr>
      </w:pPr>
    </w:p>
    <w:p>
      <w:pPr>
        <w:jc w:val="both"/>
        <w:ind w:left="6"/>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48" w:lineRule="exact"/>
        <w:rPr>
          <w:sz w:val="24"/>
          <w:szCs w:val="24"/>
          <w:color w:val="auto"/>
        </w:rPr>
      </w:pPr>
    </w:p>
    <w:p>
      <w:pPr>
        <w:jc w:val="both"/>
        <w:ind w:left="6" w:right="2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34" w:lineRule="exact"/>
        <w:rPr>
          <w:sz w:val="24"/>
          <w:szCs w:val="24"/>
          <w:color w:val="auto"/>
        </w:rPr>
      </w:pPr>
    </w:p>
    <w:p>
      <w:pPr>
        <w:jc w:val="both"/>
        <w:ind w:left="6"/>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3"/>
          <w:szCs w:val="13"/>
          <w:color w:val="auto"/>
        </w:rPr>
        <w:t>☐</w:t>
      </w:r>
    </w:p>
    <w:p>
      <w:pPr>
        <w:spacing w:after="0" w:line="17" w:lineRule="exact"/>
        <w:rPr>
          <w:sz w:val="24"/>
          <w:szCs w:val="24"/>
          <w:color w:val="auto"/>
        </w:rPr>
      </w:pPr>
    </w:p>
    <w:p>
      <w:pPr>
        <w:ind w:left="6"/>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p>
      <w:pPr>
        <w:spacing w:after="0" w:line="86" w:lineRule="exact"/>
        <w:rPr>
          <w:sz w:val="24"/>
          <w:szCs w:val="24"/>
          <w:color w:val="auto"/>
        </w:rPr>
      </w:pPr>
    </w:p>
    <w:p>
      <w:pPr>
        <w:jc w:val="both"/>
        <w:ind w:left="6"/>
        <w:spacing w:after="0" w:line="258" w:lineRule="auto"/>
        <w:rPr>
          <w:sz w:val="20"/>
          <w:szCs w:val="20"/>
          <w:color w:val="auto"/>
        </w:rPr>
      </w:pPr>
      <w:r>
        <w:rPr>
          <w:rFonts w:ascii="Times New Roman" w:cs="Times New Roman" w:eastAsia="Times New Roman" w:hAnsi="Times New Roman"/>
          <w:sz w:val="13"/>
          <w:szCs w:val="13"/>
          <w:color w:val="auto"/>
        </w:rPr>
        <w:t>The aggregate market value of the shares of Common Stock held by non-affiliates of the registrant based on the closing price of the Common Stock on the New York Stock Exchange on June 30, 2023 of $92.92 per share was approximately $5,383,862,667 (assuming for this purpose that shares beneficially owned by persons other than officers or directors of the registrant, and their affiliates, are held by non-affiliates).</w:t>
      </w:r>
    </w:p>
    <w:p>
      <w:pPr>
        <w:spacing w:after="0" w:line="58"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As of January 31, 2024 there were 59,711,664 shares of Common Stock outstanding.</w:t>
      </w:r>
    </w:p>
    <w:p>
      <w:pPr>
        <w:spacing w:after="0" w:line="9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3" w:lineRule="exact"/>
        <w:rPr>
          <w:sz w:val="24"/>
          <w:szCs w:val="24"/>
          <w:color w:val="auto"/>
        </w:rPr>
      </w:pPr>
    </w:p>
    <w:p>
      <w:pPr>
        <w:jc w:val="both"/>
        <w:ind w:left="6"/>
        <w:spacing w:after="0" w:line="264"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the 2024 Annual Meeting of Stockholders to be filed with the Securities and Exchange Commission are incorporated by reference into Part III of this Form 10-K</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640080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40005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108585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2023 ANNUAL REPORT ON FORM 10-K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14"/>
          </w:tcPr>
          <w:p>
            <w:pPr>
              <w:jc w:val="center"/>
              <w:ind w:right="338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34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tcBorders>
              <w:top w:val="single" w:sz="8" w:color="0000EE"/>
            </w:tcBorders>
          </w:tcPr>
          <w:p>
            <w:pPr>
              <w:spacing w:after="0"/>
              <w:rPr>
                <w:sz w:val="24"/>
                <w:szCs w:val="24"/>
                <w:color w:val="auto"/>
              </w:rPr>
            </w:pPr>
          </w:p>
        </w:tc>
        <w:tc>
          <w:tcPr>
            <w:tcW w:w="342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1A.Risk Factors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1B.Unresolved Staff Comments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20" w:type="dxa"/>
            <w:vAlign w:val="bottom"/>
          </w:tcPr>
          <w:p>
            <w:pPr>
              <w:spacing w:after="0"/>
              <w:rPr>
                <w:sz w:val="17"/>
                <w:szCs w:val="17"/>
                <w:color w:val="auto"/>
              </w:rPr>
            </w:pPr>
          </w:p>
        </w:tc>
        <w:tc>
          <w:tcPr>
            <w:tcW w:w="26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Item 1C.Cybersecurity</w:t>
            </w:r>
          </w:p>
        </w:tc>
        <w:tc>
          <w:tcPr>
            <w:tcW w:w="5380" w:type="dxa"/>
            <w:vAlign w:val="bottom"/>
            <w:gridSpan w:val="1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20" w:type="dxa"/>
            <w:vAlign w:val="bottom"/>
          </w:tcPr>
          <w:p>
            <w:pPr>
              <w:spacing w:after="0"/>
              <w:rPr>
                <w:sz w:val="17"/>
                <w:szCs w:val="17"/>
                <w:color w:val="auto"/>
              </w:rPr>
            </w:pPr>
          </w:p>
        </w:tc>
        <w:tc>
          <w:tcPr>
            <w:tcW w:w="10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400" w:type="dxa"/>
            <w:vAlign w:val="bottom"/>
            <w:gridSpan w:val="2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38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5.</w:t>
            </w:r>
          </w:p>
        </w:tc>
        <w:tc>
          <w:tcPr>
            <w:tcW w:w="74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8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7A.Quantitative and Qualitative Disclosures About Market Risk</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20" w:type="dxa"/>
            <w:vAlign w:val="bottom"/>
          </w:tcPr>
          <w:p>
            <w:pPr>
              <w:spacing w:after="0"/>
              <w:rPr>
                <w:sz w:val="17"/>
                <w:szCs w:val="17"/>
                <w:color w:val="auto"/>
              </w:rPr>
            </w:pPr>
          </w:p>
        </w:tc>
        <w:tc>
          <w:tcPr>
            <w:tcW w:w="6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43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3060" w:type="dxa"/>
            <w:vAlign w:val="bottom"/>
            <w:gridSpan w:val="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9A.Controls and Procedures</w:t>
            </w:r>
          </w:p>
        </w:tc>
        <w:tc>
          <w:tcPr>
            <w:tcW w:w="5640" w:type="dxa"/>
            <w:vAlign w:val="bottom"/>
            <w:gridSpan w:val="2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20" w:type="dxa"/>
            <w:vAlign w:val="bottom"/>
          </w:tcPr>
          <w:p>
            <w:pPr>
              <w:spacing w:after="0"/>
              <w:rPr>
                <w:sz w:val="17"/>
                <w:szCs w:val="17"/>
                <w:color w:val="auto"/>
              </w:rPr>
            </w:pPr>
          </w:p>
        </w:tc>
        <w:tc>
          <w:tcPr>
            <w:tcW w:w="19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9B.Other Information</w:t>
            </w:r>
          </w:p>
        </w:tc>
        <w:tc>
          <w:tcPr>
            <w:tcW w:w="6080" w:type="dxa"/>
            <w:vAlign w:val="bottom"/>
            <w:gridSpan w:val="2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20" w:type="dxa"/>
            <w:vAlign w:val="bottom"/>
          </w:tcPr>
          <w:p>
            <w:pPr>
              <w:spacing w:after="0"/>
              <w:rPr>
                <w:sz w:val="17"/>
                <w:szCs w:val="17"/>
                <w:color w:val="auto"/>
              </w:rPr>
            </w:pPr>
          </w:p>
        </w:tc>
        <w:tc>
          <w:tcPr>
            <w:tcW w:w="8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9C.Disclosure Regarding Foreign Jurisdictions that Prevent Inspections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III</w:t>
            </w:r>
          </w:p>
        </w:tc>
        <w:tc>
          <w:tcPr>
            <w:tcW w:w="820" w:type="dxa"/>
            <w:vAlign w:val="bottom"/>
            <w:tcBorders>
              <w:top w:val="single" w:sz="8" w:color="0000EE"/>
            </w:tcBorders>
            <w:gridSpan w:val="3"/>
          </w:tcPr>
          <w:p>
            <w:pPr>
              <w:spacing w:after="0"/>
              <w:rPr>
                <w:sz w:val="24"/>
                <w:szCs w:val="24"/>
                <w:color w:val="auto"/>
              </w:rPr>
            </w:pPr>
          </w:p>
        </w:tc>
        <w:tc>
          <w:tcPr>
            <w:tcW w:w="252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Item 10.</w:t>
            </w:r>
          </w:p>
        </w:tc>
        <w:tc>
          <w:tcPr>
            <w:tcW w:w="40" w:type="dxa"/>
            <w:vAlign w:val="bottom"/>
            <w:gridSpan w:val="2"/>
          </w:tcPr>
          <w:p>
            <w:pPr>
              <w:spacing w:after="0"/>
              <w:rPr>
                <w:sz w:val="24"/>
                <w:szCs w:val="24"/>
                <w:color w:val="auto"/>
              </w:rPr>
            </w:pPr>
          </w:p>
        </w:tc>
        <w:tc>
          <w:tcPr>
            <w:tcW w:w="41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32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12.</w:t>
            </w:r>
          </w:p>
        </w:tc>
        <w:tc>
          <w:tcPr>
            <w:tcW w:w="40" w:type="dxa"/>
            <w:vAlign w:val="bottom"/>
            <w:gridSpan w:val="2"/>
          </w:tcPr>
          <w:p>
            <w:pPr>
              <w:spacing w:after="0"/>
              <w:rPr>
                <w:sz w:val="17"/>
                <w:szCs w:val="17"/>
                <w:color w:val="auto"/>
              </w:rPr>
            </w:pPr>
          </w:p>
        </w:tc>
        <w:tc>
          <w:tcPr>
            <w:tcW w:w="73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2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13.</w:t>
            </w:r>
          </w:p>
        </w:tc>
        <w:tc>
          <w:tcPr>
            <w:tcW w:w="40" w:type="dxa"/>
            <w:vAlign w:val="bottom"/>
            <w:gridSpan w:val="2"/>
          </w:tcPr>
          <w:p>
            <w:pPr>
              <w:spacing w:after="0"/>
              <w:rPr>
                <w:sz w:val="17"/>
                <w:szCs w:val="17"/>
                <w:color w:val="auto"/>
              </w:rPr>
            </w:pPr>
          </w:p>
        </w:tc>
        <w:tc>
          <w:tcPr>
            <w:tcW w:w="54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96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gridSpan w:val="16"/>
          </w:tcPr>
          <w:p>
            <w:pPr>
              <w:jc w:val="center"/>
              <w:ind w:right="3340"/>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15.</w:t>
            </w:r>
          </w:p>
        </w:tc>
        <w:tc>
          <w:tcPr>
            <w:tcW w:w="40" w:type="dxa"/>
            <w:vAlign w:val="bottom"/>
            <w:gridSpan w:val="2"/>
          </w:tcPr>
          <w:p>
            <w:pPr>
              <w:spacing w:after="0"/>
              <w:rPr>
                <w:sz w:val="24"/>
                <w:szCs w:val="24"/>
                <w:color w:val="auto"/>
              </w:rPr>
            </w:pPr>
          </w:p>
        </w:tc>
        <w:tc>
          <w:tcPr>
            <w:tcW w:w="33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700" w:type="dxa"/>
            <w:vAlign w:val="bottom"/>
            <w:tcBorders>
              <w:top w:val="single" w:sz="8" w:color="0000EE"/>
            </w:tcBorders>
            <w:gridSpan w:val="5"/>
          </w:tcPr>
          <w:p>
            <w:pPr>
              <w:spacing w:after="0"/>
              <w:rPr>
                <w:sz w:val="24"/>
                <w:szCs w:val="24"/>
                <w:color w:val="auto"/>
              </w:rPr>
            </w:pPr>
          </w:p>
        </w:tc>
        <w:tc>
          <w:tcPr>
            <w:tcW w:w="3360" w:type="dxa"/>
            <w:vAlign w:val="bottom"/>
            <w:gridSpan w:val="10"/>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700" w:type="dxa"/>
            <w:vAlign w:val="bottom"/>
            <w:gridSpan w:val="10"/>
            <w:shd w:val="clear" w:color="auto" w:fill="0000EE"/>
          </w:tcPr>
          <w:p>
            <w:pPr>
              <w:spacing w:after="0" w:line="20" w:lineRule="exact"/>
              <w:rPr>
                <w:sz w:val="1"/>
                <w:szCs w:val="1"/>
                <w:color w:val="auto"/>
              </w:rPr>
            </w:pPr>
          </w:p>
        </w:tc>
        <w:tc>
          <w:tcPr>
            <w:tcW w:w="4260" w:type="dxa"/>
            <w:vAlign w:val="bottom"/>
            <w:gridSpan w:val="1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242"/>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Throughout this report, we refer to Ryman Hospitality Properties, Inc., a Delaware corporation (“Ryman”), together with its subsidiaries, as “we,” “us,” “our,” or the “Company.” For each year discussed, our fiscal year ends on December 31. All of the discussion and analysis in this report should be read with, and is qualified in its entirety by, the Consolidated Financial Statements and related notes included in this Annual Report on Form 10-K.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future performance of our business, anticipated business levels and our anticipated financial results during future periods, and other business or operational issues; (ii) the effect of our election to be taxed as a real estate investment trust (“REIT”) and maintain REIT status for federal income tax purposes; (iii) the holding of our non-qualifying REIT assets in one or more taxable REIT subsidiaries (“TRSs”); (iv)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the effects of inflation and increased costs on our business and on our customers, including group customers at our hotels; and (xii) any other business or operational matters.</w:t>
      </w:r>
    </w:p>
    <w:p>
      <w:pPr>
        <w:spacing w:after="0" w:line="188"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Although we believe that the expectations reflected in such forward-looking statements are based upon reasonable assumptions, beliefs and expectations, our actual results could differ materially from the results anticipated by the forward-looking statements as a result of many known and unknown factors including, but not limited to, those discussed in</w:t>
      </w:r>
    </w:p>
    <w:p>
      <w:pPr>
        <w:spacing w:after="0" w:line="2" w:lineRule="exact"/>
        <w:rPr>
          <w:sz w:val="20"/>
          <w:szCs w:val="20"/>
          <w:color w:val="auto"/>
        </w:rPr>
      </w:pPr>
    </w:p>
    <w:p>
      <w:pPr>
        <w:ind w:left="60" w:right="139"/>
        <w:spacing w:after="0" w:line="271" w:lineRule="auto"/>
        <w:rPr>
          <w:sz w:val="20"/>
          <w:szCs w:val="20"/>
          <w:color w:val="auto"/>
        </w:rPr>
      </w:pPr>
      <w:r>
        <w:rPr>
          <w:rFonts w:ascii="Times New Roman" w:cs="Times New Roman" w:eastAsia="Times New Roman" w:hAnsi="Times New Roman"/>
          <w:sz w:val="17"/>
          <w:szCs w:val="17"/>
          <w:color w:val="auto"/>
        </w:rPr>
        <w:t>Item 1A, “Risk Factors,” Item 7, “Management’s Discussion and Analysis of Financial Condition and Results of Operations,” and elsewhere in this Annual Report on Form 10-K. Any forward-looking statement made in this Annual Report on Form 10-K speaks only as of the date on which the statement is made. New risks and uncertainties may arise from time to time, and it is impossible for us to predict these events or how they may affect us. We have no duty to, and do not intend to, update or revise the forward-looking statements we make in this report,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 Item 1A of this Annual Report on Form 10-K. Set forth below is a summary list of the principal risk factors as of the date of the filing of this Annual Report on Form 10-K:</w:t>
      </w:r>
    </w:p>
    <w:p>
      <w:pPr>
        <w:spacing w:after="0" w:line="183" w:lineRule="exact"/>
        <w:rPr>
          <w:sz w:val="20"/>
          <w:szCs w:val="20"/>
          <w:color w:val="auto"/>
        </w:rPr>
      </w:pPr>
    </w:p>
    <w:p>
      <w:pPr>
        <w:ind w:left="720" w:right="9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Marriott or any future third-party hotel manager does not manage our hotel properties or other businesses successfully, our financial condition, results of operations and our ability to service debt and make distributions to our stockholders may be negatively impacted. Further, the operation and management of our current hotel properties, the operation of which generates substantially all of our Hospitality segment revenue, is concentrated in Marriott.</w:t>
      </w:r>
    </w:p>
    <w:p>
      <w:pPr>
        <w:spacing w:after="0" w:line="75" w:lineRule="exact"/>
        <w:rPr>
          <w:rFonts w:ascii="Times New Roman" w:cs="Times New Roman" w:eastAsia="Times New Roman" w:hAnsi="Times New Roman"/>
          <w:sz w:val="18"/>
          <w:szCs w:val="18"/>
          <w:color w:val="auto"/>
        </w:rPr>
      </w:pPr>
    </w:p>
    <w:p>
      <w:pPr>
        <w:jc w:val="both"/>
        <w:ind w:left="720" w:right="15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and other provisions in our hotel management agreements with third-party hotel managers could limit our ability to sell or lease our hotel properties or refinance our existing debt. In addition, Marriott and any future third-party hotel manager may own or operate hotels that compete with our hotel properties.</w:t>
      </w:r>
    </w:p>
    <w:p>
      <w:pPr>
        <w:spacing w:after="0" w:line="67"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in the hospitality industry, and in particular the group-oriented meetings sector of the hospitality industry, exposes us to certain risks outside of our and Marriott’s control. In addition, the geographic concentration of our current hotel properties subjects us to a greater degree of risk to certain factors.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may adversely affect our financial condition and results of operations.</w:t>
      </w:r>
    </w:p>
    <w:p>
      <w:pPr>
        <w:spacing w:after="0" w:line="117"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hotel business is capital-intensive, and our inability to obtain financing or successfully complete acquisitions or capital improvements, or the disruption associated with them, could limit our growth or impact our performance.</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TRS lessee structure subjects us to the risk of increased hotel operating expenses and the inability of our TRS lessees to make lease payments to us.</w:t>
      </w:r>
    </w:p>
    <w:p>
      <w:pPr>
        <w:spacing w:after="0" w:line="53"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third-party hotel manager rely on information technology in our operations, and any material failure, inadequacy, interruption, or security failure could harm our business. In addition, changes in privacy and data security laws could increase our operating costs and increase our exposure to fines and litigation, and cyber security incidents could have a disruptive effect on our business.</w:t>
      </w:r>
    </w:p>
    <w:p>
      <w:pPr>
        <w:spacing w:after="0" w:line="71" w:lineRule="exact"/>
        <w:rPr>
          <w:rFonts w:ascii="Times New Roman" w:cs="Times New Roman" w:eastAsia="Times New Roman" w:hAnsi="Times New Roman"/>
          <w:sz w:val="18"/>
          <w:szCs w:val="18"/>
          <w:color w:val="auto"/>
        </w:rPr>
      </w:pPr>
    </w:p>
    <w:p>
      <w:pPr>
        <w:jc w:val="both"/>
        <w:ind w:left="720" w:right="55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assets are subject to numerous risks, including environmental regulations that could impose significant financial liability on us and illiquidity of real estate investments. Moreover, compliance with the Americans with Disabilities Act could require us to incur substantial costs.</w:t>
      </w:r>
    </w:p>
    <w:p>
      <w:pPr>
        <w:spacing w:after="0" w:line="67"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owner of hotel properties and operator of leisure businesses, we are subject to risks relating to acts of God, outbreaks of pandemic disease, terrorist activity and war. Our operating results and ability to service debt and make distributions to stockholders may be adversely affected by operating risks common to the lodging industry.</w:t>
      </w:r>
    </w:p>
    <w:p>
      <w:pPr>
        <w:spacing w:after="0" w:line="67" w:lineRule="exact"/>
        <w:rPr>
          <w:rFonts w:ascii="Times New Roman" w:cs="Times New Roman" w:eastAsia="Times New Roman" w:hAnsi="Times New Roman"/>
          <w:sz w:val="18"/>
          <w:szCs w:val="18"/>
          <w:color w:val="auto"/>
        </w:rPr>
      </w:pPr>
    </w:p>
    <w:p>
      <w:pPr>
        <w:ind w:left="720" w:right="179" w:hanging="319"/>
        <w:spacing w:after="0" w:line="277" w:lineRule="auto"/>
        <w:tabs>
          <w:tab w:leader="none" w:pos="7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risks associated with our hotel managers’ employment of hotel personnel, particularly with hotels whose managers employ unionized labor, which could increase our hotels’ operating costs, including, but not limited to, an increase in wages and benefit costs, reduce the flexibility of our third-party hotel managers to adjust the size of the workforce at our hotel properties and impair our ability to make distributions to our stockholders. Our business could suffer if we or our hotel managers cannot attract and retain qualified personnel.</w:t>
      </w:r>
    </w:p>
    <w:p>
      <w:pPr>
        <w:spacing w:after="0" w:line="59" w:lineRule="exact"/>
        <w:rPr>
          <w:rFonts w:ascii="Times New Roman" w:cs="Times New Roman" w:eastAsia="Times New Roman" w:hAnsi="Times New Roman"/>
          <w:sz w:val="17"/>
          <w:szCs w:val="17"/>
          <w:color w:val="auto"/>
        </w:rPr>
      </w:pPr>
    </w:p>
    <w:p>
      <w:pPr>
        <w:ind w:left="720" w:right="1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the trademarks and intellectual property used in our business could reduce the value of our brand names and harm our business.</w:t>
      </w:r>
    </w:p>
    <w:p>
      <w:pPr>
        <w:spacing w:after="0" w:line="53"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operating results may suffer if we are unsuccessful in integrating JW Marriott Hill Country with our existing assets, and integrating JW Marriott Hill Country may be more difficult, costly or time consuming than expected.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1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the operations of our Entertainment segment through OEG and our ownership is subject to the terms of agreements with A-OEG Holdings, LLC, an affiliate of Atairos. Any disagreement with Atairos or its affiliate may adversely affect our interest in OEG.</w:t>
      </w:r>
    </w:p>
    <w:p>
      <w:pPr>
        <w:spacing w:after="0" w:line="67" w:lineRule="exact"/>
        <w:rPr>
          <w:rFonts w:ascii="Times New Roman" w:cs="Times New Roman" w:eastAsia="Times New Roman" w:hAnsi="Times New Roman"/>
          <w:sz w:val="18"/>
          <w:szCs w:val="18"/>
          <w:color w:val="auto"/>
        </w:rPr>
      </w:pPr>
    </w:p>
    <w:p>
      <w:pPr>
        <w:jc w:val="both"/>
        <w:ind w:left="720" w:right="25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remain qualified as a REIT, we would be subject to tax at corporate income tax rates and would not be able to deduct distributions to stockholders when computing our taxable income. As a REIT, failure to make required distributions to our stockholders would subject us to federal and state corporate income tax.</w:t>
      </w:r>
    </w:p>
    <w:p>
      <w:pPr>
        <w:spacing w:after="0" w:line="67"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though we are conducting our business as a REIT, certain of our business activities will be subject to corporate level income tax, which will continue to reduce our cash flows, and we will have potential deferred and contingent tax liabilities.</w:t>
      </w:r>
    </w:p>
    <w:p>
      <w:pPr>
        <w:spacing w:after="0" w:line="67" w:lineRule="exact"/>
        <w:rPr>
          <w:rFonts w:ascii="Times New Roman" w:cs="Times New Roman" w:eastAsia="Times New Roman" w:hAnsi="Times New Roman"/>
          <w:sz w:val="18"/>
          <w:szCs w:val="18"/>
          <w:color w:val="auto"/>
        </w:rPr>
      </w:pPr>
    </w:p>
    <w:p>
      <w:pPr>
        <w:ind w:left="720" w:right="37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REIT requirements may limit our ability to hedge effectively and increase the costs of our hedging, may cause us to incur tax liabilities, and may limit our flexibility or cause us to forego otherwise attractive opportunities. Further, we may be required to borrow funds, sell assets, or issue equity to satisfy our REIT distribution requirements or maintain the asset ownership tests.</w:t>
      </w:r>
    </w:p>
    <w:p>
      <w:pPr>
        <w:spacing w:after="0" w:line="71"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other actions affecting REITs could have a negative effect on us or our stockholders, and even as a REIT, changes in federal, state, or local tax law, interpretations of existing tax law or agreements with tax authorities could affect our profitability and financial condition by increasing our tax costs.</w:t>
      </w:r>
    </w:p>
    <w:p>
      <w:pPr>
        <w:spacing w:after="0" w:line="67"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revoke our REIT qualification, without stockholder approval, may cause adverse consequences to our stockholders.</w:t>
      </w:r>
    </w:p>
    <w:p>
      <w:pPr>
        <w:spacing w:after="0" w:line="53"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use of TRSs may cause us to fail to qualify as a REIT, and if our leases of our hotel properties to TRS lessees are not true leases for federal income tax purposes, we may fail to qualify as a REIT.</w:t>
      </w:r>
    </w:p>
    <w:p>
      <w:pPr>
        <w:spacing w:after="0" w:line="53"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Marriott or any future third-party hotel manager fails to qualify as an “eligible independent contractor,” or if our hotels are not “qualified lodging facilities,” we may fail to qualify as a REIT.</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distributions are not guaranteed and may fluctuate.</w:t>
      </w:r>
    </w:p>
    <w:p>
      <w:pPr>
        <w:spacing w:after="0" w:line="117"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invested in, and in the future may invest in, joint ventures, certain minority equity interests, mortgage loans or mezzanine debt over which we may not have significant control, to or for which we may owe significant funding or obligations and for which there is no readily available market, and these investments may not be profitable.</w:t>
      </w:r>
    </w:p>
    <w:p>
      <w:pPr>
        <w:spacing w:after="0" w:line="71"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could reduce our cash flow and limit our business activities, and our indebtedness is secured by a substantial portion of our assets. In addition, we could be required to refinance our debt before it matures and there is no assurance that we will be able to refinance our debt on acceptable terms.</w:t>
      </w:r>
    </w:p>
    <w:p>
      <w:pPr>
        <w:spacing w:after="0" w:line="67" w:lineRule="exact"/>
        <w:rPr>
          <w:rFonts w:ascii="Times New Roman" w:cs="Times New Roman" w:eastAsia="Times New Roman" w:hAnsi="Times New Roman"/>
          <w:sz w:val="18"/>
          <w:szCs w:val="18"/>
          <w:color w:val="auto"/>
        </w:rPr>
      </w:pPr>
    </w:p>
    <w:p>
      <w:pPr>
        <w:ind w:left="720" w:right="39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depend on our subsidiaries’ cash flow to meet our debt service obligations. To service our debt and pay other obligations, we will require a significant amount of cash, which may not be available to us.</w:t>
      </w:r>
    </w:p>
    <w:p>
      <w:pPr>
        <w:spacing w:after="0" w:line="67"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governing our debt contain various covenants that may limit our ability to operate our business and impair our ability to make distributions to our stockholders in accordance with our announced intended dividend policy or otherwise.</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limitations in our charter may restrict or prevent stockholders from engaging in certain transfers of our common stock.</w:t>
      </w:r>
    </w:p>
    <w:p>
      <w:pPr>
        <w:spacing w:after="0" w:line="53"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general risks, including, but not limited to, risks related to our environmental, social and governance practices, class actions and other lawsuits, the market price of our common stock, and our board of directors’ ability to change our major policies.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Ryman is the successor to Gaylord Entertainment Company (“Gaylord”), a Delaware corporation originally incorporated in 1956. As part of the plan to restructure our business operations to facilitate our qualification as a REIT for federal income tax purposes, Gaylord merged with and into its wholly-owned subsidiary, Ryman, on October 1, 2012, with Ryman as the surviving corporation, and Ryman succeeded to and began conducting, either directly or indirectly, all of the business conducted by Gaylord immediately prior to the merger. Ryman is a Delaware corporation that began operating as a self-advised and self-administered REIT for federal income tax purposes on January 1, 2013. We specialize in group-oriented, destination hotel assets in urban and resort markets. As a REIT, we generally will not be subject to federal corporate income taxes on that portion of our capital gain or ordinary income from our REIT operations that is distributed to our stockholders. This treatment substantially eliminates the federal “double taxation” on earnings from our REIT operations, or taxation once at the corporate level and again at the stockholder level, that generally results from investment in a regular C corporation. Our non-REIT operations, which consist of the activities of our TRSs that lease or sublease our hotels from our qualified REIT subsidiaries, as well as businesses within our Entertainment segment, continue to be subject, as applicable, to federal and state corporate income taxes.</w:t>
      </w:r>
    </w:p>
    <w:p>
      <w:pPr>
        <w:spacing w:after="0" w:line="18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owned assets include a network of five upscale, meetings-focused resorts totaling 9,917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which was previously owned by a joint venture (the “Gaylord Rockies joint venture”), in which we owned a 65% interest. On May 7, 2021, we purchased the remaining 35% interest in the Gaylord Rockies joint venture. Our other owned hotel assets managed by Marriott include the Inn at Opryland, an overflow hotel adjacent to Gaylord Opryland, the AC Hotel at National Harbor, Washington D.C. (“AC Hotel”), an overflow hotel adjacent to Gaylord National, and effective June 30, 2023, the JW Marriott San Antonio Hill Country Resort &amp; Spa (“JW Marriott Hill Country”).</w:t>
      </w:r>
    </w:p>
    <w:p>
      <w:pPr>
        <w:spacing w:after="0" w:line="19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also own a controlling 70%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98 years; the Ryman Auditorium, the storied live music venue and former home of the Grand Ole Opry located in downtown Nashville; WSM-AM, the Opry’s radio home; Ole Red, a brand of Blake Shelton-themed bar, music venue and event spaces; two Nashville-based assets – the Wildhorse Saloon and the General Jackson Showboat (“General Jackson”); and as of May 31, 2022, Block 21, a mixed-use entertainment, lodging, office, and retail complex located in Austin, Texas (“Block 21”). Prior to June 16, 2022, we owned 100% of OEG.</w:t>
      </w:r>
    </w:p>
    <w:p>
      <w:pPr>
        <w:spacing w:after="0" w:line="192" w:lineRule="exact"/>
        <w:rPr>
          <w:sz w:val="20"/>
          <w:szCs w:val="20"/>
          <w:color w:val="auto"/>
        </w:rPr>
      </w:pPr>
    </w:p>
    <w:p>
      <w:pPr>
        <w:ind w:left="60" w:right="159"/>
        <w:spacing w:after="0" w:line="277" w:lineRule="auto"/>
        <w:rPr>
          <w:sz w:val="20"/>
          <w:szCs w:val="20"/>
          <w:color w:val="auto"/>
        </w:rPr>
      </w:pPr>
      <w:r>
        <w:rPr>
          <w:rFonts w:ascii="Times New Roman" w:cs="Times New Roman" w:eastAsia="Times New Roman" w:hAnsi="Times New Roman"/>
          <w:sz w:val="17"/>
          <w:szCs w:val="17"/>
          <w:color w:val="auto"/>
        </w:rPr>
        <w:t>Our operations are organized into three principal business segments: (i) Hospitality, which includes our Gaylord Hotels properties, JW Marriott Hill Country (effective June 30, 2023), the Inn at Opryland and the AC Hotel; (ii) Entertainment, which includes the entertainment and media assets comprising OEG; and (iii) Corporate and Other, which includes corporate expenses. These three business segments — Hospitality, Entertainment, and Corporate and Other — represented approximately 85%, 15% and 0%, respectively, of our total revenues for the fiscal year ended December 31, 2023.</w:t>
      </w:r>
    </w:p>
    <w:p>
      <w:pPr>
        <w:spacing w:after="0" w:line="16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Financial information by business segment and for each of our Gaylord Hotels properties as of December 31, 2023 and for each of the three years then ended appears in Item 7, “Management’s Discussion and Analysis of Financial Condition and Results of Operations,” and in “Note 13 – Financial Reporting by Business Segments” to our consolidated financial statements included in this Annual Report on Form 10-K.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Long-Term Strategic Plan</w:t>
      </w:r>
    </w:p>
    <w:p>
      <w:pPr>
        <w:spacing w:after="0" w:line="229"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destination hotel assets in urban and resort markets.</w:t>
      </w:r>
    </w:p>
    <w:p>
      <w:pPr>
        <w:spacing w:after="0" w:line="160" w:lineRule="exact"/>
        <w:rPr>
          <w:sz w:val="20"/>
          <w:szCs w:val="20"/>
          <w:color w:val="auto"/>
        </w:rPr>
      </w:pPr>
    </w:p>
    <w:p>
      <w:pPr>
        <w:ind w:left="720" w:right="119" w:hanging="319"/>
        <w:spacing w:after="0" w:line="25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Existing Hotel Property Design. </w:t>
      </w:r>
      <w:r>
        <w:rPr>
          <w:rFonts w:ascii="Times New Roman" w:cs="Times New Roman" w:eastAsia="Times New Roman" w:hAnsi="Times New Roman"/>
          <w:sz w:val="18"/>
          <w:szCs w:val="18"/>
          <w:color w:val="auto"/>
        </w:rPr>
        <w:t>Our Gaylord Hotels properties focus on the large group meetings and regional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leisure transient markets in the United 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82" w:lineRule="exact"/>
        <w:rPr>
          <w:rFonts w:ascii="Times New Roman" w:cs="Times New Roman" w:eastAsia="Times New Roman" w:hAnsi="Times New Roman"/>
          <w:sz w:val="18"/>
          <w:szCs w:val="18"/>
          <w:color w:val="auto"/>
        </w:rPr>
      </w:pPr>
    </w:p>
    <w:p>
      <w:pPr>
        <w:ind w:left="720" w:right="79" w:hanging="319"/>
        <w:spacing w:after="0" w:line="25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of Hotel Asset Portfolio. </w:t>
      </w:r>
      <w:r>
        <w:rPr>
          <w:rFonts w:ascii="Times New Roman" w:cs="Times New Roman" w:eastAsia="Times New Roman" w:hAnsi="Times New Roman"/>
          <w:sz w:val="18"/>
          <w:szCs w:val="18"/>
          <w:color w:val="auto"/>
        </w:rPr>
        <w:t>Part of our long-term growth strategy includes acquisitions or developments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other 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are consistently considering acquisitions that would expand the geographic diversity of our existing asset portfolio. To this end, we purchased JW Marriott Hill Country in June 2023.</w:t>
      </w:r>
    </w:p>
    <w:p>
      <w:pPr>
        <w:spacing w:after="0" w:line="185" w:lineRule="exact"/>
        <w:rPr>
          <w:rFonts w:ascii="Times New Roman" w:cs="Times New Roman" w:eastAsia="Times New Roman" w:hAnsi="Times New Roman"/>
          <w:sz w:val="18"/>
          <w:szCs w:val="18"/>
          <w:color w:val="auto"/>
        </w:rPr>
      </w:pPr>
    </w:p>
    <w:p>
      <w:pPr>
        <w:ind w:left="720" w:right="79" w:hanging="319"/>
        <w:spacing w:after="0" w:line="25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Investment in Our Existing Properties. </w:t>
      </w:r>
      <w:r>
        <w:rPr>
          <w:rFonts w:ascii="Times New Roman" w:cs="Times New Roman" w:eastAsia="Times New Roman" w:hAnsi="Times New Roman"/>
          <w:sz w:val="18"/>
          <w:szCs w:val="18"/>
          <w:color w:val="auto"/>
        </w:rPr>
        <w:t>We continuously evaluate and invest in our current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consider enhancements or expansions as part of our long-term strategic plan. In 2021, we completed our $158 million expansion of Gaylord Palms, and we also completed our renovation of all of the guestrooms at Gaylord National. In 2022, we completed a re-concepting of the food and beverage options at Gaylord National and began a $98 million multi-year interior and exterior enhancement project at Gaylord Rockies to better position the property for our group customers.</w:t>
      </w:r>
    </w:p>
    <w:p>
      <w:pPr>
        <w:spacing w:after="0" w:line="182" w:lineRule="exact"/>
        <w:rPr>
          <w:rFonts w:ascii="Times New Roman" w:cs="Times New Roman" w:eastAsia="Times New Roman" w:hAnsi="Times New Roman"/>
          <w:sz w:val="18"/>
          <w:szCs w:val="18"/>
          <w:color w:val="auto"/>
        </w:rPr>
      </w:pPr>
    </w:p>
    <w:p>
      <w:pPr>
        <w:ind w:left="720" w:right="79" w:hanging="319"/>
        <w:spacing w:after="0" w:line="253"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Leverage Brand Name Awareness. </w:t>
      </w:r>
      <w:r>
        <w:rPr>
          <w:rFonts w:ascii="Times New Roman" w:cs="Times New Roman" w:eastAsia="Times New Roman" w:hAnsi="Times New Roman"/>
          <w:sz w:val="18"/>
          <w:szCs w:val="18"/>
          <w:color w:val="auto"/>
        </w:rPr>
        <w:t>We believe the Grand Ole Opry is one of the most recognized entertainment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brands in 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six Ole Red locations, purchased Block 21, and in April 2023 announced a collaboration with Luke Combs for an entertainment venue concept expected to be completed in 2024 (“Category 10”). Further, in 2022, we completed a strategic transaction to sell a minority interest in OEG to an affiliate of Atairos Group, Inc. (“Atairos”) and its strategic partner NBCUniversal, who we believe will be able to help us expand the distribution of our OEG brands.</w:t>
      </w:r>
    </w:p>
    <w:p>
      <w:pPr>
        <w:spacing w:after="0" w:line="189" w:lineRule="exact"/>
        <w:rPr>
          <w:rFonts w:ascii="Times New Roman" w:cs="Times New Roman" w:eastAsia="Times New Roman" w:hAnsi="Times New Roman"/>
          <w:sz w:val="18"/>
          <w:szCs w:val="18"/>
          <w:color w:val="auto"/>
        </w:rPr>
      </w:pPr>
    </w:p>
    <w:p>
      <w:pPr>
        <w:ind w:left="720" w:right="79" w:hanging="319"/>
        <w:spacing w:after="0" w:line="281"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Short-Term Capital Allocation</w:t>
      </w:r>
      <w:r>
        <w:rPr>
          <w:rFonts w:ascii="Times New Roman" w:cs="Times New Roman" w:eastAsia="Times New Roman" w:hAnsi="Times New Roman"/>
          <w:sz w:val="17"/>
          <w:szCs w:val="17"/>
          <w:color w:val="auto"/>
        </w:rPr>
        <w:t>. Our short-term capital allocation strategy is focused on returning capital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stockholders through the payment of dividends, in addition to investing in our assets and operations. Our dividend policy provides that we will make minimum dividends of 100% of REIT taxable income annually, subject to our board of directors’ future determinations as to the amount of any distributions and the timing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our Hotel Portfolio</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Our Gaylord Hotels properties incorporate meeting, convention and exhibition space with a large hotel property so the attendees never have to leave the location during their meetings. This concept of a self-contained destination dedicated primarily to the meetings industry has placed our Gaylord Hotels properties among the leading convention hotels in the country. Our Gaylord Hotels properties are routinely recognized by many industry and commercial publications, including being named the 2023 STELLA Award Gold Winner for best hotel chain by Northstar Meetings Group.</w:t>
      </w:r>
    </w:p>
    <w:p>
      <w:pPr>
        <w:spacing w:after="0" w:line="183"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Marriott is responsible for the day-to-day management of our Gaylord Hotels properties, the JW Marriott Hill Country, the Inn at Opryland, and the AC Hotel. We believe that our Gaylord Hotels properties have benefitted and will continue to benefit from Marriott’s expansive sales force and popular frequent traveler program, as well as its ability to manage group business.</w:t>
      </w:r>
    </w:p>
    <w:p>
      <w:pPr>
        <w:spacing w:after="0" w:line="180"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Based on our information, publicly available information, and information and data obtained from Smith Travel Research, the top 10 non-gaming hotels within the United States with the highest square footage of self-contained exhibit and meeting space as of January 2024 are as follows: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Exhibit and</w:t>
            </w:r>
          </w:p>
        </w:tc>
        <w:tc>
          <w:tcPr>
            <w:tcW w:w="0" w:type="dxa"/>
            <w:vAlign w:val="bottom"/>
          </w:tcPr>
          <w:p>
            <w:pPr>
              <w:spacing w:after="0"/>
              <w:rPr>
                <w:sz w:val="1"/>
                <w:szCs w:val="1"/>
                <w:color w:val="auto"/>
              </w:rPr>
            </w:pPr>
          </w:p>
        </w:tc>
      </w:tr>
      <w:tr>
        <w:trPr>
          <w:trHeight w:val="149"/>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 (1)</w:t>
            </w:r>
          </w:p>
        </w:tc>
        <w:tc>
          <w:tcPr>
            <w:tcW w:w="160" w:type="dxa"/>
            <w:vAlign w:val="bottom"/>
          </w:tcPr>
          <w:p>
            <w:pPr>
              <w:spacing w:after="0"/>
              <w:rPr>
                <w:sz w:val="12"/>
                <w:szCs w:val="12"/>
                <w:color w:val="auto"/>
              </w:rPr>
            </w:pPr>
          </w:p>
        </w:tc>
        <w:tc>
          <w:tcPr>
            <w:tcW w:w="1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Hotel Rooms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Meeting Space</w:t>
            </w:r>
          </w:p>
        </w:tc>
        <w:tc>
          <w:tcPr>
            <w:tcW w:w="0" w:type="dxa"/>
            <w:vAlign w:val="bottom"/>
          </w:tcPr>
          <w:p>
            <w:pPr>
              <w:spacing w:after="0"/>
              <w:rPr>
                <w:sz w:val="1"/>
                <w:szCs w:val="1"/>
                <w:color w:val="auto"/>
              </w:rPr>
            </w:pPr>
          </w:p>
        </w:tc>
      </w:tr>
      <w:tr>
        <w:trPr>
          <w:trHeight w:val="173"/>
        </w:trPr>
        <w:tc>
          <w:tcPr>
            <w:tcW w:w="4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(sq. ft.)</w:t>
            </w:r>
          </w:p>
        </w:tc>
        <w:tc>
          <w:tcPr>
            <w:tcW w:w="0" w:type="dxa"/>
            <w:vAlign w:val="bottom"/>
          </w:tcPr>
          <w:p>
            <w:pPr>
              <w:spacing w:after="0"/>
              <w:rPr>
                <w:sz w:val="1"/>
                <w:szCs w:val="1"/>
                <w:color w:val="auto"/>
              </w:rPr>
            </w:pPr>
          </w:p>
        </w:tc>
      </w:tr>
      <w:tr>
        <w:trPr>
          <w:trHeight w:val="209"/>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Gaylord Opryland Resort &amp; Convention Center</w:t>
            </w:r>
          </w:p>
        </w:tc>
        <w:tc>
          <w:tcPr>
            <w:tcW w:w="1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Nashville, TN</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2,888</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Gaylord National Resort &amp; Convention Center</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National Harbor, MD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1,996</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Gaylord Texan Resort &amp; Convention Center</w:t>
            </w:r>
          </w:p>
        </w:tc>
        <w:tc>
          <w:tcPr>
            <w:tcW w:w="2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Grapevine, TX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Gaylord Palms Resort &amp; Convention Center</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Kissimmee, FL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1,718</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Rosen Shingle Creek</w:t>
            </w:r>
          </w:p>
        </w:tc>
        <w:tc>
          <w:tcPr>
            <w:tcW w:w="2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Orlando, FL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Gaylord Rockies Resort &amp; Convention Center</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Aurora, CO</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Orlando World Center Marriott</w:t>
            </w:r>
          </w:p>
        </w:tc>
        <w:tc>
          <w:tcPr>
            <w:tcW w:w="2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Orlando, FL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Hilton Anatole</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Dallas, TX</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Marriott Walt Disney World Dolphin</w:t>
            </w:r>
          </w:p>
        </w:tc>
        <w:tc>
          <w:tcPr>
            <w:tcW w:w="2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Orlando, FL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349,000</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Hyatt Regency Orlando</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Orlando, FL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Bolded facilities are owned by the Company.</w:t>
      </w:r>
    </w:p>
    <w:p>
      <w:pPr>
        <w:spacing w:after="0" w:line="22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Opryland Resort &amp; Convention Center — Nashville, Tennessee. </w:t>
      </w:r>
      <w:r>
        <w:rPr>
          <w:rFonts w:ascii="Times New Roman" w:cs="Times New Roman" w:eastAsia="Times New Roman" w:hAnsi="Times New Roman"/>
          <w:sz w:val="18"/>
          <w:szCs w:val="18"/>
          <w:color w:val="auto"/>
        </w:rPr>
        <w:t>Gaylord Opryland is one of the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convention destinations in the United States based upon number of rooms, exhibit space and conventions held. Designed with lavish gardens and expansive atrium areas, the resort is situated on approximately 172 acres in the Opryland complex. Gaylord Opryland has a number of themed restaurants, retail outlets, and a full-service spa with 27,000 square feet of dedicated space. It also serves as a destination resort for vacationers due to its proximity to the Grand Ole Opry, the Ryman Auditorium, the General Jackson Showboat, Gaylord Springs Golf Links (“Gaylord Springs”) – our 18-hole championship golf course with a 40,000 square-foot antebellum-style clubhouse offering meeting space for up to 500 guests – and other attractions in the Nashville area. Gaylord Opryland has 2,888 signature guest rooms, four ballrooms with approximately 127,000 square feet, 111 banquet/meeting rooms, and total meeting, exhibit and pre-function space of approximately 640,000 square feet. Gaylord Opryland was named a 2021 STELLA Award Gold Winner for best sustainability initiative by Northstar Meetings Group, a 2023 Award of Excellence Recipient from </w:t>
      </w:r>
      <w:r>
        <w:rPr>
          <w:rFonts w:ascii="Times New Roman" w:cs="Times New Roman" w:eastAsia="Times New Roman" w:hAnsi="Times New Roman"/>
          <w:sz w:val="18"/>
          <w:szCs w:val="18"/>
          <w:i w:val="1"/>
          <w:iCs w:val="1"/>
          <w:color w:val="auto"/>
        </w:rPr>
        <w:t>Corporate &amp; Incentive Travel</w:t>
      </w:r>
      <w:r>
        <w:rPr>
          <w:rFonts w:ascii="Times New Roman" w:cs="Times New Roman" w:eastAsia="Times New Roman" w:hAnsi="Times New Roman"/>
          <w:sz w:val="18"/>
          <w:szCs w:val="18"/>
          <w:color w:val="auto"/>
        </w:rPr>
        <w:t xml:space="preserve"> magazine, and has been recognized as a member of </w:t>
      </w:r>
      <w:r>
        <w:rPr>
          <w:rFonts w:ascii="Times New Roman" w:cs="Times New Roman" w:eastAsia="Times New Roman" w:hAnsi="Times New Roman"/>
          <w:sz w:val="18"/>
          <w:szCs w:val="18"/>
          <w:i w:val="1"/>
          <w:iCs w:val="1"/>
          <w:color w:val="auto"/>
        </w:rPr>
        <w:t>Meeting &amp; Conventions</w:t>
      </w:r>
      <w:r>
        <w:rPr>
          <w:rFonts w:ascii="Times New Roman" w:cs="Times New Roman" w:eastAsia="Times New Roman" w:hAnsi="Times New Roman"/>
          <w:sz w:val="18"/>
          <w:szCs w:val="18"/>
          <w:color w:val="auto"/>
        </w:rPr>
        <w:t>’ Hall of Fame. We opened the indoor sections of SoundWaves, a $90 million luxury indoor/outdoor water amenity with over 200,000 square feet of water attractions and amenities adjacent to Gaylord Opryland in December 2018 and the outdoor sections in May 2019.</w:t>
      </w:r>
    </w:p>
    <w:p>
      <w:pPr>
        <w:spacing w:after="0" w:line="185"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Palms Resort &amp; Convention Center — Kissimmee, Florida. </w:t>
      </w:r>
      <w:r>
        <w:rPr>
          <w:rFonts w:ascii="Times New Roman" w:cs="Times New Roman" w:eastAsia="Times New Roman" w:hAnsi="Times New Roman"/>
          <w:sz w:val="18"/>
          <w:szCs w:val="18"/>
          <w:color w:val="auto"/>
        </w:rPr>
        <w:t>Gaylord Palms has 1,718 signature guest rooms, five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ballrooms with approximately 115,000 square feet, 111 banquet/meeting rooms, and total meeting, exhibit and pre-function space of approximately 467,000 square feet. The resort is situated on a 65-acre site in Osceola County, Florida, which we have leased pursuant to a 75-year ground lease with a 24-year renewal option. The resort is approximately a five-minute drive from the main gate of the Walt Disney World® Resort complex. Gaylord Palms has a number of themed restaurants, retail outlets, a new resort rapid river, and a full-service spa with 20,000 square feet of dedicated space. Hotel guests also have golf privileges at Celebration Golf Club, located approximately two miles from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 xml:space="preserve">property. Gaylord Palms is rated as a AAA Four-Diamond Hotel, was named a 2021 STELLA Award Silver Winner for each of best hotel resort event space, best food and beverage, and best sustainability initiative by Northstar Meetings Group, a 2020 Award of Excellence Recipient from </w:t>
      </w:r>
      <w:r>
        <w:rPr>
          <w:rFonts w:ascii="Times New Roman" w:cs="Times New Roman" w:eastAsia="Times New Roman" w:hAnsi="Times New Roman"/>
          <w:sz w:val="18"/>
          <w:szCs w:val="18"/>
          <w:i w:val="1"/>
          <w:iCs w:val="1"/>
          <w:color w:val="auto"/>
        </w:rPr>
        <w:t>Corporate &amp; Incentive Travel</w:t>
      </w:r>
      <w:r>
        <w:rPr>
          <w:rFonts w:ascii="Times New Roman" w:cs="Times New Roman" w:eastAsia="Times New Roman" w:hAnsi="Times New Roman"/>
          <w:sz w:val="18"/>
          <w:szCs w:val="18"/>
          <w:color w:val="auto"/>
        </w:rPr>
        <w:t xml:space="preserve"> magazine, and has been recognized as a member of </w:t>
      </w:r>
      <w:r>
        <w:rPr>
          <w:rFonts w:ascii="Times New Roman" w:cs="Times New Roman" w:eastAsia="Times New Roman" w:hAnsi="Times New Roman"/>
          <w:sz w:val="18"/>
          <w:szCs w:val="18"/>
          <w:i w:val="1"/>
          <w:iCs w:val="1"/>
          <w:color w:val="auto"/>
        </w:rPr>
        <w:t>Meeting &amp; Conventions</w:t>
      </w:r>
      <w:r>
        <w:rPr>
          <w:rFonts w:ascii="Times New Roman" w:cs="Times New Roman" w:eastAsia="Times New Roman" w:hAnsi="Times New Roman"/>
          <w:sz w:val="18"/>
          <w:szCs w:val="18"/>
          <w:color w:val="auto"/>
        </w:rPr>
        <w:t xml:space="preserve"> Hall of Fame. In 2021, we completed construction of a $158 million expansion of Gaylord Palms, which included an additional 302 guest rooms and 96,000 square feet of meeting space, an expanded resort pool and events lawn, and a new multi-level parking structure.</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Texan Resort &amp; Convention Center — Grapevine, Texas. </w:t>
      </w:r>
      <w:r>
        <w:rPr>
          <w:rFonts w:ascii="Times New Roman" w:cs="Times New Roman" w:eastAsia="Times New Roman" w:hAnsi="Times New Roman"/>
          <w:sz w:val="18"/>
          <w:szCs w:val="18"/>
          <w:color w:val="auto"/>
        </w:rPr>
        <w:t>Gaylord Texan is situated on approximately 85 acres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is located approximately six minutes from the Dallas/Fort Worth International Airport. Of the 85 acres, we own 75 acres and lease approximately 10 acres pursuant to a ground lease. The hotel features a lavish and expansive atrium, 1,814 signature guest rooms, four ballrooms with approximately 115,000 square feet, 88 banquet/meeting rooms, and total meeting, exhibit and pre-function space of approximately 488,000 square feet. The property also includes a number of themed restaurants, retail outlets, a resort pool, a full-service spa with 25,000 square feet of dedicated space, and an entertainment complex consisting of an approximately 39,000 square foot venue with a performance stage, dance floor, and a two-story outdoor deck. Guests also have access to the adjacent Cowboys Golf Club. Gaylord Texan is rated as a AAA Four-Diamond Hotel and was named a 2021 STELLA Award Silver Winner for best convention center and a Bronze Winner for best décor/design by Northstar Meetings Group and a 2020 Award of Excellence Recipient from </w:t>
      </w:r>
      <w:r>
        <w:rPr>
          <w:rFonts w:ascii="Times New Roman" w:cs="Times New Roman" w:eastAsia="Times New Roman" w:hAnsi="Times New Roman"/>
          <w:sz w:val="18"/>
          <w:szCs w:val="18"/>
          <w:i w:val="1"/>
          <w:iCs w:val="1"/>
          <w:color w:val="auto"/>
        </w:rPr>
        <w:t>Corporate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Incentive Travel </w:t>
      </w:r>
      <w:r>
        <w:rPr>
          <w:rFonts w:ascii="Times New Roman" w:cs="Times New Roman" w:eastAsia="Times New Roman" w:hAnsi="Times New Roman"/>
          <w:sz w:val="18"/>
          <w:szCs w:val="18"/>
          <w:color w:val="auto"/>
        </w:rPr>
        <w:t>magazine.</w:t>
      </w:r>
    </w:p>
    <w:p>
      <w:pPr>
        <w:spacing w:after="0" w:line="182"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National Resort &amp; Convention Center — National Harbor, Maryland. </w:t>
      </w:r>
      <w:r>
        <w:rPr>
          <w:rFonts w:ascii="Times New Roman" w:cs="Times New Roman" w:eastAsia="Times New Roman" w:hAnsi="Times New Roman"/>
          <w:sz w:val="18"/>
          <w:szCs w:val="18"/>
          <w:color w:val="auto"/>
        </w:rPr>
        <w:t>Gaylord National is situated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approximately 42 acres of land located on the Potomac River in Prince George’s County, Maryland, eight miles south of Washington, D.C. The hotel has 1,996 signature guest rooms, four ballrooms with approximately 103,000 square feet, 82 conference and breakout rooms, and total meeting, exhibit and pre-function space of approximately 501,000 square feet. The hotel complex includes an 18-story glass atrium, a 20,000 square foot spa and fitness center, a freestanding 24,000-square foot ballroom building offering 16,000 square feet of meeting space on the banks of the Potomac River that opened in May 2017, and entertainment options such as restaurants, shops, and a two-story rooftop nightclub. Gaylord National is rated as a AAA Four-Diamond Hotel, was named a 2021 STELLA Award Gold Winner for best food and beverage, a Silver Award Winner for best on-site support staff, and a Bronze Award Winner for best décor/design by Northstar Meetings Group, and a 2020 Award of Excellence Recipient from </w:t>
      </w:r>
      <w:r>
        <w:rPr>
          <w:rFonts w:ascii="Times New Roman" w:cs="Times New Roman" w:eastAsia="Times New Roman" w:hAnsi="Times New Roman"/>
          <w:sz w:val="18"/>
          <w:szCs w:val="18"/>
          <w:i w:val="1"/>
          <w:iCs w:val="1"/>
          <w:color w:val="auto"/>
        </w:rPr>
        <w:t>Corporate &amp; Incentive Travel</w:t>
      </w:r>
      <w:r>
        <w:rPr>
          <w:rFonts w:ascii="Times New Roman" w:cs="Times New Roman" w:eastAsia="Times New Roman" w:hAnsi="Times New Roman"/>
          <w:sz w:val="18"/>
          <w:szCs w:val="18"/>
          <w:color w:val="auto"/>
        </w:rPr>
        <w:t xml:space="preserve"> magazine. In 2021, we completed our renovation of all of the guestrooms at Gaylord National, and in 2022 we completed a re-concepting of the food and beverage options at Gaylord National.</w:t>
      </w:r>
    </w:p>
    <w:p>
      <w:pPr>
        <w:spacing w:after="0" w:line="19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Rockies Resort &amp; Convention Center — Aurora, Colorado. </w:t>
      </w:r>
      <w:r>
        <w:rPr>
          <w:rFonts w:ascii="Times New Roman" w:cs="Times New Roman" w:eastAsia="Times New Roman" w:hAnsi="Times New Roman"/>
          <w:sz w:val="18"/>
          <w:szCs w:val="18"/>
          <w:color w:val="auto"/>
        </w:rPr>
        <w:t>Gaylord Rockies is situated on approximately 85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acres and is located approximately 10 minutes from Denver International Airport. The hotel features a lavish and expansive atrium, 1,501 signature guest rooms, including 114 suites, four ballrooms with up to approximately 60,000 square feet, up to 81 breakout rooms, indoor meeting, exhibit and pre-function space of approximately 409,000 square feet, and additional outdoor meeting space of approximately 76,000 square feet. The property also includes a number of themed restaurants, retail outlets, a full-service spa, five outdoor event spaces and an indoor/outdoor pool complex. The approximately $800 million hotel project opened on a limited basis in December 2018 and on a fully completed basis in January 2019. Gaylord Rockies is rated as a AAA Four-Diamond Hotel and was awarded a 2021 STELLA Award Finalist for best convention center by Northstar Meetings Group. In 2022, we began a $98 million multi-year interior and exterior enhancement project at Gaylord Rockies to better position the property for our group customers. These enhancements are expected to be completed in 2024.</w:t>
      </w:r>
    </w:p>
    <w:p>
      <w:pPr>
        <w:spacing w:after="0" w:line="182" w:lineRule="exact"/>
        <w:rPr>
          <w:sz w:val="20"/>
          <w:szCs w:val="20"/>
          <w:color w:val="auto"/>
        </w:rPr>
      </w:pPr>
    </w:p>
    <w:p>
      <w:pPr>
        <w:ind w:left="60" w:right="1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JW Marriott San Antonio Hill Country Resort &amp; Spa — San Antonio, Texas. </w:t>
      </w:r>
      <w:r>
        <w:rPr>
          <w:rFonts w:ascii="Times New Roman" w:cs="Times New Roman" w:eastAsia="Times New Roman" w:hAnsi="Times New Roman"/>
          <w:sz w:val="18"/>
          <w:szCs w:val="18"/>
          <w:color w:val="auto"/>
        </w:rPr>
        <w:t>We purchased JW Marriott Hill Country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2023. The property is situated on approximately 600 acres in the Texan Hill Country region outside of San Antonio. The hotel features 1,002 guest rooms and indoor and outdoor meeting and event space of approximately 268,000 square feet. The property also includes eight food and beverage outlets, a full-service spa with 26,000 square feet of dedicated space, a nine-acre water experience, and TPC San Antonio, which features two 18-hole golf courses. JW Marriott Hill Country is rated as a AAA Four-Diamond Hotel.</w:t>
      </w:r>
    </w:p>
    <w:p>
      <w:pPr>
        <w:spacing w:after="0" w:line="182"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 at Opryland. </w:t>
      </w:r>
      <w:r>
        <w:rPr>
          <w:rFonts w:ascii="Times New Roman" w:cs="Times New Roman" w:eastAsia="Times New Roman" w:hAnsi="Times New Roman"/>
          <w:sz w:val="18"/>
          <w:szCs w:val="18"/>
          <w:color w:val="auto"/>
        </w:rPr>
        <w:t>The Inn at Opryland is located across the street from Gaylord Opryland. The hotel has 303 rooms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14,000 square feet of meeting space.</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 Hotel. </w:t>
      </w:r>
      <w:r>
        <w:rPr>
          <w:rFonts w:ascii="Times New Roman" w:cs="Times New Roman" w:eastAsia="Times New Roman" w:hAnsi="Times New Roman"/>
          <w:sz w:val="18"/>
          <w:szCs w:val="18"/>
          <w:color w:val="auto"/>
        </w:rPr>
        <w:t>The AC Hotel is located near Gaylord National. The hotel has 192 rooms and approximately 3,700 square feet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meeting space.</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our Entertainment Portfolio</w:t>
      </w:r>
    </w:p>
    <w:p>
      <w:pPr>
        <w:spacing w:after="0" w:line="221" w:lineRule="exact"/>
        <w:rPr>
          <w:sz w:val="20"/>
          <w:szCs w:val="20"/>
          <w:color w:val="auto"/>
        </w:rPr>
      </w:pPr>
    </w:p>
    <w:p>
      <w:pPr>
        <w:ind w:left="60" w:right="9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Grand Ole Opry. </w:t>
      </w:r>
      <w:r>
        <w:rPr>
          <w:rFonts w:ascii="Times New Roman" w:cs="Times New Roman" w:eastAsia="Times New Roman" w:hAnsi="Times New Roman"/>
          <w:sz w:val="18"/>
          <w:szCs w:val="18"/>
          <w:color w:val="auto"/>
        </w:rPr>
        <w:t>The Grand Ole Opry, which celebrated its 98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anniversary in 2023, is one of the most widely known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platforms for country music in the world. The Opry features a live country music show with performances every Friday and Saturday night, as well as additional weekly performances on a seasonal basis. The Grand Ole Opry House, home of the Grand Ole Opry, seats approximately 4,400 and is located in the Opryland complex. The Grand Ole Opry moved to the Opry House in 1974 from its most famous home in the Ryman Auditorium in downtown Nashville. Each week, the Grand Ole Opry is broadcast live to millions of country lifestyle consumers on radio via WSM-AM and Sirius/XM Radio and streamed on the Internet. The show has been broadcast since 1925 on WSM-AM, making it the longest running live radio program in the United States. In addition to performances by its members, the Grand Ole Opry presents performances by many other country music artists and other acts. In 2019, we completed construction of an approximately $20 million expansion to the Grand Ole Opry House, which includes a larger retail space, additional food and beverage options, a redesigned box office, VIP lounge area with a backstage tour theater, and additional parking.</w:t>
      </w:r>
    </w:p>
    <w:p>
      <w:pPr>
        <w:spacing w:after="0" w:line="198"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Ryman Auditorium. </w:t>
      </w:r>
      <w:r>
        <w:rPr>
          <w:rFonts w:ascii="Times New Roman" w:cs="Times New Roman" w:eastAsia="Times New Roman" w:hAnsi="Times New Roman"/>
          <w:sz w:val="18"/>
          <w:szCs w:val="18"/>
          <w:color w:val="auto"/>
        </w:rPr>
        <w:t>The Ryman Auditorium, which was built in 1892 and seats approximately 2,300, is designated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Historic Landmark. The former home of the Grand Ole Opry, the Ryman Auditorium was renovated and re-opened in 1994 for concerts and musical productions. The Grand Ole Opry returns to the Ryman Auditorium periodically, most recently in January 2024. Ryman Auditorium has won numerous awards, including “Theatre of the Year” by Pollstar Concert Industry Awards, “Venue of the Year” by the Country Music Association, and “Venue of the Year – Small Capacity” by the Academy of Country Music, winning each on several occasions.</w:t>
      </w:r>
    </w:p>
    <w:p>
      <w:pPr>
        <w:spacing w:after="0" w:line="182" w:lineRule="exact"/>
        <w:rPr>
          <w:sz w:val="20"/>
          <w:szCs w:val="20"/>
          <w:color w:val="auto"/>
        </w:rPr>
      </w:pPr>
    </w:p>
    <w:p>
      <w:pPr>
        <w:ind w:left="60" w:right="55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Block 21</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May 31, 2022, we purchased Block 21, a mixed-use entertainment, lodging, office, and retail complex</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located in Austin, Texas. Block 21 is the home of the Austin City Limits Live at the Moody Theater (“ACL Live”), a</w:t>
      </w:r>
    </w:p>
    <w:p>
      <w:pPr>
        <w:spacing w:after="0" w:line="1"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2,750-seat entertainment venue that serves as the filming location for the Austin City Limits television series. The Block 21 complex also includes the 251-room W Austin, which Marriott manages, the 3TEN at ACL Live club and approximately 53,000 square feet of other Class A commercial space.</w:t>
      </w:r>
    </w:p>
    <w:p>
      <w:pPr>
        <w:spacing w:after="0" w:line="182"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Ole Red. </w:t>
      </w:r>
      <w:r>
        <w:rPr>
          <w:rFonts w:ascii="Times New Roman" w:cs="Times New Roman" w:eastAsia="Times New Roman" w:hAnsi="Times New Roman"/>
          <w:sz w:val="18"/>
          <w:szCs w:val="18"/>
          <w:color w:val="auto"/>
        </w:rPr>
        <w:t>Since 2018, we have opened six Ole Red locations, multi-level entertainment venues with locations in downtown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Nashville, Tennessee; Gatlinburg, Tennessee; Orlando, Florida; Tishomingo, Oklahoma; at the Nashville International Airport; and Las Vegas, Nevada (which opened in January 2024). Each of these restaurant, bar and live music venues showcase curated country music talent alongside concert-quality production and sound capabilities.</w:t>
      </w:r>
    </w:p>
    <w:p>
      <w:pPr>
        <w:spacing w:after="0" w:line="176"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WSM-AM. </w:t>
      </w:r>
      <w:r>
        <w:rPr>
          <w:rFonts w:ascii="Times New Roman" w:cs="Times New Roman" w:eastAsia="Times New Roman" w:hAnsi="Times New Roman"/>
          <w:sz w:val="18"/>
          <w:szCs w:val="18"/>
          <w:color w:val="auto"/>
        </w:rPr>
        <w:t>WSM-AM commenced broadcasting in 1925. The involvement of Ryman’s predecessors with country music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dates back to the creation of the radio program that became The Grand Ole Opry, which has been broadcast live on WSM-AM since 1925. WSM-AM is broadcast from the Gaylord Opryland complex in Nashville and has a country music format. WSM-AM is one of the nation’s “clear channel” stations, meaning that no other station in a 750-mile radius uses the same frequency for night time broadcasts. As a result, the station’s signal, transmitted by a 50,000-watt transmitter, can be heard at night in much of the United States and parts of Canada.</w:t>
      </w:r>
    </w:p>
    <w:p>
      <w:pPr>
        <w:spacing w:after="0" w:line="182"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General Jackson Showboat. </w:t>
      </w:r>
      <w:r>
        <w:rPr>
          <w:rFonts w:ascii="Times New Roman" w:cs="Times New Roman" w:eastAsia="Times New Roman" w:hAnsi="Times New Roman"/>
          <w:sz w:val="18"/>
          <w:szCs w:val="18"/>
          <w:color w:val="auto"/>
        </w:rPr>
        <w:t>We own the General Jackson Showboat, a 300-foot, four-deck paddle wheel showboat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Cumberland River, which flows past the Gaylord Opryland complex in Nashville. Its Victorian Theatre can seat 600 people for banquets and 1,000 people for theater-style presentations. The showboat stages Broadway-style shows and other theatrical productions. The General Jackson is one of many sources of entertainment that is available to conventions held at Gaylord Opryland. During the day, it operates cruises, primarily serving tourists visiting the Gaylord Opryland complex and the Nashville area. Marriott manages the day-to-day operations of the General Jackson.</w:t>
      </w:r>
    </w:p>
    <w:p>
      <w:pPr>
        <w:spacing w:after="0" w:line="182" w:lineRule="exact"/>
        <w:rPr>
          <w:sz w:val="20"/>
          <w:szCs w:val="20"/>
          <w:color w:val="auto"/>
        </w:rPr>
      </w:pPr>
    </w:p>
    <w:p>
      <w:pPr>
        <w:jc w:val="both"/>
        <w:ind w:left="60" w:right="1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Wildhorse Saloon. </w:t>
      </w:r>
      <w:r>
        <w:rPr>
          <w:rFonts w:ascii="Times New Roman" w:cs="Times New Roman" w:eastAsia="Times New Roman" w:hAnsi="Times New Roman"/>
          <w:sz w:val="17"/>
          <w:szCs w:val="17"/>
          <w:color w:val="auto"/>
        </w:rPr>
        <w:t>Since 1994, we have owned the Wildhorse Saloon, a country music performance venue on historic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Second Avenue in downtown Nashville. The venue closed December 31, 2023, and we are currently renovating the facility to reposition it as a Luke Combs-themed entertainment concept expected to be completed in 2024 (“Category 10”).</w:t>
      </w:r>
    </w:p>
    <w:p>
      <w:pPr>
        <w:sectPr>
          <w:pgSz w:w="11900" w:h="16838" w:orient="portrait"/>
          <w:cols w:equalWidth="0" w:num="1">
            <w:col w:w="9019"/>
          </w:cols>
          <w:pgMar w:left="1440" w:top="513"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and Other Segment</w:t>
      </w:r>
    </w:p>
    <w:p>
      <w:pPr>
        <w:spacing w:after="0" w:line="229" w:lineRule="exact"/>
        <w:rPr>
          <w:sz w:val="20"/>
          <w:szCs w:val="20"/>
          <w:color w:val="auto"/>
        </w:rPr>
      </w:pPr>
    </w:p>
    <w:p>
      <w:pPr>
        <w:ind w:left="60" w:right="519"/>
        <w:spacing w:after="0" w:line="261" w:lineRule="auto"/>
        <w:rPr>
          <w:sz w:val="20"/>
          <w:szCs w:val="20"/>
          <w:color w:val="auto"/>
        </w:rPr>
      </w:pPr>
      <w:r>
        <w:rPr>
          <w:rFonts w:ascii="Times New Roman" w:cs="Times New Roman" w:eastAsia="Times New Roman" w:hAnsi="Times New Roman"/>
          <w:sz w:val="18"/>
          <w:szCs w:val="18"/>
          <w:color w:val="auto"/>
        </w:rPr>
        <w:t>Our Corporate and Other segment includes operating and general and administrative expenses related to the overall management of the Company which are not allocated to the other reportable segments, including certain costs for our retirement plans, equity-based compensation plans, information technology, human resources, accounting, and other administrative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were originally incorporated in 1956 and were reorganized in connection with a 1997 corporate restructuring. Prior to our REIT conversion, we operated as a C corporation. In 2012, we completed restructuring transactions intended to facilitate our qualification as a REIT for federal income tax purposes, which included the merger, effective on October 1, 2012, of our predecessor, Gaylord, with and into its wholly-owned subsidiary, Ryman, with Ryman surviving the merger, at which time Ryman succeeded to and began conducting, directly or indirectly, all of the business conducted by Gaylord immediately prior to the merger. Prior to Marriott’s assumption of the day-to-day management of our hotels and certain of our Nashville attractions, we managed such assets. We elected REIT status effective January 1, 2013.</w:t>
      </w:r>
    </w:p>
    <w:p>
      <w:pPr>
        <w:spacing w:after="0" w:line="189"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All of our assets are held by, and all of our operations are conducted through, RHP Hotel Properties, LP, a Delaware limited partnership (the “Operating Partnership”), of which we own, directly or indirectly, 99.3% of the partnership interests (collectively, the “OP Units”), including all of the general partnership interests. The Operating Partnership’s limited partnership agreement provides that the OP Units held by other persons may be exchanged on a one-for-one basis for shares of our common stock. Under certain circumstances, we may issue such OP Units as consideration to acquire hotel properties. By offering OP Units, the seller of such hotel property could defer federal income tax on any of the seller’s gains on sale, and this tax advantage may enable us to acquire hotel properties in the future which otherwise may not be available for sale.</w:t>
      </w:r>
    </w:p>
    <w:p>
      <w:pPr>
        <w:spacing w:after="0" w:line="19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a REIT, at least 75% of our gross income for each taxable year must generally be derived from “rents from real property” or other income permitted by the Internal Revenue Code of 1986, as amended (the “Code”). To meet this requirement, our hotel properties are owned or leased by certain subsidiaries of the Operating Partnership, which are disregarded entities for federal income tax purposes, and these subsidiaries lease or sublease our hotels to our TRS pursuant to leases that contain economic terms which are similar to leases between unrelated parties. The rent that we receive from our TRS lessees qualifies as “rents from real property” as long as the property is operated on behalf of our TRS lessees by a person who qualifies as an “independent contractor” (as defined in the Code) and who is, or is related to a person who is, actively engaged in the trade or business of operating “qualified lodging facilities” (as defined in the Code) for any person unrelated to us and our TRS lessees (an “eligible independent contractor”). Our TRS lessees have engaged Marriott to manage the day-to-day operations of our hotels as an eligible independent contractor.</w:t>
      </w:r>
    </w:p>
    <w:p>
      <w:pPr>
        <w:spacing w:after="0" w:line="194"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In addition, we own our Entertainment businesses in TRSs, and certain of those TRSs have engaged Marriott to manage their assets, as described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 Status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a REIT, we generally are not subject to corporate federal income tax on that portion of our REIT taxable income that we distribute to our stockholders. In addition to the requirement that 75% of our gross income for each taxable year be derived from “rents from real property” discussed above, we are subject to other organizational and operational requirements including the requirement that we distribute at least 90% of our REIT taxable income each year and the requirement that no more than 50% in value of our outstanding shares may be owned, directly or indirectly, by five or fewer individuals (as defined in the Code to include various kinds of entities). We will be subject to federal and state income tax on our taxable income at regular corporate rates to the extent we distribute less than 100% of our REIT taxable income in any taxable year or if we fail to qualify as a REIT for federal income tax purposes in any taxable year. In that latter event, we will also not be permitted to qualify for treatment as a REIT for federal income tax purposes until the fifth year following any year in which qualification is lost. Our non-REIT operations, which consist of the activities of our TRSs that lease or sublease our hotels from the Operating Partnership, as well as businesses within our Entertainment segment, will continue to be subject, as applicable, to federal and state corporate income taxes.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We create unique destination and entertainment experiences for our customers. To serve our customers, we have built a strong, people-centric corporate culture that celebrates diversity, provides opportunities for growth and improves our local communities. Providing competitive compensation and benefits to our employees is fundamental to the success of our organization. We believe that caring for the people who work in our businesses and communities leads to a more positive experience for our guests and gives us a competitive advantage in the industries in which we operate.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goal is to employ a highly engaged, high-performing and satisfied workforce.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Workforce</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As of December 31, 2023, we employed 1,471 people, including 824 full-time and 647 part-time and on-call employees in our Entertainment and Corporate segments. Fifty-four percent of our population identify as female and 46% identify as male. Women held 50% of leadership positions as of December 31, 2023. We do not have any employees in our direct employment represented by collective bargaining agreements.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Hotels and Managed Attractions</w:t>
      </w:r>
    </w:p>
    <w:p>
      <w:pPr>
        <w:spacing w:after="0" w:line="22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Our hotel operator, Marriott, is responsible for hiring and managing the workforce at our Gaylord Hotels properties, as well as JW Marriott Hill Country, the Inn at Opryland, the AC Hotel, Gaylord Springs, the General Jackson and the W Austin. We receive periodic updates from Marriott concerning Marriott’s policies, and we believe they reflect our people-first approach.</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Philosophy and Culture</w:t>
      </w:r>
    </w:p>
    <w:p>
      <w:pPr>
        <w:spacing w:after="0" w:line="227"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Our people-first philosophy centers around creating a workplace culture where all employees feel respected, valued and inspired. We prioritize communication to ensure our employees feel connected to our company’s goals and engaged in the communities we serve. Our commitment to an inclusive work environment is a top priority. Additionally, our benefits philosophy includes resources to help employees live happier, healthier lives, while rewarding performance and encouraging retention. In the last three years, despite rising healthcare costs, we have kept employee healthcare premium increases at or below 5%. Our people-first culture and our benefits offerings contribute to our ability to remain an employer of choice in each of our markets.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Programs in place to reinforce our people-centric culture include, among others:</w:t>
      </w:r>
    </w:p>
    <w:p>
      <w:pPr>
        <w:spacing w:after="0" w:line="223" w:lineRule="exact"/>
        <w:rPr>
          <w:sz w:val="20"/>
          <w:szCs w:val="20"/>
          <w:color w:val="auto"/>
        </w:rPr>
      </w:pPr>
    </w:p>
    <w:p>
      <w:pPr>
        <w:ind w:left="720" w:right="79" w:hanging="319"/>
        <w:spacing w:after="0" w:line="253"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Diversity &amp; Inclusion</w:t>
      </w:r>
      <w:r>
        <w:rPr>
          <w:rFonts w:ascii="Times New Roman" w:cs="Times New Roman" w:eastAsia="Times New Roman" w:hAnsi="Times New Roman"/>
          <w:sz w:val="18"/>
          <w:szCs w:val="18"/>
          <w:color w:val="auto"/>
        </w:rPr>
        <w:t>: We are committed to building an inclusive workforce through enhanced recruitment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initiatives to attract, employ and develop diverse candidates from all backgrounds. We continue to focus on engaging our existing workforce through policies and programs promoting workplace inclusion, and we have also implemented a new online learning program that promotes the importance of this work within our organization. Our Diversity Council consists of cross-organizational representatives who help advise the company on its commitment to inclusion. We have created additional opportunities for employees to be involved in this important work, including the implementation of an employee Volunteer Paid Time Off Policy where full-time employees can receive up to 8 hours of paid time off to volunteer outside the organization in our local communities. Further, employees can also participate in our Business Employee Resource Groups that allow people with shared interests, backgrounds, passions and cultures to find a sense of belonging through community within our Company.</w:t>
      </w:r>
    </w:p>
    <w:p>
      <w:pPr>
        <w:spacing w:after="0" w:line="191" w:lineRule="exact"/>
        <w:rPr>
          <w:rFonts w:ascii="Times New Roman" w:cs="Times New Roman" w:eastAsia="Times New Roman" w:hAnsi="Times New Roman"/>
          <w:sz w:val="18"/>
          <w:szCs w:val="18"/>
          <w:color w:val="auto"/>
        </w:rPr>
      </w:pPr>
    </w:p>
    <w:p>
      <w:pPr>
        <w:ind w:left="720" w:right="139" w:hanging="319"/>
        <w:spacing w:after="0" w:line="267"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 Equity</w:t>
      </w:r>
      <w:r>
        <w:rPr>
          <w:rFonts w:ascii="Times New Roman" w:cs="Times New Roman" w:eastAsia="Times New Roman" w:hAnsi="Times New Roman"/>
          <w:sz w:val="18"/>
          <w:szCs w:val="18"/>
          <w:color w:val="auto"/>
        </w:rPr>
        <w:t>: We conduct regular compensation studies with third-party consultants to make our positions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for the markets in which we operate and to address such issues as compensation level parity between male and female or minority and non-minority employees.</w:t>
      </w:r>
    </w:p>
    <w:p>
      <w:pPr>
        <w:spacing w:after="0" w:line="173" w:lineRule="exact"/>
        <w:rPr>
          <w:rFonts w:ascii="Times New Roman" w:cs="Times New Roman" w:eastAsia="Times New Roman" w:hAnsi="Times New Roman"/>
          <w:sz w:val="18"/>
          <w:szCs w:val="18"/>
          <w:color w:val="auto"/>
        </w:rPr>
      </w:pPr>
    </w:p>
    <w:p>
      <w:pPr>
        <w:ind w:left="720" w:right="219" w:hanging="319"/>
        <w:spacing w:after="0" w:line="28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Succession Planning and Performance Management</w:t>
      </w:r>
      <w:r>
        <w:rPr>
          <w:rFonts w:ascii="Times New Roman" w:cs="Times New Roman" w:eastAsia="Times New Roman" w:hAnsi="Times New Roman"/>
          <w:sz w:val="18"/>
          <w:szCs w:val="18"/>
          <w:color w:val="auto"/>
        </w:rPr>
        <w:t>: Our employees receive annual performance reviews.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full-time, exempt and non-exempt employees set annual goals and are evaluated on these goals and core</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61" w:lineRule="auto"/>
        <w:rPr>
          <w:sz w:val="20"/>
          <w:szCs w:val="20"/>
          <w:color w:val="auto"/>
        </w:rPr>
      </w:pPr>
      <w:r>
        <w:rPr>
          <w:rFonts w:ascii="Times New Roman" w:cs="Times New Roman" w:eastAsia="Times New Roman" w:hAnsi="Times New Roman"/>
          <w:sz w:val="18"/>
          <w:szCs w:val="18"/>
          <w:color w:val="auto"/>
        </w:rPr>
        <w:t>competencies. We also conduct periodic talent review processes with all departments to identify high-potential individuals and create individualized development plans. Our Performance Management tool allows employees to comment on their progress toward their goals and also allows leaders to track this progress and provide coaching and mentoring in response to their individual needs.</w:t>
      </w:r>
    </w:p>
    <w:p>
      <w:pPr>
        <w:spacing w:after="0" w:line="178" w:lineRule="exact"/>
        <w:rPr>
          <w:sz w:val="20"/>
          <w:szCs w:val="20"/>
          <w:color w:val="auto"/>
        </w:rPr>
      </w:pPr>
    </w:p>
    <w:p>
      <w:pPr>
        <w:ind w:left="720" w:right="179" w:hanging="319"/>
        <w:spacing w:after="0" w:line="254"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Training and Development</w:t>
      </w:r>
      <w:r>
        <w:rPr>
          <w:rFonts w:ascii="Times New Roman" w:cs="Times New Roman" w:eastAsia="Times New Roman" w:hAnsi="Times New Roman"/>
          <w:sz w:val="18"/>
          <w:szCs w:val="18"/>
          <w:color w:val="auto"/>
        </w:rPr>
        <w:t>: We conduct robust onboarding, training and development for all levels of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focused on our guiding principles (Passion, Respect, Winning Attitude, Integrity, Service, Teamwork, Pride, Creativity and Fun). Through Ryman Hospitality University, we have a physical training space and an online learning portal open to all employees. Courses offered include mandatory annual workplace harassment and safety training for all levels, leadership development programs for various levels of leaders, and numerous professional skills and personal development courses for all employees. Our Spotlight leadership development program provides opportunities for managers to continue developing their skills as they grow their careers with us. We offer our Perspectives series, which is an opportunity for employees to network with and learn from our leaders about their unique perspectives and expertise.</w:t>
      </w:r>
    </w:p>
    <w:p>
      <w:pPr>
        <w:spacing w:after="0" w:line="188" w:lineRule="exact"/>
        <w:rPr>
          <w:rFonts w:ascii="Times New Roman" w:cs="Times New Roman" w:eastAsia="Times New Roman" w:hAnsi="Times New Roman"/>
          <w:sz w:val="18"/>
          <w:szCs w:val="18"/>
          <w:color w:val="auto"/>
        </w:rPr>
      </w:pPr>
    </w:p>
    <w:p>
      <w:pPr>
        <w:ind w:left="720" w:right="99" w:hanging="319"/>
        <w:spacing w:after="0" w:line="253"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Engagement</w:t>
      </w:r>
      <w:r>
        <w:rPr>
          <w:rFonts w:ascii="Times New Roman" w:cs="Times New Roman" w:eastAsia="Times New Roman" w:hAnsi="Times New Roman"/>
          <w:sz w:val="18"/>
          <w:szCs w:val="18"/>
          <w:color w:val="auto"/>
        </w:rPr>
        <w:t>: The Company provides regular opportunities for employee engagement, including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where full-time employees can hear directly from senior leadership about business performance and vision for the future. The meetings also celebrate employees demonstrating our workplace values. Weekly and monthly newsletter communications reinforce our people-centric culture, while regular communications from senior leaders ensure all employees have first-hand access to company updates between meetings. Two-way communication is encouraged through employee satisfaction surveys, senior leader-led Think Tanks and focus groups designed to solicit candid feedback from employees. We have also invested in a mobile app that allows our venue employees easier access to quick updates and the ability to interact with one another in a centralized location. In addition to our current peer-to-peer recognition program that is celebrated quarterly, we offer employee appreciation which includes the Chairman’s Award and Leadership Excellence Award. Both awards recognize exemplary performance throughout different levels of the organization. Finalists for both awards are selected by our Chairman and are recognized at an annual reception.</w:t>
      </w:r>
    </w:p>
    <w:p>
      <w:pPr>
        <w:spacing w:after="0" w:line="189" w:lineRule="exact"/>
        <w:rPr>
          <w:rFonts w:ascii="Times New Roman" w:cs="Times New Roman" w:eastAsia="Times New Roman" w:hAnsi="Times New Roman"/>
          <w:sz w:val="18"/>
          <w:szCs w:val="18"/>
          <w:color w:val="auto"/>
        </w:rPr>
      </w:pPr>
    </w:p>
    <w:p>
      <w:pPr>
        <w:ind w:left="720" w:right="99" w:hanging="319"/>
        <w:spacing w:after="0" w:line="253"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Wellbeing/Total Rewards</w:t>
      </w:r>
      <w:r>
        <w:rPr>
          <w:rFonts w:ascii="Times New Roman" w:cs="Times New Roman" w:eastAsia="Times New Roman" w:hAnsi="Times New Roman"/>
          <w:sz w:val="18"/>
          <w:szCs w:val="18"/>
          <w:color w:val="auto"/>
        </w:rPr>
        <w:t>: We offer a competitive and comprehensive pay and benefits package that meets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various needs of our employees. We continually review our programs to ensure they are cost-effective and continue to offer our employees high-quality benefit options that support their physical, emotional and financial health and promote a healthy work-life balance. Offerings include health plan and retirement options for part- and full-time employees, a competitive 401(k) plan with employer match, and employee assistance programs offering counseling services and financial literacy. We also offer tuition reimbursement for full-time employees, on-site wellness events, flu shot clinics and wellness fairs and complimentary tickets for our venue offerings. Additionally, part- and full-time employees are also eligible for annual performance-based financial bonuses. In 2023, we implemented a paid parental leave policy that allows eligible full-time employees who welcome a child four weeks of leave at full pay. We have also expanded our benefits to include adoption assistance and family planning assistance for eligible employees.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have made ESG a priority throughout our organization and the communities in which we operate. As our portfolio evolves over time, sustainability will continue to increase in significance as we adapt and develop existing assets. We seek to execute any future changes to our portfolio, including with respect to new development, major renovation and ongoing operations, in a socially and environmentally responsible manner. Our asset management team works directly with Marriott for the Marriott-managed properties to develop a short-term and long-term ESG strategy. We have made firm commitments to strengthening the local communities in which we operate. The RHP Foundation was established in 2005 to formalize our charitable commitments and to help elevate our impact.</w:t>
      </w:r>
    </w:p>
    <w:p>
      <w:pPr>
        <w:spacing w:after="0" w:line="18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 September 2023, we published our Sustainability Report, which highlights the environmental and social performance of the Company and includes ongoing initiatives and historical performance in alignment with the Global Reporting Initiative Index and the Sustainability Accounting Standards Board Real Estate Infrastructure Segment Standard. This report is available on our website at https://ir.rymanhp.com/social-responsibility/sustainability-reports. The information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included in, referenced to, or otherwise accessible through our website, is not incorporated by reference in, or considered to be part of, this Report on Form 10-K or any document unless expressly incorporated by reference therein.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Hospitality</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current hotel properties compete with numerous other hotels throughout the United States and abroad, particularly the approximately 100 convention hotels that, on average, have over 1,000 rooms and a significant amount of meeting and exhibit space. We believe that competition among convention hotels is based on, among other things: (i) the hotel’s reputation, (ii) the quality of the hotel’s facility, (iii) the quality and scope of a hotel’s meeting and convention facilities and services, (iv) the desirability of a hotel’s location, (v) travel distance to a hotel for meeting attendees, (vi) a hotel facility’s accessibility to a recognized airport, (vii) the amount of entertainment and recreational options available in and in the vicinity of the hotel, (viii) service levels at the hotel, and (ix) price. Our hotels also compete against large municipal convention centers, including those in Orlando, Chicago, Atlanta, Dallas, Nashville, Washington, D.C., Denver and San Antonio. We believe that our hotels’ expansive spaces and quality meeting and convention facilities and services provide a competitive advantage over other hotels and convention centers.</w:t>
      </w:r>
    </w:p>
    <w:p>
      <w:pPr>
        <w:spacing w:after="0" w:line="194"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hotel business is management and marketing intensive. Our current hotel properties compete with other hotels throughout the United States for high quality management and marketing personnel. We believe that Marriott’s international brand, marketing scale and ability to manage group business have improved our hotels’ competitive position. However, there can be no assurance that Marriott will be able to continue to attract and retain employees with the requisite managerial and marketing skills.</w:t>
      </w:r>
    </w:p>
    <w:p>
      <w:pPr>
        <w:spacing w:after="0" w:line="183"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Additionally, as a REIT, we compete for investment opportunities in the hospitality industry, particularly the group-oriented meetings sector of the hospitality industry, with entities that may have substantially greater financial and other resources than we have. These entities generally may be able to accept more risk than we can prudently manage. Our focus on acquiring hotels in the large group meetings sector of the hospitality industry and the competition in this sector may generally limit the number of hotel properties that we are able to acquire. This competition may also increase the bargaining power of property owners seeking to sell to us, making it more difficult for us to acquire new properties on attractive terms.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Entertainment</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OEG and its entertainment and media assets compete with all other forms of entertainment and recreational activities. The success of the Entertainment group is dependent upon certain factors beyond our control, including economic conditions, the amount of available leisure time, transportation cost, public taste and weather conditions. Our radio station competes with numerous other types of entertainment businesses and advertising media, and success is often dependent on taste and fashion, which may fluctuate from time to time.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Agreements</w:t>
      </w:r>
    </w:p>
    <w:p>
      <w:pPr>
        <w:spacing w:after="0" w:line="225"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Hotels. </w:t>
      </w:r>
      <w:r>
        <w:rPr>
          <w:rFonts w:ascii="Times New Roman" w:cs="Times New Roman" w:eastAsia="Times New Roman" w:hAnsi="Times New Roman"/>
          <w:sz w:val="18"/>
          <w:szCs w:val="18"/>
          <w:color w:val="auto"/>
        </w:rPr>
        <w:t>We are a party to a management agreement with Marriott for each of our Gaylord Hotels properties,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a pooling agreement with Marriott with respect to our Gaylord Hotels properties other than Gaylord Rockies, on an aggregate basis. Each of the management agreements other than Gaylord Rockies has a term expiring in 2047, with three automatic 10-year renewal periods (provided the applicable hotel has met certain performance thresholds). Each of these management agreements requires us to pay Marriott a base management fee of approximately 2% of gross revenues from the applicable property for each fiscal year or portion thereof. Additionally, the pooling agreement requires us to pay to Marriott an incentive fee of 10% of the first $15.0 million of pooled available cash flow (which is generally operating profit for the pooled hotels less an owner’s priority) plus 20% of any additional pooled available cash flow over such threshold. The owner’s priority is collectively $240 million, plus certain additional amounts, including 10% of certain non-routine capital expenditures and conversion work, and 10% of replacements of furniture, fixtures, and equipment and routine capital expenditures in excess of a reserve. If one or more of our Gaylord Hotels properties other than Gaylord Rockies were not a “pooled hotel” (i.e., if we cease to own the hotel or we lease the hotel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to a third party), the thresholds used to calculate the incentive fee in the pooling agreement will be adjusted, and the incentive fee for the non-pooled hotel will be based on such hotel’s performance. The management agreements and pooling agreement also contain certain restrictions on our incurring indebtedness that encumber our Gaylord Hotels properties other than Gaylord Rockies on an individual or aggregate basis. The management agreements may be terminated earlier than the stated term if certain events occur, including the failure of Marriott to satisfy certain performance standards. The management agreements prohibit us from selling the Gaylord Hotels properties other than Gaylord Rockies to certain persons, including any person who does not, in Marriott’s reasonable judgment, have sufficient financial resources and liquidity to fulfill our obligations under the management agreements, or any person who owns a controlling interest in a hotel brand (e.g., Hilton or Hyatt) totaling at least ten full-service hotels that are not affiliated with a brand but that are marketed and operated as a collective group, if such brand or group of hotels compete with Marriott. In addition, we may not sell a Gaylord Hotels property other than Gaylord Rockies if we are then in breach of the applicable management agreement.</w:t>
      </w:r>
    </w:p>
    <w:p>
      <w:pPr>
        <w:spacing w:after="0" w:line="186"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Gaylord Rockies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Marriott manages the day-to-day operations of Gaylord Rockies pursuant to a management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requires us to pay Marriott a base management fee of approximately 3% of gross revenues of Gaylord Rockies for each fiscal year or portion thereof. This management agreement expires in 2053, with two automatic 20-year renewal periods (provided the hotel has met certain performance thresholds). Additionally, this management agreement requires us to pay Marriott an incentive fee of 20% of available cash flow (as defined in the management agreement). The owner’s priority is $81.4 million, plus certain additional amounts, including 10.75% of certain non-routine capital expenditures.</w:t>
      </w:r>
    </w:p>
    <w:p>
      <w:pPr>
        <w:spacing w:after="0" w:line="182"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JW Marriott Hill Country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Marriott manages the day-to-day operations of JW Marriott Hill Country pursuant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agreement that requires us to pay Marriott a base management fee of approximately 3.5% of gross revenues for each fiscal year or portion thereof. This management agreement expires in 2060, with three automatic 10-year renewal periods (provided the hotel has met certain performance thresholds). Additionally, this management agreement requires us to pay Marriott an incentive fee of 20% of available cash flow (as defined in the management agreement). The owner’s priority is $52.9 million, plus certain additional amounts, including 10.5% of certain non-routine capital expenditures.</w:t>
      </w:r>
    </w:p>
    <w:p>
      <w:pPr>
        <w:spacing w:after="0" w:line="182" w:lineRule="exact"/>
        <w:rPr>
          <w:sz w:val="20"/>
          <w:szCs w:val="20"/>
          <w:color w:val="auto"/>
        </w:rPr>
      </w:pPr>
    </w:p>
    <w:p>
      <w:pPr>
        <w:ind w:left="60" w:right="13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Inn at Opryland. </w:t>
      </w:r>
      <w:r>
        <w:rPr>
          <w:rFonts w:ascii="Times New Roman" w:cs="Times New Roman" w:eastAsia="Times New Roman" w:hAnsi="Times New Roman"/>
          <w:sz w:val="17"/>
          <w:szCs w:val="17"/>
          <w:color w:val="auto"/>
        </w:rPr>
        <w:t>Marriott manages the day-to-day operations of the Inn at Opryland pursuant to a management agreement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requires us to pay Marriott a base management fee of approximately 2% of gross revenues for each fiscal year or portion thereof. This management agreement expires in 2034, with five five-year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164"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 Hotel. </w:t>
      </w:r>
      <w:r>
        <w:rPr>
          <w:rFonts w:ascii="Times New Roman" w:cs="Times New Roman" w:eastAsia="Times New Roman" w:hAnsi="Times New Roman"/>
          <w:sz w:val="18"/>
          <w:szCs w:val="18"/>
          <w:color w:val="auto"/>
        </w:rPr>
        <w:t>Marriott manages the day-to-day operations of the AC Hotel pursuant to a management agreement that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pay Marriott a base management fee of 7% of gross revenues. This management agreement expires in 2040, with two ten-year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17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Nashville Attractions. </w:t>
      </w:r>
      <w:r>
        <w:rPr>
          <w:rFonts w:ascii="Times New Roman" w:cs="Times New Roman" w:eastAsia="Times New Roman" w:hAnsi="Times New Roman"/>
          <w:sz w:val="18"/>
          <w:szCs w:val="18"/>
          <w:color w:val="auto"/>
        </w:rPr>
        <w:t>Marriott manages the General Jackson and Gaylord Springs pursuant to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Each of these management agreements requires us to pay Marriott a base management fee of approximately 2% of total revenues. Additionally, the management agreements require us to pay to Marriott an incentive fee of 20% of the excess of available cash flow (as defined in the management agreements) over a certain threshold. The original term of the management agreement for the General Jackson concluded during 2023 but the management agreement includes indefinite one-year renewal options so long as neither party terminates the agreement. The management agreement for Gaylord Springs expires in 2025.</w:t>
      </w:r>
    </w:p>
    <w:p>
      <w:pPr>
        <w:spacing w:after="0" w:line="183"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 Austin. </w:t>
      </w:r>
      <w:r>
        <w:rPr>
          <w:rFonts w:ascii="Times New Roman" w:cs="Times New Roman" w:eastAsia="Times New Roman" w:hAnsi="Times New Roman"/>
          <w:sz w:val="18"/>
          <w:szCs w:val="18"/>
          <w:color w:val="auto"/>
        </w:rPr>
        <w:t>Marriott manages the day-to-day operations of the W Austin pursuant to a management agreement that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pay Marriott a base management fee of 3.5% of gross revenues for the first year post-sale, 3.75% of gross revenues for the second year post-sale, and 4.0% of gross revenues thereafter. This management agreement expires in 2030, with two five-year renewal options so long as neither party terminates the agreement. Additionally, this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management agreement requires us to pay to Marriott an incentive fee of 15% of incentive income (as defined in the management agreement) over a certain threshold.</w:t>
      </w:r>
    </w:p>
    <w:p>
      <w:pPr>
        <w:spacing w:after="0" w:line="162" w:lineRule="exact"/>
        <w:rPr>
          <w:sz w:val="20"/>
          <w:szCs w:val="20"/>
          <w:color w:val="auto"/>
        </w:rPr>
      </w:pPr>
    </w:p>
    <w:p>
      <w:pPr>
        <w:ind w:left="60" w:right="319"/>
        <w:spacing w:after="0" w:line="277" w:lineRule="auto"/>
        <w:rPr>
          <w:sz w:val="20"/>
          <w:szCs w:val="20"/>
          <w:color w:val="auto"/>
        </w:rPr>
      </w:pPr>
      <w:r>
        <w:rPr>
          <w:rFonts w:ascii="Times New Roman" w:cs="Times New Roman" w:eastAsia="Times New Roman" w:hAnsi="Times New Roman"/>
          <w:sz w:val="17"/>
          <w:szCs w:val="17"/>
          <w:color w:val="auto"/>
        </w:rPr>
        <w:t>Total Marriott base management fees incurred for our applicable assets during 2023, 2022 and 2021 were $42.8 million, $35.1 million and $17.6 million, respectively. Total incentive fees incurred during 2023, 2022 and 2021 were $28.5 million, $13.5 million, and $0.3 million, respectively. Management fees are presented in the accompanying financial information net of the amortization of the deferred management rights proceeds discussed further in “Note 5 – Deferred Management Rights Proceeds” to our consolidated financial statements included in this Annual Report on Form 10-K.</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Portions of our business are seasonal in nature. The group convention business at our Gaylord Hotels properties is subject to reduced levels of demand during the year-end holiday periods.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Hospitality</w:t>
      </w:r>
    </w:p>
    <w:p>
      <w:pPr>
        <w:spacing w:after="0" w:line="22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Our current hotel properties are subject to certain federal, state, and local governmental laws and regulations including, without limitation, capacity restrictions, labor regulations, health and safety laws and environmental regulations applicable to hotel and restaurant operations. Additionally, various federal and state laws, payment card industry security standards, and other information privacy and security standards are applicable to our hotel business. The hotels are also subject to the requirements of the Americans with Disabilities Act and similar state laws, as well as regulations pursuant thereto. We believe that our hotel properties and our attractions are in substantial compliance with such regulations. In addition, the sale of alcoholic beverages by a hotel requires a license and is subject to regulation by the applicable state and local authorities. The agencies involved have the power to limit, condition, suspend or revoke any such license, and any disciplinary action or revocation could have an adverse effect upon the results of operations of our Hospitality segment. Pursuant to management agreements with Marriott, we do not control many of these activities at our hotel properties, and we rely on Marriott to comply with all such federal, state and local governmental laws and regulations with respect to such properties. However, under the terms of our management agreements with Marriott, we may be required to bear the cost of any capital expenditures necessary to comply with a legal requirement.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Entertainment</w:t>
      </w:r>
    </w:p>
    <w:p>
      <w:pPr>
        <w:spacing w:after="0" w:line="2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WSM-AM is subject to regulation under the Communications Act of 1934, as amended. Under the Communications Act, the Federal Communications Commission (“FCC”), among other things, assigns frequency bands for broadcasting; determines the frequencies, location, and signal strength of stations; issues, renews, revokes, and modifies station licenses; regulates equipment used by stations; and adopts and implements regulations and policies that directly or indirectly affect the ownership, operation, and other practices of broadcasting stations. Licenses issued for radio stations have terms of eight years. Radio broadcast licenses are renewable upon application to the FCC and in the past have been renewed except in rare cases. Competing applications will not be accepted at the time of license renewal, and will not be entertained at all unless the FCC first concludes that renewal of the license would not serve the public interest. A station will be entitled to renewal in the absence of serious violations of the Communications Act or FCC regulations or other violations which constitute a pattern of abuse. WSM-AM’s current radio station license will expire in August 2028; however, we are not aware of any reason why WSM-AM’s radio station license should not be renewed.</w:t>
      </w:r>
    </w:p>
    <w:p>
      <w:pPr>
        <w:spacing w:after="0" w:line="19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entertainment attractions are also subject to the requirements of the Americans with Disabilities Act and similar state laws, as well as the laws and regulatory activities and standards associated with information privacy and security and the sale of alcoholic beverages, in each case as described above. Pursuant to management agreements with Marriott, we do not control many of these activities with respect to the W Austin and the General Jackson, and we rely on Marriott to comply with all such federal, state and local governmental laws and regulations with respect to such businesses. However, under the terms of our management agreements with Marriott, we may be required to bear the cost of any capital expenditures necessary to comply with a legal requirement.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web site address is www.rymanhp.com. We make available free of charge through our web site our Annual Reports on Form 10-K, Quarterly Reports on Form 10-Q, Current Reports on Form 8-K, definitive proxy statements, and all amendments to those reports as soon as reasonably practicable after such material is electronically filed with or furnished to the Securities and Exchange Commission (the “SEC”). The information provided on our web site is not part of this report, and is therefore not incorporated by reference unless such information is otherwise specifically referenced elsewhere in this report. The public may also read and copy any materials that we file with the SEC on its website at www.sec.gov.</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executive officers of the Company at January 1, 2024. All officers serve at the discretion of the Board of Directors (subject to, in the case of officers who have entered into employment agreements with the Company, the terms of such employment agreements).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AGE</w:t>
            </w:r>
          </w:p>
        </w:tc>
        <w:tc>
          <w:tcPr>
            <w:tcW w:w="220" w:type="dxa"/>
            <w:vAlign w:val="bottom"/>
          </w:tcPr>
          <w:p>
            <w:pPr>
              <w:spacing w:after="0"/>
              <w:rPr>
                <w:sz w:val="15"/>
                <w:szCs w:val="15"/>
                <w:color w:val="auto"/>
              </w:rPr>
            </w:pPr>
          </w:p>
        </w:tc>
        <w:tc>
          <w:tcPr>
            <w:tcW w:w="624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Colin V. Reed</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220" w:type="dxa"/>
            <w:vAlign w:val="bottom"/>
            <w:tcBorders>
              <w:top w:val="single" w:sz="8" w:color="CCEEFF"/>
            </w:tcBorders>
            <w:shd w:val="clear" w:color="auto" w:fill="CCEEFF"/>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Fioravanti</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16"/>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Chaffin</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6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Operating Officer - Hotels</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J. Lynn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6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16"/>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Hutcheson</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6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 Accounting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additional information with respect to the above-named executive officers.</w:t>
      </w:r>
    </w:p>
    <w:p>
      <w:pPr>
        <w:spacing w:after="0" w:line="223"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Colin V. Reed </w:t>
      </w:r>
      <w:r>
        <w:rPr>
          <w:rFonts w:ascii="Times New Roman" w:cs="Times New Roman" w:eastAsia="Times New Roman" w:hAnsi="Times New Roman"/>
          <w:sz w:val="18"/>
          <w:szCs w:val="18"/>
          <w:color w:val="auto"/>
        </w:rPr>
        <w:t>has served as Executive Chairman of the Board of Directors since January 1, 2023 and as a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since April 2001. Mr. Reed previously served as the Company’s Chief Executive Officer from April 2001 through December 2022, and was first elected Chairman of the Board of Directors in May 2005. Until November 2008, and again from November 2012 to March 2015, Mr. Reed also served as President of the Company. Prior to joining the Company, Mr. Reed had served as a member of the three-executive Office of the President of Harrah’s Entertainment, Inc. (now Caesar’s Entertainment) since May 1999, and he had served as Harrah’s Chief Financial Officer since April 1997. Mr. Reed also was a director of Harrah’s from 1998 to May 2001. Mr. Reed served in a variety of other management positions with Harrah’s and its predecessor, Holiday Corp., since 1977. Mr. Reed is a director of First Horizon National Corporation.</w:t>
      </w:r>
    </w:p>
    <w:p>
      <w:pPr>
        <w:spacing w:after="0" w:line="188"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Mark Fioravanti </w:t>
      </w:r>
      <w:r>
        <w:rPr>
          <w:rFonts w:ascii="Times New Roman" w:cs="Times New Roman" w:eastAsia="Times New Roman" w:hAnsi="Times New Roman"/>
          <w:sz w:val="18"/>
          <w:szCs w:val="18"/>
          <w:color w:val="auto"/>
        </w:rPr>
        <w:t>is President and Chief Executive Officer of the Company. Mr. Fioravanti has served as President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2015, was appointed Chief Executive Officer as of January 1, 2023, and has served as a director of the Company since February 2022. Mr. Fioravanti previously served as Executive Vice President and Chief Financial Officer of the Company from August 2011 to March 2015 and as Senior Vice President and Chief Financial Officer from June 2009 to August 2011. Until June 2009, Mr. Fioravanti served as Senior Vice President of Finance and Treasurer of the Company, a position he had held since June 2007. Prior to such time, Mr. Fioravanti had served as Executive Vice President of the Company and President of ResortQuest International since March 2004. From August 2002 to March 2004, Mr. Fioravanti was the Company’s Senior Vice President of Marketing. Prior to joining the Company in August 2002, Mr. Fioravanti spent nine years in a variety of roles with casino operator Harrah’s Entertainment, Inc., where he was most recently Vice President of Finance and Administration of Harrah’s New Orleans. Mr. Fioravanti graduated from The Ohio State University, where he earned his B.S. degree. He also holds an MBA from the University of Tennessee.</w:t>
      </w:r>
    </w:p>
    <w:p>
      <w:pPr>
        <w:spacing w:after="0" w:line="19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Patrick Chaffin </w:t>
      </w:r>
      <w:r>
        <w:rPr>
          <w:rFonts w:ascii="Times New Roman" w:cs="Times New Roman" w:eastAsia="Times New Roman" w:hAnsi="Times New Roman"/>
          <w:sz w:val="18"/>
          <w:szCs w:val="18"/>
          <w:color w:val="auto"/>
        </w:rPr>
        <w:t>is Executive Vice President and Chief Operating Officer – Hotels of the Company, a position he has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May 2019. In this role, Mr. Chaffin leads our asset management function, state and local government relations, product enhancement and site selection for our hotel portfolio’s growth. From April 2018 to May 2019, he was Executive Vice President of Asset Management for the Company. From January 2013 to March 2018, he was the Senior Vice President of Asset Management. From January 2007 to December 2012, he led the strategic planning, operations analysis and investor relations functions for Gaylord Entertainment. Prior to its sale in June 2007, Mr. Chaffin served as the head of finance for ResortQuest International, formerly a division of Gaylord Entertainment. Prior to joining Gaylord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Entertainment in January 2005, Mr. Chaffin worked for General Motors Corporation for 9 years serving in a variety of corporate and manufacturing positions. Mr. Chaffin earned a B.S. degree from Lipscomb University and an MBA from the Owen Graduate School of Management at Vanderbilt University.</w:t>
      </w:r>
    </w:p>
    <w:p>
      <w:pPr>
        <w:spacing w:after="0" w:line="174"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Scott J. Lynn </w:t>
      </w:r>
      <w:r>
        <w:rPr>
          <w:rFonts w:ascii="Times New Roman" w:cs="Times New Roman" w:eastAsia="Times New Roman" w:hAnsi="Times New Roman"/>
          <w:sz w:val="18"/>
          <w:szCs w:val="18"/>
          <w:color w:val="auto"/>
        </w:rPr>
        <w:t>is Executive Vice President, General Counsel and Secretary of the Company, a position he has held since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From January 2013 to April 2018, he was the Company’s Senior Vice President, General Counsel and Secretary. From August 2003 to January 2013, he served as the Company’s Associate General Counsel. From May 2002 to</w:t>
      </w:r>
    </w:p>
    <w:p>
      <w:pPr>
        <w:spacing w:after="0" w:line="1"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August 2003, Mr. Lynn was Senior Counsel at Progeny Marketing Innovations, a subsidiary of Cendant Corporation. From August 1998 to May 2002, Mr. Lynn was an associate at the law firm of Stokes &amp; Bartholomew, P.A. Mr. Lynn is a graduate of the Vanderbilt University School of Law and Tennessee Technological University.</w:t>
      </w:r>
    </w:p>
    <w:p>
      <w:pPr>
        <w:spacing w:after="0" w:line="184"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Jennifer Hutcheson </w:t>
      </w:r>
      <w:r>
        <w:rPr>
          <w:rFonts w:ascii="Times New Roman" w:cs="Times New Roman" w:eastAsia="Times New Roman" w:hAnsi="Times New Roman"/>
          <w:sz w:val="18"/>
          <w:szCs w:val="18"/>
          <w:color w:val="auto"/>
        </w:rPr>
        <w:t>is Executive Vice President, Chief Financial Officer and Chief Accounting Officer. Ms. Hutcheson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Company’s Chief Financial Officer since March 2022. Prior to such time, she served as Executive Vice President, Corporate Controller and Chief Accounting Officer of the Company, a position she held since March 2020. From May 2018 to February 2020, she was Senior Vice President, Corporate Controller and Chief Accounting Officer. From January 2013 to April 2018, she was the Senior Vice President and Corporate Controller of the Company. From</w:t>
      </w:r>
    </w:p>
    <w:p>
      <w:pPr>
        <w:spacing w:after="0" w:line="1"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March 2006 to December 2012, she served as the Company’s Vice President of Accounting and Tax. From May 2004 to March 2006, she served as the Company’s Director of Corporate Accounting. From August 2002 to April 2004, she was the Corporate Accounting Manager at Private Business Inc. Prior to that time, she was an auditor with Ernst &amp; Young LLP and Arthur Andersen. Ms. Hutcheson, who is a certified public accountant, has a B.S. degree in accounting from Tennessee Technological University and an MBA from the Owen Graduate School of Management at Vanderbilt University.</w:t>
      </w:r>
    </w:p>
    <w:p>
      <w:pPr>
        <w:spacing w:after="0" w:line="170"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jc w:val="both"/>
        <w:ind w:left="60" w:right="139"/>
        <w:spacing w:after="0" w:line="272" w:lineRule="auto"/>
        <w:rPr>
          <w:sz w:val="20"/>
          <w:szCs w:val="20"/>
          <w:color w:val="auto"/>
        </w:rPr>
      </w:pPr>
      <w:r>
        <w:rPr>
          <w:rFonts w:ascii="Times New Roman" w:cs="Times New Roman" w:eastAsia="Times New Roman" w:hAnsi="Times New Roman"/>
          <w:sz w:val="17"/>
          <w:szCs w:val="17"/>
          <w:color w:val="auto"/>
        </w:rPr>
        <w:t>You should carefully consider the following specific risk factors as well as the other information contained or incorporated by reference in this Annual Report on Form 10-K as these are important factors, among others, that could cause our actual results to differ from our expected or historical results. It is not possible to predict or identify all such factors.</w:t>
      </w:r>
    </w:p>
    <w:p>
      <w:pPr>
        <w:spacing w:after="0" w:line="2" w:lineRule="exact"/>
        <w:rPr>
          <w:sz w:val="20"/>
          <w:szCs w:val="20"/>
          <w:color w:val="auto"/>
        </w:rPr>
      </w:pPr>
    </w:p>
    <w:p>
      <w:pPr>
        <w:ind w:left="60" w:right="299"/>
        <w:spacing w:after="0" w:line="253" w:lineRule="auto"/>
        <w:rPr>
          <w:sz w:val="20"/>
          <w:szCs w:val="20"/>
          <w:color w:val="auto"/>
        </w:rPr>
      </w:pPr>
      <w:r>
        <w:rPr>
          <w:rFonts w:ascii="Times New Roman" w:cs="Times New Roman" w:eastAsia="Times New Roman" w:hAnsi="Times New Roman"/>
          <w:sz w:val="18"/>
          <w:szCs w:val="18"/>
          <w:color w:val="auto"/>
        </w:rPr>
        <w:t>Consequently, you should not consider any such list to be a complete statement of all our potential risks or uncertainties. Some statements in the “Business” section and elsewhere in this Annual Report on Form 10-K are “forward-looking statements” and are qualified by the cautionary language regarding such statements. See “Forward-Looking Statements” above.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Marriott or any future third-party hotel manager does not manage our hotel properties or other businesses successfully, our financial condition, results of operations and our ability to service debt and make distributions to our stockholders may be negatively impacted.</w:t>
      </w:r>
    </w:p>
    <w:p>
      <w:pPr>
        <w:spacing w:after="0" w:line="175"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Due to federal income tax laws that restrict REITs from operating and managing hotels, we do not operate or manage the day-to-day functions of any of our hotel properties as a REIT. We lease or sublease our hotel properties to our TRSs, and such TRS lessees have engaged Marriott as a third-party hotel manager pursuant to hotel management agreements. Marriott manages the day-to-day operations of our Gaylord Hotels properties and JW Marriott Hill Country, as well as the Inn at Opryland, the AC Hotel, Gaylord Springs, the W Austin and the General Jackson. We will identify third-party hotel managers to operate and manage any hotels that we acquire in the future. Our third-party hotel managers are responsible for the day-to-day management of our hotel properties, including, but not limited to, implementing significant operating decisions, setting rates for rooms and meeting space, controlling revenue and expenditures, collecting accounts receivable, and recruiting, employing and supervising employees at our hotel properties. We do not have the authority to require our third-party hotel managers to operate our hotel properties in a particular manner, although we have consent and approval rights for certain matters under our hotel management agreements with Marriott, subject to the limitations described therein. As a result, our financial condition, results of operations and our ability to service debt and make distributions to our stockholders are largely dependent on the ability of our third-party hotel managers to operate our hotel properties successfully. Any failure by our third-party hotel managers to provide quality services and amenities or to maintain and protect a quality brand name and reputation could have a negative impact 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their ability to operate and manage our hotel properties successfully and could negatively impact our financial condition, results of operations and our ability to service debt and make distributions to our stockholders.</w:t>
      </w:r>
    </w:p>
    <w:p>
      <w:pPr>
        <w:spacing w:after="0" w:line="162" w:lineRule="exact"/>
        <w:rPr>
          <w:sz w:val="20"/>
          <w:szCs w:val="20"/>
          <w:color w:val="auto"/>
        </w:rPr>
      </w:pPr>
    </w:p>
    <w:p>
      <w:pPr>
        <w:jc w:val="both"/>
        <w:ind w:left="60" w:right="219"/>
        <w:spacing w:after="0" w:line="261" w:lineRule="auto"/>
        <w:rPr>
          <w:sz w:val="20"/>
          <w:szCs w:val="20"/>
          <w:color w:val="auto"/>
        </w:rPr>
      </w:pPr>
      <w:r>
        <w:rPr>
          <w:rFonts w:ascii="Times New Roman" w:cs="Times New Roman" w:eastAsia="Times New Roman" w:hAnsi="Times New Roman"/>
          <w:sz w:val="18"/>
          <w:szCs w:val="18"/>
          <w:color w:val="auto"/>
        </w:rPr>
        <w:t>We cannot assure you that our third-party hotel managers will operate and manage our hotel properties in a manner that is consistent with their obligations under the hotel management agreements, that our third-party hotel managers will not be negligent in their performance or engage in other criminal or fraudulent activity, or that they will not otherwise default on their management obligations to us.</w:t>
      </w:r>
    </w:p>
    <w:p>
      <w:pPr>
        <w:spacing w:after="0" w:line="18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Even if we believe our hotel properties are being operated inefficiently or in a manner that does not result in satisfactory operational metrics, we will have limited ability to require our third-party hotel managers to change their method of operation of our hotel properties. We generally will attempt to resolve issues with third-party hotel managers through discussions and negotiations. However, if we are unable to reach satisfactory results through discussions and negotiations, we may choose to litigate the dispute or submit the matter to third-party dispute resolution or arbitration. We would be able to seek redress only if a third-party hotel manager violates the terms of the applicable hotel management agreement, and then only to the extent of the remedies provided for under the terms of the hotel management agreement. Additionally, in the event we need to replace any of our third-party hotel managers, we may experience significant business disruptions at the affected hotel properties, and may be liable, under certain circumstances, for significant damages and/or be required to make certain payments to our third-party managers.</w:t>
      </w:r>
    </w:p>
    <w:p>
      <w:pPr>
        <w:spacing w:after="0" w:line="190"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 and management of our current hotel properties, the operation of which generates substantially all our Hospitality segment revenue, is concentrated in Marriott.</w:t>
      </w:r>
    </w:p>
    <w:p>
      <w:pPr>
        <w:spacing w:after="0" w:line="159"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Our current hotel properties, the operation of which generates substantially all our Hospitality segment revenue, are operated and managed by Marriott. As a result, our operational risk is concentrated in one third-party hotel manager, which makes us more vulnerable economically to any weakness of Marriott than if we entered into hotel management agreements with several third-party hotel managers. We cannot assure you that Marriott will satisfy its obligations to us or successfully operate and manage our current hotel properties. Any adverse developments in Marriott’s business and affairs, financial strength or ability to operate and manage our current hotel properties successfully could materially reduce our revenues and net income, which could in turn reduce the amount of distributions to our stockholders. If market recognition or the positive perception of Marriott is reduced or compromised, the goodwill associated with the Gaylord Hotels and JW Marriott hotel in our portfolio may be adversely affected, which could materially reduce our revenues and net income, which could in turn reduce the amount of distributions to our stockholders. Additionally, we rely on the resources of and financial information provided by Marriott to report the financial results of our hotel properties. A failure by Marriott to accurately report the financial results of our hotel properties could materially affect our understanding of the hotel properties’ performance as well as our ability to accurately report on the hotel properties’ performance. Further, Marriott owns the Gaylord Hotels and JW Marriott brands and trademarks, and a failure on their part to maintain quality standards, including at any future projects that we do not own an interest in, could harm the brands and damage our business.</w:t>
      </w:r>
    </w:p>
    <w:p>
      <w:pPr>
        <w:spacing w:after="0" w:line="18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Revenue growth, cost synergies and containment strategies for our hotel operations are largely dependent on the efforts of Marriott. Historically, Marriott’s efforts to leverage its rewards program, customer channels and brands, as well as its management of demand for rooms, meeting space and banquets, resulted in revenue growth and Marriott’s efforts to reduce hotel-level costs yielded cost savings. There can be no assurance that such improvements in revenue or cost savings achieved by Marriott will continue in future periods.</w:t>
      </w:r>
    </w:p>
    <w:p>
      <w:pPr>
        <w:spacing w:after="0" w:line="179"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and other provisions in our hotel management agreements with third-party hotel managers could limit our ability to sell or lease our hotel properties or refinance our existing debt.</w:t>
      </w:r>
    </w:p>
    <w:p>
      <w:pPr>
        <w:spacing w:after="0" w:line="15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hotel management agreements with Marriott contain, and we anticipate that hotel management agreements with our future third-party hotel managers will contain, restrictive covenants that limit our flexibility to sell or lease our hotel properties. For example, we may not sell or lease our current hotel properties to a competitor of Marriott (as defined in our management agreements with Marriott), and any purchaser or lessee must have, in Marriott’s judgment, sufficient financial resources and liquidity to fulfill our obligations under the hotel management agreements. Such restrictions 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our ability to sell or lease our hotel properties could negatively affect the marketability of our hotel properties and restrict our ability to refinance our existing debt secured by our hotel properties.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Marriott and any future third-party hotel manager may own or operate hotels that compete with our hotel properties.</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Our third-party hotel managers may own or operate hotels that compete with our current hotel properties and any hotel properties that we acquire, which may result in a conflict of interest. For example, Marriott and its affiliates own, have invested in, operate, and have provided credit support or operating guarantees to hotels that compete or will compete with our current hotel properties, including the Marriott Orlando World Center, which competes with Gaylord Palms, and the Washington Marriott Marquis, which competes with Gaylord National. As a result, our third-party hotel managers may make decisions regarding competing hotel properties that are not or would not be in our best interest. In addition, such third-party hotel managers’ operation of other hotels may divert attention away from the operation and management of our hotel properties.</w:t>
      </w:r>
    </w:p>
    <w:p>
      <w:pPr>
        <w:spacing w:after="0" w:line="188"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concentration in the hospitality industry, and in particular the group-oriented meetings sector of the hospitality industry, exposes us to certain risks outside of our and Marriott’s control.</w:t>
      </w:r>
    </w:p>
    <w:p>
      <w:pPr>
        <w:spacing w:after="0" w:line="15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primary business is hotel-related, and our current hotel properties, the operation of which generates substantially all our Hospitality segment revenue, are concentrated in the group-oriented meetings sector of the hospitality industry. Therefore, a downturn in the lodging industry, in general, and the group-oriented meetings sector, in particular, would have a material adverse effect on our financial condition, results of operations, the market price of our common stock and our ability to service debt and make distributions to our stockholders. Additionally, our group room rates may be contracted several years in advance, and we are subject to increases in operating costs over time that may not be offset by these group room rates, which may result in reduced margins and lower financial results.</w:t>
      </w:r>
    </w:p>
    <w:p>
      <w:pPr>
        <w:spacing w:after="0" w:line="18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group-oriented meetings sector has suffered, and may in the future suffer, as a result of COVID-19, and while we believe meeting planners would, in the case of widespread or severe outbreaks of COVID-19, rebook large group meetings to future periods, there can be no assurance as to the timing and pace of any recovery.</w:t>
      </w:r>
    </w:p>
    <w:p>
      <w:pPr>
        <w:spacing w:after="0" w:line="1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ability of Marriott to successfully operate and manage our current hotel properties and convention business is subject to factors beyond our and their control, which could reduce the revenue and operating income of these properties. These factors include:</w:t>
      </w:r>
    </w:p>
    <w:p>
      <w:pPr>
        <w:spacing w:after="0" w:line="176" w:lineRule="exact"/>
        <w:rPr>
          <w:sz w:val="20"/>
          <w:szCs w:val="20"/>
          <w:color w:val="auto"/>
        </w:rPr>
      </w:pPr>
    </w:p>
    <w:p>
      <w:pPr>
        <w:ind w:left="720" w:right="39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desirability and perceived attractiveness of the Nashville, Tennessee; Orlando, Florida; Dallas, Texas; San Antonio, Texas; Washington D.C. and Denver, Colorado areas as tourist and convention destinations;</w:t>
      </w:r>
    </w:p>
    <w:p>
      <w:pPr>
        <w:spacing w:after="0" w:line="161"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national economy, its effects on us and our customers and in the levels of tourism and convention business that affect our current hotel properties;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Marriott’s ability to attract group convention business;</w:t>
      </w:r>
    </w:p>
    <w:p>
      <w:pPr>
        <w:spacing w:after="0" w:line="225"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Marriott’s ability to contract for and collect attrition and cancellation fees from groups that do not fulfill minimum stay or spending requirements;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opening of other new hotels could impact the group convention business at our current hotel properties;</w:t>
      </w:r>
    </w:p>
    <w:p>
      <w:pPr>
        <w:spacing w:after="0" w:line="225"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hotel, tourism and convention business in which our hotel properties operate, including the fact that we compete for convention business with publicly-financed civic convention centers;</w:t>
      </w:r>
    </w:p>
    <w:p>
      <w:pPr>
        <w:spacing w:after="0" w:line="16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susceptibility of group convention business to reduced levels of demand during the year-end holiday periods, which Marriott may not be able to offset by attracting sufficient general tourism guests;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governmental group business, which has decreased at times in the past due to uncertainty surrounding the U.S. government budget;</w:t>
      </w:r>
    </w:p>
    <w:p>
      <w:pPr>
        <w:spacing w:after="0" w:line="161"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the airline and other transportation-related industries and the resulting impact on travel; and</w:t>
      </w:r>
    </w:p>
    <w:p>
      <w:pPr>
        <w:spacing w:after="0" w:line="161" w:lineRule="exact"/>
        <w:rPr>
          <w:rFonts w:ascii="Times New Roman" w:cs="Times New Roman" w:eastAsia="Times New Roman" w:hAnsi="Times New Roman"/>
          <w:sz w:val="18"/>
          <w:szCs w:val="18"/>
          <w:color w:val="auto"/>
        </w:rPr>
      </w:pPr>
    </w:p>
    <w:p>
      <w:pPr>
        <w:ind w:left="720" w:right="219" w:hanging="319"/>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operating costs due to labor costs associated with labor shortages, wage increases, any increases in the federal minimum wage rate, workers’ compensation, healthcare-related costs, and organized labor activities, the last of which, in addition to increasing labor costs, could cause a diversion of business from our hotels involved in labor negotiations and loss of group business.</w:t>
      </w:r>
    </w:p>
    <w:p>
      <w:pPr>
        <w:spacing w:after="0" w:line="180"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These factors could reduce the revenues and net operating profits of our TRS lessees, which in turn could adversely affect our financial condition, results of operations, the market price of our common stock and our ability to service debt and make distributions to our stockholders.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geographic concentration of our current hotel properties subjects us to a greater degree of risk to certain factors.</w:t>
      </w:r>
    </w:p>
    <w:p>
      <w:pPr>
        <w:spacing w:after="0" w:line="22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Due to the geographic concentration of our current hotel properties, we are subject to a greater degree of risk to factors including:</w:t>
      </w:r>
    </w:p>
    <w:p>
      <w:pPr>
        <w:spacing w:after="0" w:line="162"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competitive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other disasters;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air passenger travel due to higher ticket costs or fears concerning air travel;</w:t>
      </w:r>
    </w:p>
    <w:p>
      <w:pPr>
        <w:spacing w:after="0" w:line="225"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attractiveness of the areas in which our hotels are located as a convention and tourism destination;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convention and meeting business at any of our properties.</w:t>
      </w:r>
    </w:p>
    <w:p>
      <w:pPr>
        <w:spacing w:after="0" w:line="22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Any of these could negatively affect our financial condition, results of operations and our ability to service debt and make distributions to our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 may adversely affect our financial condition and results from operations.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Inflation, which has risen to levels not experienced in recent decades, has caused, and could continue to cause, broad price increases. A prolonged inflationary environment, and any fiscal, monetary or other policy interventions by the U.S. government or the Federal Reserve in reaction to such an environment, including increases in federal interest rates, could adversely affect our operating costs, customer spending and bookings, and ability to access the debt markets on favorable terms. If the cost to operate and maintain our hotels and other properties increases faster or at a rate greater than our ability to pass on costs by increasing amounts charged to guests and customers, our financial condition, results of operations and cash flows could be materially and adversely affected.</w:t>
      </w:r>
    </w:p>
    <w:p>
      <w:pPr>
        <w:spacing w:after="0" w:line="185"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hotel business is capital-intensive, and our inability to obtain financing or successfully complete acquisitions or capital improvements, or the disruption associated with them, could limit our growth or impact our performance.</w:t>
      </w:r>
    </w:p>
    <w:p>
      <w:pPr>
        <w:spacing w:after="0" w:line="15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Acquisitions of hotels will require significant capital expenditures, and hotels that we acquire may need renovations and capital improvements at the time of acquisition. All of our hotel properties will require periodic capital expenditures and renovation to remain competitive. We may also undertake hotel expansions or new features at our existing hotel properties that involve significant capital expenditures, such as our Gaylord Palms expansion. If any hotels that we acquire are subject to franchise agreements, the franchisors of these hotels may also require periodic capital improvements as a condition to our maintaining the franchise licenses. We may not be able to fund capital improvements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or acquisitions solely from cash provided from our operating activities because we must distribute at least 90% of our REIT taxable income (determined before the deduction for dividends paid and net of capital gains) each year to maintain our qualification as a REIT for federal income tax purposes. As a result, our ability to fund acquisitions or capital expenditures through any retained earnings or operating cash flow will be limited. Consequently, we will rely upon the availability of debt or equity capital to fund hotel acquisitions and improvements. Our ability to grow through acquisitions will be limited if we cannot obtain satisfactory debt or equity financing, which will depend on market conditions. We cannot assure you that we will be able to obtain additional equity or debt financing or that we will be able to obtain such financing on favorable terms.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addition, capital improvements may give rise to the following risks:</w:t>
      </w:r>
    </w:p>
    <w:p>
      <w:pPr>
        <w:spacing w:after="0" w:line="225"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environmental problems;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cost overruns and delays, including those associated with the availability of material and labor;</w:t>
      </w:r>
    </w:p>
    <w:p>
      <w:pPr>
        <w:spacing w:after="0" w:line="22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revenues will be reduced while rooms, restaurants or other facilities are out of service due to capital improvement projects;</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possible shortage of available cash to fund capital improvements and the related possibility that financing for these capital improvements may not be available to us on attractive terms;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market demand or a loss of market demand after capital improvements have begun.</w:t>
      </w:r>
    </w:p>
    <w:p>
      <w:pPr>
        <w:spacing w:after="0" w:line="225"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costs of renovations and capital improvements could adversely affect our financial condition, results of operations, the market price of our common stock and our ability to service debt and make distributions to our stockholders.</w:t>
      </w:r>
    </w:p>
    <w:p>
      <w:pPr>
        <w:spacing w:after="0" w:line="158"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TRS lessee structure subjects us to the risk of increased hotel operating expenses and the inability of our TRS lessees to make lease payments to us.</w:t>
      </w:r>
    </w:p>
    <w:p>
      <w:pPr>
        <w:spacing w:after="0" w:line="15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leases with our TRS lessees require our TRS lessees to make lease payments to us based in part on gross revenues from our hotel properties. Our operating risks include decreases in revenues at our hotel properties and increases in operating expenses at our hotel properties. Decreases in revenues or increases in operating expenses could adversely affect our TRS lessees’ ability to make lease payments due under the leases, including, but not limited to, increases in wage and benefit costs, repair and maintenance expenses, property taxes, insurance costs, and other operating expenses. Increases in those operating expenses can have a significant adverse impact on our financial condition, results of operations, the market price of our common stock, and our ability to service debt and make distributions to our stockholders.</w:t>
      </w:r>
    </w:p>
    <w:p>
      <w:pPr>
        <w:spacing w:after="0" w:line="18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 addition, our TRS lessees’ ability to make lease payments will be affected by factors beyond their control, such as changes in general economic conditions, the level of demand for hotels and the related services of our hotel properties, competition in the lodging and hospitality industry, the third-party managers’ ability to maintain and increase gross revenue at our hotel properties and other factors relating to the operations of our hotel properties.</w:t>
      </w:r>
    </w:p>
    <w:p>
      <w:pPr>
        <w:spacing w:after="0" w:line="176"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hotel manager rely on information technology in our operations, and any material failure, inadequacy, interruption, or security failure could harm our business.</w:t>
      </w:r>
    </w:p>
    <w:p>
      <w:pPr>
        <w:spacing w:after="0" w:line="15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and our third-party hotel manager rely on information technology systems, including networks and the Internet, to process, transmit, and store electronic information, and to manage or support a variety of business processes, including financial transactions and records, personal identifying information, reservations, billing and operating data. Our businesses require collection of large volumes of internal and customer data, including credit card numbers and other personally identifiable information of our customers in various information systems and those of our service providers. The integrity and protection of customer, employee, and company data is critical to us. If that data is inaccurate or incomplete, we or the hotel managers could make faulty decisions. Customers and employees also have a high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9" w:lineRule="auto"/>
        <w:rPr>
          <w:sz w:val="20"/>
          <w:szCs w:val="20"/>
          <w:color w:val="auto"/>
        </w:rPr>
      </w:pPr>
      <w:r>
        <w:rPr>
          <w:rFonts w:ascii="Times New Roman" w:cs="Times New Roman" w:eastAsia="Times New Roman" w:hAnsi="Times New Roman"/>
          <w:sz w:val="17"/>
          <w:szCs w:val="17"/>
          <w:color w:val="auto"/>
        </w:rPr>
        <w:t>expectation that we and our third-party service providers and processors will adequately protect their personal information. Despite implementation of various measures designed to protect our information systems and records, including those we maintain with our service providers, we, the hotel managers and/or our third-party service providers may be subject to security breaches, system failures, viruses, operator error, employee misuse, and unauthorized or inadvertent releases of data. A significant theft, loss, or fraudulent use of customer, employee, or company data maintained by us or by a service provider or failure to comply with the various U.S. and international laws and regulations applicable to the protection of such data, including the CCPA, or with Payment Card Industry (PCI) data security standards, could divert our attention, adversely impact our reputation, result in remedial and other fines or litigation, cause us to incur substantial liabilities or costs, or result in a loss of valuable data or of consumer confidence. A breach in the security of our information systems or those of our service providers, or the unauthorized use of such data by us or our third-party providers, could lead to an interruption in the operation of our systems, resulting in operational inefficiencies and a loss of profits.</w:t>
      </w:r>
    </w:p>
    <w:p>
      <w:pPr>
        <w:spacing w:after="0" w:line="178"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privacy and data security laws could increase our operating costs and increase our exposure to fines and litigation.</w:t>
      </w:r>
    </w:p>
    <w:p>
      <w:pPr>
        <w:spacing w:after="0" w:line="15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We are subject to numerous, complex, and frequently changing laws, regulations, and contractual obligations designed to protect personal information. Various U.S. federal and state laws, payment card industry security standards, and other information privacy and security standards are all applicable to us. Various states, including California, Colorado, Connecticut, Utah and Virginia have passed laws pertaining to the processing of personal data, which require, among other things, that businesses provide new disclosures and options to consumers about data collection, use and sharing policies. Significant legislative, judicial or regulatory changes have been and could be issued in the future. These legal requirements are rapidly changing and are not consistent across jurisdictions. Violations of these new laws may subject us to civil monetary penalties, and the California Consumer Privacy Act, as amended by the California Privacy Rights Act, provides for a private cause of action for data breaches. Compliance with changes in applicable data security and privacy laws and regulations and contractual obligations has increased, and may in the future increase, our operating costs and may restrict our business operations, increase our exposure to fines and litigation in the event of alleged noncompliance, and adversely affect our reputation. Moreover, many jurisdictions are considering and adopting regulations governing the use of artificial intelligence and machine learning applications and tools (including in relation to hiring and employment practices). Compliance with these regulations may be difficult or costly to implement and result in a burden on our operations that use artificial intelligence or machine learning applications and tools.</w:t>
      </w:r>
    </w:p>
    <w:p>
      <w:pPr>
        <w:spacing w:after="0" w:line="192"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including the failure to protect the integrity or availability of IT systems or the security of confidential information, or the introduction of malware or ransomware, could harm our business.</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While we have implemented security measures to safeguard our systems and data, our measures or the measures of our service providers or hotel manager may not be sufficient to maintain the confidentiality, integrity, or availability of the data collected, stored, and used to manage our businesses. Efforts to hack or circumvent security measures, efforts to gain unauthorized access to data, failure of systems or software to operate as designed or intended, viruses, “ransomware” or other malware, “supply chain” attacks, “phishing” or other types of business email compromises, operator error, or inadvertent releases of data may materially impact our information systems and records of those of our owners, licensees, or service providers. Our reliance on computer, Internet-based, and mobile systems and communications, and the frequency and sophistication of efforts by third parties to gain unauthorized access to such systems, have greatly increased in recent years. Like most large multinational corporations, our hotel manager and its service providers have experienced cyber attacks, and attempts to disrupt access to their systems and data or those of properties our hotel manager manages and the frequency and sophistication of such efforts could continue to increase. The rapid evolution and increased adoption of artificial intelligence technologies, by us and our third-party service providers, may also heighten our cybersecurity risks by making cyber attacks more difficult to detect, contain and mitigate. We and our third-party service providers, including our third-party hotel manager, have increasingly relied on cloud-based services and on remote access to information systems in recent years, which has increased our exposure to potential cybersecurity incidents. Any theft, loss, loss of access to, or fraudulent use of guest, associate, owner, licensee, or company data could adversely impact our reputation and could result in remedial and other expenses, fines, or litigation. Depending on the nature and scope of the event, compromises in the security of our information systems or those of our owners, licensees, or service providers or other disruptions in data services could lead to an interruption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3" w:lineRule="auto"/>
        <w:rPr>
          <w:sz w:val="20"/>
          <w:szCs w:val="20"/>
          <w:color w:val="auto"/>
        </w:rPr>
      </w:pPr>
      <w:r>
        <w:rPr>
          <w:rFonts w:ascii="Times New Roman" w:cs="Times New Roman" w:eastAsia="Times New Roman" w:hAnsi="Times New Roman"/>
          <w:sz w:val="18"/>
          <w:szCs w:val="18"/>
          <w:color w:val="auto"/>
        </w:rPr>
        <w:t>the operation of our systems or our hotel manager’s systems, resulting in operational inefficiencies and a loss of profits, and negative publicity, resulting in tangible adverse effects on our business, including consumer boycotts, cancellations, lost sales or litigation, all of which could affect our market share, reputation, business, financial condition, or results of operations. These events may also cause us to incur substantial costs, including but not limited to, costs associated with remediation for or recovery of stolen assets or information, including ransom costs paid to cyber attackers, costs for sending legally required notifications to customers or other affected individuals, and increased cyber protection costs to guard against opportunities for re-occurrence of a breach. Although we or our manager carry cyber/privacy liability insurance that is designed to protect us against certain losses related to cyber risks, that insurance coverage may not be sufficient to cover all losses or all types of claims that may arise in connection with cyber attacks, security compromises, and other related incidents. Furthermore, in the future such insurance may not be available on commercially reasonable terms, or at all.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assets are subject to numerous risks.</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Because we own hotels and attractions properties, we are subject to the risks that generally relate to investments in real property. The investment returns available from equity investments in real estate depend in large part on the amount of income earned and capital appreciation generated by the related properties, as well as the expenses incurred. In addition, a variety of other factors affect income from properties and real estate values, including governmental regulations, insurance, zoning, tax and eminent domain laws, interest rate levels and the availability of financing. For example, new or existing real estate zoning or tax laws can make it more expensive and/or time-consuming to develop real property or expand, modify or renovate properties. When interest rates increase, the cost of acquiring, developing, expanding or renovating real property increases, particularly as the cost of borrowing increases, and real property values may decrease as the number of potential buyers decreases. Similarly, as financing becomes less available, it becomes more difficult both to acquire and to sell real property. Finally, governments can, under eminent domain laws, take real property. Sometimes this taking is for less compensation than the owner believes the property is worth. Any of these factors could have a material adverse impact on our results of operations or financial condition. In addition, equity real estate investments, such as the investments we hold and any additional properties that we may acquire, are relatively difficult to sell quickly. If our properties do not generate revenue sufficient to meet operating expenses, including debt service and capital expenditures, our income will be reduced.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properties are subject to environmental regulations that could impose significant financial liability on us.</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Environmental laws, ordinances and regulations of various federal, state, local and foreign governments regulate certain of our properties and could make us liable for the costs of removing or cleaning up hazardous or toxic substances on, under or in the properties we currently own or operate or those we previously owned or operated. Those laws could impose liability without regard to whether we knew of, or were responsible for, the presence of hazardous or toxic substances. The presence of hazardous or toxic substances, or the failure to properly clean up such substances when present, could jeopardize our ability to develop, use, sell or rent the real property or to borrow using the real property as collateral. If we arrange for the disposal or treatment of hazardous or toxic wastes, we could be liable for the costs of removing or cleaning up wastes at the disposal or treatment facility, even if we never owned or operated that facility. Other laws, ordinances and regulations could require us to manage, abate or remove lead- or asbestos-containing materials. Similarly, the operation and closure of storage tanks are often regulated by federal, state, local and foreign laws. Finally, certain laws, ordinances and regulations, particularly those governing the management or preservation of wetlands, coastal zones and threatened or endangered species, could limit our ability to develop, use, sell or rent our real property. Existing governmental laws and regulations may be revised or new laws and regulations relating to climate change, air quality or other environmental and health concerns may be adopted or become applicable to us, which could affect the operations of our hotels and/or result in significant additional expense and operating restrictions. The costs to clean up a contaminated property, to defend a claim, or to comply with environmental laws could be material and could adversely affect our financial condition, results of operations, the market price of our common stock and our ability to make distributions to our stockholders. Additionally, because we rely on third-party managers to operate our hotel properties and certain attractions, we have limited control over ensuring compliance at those locations with applicable environmental laws or regulations or approving certain remediation action taken by the manager to resolve such issues.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Americans with Disabilities Act could require us to incur substantial costs.</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Under the Americans with Disabilities Act of 1990, as amended (the “ADA”), all public accommodations must meet various federal requirements related to access and use by disabled persons. Compliance with the ADA’s requirements could require removal of access barriers, and non-compliance could result in the U.S. government imposing fines or in private litigants winning damages. Although we believe that our hotel properties substantially comply with present requirements of the ADA, we may be subject to audits or investigations of all of our hotels to determine our compliance, and one or more hotels may not be fully compliant with the ADA. Noncompliance with the ADA could result in the incurrence of additional costs to attain compliance. The obligation to make readily achievable accommodations is an ongoing one, and we will continue to assess our hotel properties and to make alterations as appropriate in this respect. If we are required to make substantial modifications to our hotel properties, whether to comply with the ADA or other changes in governmental rules and regulations, our financial condition, results of operations, the market price of our common stock and amount of cash available for debt service or distributions to our stockholders could be adversely affected. Additionally, because we rely on third-party managers to operate our hotel properties and certain attractions, we have limited control over ensuring compliance at those locations with applicable ADA requirements or approving certain remediation action taken by the manager to resolve such issues.</w:t>
      </w:r>
    </w:p>
    <w:p>
      <w:pPr>
        <w:spacing w:after="0" w:line="193"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owner of hotel properties and operator of leisure businesses, we are subject to risks relating to acts of God, outbreaks of pandemic disease, terrorist activity and war.</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Our operating income and ability to make distributions to our stockholders may be reduced by acts of God, outbreaks of pandemic disease (including COVID-19), or acts of terrorism in locations where we own and/or operate significant properties and areas of the world from which we draw a large number of customers. Gaylord Opryland, which is located adjacent to the Cumberland River and is protected by levees built to sustain a 100-year flood, suffered flood damage on May 3, 2010 as the river rose to levels that over-topped the levees. The per occurrence flood insurance limit for our Gaylord Opryland hotel is now $350 million. We have also completed enhancements to the levees that protect the hotel to increase the height of the levees. While we believe these steps are reasonable given the likelihood of flood damage at Gaylord Opryland, there can be no assurances that flooding will not occur at Gaylord Opryland in the future. Some types of losses, such as from flood, earthquake, tornado, terrorism and environmental hazards, may be either uninsurable, subject to sublimit, or too expensive to justify insuring against. Should an uninsured loss or a loss in excess of insured limits occur, we could lose all or a portion of the capital we have invested in a hotel, as well as the anticipated future revenue from the hotel. In that event, we might nevertheless remain obligated for any mortgage debt or other financial obligations related to the property. Similarly, outbreaks of pandemic disease (including COVID-19), wars or armed conflicts (including the potential for war or armed conflicts), terrorist activity (including threats of terrorist activity), political unrest and other forms of civil strife as well as geopolitical uncertainty, may cause our future results to differ materially from anticipated results.</w:t>
      </w:r>
    </w:p>
    <w:p>
      <w:pPr>
        <w:spacing w:after="0" w:line="191"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hotel managers’ employment of hotel personnel, particularly with hotels whose managers employ unionized labor, which could increase our hotels’ operating costs, reduce the flexibility of our third-party hotel managers to adjust the size of the workforce at our hotel properties and impair our ability to make distributions to our stockholders.</w:t>
      </w:r>
    </w:p>
    <w:p>
      <w:pPr>
        <w:spacing w:after="0" w:line="180"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third-party hotel managers are responsible for hiring and maintaining the labor force at each of our hotel properties. Although we do not employ or manage employees at our hotel properties, we are subject to many of the costs and risks generally associated with the hotel labor force, including at those of our hotels with unionized labor. From time to time, hotel operations may be disrupted as a result of strikes, lockouts, public demonstrations or other negative actions and publicity. We also may incur increased legal costs and indirect labor costs as a result of contract disputes or other events. The resolution of labor disputes or re-negotiated labor contracts could lead to increased labor costs, either by increases in wages or benefits or by changes in work rules that raise hotel operating costs. Furthermore, labor agreements may limit the ability of our third-party hotel managers to reduce the size of hotel workforces during an economic downturn because collective bargaining agreements are negotiated between the third-party hotel managers and labor unions. We do not have the ability to control the outcome of these negotiations.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costs could increase if we and our hotel managers cannot attract and retain talented personnel or as the result of the loss of the services of our senior executives.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and our third-party hotel managers compete with other companies both within and outside of the hospitality and entertainment industries for personnel. We and our hotel managers have experienced challenges hiring qualified personnel due to various factors, such as increasing wage expectations and competition for labor from other industries, including and continuing after the COVID-19 pandemic and in the current inflationary environment, and these circumstances could continue or worsen in the future to an extent and for durations that we are not able to predict. If we and our hotel managers cannot recruit, train, develop and retain sufficient numbers of associates, we could experience significant negative impacts to our operations, including low employee morale, high employee turnover and low guest satisfaction. Insufficient numbers of personnel could also limit our ability to grow and expand our businesses. Labor shortages have resulted in and could continue to result in higher wages and initial hiring costs, increasing our labor costs and those of our third-party hotel managers, which could reduce our profits and ultimately impair our ability to make distributions to our stockholders. In addition, the efforts and ability of our senior executives are important elements of maintaining our competitive position and driving future growth, and the loss of the services of one or more of our senior executives could result in challenges executing our business strategies or other adverse effects on our business.</w:t>
      </w:r>
    </w:p>
    <w:p>
      <w:pPr>
        <w:spacing w:after="0" w:line="183"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trademarks and intellectual property used in our business could reduce the value of our brand names and harm our business.</w:t>
      </w:r>
    </w:p>
    <w:p>
      <w:pPr>
        <w:spacing w:after="0" w:line="15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Third-party infringement of the Gaylord Hotels or JW Marriott marks owned by Marriott or the marks we own and use in our entertainment business, or the failure to enforce rights to the marks, could be damaging to our business.</w:t>
      </w:r>
    </w:p>
    <w:p>
      <w:pPr>
        <w:spacing w:after="0" w:line="162"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reputation and perception of the brands we use is critical to our success. If trademarks or intellectual property are misappropriated or used without authorization, the value of those brands, their reputation, our competitive advantages and our goodwill could be harmed. We regularly apply to register our trademarks in the United States. However, we cannot be certain that those trademark registrations will be granted or that the steps we take to protect our trademarks or intellectual property in the United States will be adequate to prevent others, including third parties or former employees, from copying or using our trademarks or intellectual property without authorization. Our intellectual property is also vulnerable to unauthorized use in some countries outside the United States, where local laws may not adequately protect it. Marriott owns and maintains the marks used in the Gaylord Hotels and JW Marriott operations and may use the brands at properties that we do not own.</w:t>
      </w:r>
    </w:p>
    <w:p>
      <w:pPr>
        <w:spacing w:after="0" w:line="188"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Monitoring the unauthorized use of our intellectual property is difficult. As we have in the past, we may need to resort to litigation to enforce our intellectual property rights. Litigation of this type could be costly, force us to divert our resources, lead to counterclaims or other claims against us, or otherwise harm our business. Any failure to maintain and protect trademarks and other intellectual property used in our business could reduce the value of our brands and harm our business.</w:t>
      </w:r>
    </w:p>
    <w:p>
      <w:pPr>
        <w:spacing w:after="0" w:line="160" w:lineRule="exact"/>
        <w:rPr>
          <w:sz w:val="20"/>
          <w:szCs w:val="20"/>
          <w:color w:val="auto"/>
        </w:rPr>
      </w:pPr>
    </w:p>
    <w:p>
      <w:pPr>
        <w:ind w:left="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Illiquidity of real estate investments could significantly impede our ability to respond to adverse changes in the performance of our hotel properties and harm our financial condition.</w:t>
      </w:r>
    </w:p>
    <w:p>
      <w:pPr>
        <w:spacing w:after="0" w:line="15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Because real estate investments are relatively illiquid, our ability to promptly sell one or more of our hotel properties in response to changing economic, financial and investment conditions may be limited. The real estate market is affected by many factors that are beyond our control, including:</w:t>
      </w:r>
    </w:p>
    <w:p>
      <w:pPr>
        <w:spacing w:after="0" w:line="176"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international, national, regional and local economic and market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in the availability, cost and terms of debt financing;</w:t>
      </w:r>
    </w:p>
    <w:p>
      <w:pPr>
        <w:spacing w:after="0" w:line="225"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fiscal policies and zoning ordinances and the related costs of compliance with laws and regulations, fiscal policies and ordinances;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need for capital improvements, particularly in older structures;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expenses; and</w:t>
      </w:r>
    </w:p>
    <w:p>
      <w:pPr>
        <w:spacing w:after="0" w:line="225"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acts of God, including earthquakes, tornadoes, floods and other natural disasters, which may result in uninsured losses, and acts of war or terrorism, including the consequences of the terrorist acts.</w:t>
      </w:r>
    </w:p>
    <w:p>
      <w:pPr>
        <w:spacing w:after="0" w:line="16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may decide in the future to sell one or more of our hotel properties. We cannot predict whether we will be able to sell any hotel property for the price or on the terms set by us, or whether any price or other terms offered by a prospective purchaser would be acceptable to us. We also cannot predict the length of time needed to find a willing purchaser and to close the sale of a hotel property. Further, as a REIT, we are subject to a 100% excise tax on net income derived from prohibited transactions, including the sale of property (other than foreclosure property) held primarily for sale to customers in the ordinary course. There can be no assurances that the IRS will not contend that the sale of a hotel is subject to this 100% excise tax.</w:t>
      </w:r>
    </w:p>
    <w:p>
      <w:pPr>
        <w:spacing w:after="0" w:line="18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We may be required to expend funds to correct defects or to make improvements before a hotel property can be sold. We cannot assure you that we will have funds available to correct those defects or to make those improvements. In acquiring a hotel, we may agree to lock-out provisions that materially restrict us from selling that hotel for a period of time or impose other restrictions, such as a limitation on the amount of debt that can be placed or repaid on that hotel. These factors and any others that would impede our ability to respond to adverse changes in the performance of our hotel properties could have a material adverse effect on our operating results and financial condition, as well as the amount of cash available for distributions to our stockholders.</w:t>
      </w:r>
    </w:p>
    <w:p>
      <w:pPr>
        <w:spacing w:after="0" w:line="18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ability to service debt and make distributions to our stockholders may be adversely affected by various operating risks common to the lodging industry.</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hotel properties have different economic characteristics than many other real estate assets, and a hotel REIT is structured differently than many other types of REITs. A typical office property owner, for example, has long-term leases with third-party tenants, which provide a relatively stable long-term stream of revenue. Our TRS lessees, on the other hand, do not enter into a lease with a third-party hotel manager. Instead, our TRS lessees engage our third-party managers pursuant to hotel management agreements and pay the third-party hotel managers fees for managing our hotel properties. The TRS lessees receive all the operating profit or losses at our hotel properties, net of fees and reimbursements. Moreover, virtually all hotel guests stay at a hotel for only a few nights at a time, so the rate and occupancy at each of our hotel properties may change every day. As a result, we may have highly volatile earnings.</w:t>
      </w:r>
    </w:p>
    <w:p>
      <w:pPr>
        <w:spacing w:after="0" w:line="192"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 addition, our hotel properties are subject to various operating risks common to the lodging industry, many of which are beyond our or a manager’s control, including the following:</w:t>
      </w:r>
    </w:p>
    <w:p>
      <w:pPr>
        <w:spacing w:after="0" w:line="162"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hotel properties and publicly-financed civic convention centers in our markets;</w:t>
      </w:r>
    </w:p>
    <w:p>
      <w:pPr>
        <w:spacing w:after="0" w:line="225"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over-building of hotels in our markets, which could adversely affect occupancy and revenues at our hotel properties;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business and commercial travelers and tourism;</w:t>
      </w:r>
    </w:p>
    <w:p>
      <w:pPr>
        <w:spacing w:after="0" w:line="225"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energy costs and other expenses affecting travel, which may affect travel patterns and reduce the number of business and commercial travelers and tourists;</w:t>
      </w:r>
    </w:p>
    <w:p>
      <w:pPr>
        <w:spacing w:after="0" w:line="161"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but not limited to, wages and food and beverage costs, due to inflation and other factors that may not be offset by increased room rates;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in the availability, cost and terms of debt financing;</w:t>
      </w:r>
    </w:p>
    <w:p>
      <w:pPr>
        <w:spacing w:after="0" w:line="225"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fiscal policies and zoning ordinances and the related costs of compliance with laws and regulations, fiscal policies and ordinances;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international, national, regional and local economic and market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use of Internet travel intermediaries by consumers;</w:t>
      </w:r>
    </w:p>
    <w:p>
      <w:pPr>
        <w:spacing w:after="0" w:line="225" w:lineRule="exact"/>
        <w:rPr>
          <w:rFonts w:ascii="Times New Roman" w:cs="Times New Roman" w:eastAsia="Times New Roman" w:hAnsi="Times New Roman"/>
          <w:sz w:val="18"/>
          <w:szCs w:val="18"/>
          <w:color w:val="auto"/>
        </w:rPr>
      </w:pPr>
    </w:p>
    <w:p>
      <w:pPr>
        <w:ind w:left="720" w:right="179" w:hanging="319"/>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beyond our control, such as terrorist attacks, travel-related health concerns including pandemics and epidemics (including a widespread outbreak or worsening of new or existing COVID-19 variants in the United States), political instability, regional hostilities, imposition of taxes or surcharges by regulatory authorities, travel-related accidents and unusual weather patterns, including natural disasters, such as hurricanes, earthquakes and tornadoes;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a downturn in the lodging industry;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generally associated with the ownership of hotels and real estate.</w:t>
      </w:r>
    </w:p>
    <w:p>
      <w:pPr>
        <w:spacing w:after="0" w:line="22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group room rates may be contracted several years in advance, and we are subject to increases in operating costs over time that may not be offset by these group room rates, which may result in reduced margins. Further, our disclosed future hotel bookings may not be fulfilled. These factors could reduce the net operating profits of our TRS lessees, which in turn could adversely affect the amount and frequency of distributions we make to our stockholders and our ability to service our debt.</w:t>
      </w:r>
    </w:p>
    <w:p>
      <w:pPr>
        <w:spacing w:after="0" w:line="179"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financial and operating results may suffer if we are unsuccessful in integrating JW Marriott Hill Country with our existing assets, and integrating JW Marriott Hill Country may be more difficult, costly or time consuming than expected.</w:t>
      </w:r>
    </w:p>
    <w:p>
      <w:pPr>
        <w:spacing w:after="0" w:line="17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If we are unable to successfully integrate JW Marriott Hill Country with our other assets in an efficient and effective manner, the anticipated benefits of the JW Marriott Hill Country transaction may not be realized fully, or at all, or may take longer to realize than expected and may not meet estimated growth projections or expectations. Further, we may not achieve the projected efficiencies and synergies once we have fully integrated JW Marriott Hill Country into our operations, which may lead to additional costs not anticipated at the time of the JW Marriott Hill Country transaction. An inability to realize the full extent of the anticipated benefits of the JW Marriott Hill Country transaction or any delays encountered in the integration process could have an adverse effect on our results from operations, cash flows and financial position.</w:t>
      </w:r>
    </w:p>
    <w:p>
      <w:pPr>
        <w:spacing w:after="0" w:line="19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integration of JW Marriott Hill Country with our other assets will require the dedication of significant management resources, which may distract management’s attention from day-to-day business operations. San Antonio, Texas is a new market for us, and our relative unfamiliarity with the market may result in our having to devote additional time and expense to gain familiarity with the market and effectively manage this asset. Many of these factors will be outside of our control and any one of them could result in delays, increased costs, decreases in revenue and diversion of management’s time and energy from ongoing business concerns, which could materially affect our financial position, results of operations and cash flows.</w:t>
      </w:r>
    </w:p>
    <w:p>
      <w:pPr>
        <w:spacing w:after="0" w:line="185"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the operations of our Entertainment segment through OEG and our ownership is subject to the terms of agreements with A-OEG Holdings, LLC, an affiliate of Atairos. Any disagreement with Atairos or its affiliate may adversely affect our interest in OEG.</w:t>
      </w:r>
    </w:p>
    <w:p>
      <w:pPr>
        <w:spacing w:after="0" w:line="175"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limited liability company agreement for OEG gives A-OEG Holdings, LLC, an affiliate of Atairos (the “OEG Investor”), certain rights, including consent rights regarding certain major decisions, which may limit our flexibility with respect to OEG. The OEG Investor may have economic or other business interests or goals which are inconsistent with ours, and we could become engaged in a dispute or disagreement with them that might affect our ability to develop or operate the Entertainment business in any manner in which we see fit, thereby adversely affecting our ownership interest in OEG.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Status as a REIT</w:t>
      </w:r>
    </w:p>
    <w:p>
      <w:pPr>
        <w:spacing w:after="0" w:line="22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remain qualified as a REIT, we would be subject to tax at corporate income tax rates and would not be able to deduct distributions to stockholders when computing our taxable income.</w:t>
      </w:r>
    </w:p>
    <w:p>
      <w:pPr>
        <w:spacing w:after="0" w:line="15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If, in any taxable year, we fail to qualify for taxation as a REIT, and are not entitled to relief under the Internal Revenue Code of 1986, as amended (the “Code”):</w:t>
      </w:r>
    </w:p>
    <w:p>
      <w:pPr>
        <w:spacing w:after="0" w:line="162"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be allowed a deduction for distributions to stockholders in computing our taxable income;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subject to federal and state income tax on our taxable income at regular corporate rates.</w:t>
      </w:r>
    </w:p>
    <w:p>
      <w:pPr>
        <w:spacing w:after="0" w:line="22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such corporate tax liability could be substantial and would reduce the amount of cash available for other purposes. This adverse impact could last for five or more years. Unless we are entitled to relief under certain statutory provisions, we would be taxable as a C corporation beginning in the year in which the failure occurs, and we would not be allowed to re-elect to be taxed as a REIT for the following four years.</w:t>
      </w:r>
    </w:p>
    <w:p>
      <w:pPr>
        <w:spacing w:after="0" w:line="180"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If we fail to qualify for taxation as a REIT, we may need to borrow additional funds or liquidate certain assets to pay any additional tax liability. Accordingly, funds available for investment or distribution to stockholders would be reduced.</w:t>
      </w:r>
    </w:p>
    <w:p>
      <w:pPr>
        <w:spacing w:after="0" w:line="140"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REIT qualification involves the application of highly technical and complex provisions of the Code to our operations, as well as various factual determinations concerning matters and circumstances not entirely within our control. There are limited judicial or administrative interpretations of these provisions. Although we plan to operate in a manner consistent with the REIT qualification rules, we cannot assure you that we will so qualify or remain so qualified.</w:t>
      </w:r>
    </w:p>
    <w:p>
      <w:pPr>
        <w:spacing w:after="0" w:line="176"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REIT, failure to make required distributions to our stockholders would subject us to federal and state corporate income tax.</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Prior to 2012, we had not paid a cash distribution on our common stock since 1999. Beginning in 2013 we declared, and we intend to continue to declare when appropriate, cash dividends, the amount of which will be determined, and will be subject to adjustment, by our board of directors. Our board of directors has approved an dividend policy pursuant to which we will make minimum dividends of 100% of REIT taxable income annually, subject to the board of directors’ future determinations as to the amount of any distributions and the timing thereof. Our dividend policy may be altered at any time by our board of directors, and certain provisions of our debt agreements may prohibit us from paying dividends in accordance with any policy we may adopt. To qualify as a REIT, we are generally required to distribute at least 90% of our REIT taxable income (determined without regard to the dividends paid deduction and excluding net capital gains)</w:t>
      </w:r>
    </w:p>
    <w:p>
      <w:pPr>
        <w:spacing w:after="0" w:line="1"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each year to our stockholders. If our cash available for distribution falls short of our estimates, we may be unable to maintain the proposed quarterly distributions that approximate our taxable income and may fail to qualify for taxation as a REIT. In addition, our cash flows from operations may be insufficient to fund required distributions as a result of differences in timing between the actual receipt of income and the recognition of income for federal and state income tax purposes, or the effect of nondeductible expenditures.</w:t>
      </w:r>
    </w:p>
    <w:p>
      <w:pPr>
        <w:spacing w:after="0" w:line="18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To the extent that we satisfy the 90% distribution requirement but distribute less than 100% of our REIT taxable income, we will be subject to federal and state corporate income tax on our undistributed taxable income. In addition, we will be subject to a 4% nondeductible excise tax if the actual amount that we pay out to our stockholders for a calendar year is less than a minimum amount specified under the Code.</w:t>
      </w:r>
    </w:p>
    <w:p>
      <w:pPr>
        <w:spacing w:after="0" w:line="176" w:lineRule="exact"/>
        <w:rPr>
          <w:sz w:val="20"/>
          <w:szCs w:val="20"/>
          <w:color w:val="auto"/>
        </w:rPr>
      </w:pPr>
    </w:p>
    <w:p>
      <w:pPr>
        <w:jc w:val="both"/>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though we are conducting our business as a REIT, certain of our business activities will be subject to corporate level income tax, which will continue to reduce our cash flows, and we will have potential deferred and contingent tax liabilities.</w:t>
      </w:r>
    </w:p>
    <w:p>
      <w:pPr>
        <w:spacing w:after="0" w:line="175"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Even though we are conducting our business as a REIT, we may be subject to certain federal, state, and local taxes on our income and assets, taxes on any undistributed income, and state or local income, franchise, property and transfer taxes. In addition, we could in certain circumstances be required to pay an excise or penalty tax, which could be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significant in amount, to utilize one or more relief provisions under the Code to maintain qualification for taxation as a REIT.</w:t>
      </w:r>
    </w:p>
    <w:p>
      <w:pPr>
        <w:spacing w:after="0" w:line="16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business related to the non-real estate assets of our Hospitality segment and the assets of our Entertainment segment is conducted through wholly-owned TRSs because these activities could generate non-qualifying REIT income as historically structured and operated. Those TRS assets and operations continue to be subject, as applicable, to federal and state corporate income taxes in the jurisdictions in which those assets and operations are located. Any of these taxes would decrease our earnings and our available cash. In addition, net operating losses in any of our TRSs generally will not provide any tax benefit, except for use against current or future taxable income in the TRSs.</w:t>
      </w:r>
    </w:p>
    <w:p>
      <w:pPr>
        <w:spacing w:after="0" w:line="18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ability to hedge effectively and increase the costs of our hedging and may cause us to incur tax liabilities.</w:t>
      </w:r>
    </w:p>
    <w:p>
      <w:pPr>
        <w:spacing w:after="0" w:line="15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REIT provisions of the Code limit our ability to hedge liabilities. Generally, income from hedging transactions that we enter into to manage risk of interest rate changes with respect to borrowings made or to be made to acquire or carry real estate assets and income from certain currency hedging transactions related to any non-U.S. operations do not constitute “gross income” for purposes of the REIT gross income tests. To the extent that we enter into other types of hedging transactions, the income from those transactions is likely to be treated as non-qualifying income for purposes of the REIT gross income tests. As a result of these rules, we may need to limit our use of advantageous hedging techniques or implement those hedges through a TRS. This could increase the cost of our hedging activities because our TRSs would be subject to tax on income or gains resulting from hedges entered into by them or expose us to greater risks associated with changes in interest rates than we would otherwise want to bear.</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Legislative or other actions affecting REITs could have a negative effect on us or our stockholders.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At any time, the federal income tax laws governing REITs or the administrative interpretations of those laws may be amended. Federal and state tax laws are constantly under review by persons involved in the legislative process, the IRS, the United States Department of the Treasury and state taxing authorities. Changes to the tax laws, regulations and administrative interpretations, which may have retroactive application, could adversely affect us. We cannot predict with certainty whether, when, in what forms, or with what effective dates, the tax laws, regulations and administrative interpretations applicable to us may be changed. Accordingly, we cannot assure you that any such change will not significantly affect our ability to qualify for taxation as a REIT or the federal income tax consequences to us of such qualification.</w:t>
      </w:r>
    </w:p>
    <w:p>
      <w:pPr>
        <w:spacing w:after="0" w:line="188"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as a REIT, changes in federal, state, or local tax law, interpretations of existing tax law or agreements with tax authorities could affect our profitability and financial condition by increasing our tax costs.</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are subject to taxation at the federal, state and local levels in the United States. Our future tax rates could be affected by changes in the composition of earnings in jurisdictions with differing tax rates, changes in the valuation of our deferred tax assets and liabilities, or changes in determinations regarding the jurisdictions in which we are subject to tax. From time to time, the U.S. federal, state and local governments make substantive changes to tax rules and the application thereof, which could result in materially higher corporate taxes than would be incurred under existing tax law or interpretations and could adversely impact profitability. State and local tax authorities have increased their efforts to increase revenues through changes in tax law and audits. Such changes and proposals, if enacted, could increase our future effective income tax rates, as well as other taxes, including property taxes.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our board of directors to revoke our REIT qualification, without stockholder approval, may cause adverse consequences to our stockholders.</w:t>
      </w:r>
    </w:p>
    <w:p>
      <w:pPr>
        <w:spacing w:after="0" w:line="15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Amended and Restated Articles of Incorporation (“Charter”) provides that the board of directors may revoke or otherwise terminate the REIT election, without the approval of our stockholders, if it determines that it is no longer in our best interest to continue to qualify as a REIT. If we cease to be a REIT, we will not be allowed a tax deduction with respect to distributions to our stockholders in computing our taxable income, and we will be subject to federal and state income tax at regular corporate rates and state and local taxes, which may have adverse consequences on our stock price, distributions, and total return to our stockholders.</w:t>
      </w:r>
    </w:p>
    <w:p>
      <w:pPr>
        <w:spacing w:after="0" w:line="183" w:lineRule="exact"/>
        <w:rPr>
          <w:sz w:val="20"/>
          <w:szCs w:val="20"/>
          <w:color w:val="auto"/>
        </w:rPr>
      </w:pPr>
    </w:p>
    <w:p>
      <w:pPr>
        <w:ind w:left="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borrow funds, sell assets, or issue equity to satisfy our REIT distribution requirements or maintain the asset ownership tests.</w:t>
      </w:r>
    </w:p>
    <w:p>
      <w:pPr>
        <w:spacing w:after="0" w:line="159"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To meet the REIT distribution requirements and maintain our qualification and taxation as a REIT, we may need to borrow funds, sell assets or issue equity, even if the then-prevailing market conditions are not favorable for these borrowings, sales or offerings. Any insufficiency of our cash flows to cover our REIT distribution requirements could adversely impact our ability to raise short- and long-term debt, to sell assets, or to offer equity securities to fund distributions required to maintain our qualification and taxation as a REIT. Furthermore, the REIT distribution requirements may increase the financing we need to fund capital expenditures, future growth and expansion initiatives. This would increase our total leverage. In addition, we may distribute taxable dividends that are payable in cash and common stock at the election of each stockholder, subject to certain limitations, including that the cash portion be at least 20% of the total distribution. If we make such a taxable dividend payable in cash and common stock, taxable stockholders receiving such dividends generally will be required to include the full amount of the dividend as ordinary income. As a result, taxable stockholders may be required to pay income taxes with respect to such dividends in excess of the cash dividends received. Moreover, if a significant number of our stockholders sold shares of our common stock in order to pay taxes owed on dividends, it may put downward pressure on the trading price of our common stock. We do not currently intend to pay taxable dividends of our common stock, although we may choose to do so in the future.</w:t>
      </w:r>
    </w:p>
    <w:p>
      <w:pPr>
        <w:spacing w:after="0" w:line="19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If we fail to comply with certain REIT asset ownership tests at the end of any calendar quarter, we must correct the failure within 30 days after the end of the calendar quarter or qualify for certain statutory relief provisions to avoid losing our REIT qualification. As a result, we may be required to liquidate otherwise attractive assets. These actions may reduce our income and amounts available for distribution to our stockholders.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flexibility or cause us to forego otherwise attractive opportunities.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To qualify as a REIT for federal income tax purposes, we must continually satisfy tests concerning, among other things, the sources of our income, the nature and diversification of our assets, the amounts we distribute to our stockholders, and the ownership of our common stock. Thus, compliance with these tests will require us to refrain from certain activities and may hinder our ability to make certain attractive investments, including the purchase of non-qualifying assets, the expansion of non-real estate activities, and investments in the businesses to be conducted by our TRSs, and to that extent limit our opportunities and our flexibility to change our business strategy. Furthermore, acquisition opportunities may be adversely affected if we need or require the target company to comply with certain REIT requirements prior to closing. In addition, as a REIT, we may face investor pressures to forego growth opportunities that are not immediately accretive.</w:t>
      </w:r>
    </w:p>
    <w:p>
      <w:pPr>
        <w:spacing w:after="0" w:line="192"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hold our non-qualifying REIT assets in one or more TRSs. These non-qualifying REIT assets consist primarily of non-real estate assets related to our Hospitality segment and the assets related to our Entertainment segment as historically structured and operated. We conduct a significant portion of our business activities through these TRSs. Under the Code, no more than 20% of the value of the assets of a REIT may be represented by securities of one or more TRSs, and no more than 5% of the value of the assets of a REIT may be represented by other non-qualifying assets. These limitations may affect our ability to make additional investments in our Entertainment segment as historically structured and operated or in other non-REIT qualifying operations or assets. To meet our annual distribution requirements, we may be required to distribute amounts that may otherwise be used for our operations, including amounts that may otherwise be invested in future acquisitions, capital expenditures or repayment of debt, and it 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possible that we might be required to borrow funds, sell assets or issue equity to fund these distributions, even if the then-prevailing market conditions are not favorable for these borrowings, sales or offerings.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planned use of TRSs may cause us to fail to qualify as a REIT.</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net income of our TRSs is not required to be distributed to us, and income that is not distributed to us generally will not be subject to the REIT income distribution requirement. However, there may be limitations on our ability to accumulate earnings in our TRSs and the accumulation or reinvestment of significant earnings in our TRSs could result in adverse tax treatment. In particular, if the accumulation of cash in our TRSs causes the fair market value of our securities in our TRSs and certain other non-qualifying assets to exceed 25% of the fair market value of our assets, we would fail to qualify as a REIT.</w:t>
      </w:r>
    </w:p>
    <w:p>
      <w:pPr>
        <w:spacing w:after="0" w:line="183"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leases of our hotel properties to TRS lessees are not true leases for federal income tax purposes, we may fail to qualify as a REIT.</w:t>
      </w:r>
    </w:p>
    <w:p>
      <w:pPr>
        <w:spacing w:after="0" w:line="15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order for the lease payments by our TRS lessees to our property-owning subsidiaries to qualify for purposes of the gross income tests, the lease or sublease must be considered a true lease for federal income tax purposes and must not be treated as a service contract, joint venture, or some other type of arrangement. We believe we have structured our leases and subleases of our hotel properties to our TRS lessees so that the leases will be considered true leases for federal income tax purposes, but there can be no assurance that the IRS will agree with this characterization.</w:t>
      </w:r>
    </w:p>
    <w:p>
      <w:pPr>
        <w:spacing w:after="0" w:line="179"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Marriott or any future third-party hotel manager fails to qualify as an “eligible independent contractor,” or if our hotels are not “qualified lodging facilities,” we may fail to qualify as a REIT.</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Rent paid by a lessee or sublessee that is a “related party tenant” of ours will not be qualifying income for purposes of the two gross income tests applicable to REITs. An exception is provided, however, for leases of “qualified lodging facilities” to a TRS so long as the hotels are managed by an “eligible independent contractor” and certain other requirements are satisfied. We lease or sublease our hotel properties to TRS lessees, and such TRS lessees have engaged Marriott as a third-party hotel manager. We believe Marriott and any other third-party hotel manager that our TRS lessees may engage in the future will qualify as “eligible independent contractors” for federal income tax purposes. Among other requirements, to qualify as an “eligible independent contractor,” the third-party hotel manager must not own, directly or through its stockholders, more than 35% of our outstanding shares, and no person or group of persons can own more than 35% of our outstanding shares and the shares (or ownership interest) of the third-party hotel manager, taking into account certain ownership attribution rules. The ownership attribution rules that apply for purposes of these 35% thresholds are complex, and monitoring actual and constructive ownership of our shares by the third-party hotel manager and their owners may not be practical. Accordingly, there can be no assurance that these ownership limits will not be exceeded.</w:t>
      </w:r>
    </w:p>
    <w:p>
      <w:pPr>
        <w:spacing w:after="0" w:line="190"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In addition, for a third-party hotel manager to qualify as an “eligible independent contractor,” such company or a related person must be actively engaged in the trade or business of operating “qualified lodging facilities” (as defined below) for one or more persons not related to the REIT or its TRSs at each time that such company enters into a hotel management contract with a TRS lessee. We believe that Marriott operates “qualified lodging facilities” for certain persons who are not related to us or our TRSs, and Marriott has agreed in the hotel management agreements that it, or its affiliates, are eligible independent contractors and will maintain such status. However, no assurances can be provided that Marriott or any other hotel managers that we may engage in the future will in fact comply with this requirement. Failure to comply with this requirement would require us to find other third-party hotel managers for future contracts, and, if we hired a third-party hotel manager without knowledge of the failure, it could jeopardize our status as a REIT.</w:t>
      </w:r>
    </w:p>
    <w:p>
      <w:pPr>
        <w:spacing w:after="0" w:line="18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Finally, each property with respect to which our TRS lessees pay rent must be a “qualified lodging facility.” A “qualified lodging facility” is a hotel, motel or other establishment more than one-half of the dwelling units in which are used on a transient basis, including customary amenities and facilities, provided that no wagering activities are conducted at or in connection with such facility by any person who is engaged in the business of accepting wagers and who is legally authorized to engage in such business at or in connection with such facility. We believe that our current hotel properties are “qualified lodging facilities.” Although we intend to monitor future acquisitions and improvements of properties,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REIT provisions of the Code provide only limited guidance for making determinations under the requirements for “qualified lodging facilities,” and there can be no assurance that these requirements will be satisfied.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Capital Structure</w:t>
      </w:r>
    </w:p>
    <w:p>
      <w:pPr>
        <w:spacing w:after="0" w:line="225"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Covenants in our current and future debt instruments may limit our ability to make required distributions to our stockholders in accordance with our announced intended dividend policy.</w:t>
      </w:r>
    </w:p>
    <w:p>
      <w:pPr>
        <w:spacing w:after="0" w:line="15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Our credit facility imposes, and future financing agreements are likely to impose, operating and financial restrictions on our activities, including restrictions on the payment of dividends. These restrictions may prevent us from making distributions to our stockholders in accordance with our announced intended dividend policy.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cash distributions are not guaranteed and may fluctuate.</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 REIT generally is required to distribute at least 90% of its REIT taxable income to its stockholders. Generally, our board of directors, in its sole discretion, will determine on a quarterly basis whether to pay a cash dividend and the amount of cash to be distributed to our stockholders based on a number of factors including, but not limited to, our results of operations, cash flow and capital requirements, economic conditions, tax considerations, borrowing capacity and other factors, including debt covenant restrictions that may impose limitations on cash payments and plans for future acquisitions and divestitures. Our board of directors approved a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other indebtedness may prohibit us from paying dividends in accordance with any policy we may adopt. Consequently, our distribution levels may be minimal and may fluctuate.</w:t>
      </w:r>
    </w:p>
    <w:p>
      <w:pPr>
        <w:spacing w:after="0" w:line="188"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invested in, and in the future may invest in, joint ventures, certain minority equity interests, mortgage loans, or mezzanine debt over which we may not have significant control, to or for which we may owe significant funding or obligations and for which there is no readily available market, and these investments may not be profitable.</w:t>
      </w:r>
    </w:p>
    <w:p>
      <w:pPr>
        <w:spacing w:after="0" w:line="17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may invest with third parties through partnerships, joint ventures or other entities, by acquiring non-controlling interests in or sharing responsibility for managing the affairs of a property, partnership, joint venture or other entity. Further, we may invest in mortgage loans or mezzanine financing for a property. These types of investments may not be liquid and we may have little or no rights, or ability, to exercise the direction or control of the respective enterprises. In connection with these investments, we may have obligations under certain guarantees related to such investments. The ultimate value of any debt investments, joint ventures or minority investments will be dependent upon the efforts of others over an extended period of time. The nature of our interests and the absence of a readily available market for those interests restrict our ability to dispose of them. Our lack of control over the management of any business in which we are a creditor, joint owner or minority investor and the lack of a readily available market to sell our interest in these businesses may cause us to recognize a loss on our investment in these businesses or to incur costs or liabilities that we do not control, but for which we may be required to contribute capital or satisfy financial commitments. These arrangements are subject to uncertainties and risks, including those related to credit risk, conflicting joint venture partner interests, including with respect to competition in other markets, and to our joint venture partners failing to meet their financial or other obligations.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debt could reduce our cash flow and limit our business activities.</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currently have a significant amount of debt. At December 31, 2023, we had approximately $3.4 billion of total debt. We may incur additional debt in connection with acquisitions of properties or businesses, development, investment in new projects, renovations, or capital improvement.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substantial amount of debt could have important consequences. For example, it could:</w:t>
      </w:r>
    </w:p>
    <w:p>
      <w:pPr>
        <w:spacing w:after="0" w:line="225"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interest and principal payments on our debt, thereby limiting the availability of our cash flow to make distributions to our stockholders and to fund future capital expenditures, working capital and other general corporate requirements;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hospitality industry, which may place us at a competitive disadvantage compared with competitors that are less leveraged;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even when necessary to maintain adequate liquidity; and</w:t>
      </w:r>
    </w:p>
    <w:p>
      <w:pPr>
        <w:spacing w:after="0" w:line="225"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for various projects, including possible expansions of our existing properties and acquisitions of additional properties.</w:t>
      </w:r>
    </w:p>
    <w:p>
      <w:pPr>
        <w:spacing w:after="0" w:line="162" w:lineRule="exact"/>
        <w:rPr>
          <w:sz w:val="20"/>
          <w:szCs w:val="20"/>
          <w:color w:val="auto"/>
        </w:rPr>
      </w:pPr>
    </w:p>
    <w:p>
      <w:pPr>
        <w:ind w:left="60" w:right="399"/>
        <w:spacing w:after="0" w:line="281" w:lineRule="auto"/>
        <w:rPr>
          <w:sz w:val="20"/>
          <w:szCs w:val="20"/>
          <w:color w:val="auto"/>
        </w:rPr>
      </w:pPr>
      <w:r>
        <w:rPr>
          <w:rFonts w:ascii="Times New Roman" w:cs="Times New Roman" w:eastAsia="Times New Roman" w:hAnsi="Times New Roman"/>
          <w:sz w:val="17"/>
          <w:szCs w:val="17"/>
          <w:color w:val="auto"/>
        </w:rPr>
        <w:t>In addition, the terms of our credit agreements allow, and instruments governing any new debt may allow, us to incur substantial amounts of additional debt subject to certain limitations. Any such additional debt could increase the risks associated with our substantial leverage. At the time any principal amount of our indebtedness is due, we may not have cash available to pay this amount, and we may not be able to refinance our indebtedness on favorable terms, or at all.</w:t>
      </w:r>
    </w:p>
    <w:p>
      <w:pPr>
        <w:spacing w:after="0" w:line="160"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refinance our debt before it matures and there is no assurance that we will be able to refinance our debt on acceptable terms.</w:t>
      </w:r>
    </w:p>
    <w:p>
      <w:pPr>
        <w:spacing w:after="0" w:line="15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Our ability to refinance each of our agreements governing our indebtedness on acceptable terms will be dependent upon a number of factors, including our degree of leverage, the value of our assets, borrowing restrictions which may be imposed by lenders and conditions in the credit markets at the time we refinance. Rising interest rates may make future refinancing more difficult to obtain on favorable terms. In addition, although we have previously been successful in negotiating amendments to our credit agreement and in negotiating an amendment to the Gaylord Rockies term loan, we may be unsuccessful in negotiating any further amendments or modifications to the agreements governing our indebtedness as we may deem necessary. To the extent we are unable to refinance our debt on acceptable terms, we may be forced to choose from a number of unfavorable options, including agreeing to otherwise unfavorable financing terms, selling one or more hotel properties at unattractive prices or on disadvantageous terms, or defaulting on mortgages and allowing our lenders to foreclose. Any one of these options could have a material adverse effect on our business, financial condition, results of operations and our ability to make distributions to our stockholders.</w:t>
      </w:r>
    </w:p>
    <w:p>
      <w:pPr>
        <w:spacing w:after="0" w:line="188"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debt and pay other obligations, we will require a significant amount of cash, which may not be available to us.</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ability to make payments on, repay or refinance our debt, including our obligations under our senior notes and any future debt we may incur, and to fund planned capital expenditures will depend largely upon our future operating performance and our ability to generate cash from operations. Our future performance, to a certain extent, is subject to general economic, financial, competitive, legislative, regulatory and other factors that are beyond our control. In addition, our ability to borrow funds in the future to make payments on our debt and other obligations will depend on the satisfaction of the covenants and financial ratios in our senior credit facility and our other debt agreements, including other agreements we may enter into in the future. Our business may not generate sufficient cash flow from operations or we may not have future borrowings available to us under our credit facility or from other sources in an amount sufficient to enable us to pay our debt or to fund our other liquidity needs.</w:t>
      </w:r>
    </w:p>
    <w:p>
      <w:pPr>
        <w:spacing w:after="0" w:line="184"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contain various covenants that may limit our ability to operate our business and impair our ability to make distributions to our stockholders.</w:t>
      </w:r>
    </w:p>
    <w:p>
      <w:pPr>
        <w:spacing w:after="0" w:line="15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Our existing financial agreements, including our credit facilities and term loan B impose, and future financing agreements are likely to impose, operating and financial restrictions on our activities, including our ability to make distributions to any stockholder. Our credit facility has required and in the future will require us to comply with or maintain certain financial tests and ratios, including minimum fixed charge coverage ratio, minimum implied debt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service coverage ratio and maximum funded debt to asset value ratio, and we expect will require us to comply with these tests in the future. Our financial agreements prohibit or limit our ability to, among other things:</w:t>
      </w:r>
    </w:p>
    <w:p>
      <w:pPr>
        <w:spacing w:after="0" w:line="162"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issue guarantees of debt and issue preferred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equity interests in our restricted subsidiaries;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and/or prepay certain debt;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stock to our stockholders or repurchase our stock or other equity interests;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new lines of business;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mergers and acquisitions;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restrictions on our subsidiaries’ ability to pay dividends and make other distributions to us.</w:t>
      </w:r>
    </w:p>
    <w:p>
      <w:pPr>
        <w:spacing w:after="0" w:line="225" w:lineRule="exact"/>
        <w:rPr>
          <w:sz w:val="20"/>
          <w:szCs w:val="20"/>
          <w:color w:val="auto"/>
        </w:rPr>
      </w:pPr>
    </w:p>
    <w:p>
      <w:pPr>
        <w:ind w:left="60" w:right="79"/>
        <w:spacing w:after="0" w:line="312" w:lineRule="auto"/>
        <w:rPr>
          <w:sz w:val="20"/>
          <w:szCs w:val="20"/>
          <w:color w:val="auto"/>
        </w:rPr>
      </w:pPr>
      <w:r>
        <w:rPr>
          <w:rFonts w:ascii="Times New Roman" w:cs="Times New Roman" w:eastAsia="Times New Roman" w:hAnsi="Times New Roman"/>
          <w:sz w:val="17"/>
          <w:szCs w:val="17"/>
          <w:color w:val="auto"/>
        </w:rPr>
        <w:t>If we fail to comply with these covenants, we would be in default under our credit facility and the indentures governing our senior unsecured notes, and the outstanding principal and accrued interest on such debt would become due and payable.</w:t>
      </w:r>
    </w:p>
    <w:p>
      <w:pPr>
        <w:spacing w:after="0" w:line="14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Various risks, uncertainties and events beyond our control could affect our ability to comply with these covenants and maintain applicable financial tests and ratios. Failure to comply with any of the covenants in our existing or future financing agreements could result in a default under those agreements and under other agreements containing cross-default provisions. A default would permit lenders to accelerate the maturity for the debt under these agreements and to foreclose upon any collateral securing the debt, including, in the case of our existing credit facility, our subsidiaries that are the fee owners of Gaylord Opryland and Gaylord Texan, their respective direct and indirect parent entities, and the equity of Ryman Hotel Operations Holdco, LLC, a wholly-owned indirect subsidiary of the Company; in the case of the Gaylord Rockies term loan, Gaylord Rockies; in the case of the OEG term loan, the OEG assets; and in the case of the Block 21 loan, Block 21 assets. Under these circumstances, we might not have sufficient funds or other resources to satisfy all of our obligations. In addition, the limitations imposed by financing agreements on our ability to pay dividends, incur additional debt and to take other actions might significantly impair our ability to obtain other financing and to make distributions to our stockholders in accordance with any dividend policy.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is secured by a substantial portion of our assets.</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Subject to applicable laws and certain agreed-upon exceptions, our $700 million revolving credit facility and $500 million term loan B are secured by equity pledges of our subsidiaries that are the fee owners of Gaylord Opryland and Gaylord Texan, their respective direct and indirect parent entities, and the equity of Ryman Hotel Operations Holdco, LLC, a wholly-owned indirect subsidiary of the Company. The Gaylord Rockies’ $800 million term loan is secured by liens on the substantial majority of Gaylord Rockies assets. The OEG term loan and OEG revolver are secured by substantially all of the assets of OEG Finance, other than Block 21. The Block 21 loan is secured by all of the assets of Block 21. In the event of a default under our credit facility,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upon our subsidiaries’ cash flow to meet our debt service obligations.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We are a holding company, and we conduct our operations through our subsidiaries, including our TRSs. As a result, our ability to meet our debt service obligations substantially depends upon our subsidiaries’ cash flows and payments of funds to us by our subsidiaries as dividends, loans, advances, leases or other payments. The payment of dividends and/or making of loans, advances, leases or other payments by our subsidiaries will be subject to the approval of those subsidiaries’ boards. Our subsidiaries’ ability to pay such dividends and/or make such loans, advances, leases or other payments may also be restricted by, among other things, applicable laws and regulations, current and future debt agreements, and management agreements into which our subsidiaries may enter.</w:t>
      </w:r>
    </w:p>
    <w:p>
      <w:pPr>
        <w:spacing w:after="0" w:line="18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indebtedness service obligations to increase significantly.</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Certain of our indebtedness bears interest at variable interest rates that use Adjusted Term Secured Overnight Financing Rate (“SOFR”) as the preferred alternative rate for LIBOR that has been identified by the Alternative Reference Rates Committee (“ARRC”), a U.S.-based group convened by the Federal Reserve and the Federal Reserve Bank of New York. SOFR is calculated based on short-term repurchase agreements, backed by U.S. Treasury securities, and Adjusted Term SOFR is a forward-looking term rate currently published by CME Group Benchmark Administration Limited. Adjusted Term SOFR is calculated differently from LIBOR and has inherent differences, which could give rise to uncertainties, including the limited historical data and volatility of the benchmark rates. Because of these and other differences, there is no assurance that any of our SOFR-based facilities will perform in the same way as LIBOR would have performed at any time, and there is no guarantee that Adjusted Term SOFR is a comparable substitute for LIBOR. Uncertainty as to the nature of such potential changes, alternative reference rates, including SOFR, or other reforms may adversely affect market demand for LIBOR- or SOFR-based obligations, including ours. As a result, our interest expense may increase, our ability to refinance some or all of our existing indebtedness may be affected, and our available cash flow may be adversely affected.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organizational documents and Delaware law could make it difficult for a third party to acquire control of us.</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Our Charter and our Second Amended and Restated Bylaws contain provisions that could delay, deter or prevent a change in control of our company or our management. These provisions could also discourage proxy contests and make it more difficult for stockholders to elect directors and take other corporate actions. These provisions:</w:t>
      </w:r>
    </w:p>
    <w:p>
      <w:pPr>
        <w:spacing w:after="0" w:line="176" w:lineRule="exact"/>
        <w:rPr>
          <w:sz w:val="20"/>
          <w:szCs w:val="20"/>
          <w:color w:val="auto"/>
        </w:rPr>
      </w:pPr>
    </w:p>
    <w:p>
      <w:pPr>
        <w:ind w:left="720" w:right="25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transfer and ownership of our common stock that are designed to assist us in maintaining our status as a REIT;</w:t>
      </w:r>
    </w:p>
    <w:p>
      <w:pPr>
        <w:spacing w:after="0" w:line="161"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us to issue “blank check” preferred stock, which is preferred stock that can be created and issued by our board of directors, without stockholder approval, with rights senior to those of common stock;</w:t>
      </w:r>
    </w:p>
    <w:p>
      <w:pPr>
        <w:spacing w:after="0" w:line="16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submitting nominations for election to our board of directors and for proposing matters that can be acted upon by stockholders at meetings;</w:t>
      </w:r>
    </w:p>
    <w:p>
      <w:pPr>
        <w:spacing w:after="0" w:line="161"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stockholders may be called only by our chairman or by a majority of the members of our board of directors;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actions taken on written consent; and</w:t>
      </w:r>
    </w:p>
    <w:p>
      <w:pPr>
        <w:spacing w:after="0" w:line="22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ownership of common stock by certain persons (including non-United States persons) due to our ownership of a radio station.</w:t>
      </w:r>
    </w:p>
    <w:p>
      <w:pPr>
        <w:spacing w:after="0" w:line="162" w:lineRule="exact"/>
        <w:rPr>
          <w:sz w:val="20"/>
          <w:szCs w:val="20"/>
          <w:color w:val="auto"/>
        </w:rPr>
      </w:pPr>
    </w:p>
    <w:p>
      <w:pPr>
        <w:ind w:left="60" w:right="459"/>
        <w:spacing w:after="0" w:line="312" w:lineRule="auto"/>
        <w:rPr>
          <w:sz w:val="20"/>
          <w:szCs w:val="20"/>
          <w:color w:val="auto"/>
        </w:rPr>
      </w:pPr>
      <w:r>
        <w:rPr>
          <w:rFonts w:ascii="Times New Roman" w:cs="Times New Roman" w:eastAsia="Times New Roman" w:hAnsi="Times New Roman"/>
          <w:sz w:val="17"/>
          <w:szCs w:val="17"/>
          <w:color w:val="auto"/>
        </w:rPr>
        <w:t>We are subject to anti-takeover provisions under Delaware law, which could also delay or prevent a change of control. Together, our Charter, Second Amended and Restated Bylaws, and Delaware law may discourage transactions that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otherwise could provide for the payment of a premium over prevailing market prices for our common stock, and also could limit the price that investors are willing to pay in the future for shares of our common stock.</w:t>
      </w:r>
    </w:p>
    <w:p>
      <w:pPr>
        <w:spacing w:after="0" w:line="158"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ownership limitations in our Charter may restrict or prevent stockholders from engaging in certain transfers of our common stock.</w:t>
      </w:r>
    </w:p>
    <w:p>
      <w:pPr>
        <w:spacing w:after="0" w:line="15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To qualify and remain qualified as a REIT, no more than 50% in value of our outstanding shares may be owned, directly or indirectly, by five or fewer individuals (as defined in the Code to include various kinds of entities) during the last half of any taxable year. To assist us in qualifying as a REIT, our Charter contains a share ownership limit. Generally, any of our shares owned by affiliated owners will be added together for purposes of the share ownership limit. This share ownership limit provides that (subject to certain exceptions) no person may beneficially own, or be deemed to own by virtue of the attribution provisions of the Code, more than 9.8%, in value or in number of shares, whichever is more restrictive, of the outstanding shares of our capital stock, or any class or series of our capital stock. If anyone transfers shares in a manner that would violate the share ownership limit or prevent us from qualifying as a REIT, those shares instead will be transferred to a trust for the benefit of a charitable beneficiary and will be either redeemed by us or sold to a person whose ownership of the shares will not violate the share ownership limit or we will consider the transfer to be null and void from the outset, and the intended transferee of those shares will be deemed never to have owned the shares.</w:t>
      </w:r>
    </w:p>
    <w:p>
      <w:pPr>
        <w:spacing w:after="0" w:line="19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Charter also prohibits the ownership of shares by any person or entity if such ownership would violate or otherwise be inconsistent with federal communications laws or regulations pertaining to the ownership of television or radio stations, cable television or other radio authorizations by (i) foreign persons or entities, (ii) persons or entities having interests in television or radio broadcast stations, newspapers or cable television systems, and (iii) entities seeking direct or indirect control of us without prior federal regulatory approval. In the event of a transfer that would result in a violation or inconsistency with federal communications laws or regulations, we may refuse to permit the transfer, suspend the rights of share ownership as necessary to prohibit the violation or inconsistency, or redeem the shares. Anyone who acquires shares in violation of the share ownership limit or the other restrictions on transfer in our Charter bears the risk of suffering a financial loss when the shares are redeemed or sold if the market price of our shares falls between the date of purchase and the date of redemption or sale. In addition, these ownership limitations may prevent an acquisition of control of us by a third party without the approval of our board of directors, even if our stockholders believe the change of control is in their interest.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practices.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Many factors influence our reputation including the perception held by our customers and other key stakeholders and the communities in which we do business, and the perception held by customers of Marriott or any future third-party hotel manager. The lodging and entertainment industries in which we operate face increasing scrutiny related to environmental, social and governance activities and risk of damage to our reputation if we fail to act responsibly or comply with regulatory requirements in a number of areas, such as safety and security, environmental stewardship and sustainability, climate change, diversity, human rights, philanthropy and support for local communities. The continuing evolution of social media presents new challenges and requires us to keep pace with new developments and trends. Negative posts or comments about us, the properties we own, the businesses we operate, and Marriott or any future third-party hotel manager on any social networking or user-generated review website, including travel and vacation property websites, could affect consumer opinions of us, and we cannot guarantee that we will timely or adequately redress such instances.</w:t>
      </w:r>
    </w:p>
    <w:p>
      <w:pPr>
        <w:spacing w:after="0" w:line="190"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Hospitality companies have been the target of class actions and other lawsuits alleging violations of federal and state law and other claims, and we may be subject to legal claims.</w:t>
      </w:r>
    </w:p>
    <w:p>
      <w:pPr>
        <w:spacing w:after="0" w:line="159"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Our operating income and profits may be reduced by legal or governmental proceedings brought by or on behalf of our employees, customers or other third parties. In recent years, a number of hospitality companies have been subject to lawsuits, including class action lawsuits, alleging violations of federal and state law regarding workplace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employment matters, discrimination, customer privacy breaches and other alleged violations of law. A number of these lawsuits have resulted in the payment of substantial damages by the defendants. Similar lawsuits have been instituted against us from time to time and were resolved in an immaterial manner, but we cannot assure you that we will not incur substantial damages and expenses resulting from future lawsuits of this type or other claims, which could have a material adverse effect on our business, financial condition and results of operations. Additionally, because we rely on third-party managers to operate our hotel properties and certain attractions, we have limited control over defending lawsuits of this type or other claims.</w:t>
      </w:r>
    </w:p>
    <w:p>
      <w:pPr>
        <w:spacing w:after="0" w:line="185"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our board of directors to change our major policies without the consent of stockholders may not be in our stockholders’ interest.</w:t>
      </w:r>
    </w:p>
    <w:p>
      <w:pPr>
        <w:spacing w:after="0" w:line="15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board of directors determines our major policies, including any policies and guidelines we may maintain from time to time relating to our acquisitions, leverage, financing, growth, qualification as a REIT and distributions to our stockholders. Our board of directors may amend or revise these and other policies and guidelines from time to time without the vote or consent of our stockholders. Accordingly, our stockholders will have limited control over changes in our policies and those changes could adversely affect our financial condition, results of operations, the market price of our common stock and our ability to make distributions to our stockholders.</w:t>
      </w:r>
    </w:p>
    <w:p>
      <w:pPr>
        <w:spacing w:after="0" w:line="183"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vary substantially based on changes in market interest rates and other factors.</w:t>
      </w:r>
    </w:p>
    <w:p>
      <w:pPr>
        <w:spacing w:after="0" w:line="15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trading prices of equity securities issued by REITs have historically been affected, including in recent quarters, by changes in market interest rates and other factors. One of the factors that may influence the market price of our common stock is the annual yield from distributions on our common stock as compared to yields on other financial instruments. The U.S. has experienced, and may continue to experience, increases in market interest rates. Further increases in market interest rates, or a decrease in our distributions to stockholders, may lead prospective purchasers of our shares to demand a higher annual yield and choose other investments, which could reduce the market price of our common stock. Further, rising interest rates may reduce our available cash flow and diminish our ability to reinvest in our assets, which may harm our business.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factors that could affect the market price of our common stock include the following:</w:t>
      </w:r>
    </w:p>
    <w:p>
      <w:pPr>
        <w:spacing w:after="0" w:line="225"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results of operations;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in the hotel or real estate industries;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of future financial performance or changes in estimates of securities analysts;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volumes;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common stock or other securities in the future;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our hotel managers;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departure of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investments or strategic alliances;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58"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beyond our control, such as terrorist attacks, travel related health concerns including pandemics and epidemics (including widespread or severe outbreaks of new or existing COVID-19 variants in the United States), political instability, regional hostilities, increases in fuel prices, imposition of taxes or surcharges by regulatory authorities, travel related accidents and unusual weather patterns, including natural disasters, such as hurricanes, earthquakes or tornadoes.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have strategically integrated cybersecurity risk management into our broader enterprise risk management function to promote a company-wide culture of cybersecurity risk management. Our board of directors has general oversight responsibility for our enterprise risk management function, which includes specific areas of focus including competitive, economic, operational, financial (accounting, credit, liquidity and tax), legal, compliance, information technology security programs (including cybersecurity), ESG/corporate social responsibility, political and reputational risks. Our board of directors has delegated oversight of certain of these areas to the committees of our board of directors, including delegating the oversight of our information technology security programs (including cybersecurity) to the audit committee of our board of directors (the “Audit Committee”). We believe this division of risk management-related roles to the committees of our board of directors fosters an atmosphere of significant involvement in the oversight of risk at the board level and complements our risk management policies. The oversight responsibility of our board of directors is facilitated by a management report process that is designed to provide both visibility and transparency to our board of directors about the identification, assessment and management of critical risks and management’s risk mitigation strategies.</w:t>
      </w:r>
    </w:p>
    <w:p>
      <w:pPr>
        <w:spacing w:after="0" w:line="190"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Our risk management team, which includes members of senior management, including our Chief Financial Officer (“CFO”), Chief Information Officer (“CIO”) and General Counsel, as well as external consultants, works closely with our information technology department (“IT Department”) to continuously evaluate and address cybersecurity risks relevant to our business and operations. In addition, we have set company-wide policies and procedures that directly or indirectly relate to cybersecurity matters, such as policies related to encryption standards, antivirus protection, access removal, multifactor authentication, confidential information or use of the internet, social media, email and wireless devices. These policies go through an annual internal management review and approval process.</w:t>
      </w:r>
    </w:p>
    <w:p>
      <w:pPr>
        <w:spacing w:after="0" w:line="18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Our CIO and our Vice President of IT (“VP of IT”) are primarily responsible for our overall information security, strategy, policy, security engineering, operations and cybersecurity threat detection and the management of cybersecurity risks. Our CIO and VP of IT, collectively, have over fifty years of experience working in the information technology and cybersecurity field and have extensive experience assessing and managing cybersecurity and information technology programs and cybersecurity risk. Our CIO and VP of IT hold degrees in the information technology and cybersecurity fields, as well as hold certain cybersecurity and other relevant technology certifications. The CIO meets with our Chief Executive Officer (“CEO”), on a weekly basis, and the CFO, on a monthly basis, to discuss all relevant business risks, including cybersecurity risks and threats. In addition to regular reports from our CIO and vice president of internal audit regarding our program for managing our information security risks, including data privacy and protection risks we face, the CIO and VP of IT also meet quarterly with the Audit Committee to inform them of current cybersecurity risks and threats, as well as cybersecurity enhancement projects. Our full board of directors receives an annual update regarding the current cybersecurity environment from our CIO, which may include presentations from external consultants. Our Enterprise Risk Management (“ERM”) committee, which includes several members of senior management, including our CFO, our CIO, and a Certified Information Systems Auditor, also presents all of our top organizational and operational risks, including information security-related risks, focus areas and accomplishments throughout our various businesses, to our board of directors on a quarterly basis.</w:t>
      </w:r>
    </w:p>
    <w:p>
      <w:pPr>
        <w:spacing w:after="0" w:line="195" w:lineRule="exact"/>
        <w:rPr>
          <w:sz w:val="20"/>
          <w:szCs w:val="20"/>
          <w:color w:val="auto"/>
        </w:rPr>
      </w:pPr>
    </w:p>
    <w:p>
      <w:pPr>
        <w:ind w:left="60" w:right="179"/>
        <w:spacing w:after="0" w:line="277" w:lineRule="auto"/>
        <w:rPr>
          <w:sz w:val="20"/>
          <w:szCs w:val="20"/>
          <w:color w:val="auto"/>
        </w:rPr>
      </w:pPr>
      <w:r>
        <w:rPr>
          <w:rFonts w:ascii="Times New Roman" w:cs="Times New Roman" w:eastAsia="Times New Roman" w:hAnsi="Times New Roman"/>
          <w:sz w:val="17"/>
          <w:szCs w:val="17"/>
          <w:color w:val="auto"/>
        </w:rPr>
        <w:t>Our IT Department management team meets monthly to assess and review cybersecurity status, which includes dashboard reviews, operational risks and company compliance. Annually, our internal audit group and third-party consultants meet with our IT Department to perform risk assessment walkthrough meetings, discuss potential enhancements, materiality of risks and alignment with the Center for Internet Security Critical Security Controls framework. In addition, we engage third-party consultants to perform annual red team exercises and external penetration tests.</w:t>
      </w:r>
    </w:p>
    <w:p>
      <w:pPr>
        <w:spacing w:after="0" w:line="168"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We promote a culture of cybersecurity compliance throughout our organization, including required monthly cybersecurity training for all employees with company accounts and annual training for service-related employees 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9" w:lineRule="auto"/>
        <w:rPr>
          <w:sz w:val="20"/>
          <w:szCs w:val="20"/>
          <w:color w:val="auto"/>
        </w:rPr>
      </w:pPr>
      <w:r>
        <w:rPr>
          <w:rFonts w:ascii="Times New Roman" w:cs="Times New Roman" w:eastAsia="Times New Roman" w:hAnsi="Times New Roman"/>
          <w:sz w:val="17"/>
          <w:szCs w:val="17"/>
          <w:color w:val="auto"/>
        </w:rPr>
        <w:t>cybersecurity related topics, including social engineering (e.g., phishing, vishing and smishing), ransomware, denial of service or information, and other security breach tactics. We conduct quarterly ERM discussions where top risk owners discuss how risks have changed and how such risks are being addressed with approaches designed to mitigate such risks.</w:t>
      </w:r>
    </w:p>
    <w:p>
      <w:pPr>
        <w:spacing w:after="0" w:line="158" w:lineRule="exact"/>
        <w:rPr>
          <w:sz w:val="20"/>
          <w:szCs w:val="20"/>
          <w:color w:val="auto"/>
        </w:rPr>
      </w:pPr>
    </w:p>
    <w:p>
      <w:pPr>
        <w:ind w:left="60" w:right="59"/>
        <w:spacing w:after="0" w:line="271" w:lineRule="auto"/>
        <w:rPr>
          <w:sz w:val="20"/>
          <w:szCs w:val="20"/>
          <w:color w:val="auto"/>
        </w:rPr>
      </w:pPr>
      <w:r>
        <w:rPr>
          <w:rFonts w:ascii="Times New Roman" w:cs="Times New Roman" w:eastAsia="Times New Roman" w:hAnsi="Times New Roman"/>
          <w:sz w:val="17"/>
          <w:szCs w:val="17"/>
          <w:color w:val="auto"/>
        </w:rPr>
        <w:t>In addition to assessing our own cybersecurity preparedness and as part of our overall cybersecurity risk management framework, we also consider and evaluate cybersecurity risks associated with our use of third-party service providers. We perform a formal System and Organization Controls (“SOC”) review process annually on our financially significant third-party service providers, which includes our internal assessment of complementary user entity controls. All other material third-party service providers undergo assessment as a contract is entered into or renewed to ensure cybersecurity alignment. Our internal audit group meets regularly with management team members of Marriott, our third-party hotel manager, to assess security applications compliance. We also regularly meet with management team members of Marriott to understand system upgrades, changes and associated risks with third-party manager applications. In addition, we generally require our third-party service providers to promptly notify us of any actual or suspected breach impacting our data or operations.</w:t>
      </w:r>
    </w:p>
    <w:p>
      <w:pPr>
        <w:spacing w:after="0" w:line="173"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In assessing cybersecurity threats, our IT Department has established controls and procedures for responding to cybersecurity incidents, including a process to evaluate the significance of a cybersecurity incident. Members of senior management, including our General Counsel and CFO, are tasked with performing a materiality assessment in the event of a cybersecurity incident, which includes the consideration of relevant quantitative and qualitative factors, as well as SEC guidance. Based on the results of this evaluation, further escalation of the cybersecurity event may occur, which may include our CEO, our board of directors and/or law enforcement. In addition, members of senior management will determine, based on the assessment described above, whether the cybersecurity incident requires disclosure with the SEC.</w:t>
      </w:r>
    </w:p>
    <w:p>
      <w:pPr>
        <w:spacing w:after="0" w:line="189"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We or our third-party manager currently maintain a cybersecurity insurance policy that provides coverage for security incidents and periodically meet with our insurer to discuss emerging trends in cybersecurity. We do not believe that any risks we have identified to date from cybersecurity threats, including as a result of any previous cybersecurity incidents, have materially affected or are reasonably likely to materially affect us, including our business strategy, results of operations or financial condition. However, notwithstanding the programs, policies and procedures described above, there can be no assurance that we or businesses with which we interact will not experience a cybersecurity incident that materially affects us in the future. For more information about the cybersecurity risks we face, see the risk factor entitled “Cybersecurity incidents, including the failure to protect the integrity or availability of IT systems or the security of confidential information, or the introduction of malware or ransomware, could harm our business.” in Item 1A. Risk Factors of Part I of this Annual Report on Form 10-K.</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tc>
        <w:tc>
          <w:tcPr>
            <w:tcW w:w="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Hospitality Segment</w:t>
            </w: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Meeting, Exhibit and</w:t>
            </w: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Hotel</w:t>
            </w: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2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vMerge w:val="restart"/>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Rooms</w:t>
            </w:r>
          </w:p>
        </w:tc>
        <w:tc>
          <w:tcPr>
            <w:tcW w:w="140" w:type="dxa"/>
            <w:vAlign w:val="bottom"/>
            <w:vMerge w:val="restart"/>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Pre-Function Space</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vMerge w:val="continue"/>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3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(sq. ft.)</w:t>
            </w:r>
          </w:p>
        </w:tc>
        <w:tc>
          <w:tcPr>
            <w:tcW w:w="0" w:type="dxa"/>
            <w:vAlign w:val="bottom"/>
          </w:tcPr>
          <w:p>
            <w:pPr>
              <w:spacing w:after="0"/>
              <w:rPr>
                <w:sz w:val="1"/>
                <w:szCs w:val="1"/>
                <w:color w:val="auto"/>
              </w:rPr>
            </w:pPr>
          </w:p>
        </w:tc>
      </w:tr>
      <w:tr>
        <w:trPr>
          <w:trHeight w:val="425"/>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3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Nashville, TN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w:t>
            </w: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3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National Harbor, MD (Washington, DC area)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501,000</w:t>
            </w:r>
          </w:p>
        </w:tc>
        <w:tc>
          <w:tcPr>
            <w:tcW w:w="0" w:type="dxa"/>
            <w:vAlign w:val="bottom"/>
          </w:tcPr>
          <w:p>
            <w:pPr>
              <w:spacing w:after="0"/>
              <w:rPr>
                <w:sz w:val="1"/>
                <w:szCs w:val="1"/>
                <w:color w:val="auto"/>
              </w:rPr>
            </w:pPr>
          </w:p>
        </w:tc>
      </w:tr>
      <w:tr>
        <w:trPr>
          <w:trHeight w:val="432"/>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2140" w:type="dxa"/>
            <w:vAlign w:val="bottom"/>
            <w:shd w:val="clear" w:color="auto" w:fill="CCEEFF"/>
          </w:tcPr>
          <w:p>
            <w:pPr>
              <w:spacing w:after="0"/>
              <w:rPr>
                <w:sz w:val="24"/>
                <w:szCs w:val="24"/>
                <w:color w:val="auto"/>
              </w:rPr>
            </w:pPr>
          </w:p>
        </w:tc>
        <w:tc>
          <w:tcPr>
            <w:tcW w:w="3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Grapevine, TX (Dallas area)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488,000</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2140" w:type="dxa"/>
            <w:vAlign w:val="bottom"/>
          </w:tcPr>
          <w:p>
            <w:pPr>
              <w:spacing w:after="0"/>
              <w:rPr>
                <w:sz w:val="24"/>
                <w:szCs w:val="24"/>
                <w:color w:val="auto"/>
              </w:rPr>
            </w:pPr>
          </w:p>
        </w:tc>
        <w:tc>
          <w:tcPr>
            <w:tcW w:w="3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Kissimmee, FL (Orlando area)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467,000</w:t>
            </w:r>
          </w:p>
        </w:tc>
        <w:tc>
          <w:tcPr>
            <w:tcW w:w="0" w:type="dxa"/>
            <w:vAlign w:val="bottom"/>
          </w:tcPr>
          <w:p>
            <w:pPr>
              <w:spacing w:after="0"/>
              <w:rPr>
                <w:sz w:val="1"/>
                <w:szCs w:val="1"/>
                <w:color w:val="auto"/>
              </w:rPr>
            </w:pPr>
          </w:p>
        </w:tc>
      </w:tr>
      <w:tr>
        <w:trPr>
          <w:trHeight w:val="43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w:t>
            </w:r>
          </w:p>
        </w:tc>
        <w:tc>
          <w:tcPr>
            <w:tcW w:w="3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Aurora, CO (Denver area)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409,000</w:t>
            </w: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JW Marriott Hill Country</w:t>
            </w:r>
          </w:p>
        </w:tc>
        <w:tc>
          <w:tcPr>
            <w:tcW w:w="3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San Antonio, TX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Inn at Opryland</w:t>
            </w:r>
          </w:p>
        </w:tc>
        <w:tc>
          <w:tcPr>
            <w:tcW w:w="214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Nashville, TN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AC Hotel</w:t>
            </w:r>
          </w:p>
        </w:tc>
        <w:tc>
          <w:tcPr>
            <w:tcW w:w="2140" w:type="dxa"/>
            <w:vAlign w:val="bottom"/>
          </w:tcPr>
          <w:p>
            <w:pPr>
              <w:spacing w:after="0"/>
              <w:rPr>
                <w:sz w:val="20"/>
                <w:szCs w:val="20"/>
                <w:color w:val="auto"/>
              </w:rPr>
            </w:pPr>
          </w:p>
        </w:tc>
        <w:tc>
          <w:tcPr>
            <w:tcW w:w="3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National Harbor, MD (Washington, DC area)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We own our Opryland complex in Nashville, Tennessee, which includes the site of Gaylord Opryland (approximately 172 acres) and Gaylord Springs (over 200 acres). We also own the approximately 6-acre site of the Inn at Opryland, which is located near the Opryland complex. We have leased a 65-acre tract in Osceola County, Florida, on which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Gaylord Palms is located, pursuant to a 75-year ground lease with a 24-year renewal option. We acquired approximately 85 acres in Grapevine, Texas, through ownership (approximately 75 acres) and ground lease (approximately 10 acres), on which the Gaylord Texan is located. We also own an additional approximately 40 acres of property near the Gaylord Texan. We own approximately 42 acres on the Potomac River in Prince George’s County, Maryland, on which the Gaylord National is located and we own fee title to the condominium unit in the eight-story building in which the AC Hotel is located. We own approximately 85 acres on which Gaylord Rockies is located and approximately 130 acres of undeveloped land adjacent to Gaylord Rockies. Gaylord Rockies assets secure our obligations pursuant to the Gaylord Rockies term loan, as described in the Liquidity and Capital Resources section of Item 7, “Management’s Discussion and Analysis of Financial Condition and Results of Operations.” On June 30, 2023, we purchased approximately 600 acres in San Antonio, Texas, on which JW Marriott Hill Country is located, and in November 2023, we purchased approximately 38 additional adjacent acres. Each of our hotel properties in the Hospitality segment is leased or subleased to one of our TRSs, and each such TRS has engaged Marriott to manage the day-to-day operations of the hotel. For a description of the management agreements with Marriott, see “Management Agreements” in Item 1, “Business.” For the operating results of our hotels on a property basis, see “Operating Results – Detailed Segment Financial Information” in Item 7, “Management’s Discussion and Analysis of Financial Condition and Results of Operations.”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Entertainment Segment</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own the General Jackson’s docking facility and the Grand Ole Opry House, each of which is located within the Opryland complex. In downtown Nashville, we own the Ryman Auditorium, Ole Red Nashville, and the Wildhorse Saloon dance hall and production facility, and an adjacent 17,000 square foot building. In Austin, we own Block 21, which includes the Moody Theater, the 3TEN at ACL Live Club, the W Austin, and approximately 53,000 square feet of other Class A commercial space. Our TRSs have engaged Marriott to manage the day-to-day operations of the General Jackson Showboat and the W Austin. For a description of the management agreements with Marriott, see “Management Agreements” in Item 1,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29"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We own our executive offices and headquarters located at One Gaylord Drive, Nashville, Tennessee, which consists of a five-story office building comprising approximately 80,000 square feet. We believe that these facilities and the facilities related to each of our business segments are generally well maintained.</w:t>
      </w:r>
    </w:p>
    <w:p>
      <w:pPr>
        <w:spacing w:after="0" w:line="17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199"/>
        <w:spacing w:after="0" w:line="274" w:lineRule="auto"/>
        <w:rPr>
          <w:sz w:val="20"/>
          <w:szCs w:val="20"/>
          <w:color w:val="auto"/>
        </w:rPr>
      </w:pPr>
      <w:r>
        <w:rPr>
          <w:rFonts w:ascii="Times New Roman" w:cs="Times New Roman" w:eastAsia="Times New Roman" w:hAnsi="Times New Roman"/>
          <w:sz w:val="17"/>
          <w:szCs w:val="17"/>
          <w:color w:val="auto"/>
        </w:rPr>
        <w:t>We and various of our subsidiaries are involved in claims and lawsuits incidental to the ordinary course of our businesses, such as personal injury actions by guests and employees and complaints alleging employee discrimination. We maintain various insurance policies, including general liability and property damage insurance, as well as workers’ compensation, business interruption, and other policies, which we believe provide adequate coverage for the risks associated with our range of operations. We believe that we are adequately insured against these claims by our existing insurance policies and that the outcome of any pending claims or proceedings will not have a material effect on our financial statements.</w:t>
      </w:r>
    </w:p>
    <w:p>
      <w:pPr>
        <w:spacing w:after="0" w:line="173"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For further discussion of legal proceedings, see “Note 11 – Commitments and Contingencies” to our consolidated financial statements included herein.</w:t>
      </w:r>
    </w:p>
    <w:p>
      <w:pPr>
        <w:spacing w:after="0" w:line="1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“RHP”.</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approximately 810 record holders of our common stock at January 31,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shares of the Company’s common stock were repurchased during the three months ended December 31,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The Company did not sell any of its securities during the fiscal year ended December 31, 2023 that were not registered under the Securities Act of 1933, as amended (the “Securities Act”).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To maintain our qualification as a REIT for federal income tax purposes, we must distribute at least 90% of our REIT taxable income each year. We plan to pay minimum dividends to stockholders of 100% of REIT taxable income annually. Any future dividend is subject to our board of directors’ determinations as to the amount of distributions and the timing thereof.</w:t>
      </w:r>
    </w:p>
    <w:p>
      <w:pPr>
        <w:spacing w:after="0" w:line="18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terms of our credit facility restrict our ability to pay dividends. We are restricted in our ability to pay a dividend to our stockholders if the aggregate amount of all distributions to our stockholders in a given year exceeds 95% of our funds from operations (as defined in the credit facility) for that fiscal year. Notwithstanding this restriction, we are permitted to pay dividends to stockholders to the extent necessary to maintain our status as a REIT.</w:t>
      </w:r>
    </w:p>
    <w:p>
      <w:pPr>
        <w:spacing w:after="0" w:line="180"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relating to compensation plans under which our common stock is authorized for issuance is set forth in Part III, Item 12 of this Annual Report on Form 10-K.</w:t>
      </w:r>
    </w:p>
    <w:p>
      <w:pPr>
        <w:spacing w:after="0" w:line="1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Reserved</w:t>
      </w:r>
    </w:p>
    <w:p>
      <w:pPr>
        <w:spacing w:after="0" w:line="225"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59"/>
        <w:spacing w:after="0" w:line="281" w:lineRule="auto"/>
        <w:rPr>
          <w:sz w:val="20"/>
          <w:szCs w:val="20"/>
          <w:color w:val="auto"/>
        </w:rPr>
      </w:pPr>
      <w:r>
        <w:rPr>
          <w:rFonts w:ascii="Times New Roman" w:cs="Times New Roman" w:eastAsia="Times New Roman" w:hAnsi="Times New Roman"/>
          <w:sz w:val="17"/>
          <w:szCs w:val="17"/>
          <w:color w:val="auto"/>
        </w:rPr>
        <w:t>This section of this Annual Report on Form 10-K generally discusses 2023 and 2022 items and year-to-year comparisons between 2023 and 2022. Discussions of 2021 items and year-to-year comparisons between 2022 and 2021 that are not included in this Form 10-K can be found in “Management’s Discussion and Analysis of Financial Condition and Results of Operations” in Part II, Item 7 of the Company’s Annual Report on Form 10-K for the fiscal year ended December 31,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We are a Delaware corporation, originally incorporated in 1956, that, following our REIT conversion in 2012, began operating as a self-advised and self-administered REIT for federal income tax purposes on January 1, 2013, specializing in group-oriented, destination hotel assets in urban and resort markets. Our core holdings include a network of five upscale, meetings-focused resorts totaling 9,917 rooms that are managed by Marriott International, Inc.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near Dallas, Texas (“Gaylord Texan”), the Gaylord National Resort &amp; Convention Center near Washington D.C. (“Gaylord National”), and the Gaylord Rockies Resort &amp; Convention Center near Denver, Colorado (“Gaylord Rockies”), which was previously owned by the Gaylord Rockies joint venture, in which we owned a 65% interest. On May 7, 2021, we purchased the remaining 35% interest in the Gaylord Rockies joint venture. Our other owned hotel assets managed by Marriott include the Inn at Opryland, an overflow hotel adjacent to Gaylord Opryland, the AC Hotel at National Harbor, Washington D.C. (“AC Hotel”), an overflow hotel adjacent to Gaylord National, and effective June 30, 2023, the JW Marriott San Antonio Hill Country Resort &amp; Spa (“JW Marriott Hill Country”).</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also own a controlling 70%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98 years; the Ryman Auditorium, the storied live music venue and former home of the Grand Ole Opry located in downtown Nashville; WSM-AM, the Opry’s radio home; Ole Red, a brand of Blake Shelton-themed bar, music venue and event spaces; two Nashville-based assets – the Wildhorse Saloon and the General Jackson Showboat; and as of May 31, 2022, Block 21, a mixed-use entertainment, lodging, office, and retail complex located in Austin, Texas (“Block 21”). See “OEG Transaction” below for additional disclosure regarding our sale of a 30% interest in OEG effective June 16, 2022.</w:t>
      </w:r>
    </w:p>
    <w:p>
      <w:pPr>
        <w:spacing w:after="0" w:line="19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Each of our award-winning Gaylord Hotels properties, as well as the JW Marriott Hill Country, incorporates not only high-quality lodging, but also at least 400,000 square feet (268,000 in the case of JW Marriott Hill Country) of meeting, convention and exhibition space, superb food and beverage options and retail and spa facilities within a single self-contained property. As a result, our Gaylord Hotels properties and JW Marriott Hill Country provide a convenient and entertaining environment for convention guests. Our Gaylord Hotels properties and JW Marriott Hill Country focus on the large group meetings market in the United States.</w:t>
      </w:r>
    </w:p>
    <w:p>
      <w:pPr>
        <w:spacing w:after="0" w:line="187"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destination hotel assets in urban and resort markets.</w:t>
      </w:r>
    </w:p>
    <w:p>
      <w:pPr>
        <w:spacing w:after="0" w:line="162"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See “Forward-Looking Statements” and “Risk Factors” under Part I of this Annual Report on Form 10-K for important information regarding forward-looking statements made in this report and risks and uncertainties we face.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JW Marriott Hill Country</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On June 30, 2023, we purchased JW Marriott Hill Country for approximately $800 million. Located amid approximately 600 acres in the Texas Hill Country region outside of San Antonio, JW Marriott Hill Country, which opened in 2010, is a premier group-oriented resort with 1,002 rooms and 268,000 total square feet of indoor and outdoor meeting and event space. The resort’s amenities include a 26,000 square foot spa; eight food and beverage outlets; a 9-acre water experience; and TPC San Antonio, which features two 18-hole golf courses. We funded the purchase price with approximately $395 million in net proceeds of an underwritten registered public offering of approximately 4.4 million shares of the Company’s common stock, approximately $393 million in net proceeds of a private placement of $400 million aggregate principal amount of 7.25% senior notes due 2028 and cash on hand. JW Marriott Hill Country assets are reflected in our Hospitality segment beginning June 30, 2023.</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Refinancing</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In May 2023, we completed the refinancing of our previous credit facility by entering into a new credit agreement, which extends the maturity of our $700 million revolving credit facility to 2027 and an increased $500 million term loan B to 2030. The new credit facility also includes an accordion feature that will allow us to increase the facilities by an aggregate total of up to $475 million. A portion of the proceeds of the term loan B were used to repay in full the approximately $370 million balance of our previous term loan B. The revolver was undrawn at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Issuance of $400 Million 7.25% Senior Notes due 2028</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 June 2023, the Operating Partnership and RHP Finance Corporation completed the private placement of $400.0 million in aggregate principal amount of 7.25% senior notes due 2028 (the “$400 Million 7.25% Senior Notes”), which are guaranteed by the Company and its subsidiaries that guarantee our credit agreement.</w:t>
      </w:r>
    </w:p>
    <w:p>
      <w:pPr>
        <w:spacing w:after="0" w:line="1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$400 Million 7.25% Senior Notes totaled approximately $393 million, after deducting the initial purchasers’ discounts, commissions and offering expenses. We used these proceeds to pay a portion of the purchase price for JW Marriott Hill Country discussed above.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Offering</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 June 2023, we completed an underwritten public offering of approximately 4.4 million shares of our common stock, par value $0.01 per share, at a price to the public of $93.25 per share. Our net proceeds, after deducting underwriting discounts and commissions and other expenses paid by us, were approximately $395 million. We used these proceeds to pay a portion of the purchase price for JW Marriott Hill Country discussed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OEG Transaction</w:t>
      </w:r>
    </w:p>
    <w:p>
      <w:pPr>
        <w:spacing w:after="0" w:line="22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As more fully described in the “OEG Transaction” section of Note 1 to the consolidated financial statements included herein, on June 16, 2022, we and certain of our subsidiaries, including OEG Attractions Holdings, LLC, which directly or indirectly owns the assets that comprise our Entertainment segment, consummated the transactions contemplated by an investment agreement (the “Investment Agreement”) with Atairos Group, Inc. (“Atairos”) and A-OEG Holdings, LLC, an affiliate of Atairos (the “OEG Investor”), pursuant to which OEG issued and sold to the OEG Investor, and the OEG Investor acquired, 30% of the equity interests of OEG for approximately $296.0 million (the “OEG Transaction”). The purchase price for the OEG Transaction may be increased by $30.0 million if OEG achieves certain financial objectives in 2024.</w:t>
      </w:r>
    </w:p>
    <w:p>
      <w:pPr>
        <w:spacing w:after="0" w:line="19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retained a controlling 70% equity interest in OEG and continue to consolidate OEG and the other subsidiaries comprising our Entertainment segment in our consolidated financial statements. After the payment of transaction expenses, we used substantially all of the net proceeds from the OEG Transaction, together with the net proceeds we received from the OEG Term Loan (as defined in “Principal Debt Agreements” below), to repay the then-outstanding balance of our former $300 million term loan A and to pay down substantially all borrowings then outstanding under our revolving credit facility.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In September 2022, our board of directors approved a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indebtedness may prohibit us from paying dividends in accordance with any policy we may adopt.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ongoing operations are organized into three principal business segments:</w:t>
      </w:r>
    </w:p>
    <w:p>
      <w:pPr>
        <w:spacing w:after="0" w:line="225" w:lineRule="exact"/>
        <w:rPr>
          <w:sz w:val="20"/>
          <w:szCs w:val="20"/>
          <w:color w:val="auto"/>
        </w:rPr>
      </w:pPr>
    </w:p>
    <w:p>
      <w:pPr>
        <w:ind w:left="720" w:right="19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JW Marriott Hill Country (effective June 30, 2023), the Inn at Opryland, and the AC Hotel.</w:t>
      </w:r>
    </w:p>
    <w:p>
      <w:pPr>
        <w:spacing w:after="0" w:line="161"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Block 21, and our other Nashville-based attractions.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our total revenues were divided among these business segments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potentially allocate capital expenditures:</w:t>
      </w:r>
    </w:p>
    <w:p>
      <w:pPr>
        <w:spacing w:after="0" w:line="183"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 a volume indicator;</w:t>
      </w:r>
    </w:p>
    <w:p>
      <w:pPr>
        <w:spacing w:after="0" w:line="225"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rooms revenue by the number of rooms sold;</w:t>
      </w:r>
    </w:p>
    <w:p>
      <w:pPr>
        <w:spacing w:after="0" w:line="161"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rooms revenue by room nights available to guests for the period;</w:t>
      </w:r>
    </w:p>
    <w:p>
      <w:pPr>
        <w:spacing w:after="0" w:line="16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75"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room nights booked – a volume indicator which represents the total number of definite bookings for future room nights at our hotels confirmed during the applicable period, net of cancellations.</w:t>
      </w:r>
    </w:p>
    <w:p>
      <w:pPr>
        <w:spacing w:after="0" w:line="16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 addition to GAAP measures such as revenues, net income and operating income, we also use certain “non-GAAP financial measures,” which are measures of our historical performance that are not calculated and presented in accordance with GAAP within the meaning of applicable SEC rules. These measures include:</w:t>
      </w:r>
    </w:p>
    <w:p>
      <w:pPr>
        <w:spacing w:after="0" w:line="174" w:lineRule="exact"/>
        <w:rPr>
          <w:sz w:val="20"/>
          <w:szCs w:val="20"/>
          <w:color w:val="auto"/>
        </w:rPr>
      </w:pPr>
    </w:p>
    <w:p>
      <w:pPr>
        <w:jc w:val="both"/>
        <w:ind w:left="720" w:right="159" w:hanging="319"/>
        <w:spacing w:after="0" w:line="267"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and</w:t>
      </w:r>
    </w:p>
    <w:p>
      <w:pPr>
        <w:spacing w:after="0" w:line="17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available to common stockholders and unit holders and Adjusted FFO available to common stockholders and unitholders.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“Non-GAAP Financial Measures” below for further discussion.</w:t>
      </w:r>
    </w:p>
    <w:p>
      <w:pPr>
        <w:spacing w:after="0" w:line="198"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For 2021, as compared to 2022 and historical periods prior to 2020, the closure and pandemic-constrained business levels then experienced by our Gaylord Hotels properties resulted in a significant decrease in performance reflected in these key performance indicators and relevant GAAP and non-GAAP financial measures.</w:t>
      </w:r>
    </w:p>
    <w:p>
      <w:pPr>
        <w:spacing w:after="0" w:line="13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Increases in costs, including labor costs, insurance costs, costs of food and other supplies, and energy costs have affected our operations in 2023 and 2022 and in the future could negatively affect our results, particularly during an inflationary economic environment. We rely on Marriott, as the manager of our hotels, to manage these factors and to offset any identified shortfalls in occupancy.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results for the years ended December 31, 2023, 2022 and 2021 (in thousands, except percentages and per share data):</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0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$ 2,158,136</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$ 1,805,969</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939,373</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1,704,452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1,478,819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998,048</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327,150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(58,675)</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341,800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134,948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(194,801)</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available to common stockholders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(176,966)</w:t>
            </w:r>
          </w:p>
        </w:tc>
      </w:tr>
      <w:tr>
        <w:trPr>
          <w:trHeight w:val="198"/>
        </w:trPr>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available to common stockholders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 share - diluted</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2023 Results as Compared to 2022 Results</w:t>
      </w:r>
    </w:p>
    <w:p>
      <w:pPr>
        <w:spacing w:after="0" w:line="227" w:lineRule="exact"/>
        <w:rPr>
          <w:sz w:val="20"/>
          <w:szCs w:val="20"/>
          <w:color w:val="auto"/>
        </w:rPr>
      </w:pPr>
    </w:p>
    <w:p>
      <w:pPr>
        <w:ind w:left="60" w:right="119"/>
        <w:spacing w:after="0" w:line="312" w:lineRule="auto"/>
        <w:rPr>
          <w:sz w:val="20"/>
          <w:szCs w:val="20"/>
          <w:color w:val="auto"/>
        </w:rPr>
      </w:pPr>
      <w:r>
        <w:rPr>
          <w:rFonts w:ascii="Times New Roman" w:cs="Times New Roman" w:eastAsia="Times New Roman" w:hAnsi="Times New Roman"/>
          <w:sz w:val="17"/>
          <w:szCs w:val="17"/>
          <w:color w:val="auto"/>
        </w:rPr>
        <w:t>The increase in our total revenues during 2023, as compared to 2022, is attributable to increases in our Hospitality segment and Entertainment segment revenues of $295.5 million and $56.7 million, respectively, as presented in the tables below.</w:t>
      </w:r>
    </w:p>
    <w:p>
      <w:pPr>
        <w:spacing w:after="0" w:line="140"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increase in total operating expenses during 2023, as compared to 2022, is primarily the result of increases in Hospitality segment and Entertainment segment expenses of $187.8 million and $35.1 million, respectively, as presented in the tables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above factors resulted in a $126.5 million improvement in operating income for 2023, as compared to 2022.</w:t>
      </w:r>
    </w:p>
    <w:p>
      <w:pPr>
        <w:spacing w:after="0" w:line="225"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Our increase in net income of $206.9 million in 2023, as compared to 2022, was due to the change in our operating income described above, and the following factors, each as described more fully below:</w:t>
      </w:r>
    </w:p>
    <w:p>
      <w:pPr>
        <w:spacing w:after="0" w:line="162" w:lineRule="exact"/>
        <w:rPr>
          <w:sz w:val="20"/>
          <w:szCs w:val="20"/>
          <w:color w:val="auto"/>
        </w:rPr>
      </w:pPr>
    </w:p>
    <w:p>
      <w:pPr>
        <w:ind w:left="720" w:right="29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$93.7 million benefit for income taxes in 2023, as compared to a $38.8 million provision for income taxes in 2022, primarily related to the release of $112.5 million in valuation allowance in 2023.</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$47.3 million increase in net interest expense in 2023, as compared to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Factors and Trends Contributing to Performance and Current Environment</w:t>
      </w:r>
    </w:p>
    <w:p>
      <w:pPr>
        <w:spacing w:after="0" w:line="227"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Important factors and trends contributing to our performance during 2023, as compared to 2022, which was partially impacted by the Omicron variant of COVID-19 in the first quarter of 2022, were:</w:t>
      </w:r>
    </w:p>
    <w:p>
      <w:pPr>
        <w:spacing w:after="0" w:line="162" w:lineRule="exact"/>
        <w:rPr>
          <w:sz w:val="20"/>
          <w:szCs w:val="20"/>
          <w:color w:val="auto"/>
        </w:rPr>
      </w:pPr>
    </w:p>
    <w:p>
      <w:pPr>
        <w:ind w:left="720" w:right="39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JW Marriott Hill Country on June 30, 2023, including $92.8 million in revenues; the property averaged $197.30 in RevPAR and $503.41 in Total RevPAR.</w:t>
      </w:r>
    </w:p>
    <w:p>
      <w:pPr>
        <w:spacing w:after="0" w:line="16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(Hospitality segment excluding JW Marriott Hill Country) hotel occupancy of 71.9% and ADR of $243.19 in 2023, an increase of 5.7 points of occupancy and 2.7%, respectively, over 2022.</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group rooms traveled in 2023 of 16.0% over 2022.</w:t>
      </w:r>
    </w:p>
    <w:p>
      <w:pPr>
        <w:spacing w:after="0" w:line="225"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same-store increase of 14.2% in outside-the-room spend in our Hospitality segment in 2023, as compared to 2022, with group catering revenue particularly strong.</w:t>
      </w:r>
    </w:p>
    <w:p>
      <w:pPr>
        <w:spacing w:after="0" w:line="161"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same-store cancelled room nights at our hotels of 33.8% in 2023, as compared to 2022, and a decrease in same-store group attrition at our hotels from 20.6% in 2022 to 15.2% in 2023.</w:t>
      </w:r>
    </w:p>
    <w:p>
      <w:pPr>
        <w:spacing w:after="0" w:line="161" w:lineRule="exact"/>
        <w:rPr>
          <w:rFonts w:ascii="Times New Roman" w:cs="Times New Roman" w:eastAsia="Times New Roman" w:hAnsi="Times New Roman"/>
          <w:sz w:val="18"/>
          <w:szCs w:val="18"/>
          <w:color w:val="auto"/>
        </w:rPr>
      </w:pPr>
    </w:p>
    <w:p>
      <w:pPr>
        <w:ind w:left="720" w:right="379" w:hanging="319"/>
        <w:spacing w:after="0" w:line="289" w:lineRule="auto"/>
        <w:tabs>
          <w:tab w:leader="none" w:pos="7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attrition and cancellation fee collections of $13.5 million in 2023, as compared to 2022, as cancellations and the related fee collections continue to decline. As these collections have no direct associated expenses, this decrease has had a negative impact on operating income as a percentage of revenue, or margin.</w:t>
      </w:r>
    </w:p>
    <w:p>
      <w:pPr>
        <w:spacing w:after="0" w:line="157" w:lineRule="exact"/>
        <w:rPr>
          <w:rFonts w:ascii="Times New Roman" w:cs="Times New Roman" w:eastAsia="Times New Roman" w:hAnsi="Times New Roman"/>
          <w:sz w:val="17"/>
          <w:szCs w:val="17"/>
          <w:color w:val="auto"/>
        </w:rPr>
      </w:pPr>
    </w:p>
    <w:p>
      <w:pPr>
        <w:ind w:left="720" w:right="1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incentive management fees incurred by the Company of 127.7% in 2023, as compared to 2022, primarily due to improved full year results.</w:t>
      </w:r>
    </w:p>
    <w:p>
      <w:pPr>
        <w:spacing w:after="0" w:line="161"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same-store basis, group room nights on the books for all future years at our hotels at December 31, 2023 is approximately 4.0% greater than those on the books at December 31, 2022, and the ADR on those group room nights on the books at December 31, 2023 is approximately 6.3% higher than ADR on the books at December 31, 2022.</w:t>
      </w:r>
    </w:p>
    <w:p>
      <w:pPr>
        <w:spacing w:after="0" w:line="179" w:lineRule="exact"/>
        <w:rPr>
          <w:rFonts w:ascii="Times New Roman" w:cs="Times New Roman" w:eastAsia="Times New Roman" w:hAnsi="Times New Roman"/>
          <w:sz w:val="18"/>
          <w:szCs w:val="18"/>
          <w:color w:val="auto"/>
        </w:rPr>
      </w:pPr>
    </w:p>
    <w:p>
      <w:pPr>
        <w:ind w:left="720" w:right="13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Entertainment segment revenue of 21.1% in 2023, as compared to 2022, primarily attributable to the addition of Block 21 with a full year of results in 2023, as well as revenue increases throughout our other OEG businesses as a result of increased attendance or volume, as applicable. Excluding the addition of Block 21, Entertainment segment revenue increased 12.1% in 2023, as compared to 2022.</w:t>
      </w:r>
    </w:p>
    <w:p>
      <w:pPr>
        <w:spacing w:after="0" w:line="179" w:lineRule="exact"/>
        <w:rPr>
          <w:rFonts w:ascii="Times New Roman" w:cs="Times New Roman" w:eastAsia="Times New Roman" w:hAnsi="Times New Roman"/>
          <w:sz w:val="18"/>
          <w:szCs w:val="18"/>
          <w:color w:val="auto"/>
        </w:rPr>
      </w:pPr>
    </w:p>
    <w:p>
      <w:pPr>
        <w:ind w:left="720" w:right="19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improved revenue performance noted above has mitigated increasing costs, which include increased interest rates, which drove higher interest expense on our higher debt levels, as well as increased wages, insurance, and other costs, which are expected to continue in the current inflationary environment.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Hospitality Segment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Hospitality segment for the years ended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2022 and 2021 (in thousands, except percentages and performance metrics):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7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701,138</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17.7 %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595,544</w:t>
            </w:r>
          </w:p>
        </w:tc>
        <w:tc>
          <w:tcPr>
            <w:tcW w:w="16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81.1 %</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328,874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831,796</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24.7 %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667,009</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138.7 %</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279,489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7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300,544</w:t>
            </w: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9.1 %</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275,421</w:t>
            </w: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54.5 %</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178,220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revenue</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1,833,478</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19.2 %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1,537,974</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95.5 %</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786,583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Hospitality operating expenses: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173,749</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11.5 %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155,817</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76.6 %</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88,244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465,963</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22.3 %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381,142</w:t>
            </w:r>
          </w:p>
        </w:tc>
        <w:tc>
          <w:tcPr>
            <w:tcW w:w="16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99.7 %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190,855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519,328</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13.6 %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457,291</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39.5 %</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327,791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Management fees, net</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66,425</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53.0 %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43,425</w:t>
            </w:r>
          </w:p>
        </w:tc>
        <w:tc>
          <w:tcPr>
            <w:tcW w:w="16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209.5 %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7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186,749</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189,375</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203,675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operating expenses</w:t>
            </w:r>
          </w:p>
        </w:tc>
        <w:tc>
          <w:tcPr>
            <w:tcW w:w="7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1,412,214</w:t>
            </w: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15.1 %</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1,227,050</w:t>
            </w: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48.8 %</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824,596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Hospitality operating income (loss) (1)(2)</w:t>
            </w: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421,264</w:t>
            </w: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35.5 %</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310,924</w:t>
            </w:r>
          </w:p>
        </w:tc>
        <w:tc>
          <w:tcPr>
            <w:tcW w:w="1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917.9 %</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(38,013)</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Hospitality performance metrics (3):</w:t>
            </w: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71.6 %</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 pts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66.2 %</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26.7 pts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245.74</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236.86</w:t>
            </w:r>
          </w:p>
        </w:tc>
        <w:tc>
          <w:tcPr>
            <w:tcW w:w="16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7.0 %</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(4)</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175.96</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12.3 %</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156.71</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79.0 %</w:t>
            </w:r>
          </w:p>
        </w:tc>
        <w:tc>
          <w:tcPr>
            <w:tcW w:w="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(5)</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460.12</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13.7 %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404.69</w:t>
            </w:r>
          </w:p>
        </w:tc>
        <w:tc>
          <w:tcPr>
            <w:tcW w:w="16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93.3 %</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 (6)</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2,369,060</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31.2 %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1,805,598</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50.3 %</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1,201,268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Same-store Hospitality performance metrics (3)(7):</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71.9 %</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5.7 pts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66.2 %</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26.7 pts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243.19</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236.86</w:t>
            </w:r>
          </w:p>
        </w:tc>
        <w:tc>
          <w:tcPr>
            <w:tcW w:w="16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7.0 %</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(4)</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174.92</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11.6 %</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156.71</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79.0 %</w:t>
            </w:r>
          </w:p>
        </w:tc>
        <w:tc>
          <w:tcPr>
            <w:tcW w:w="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(5)</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458.02</w:t>
            </w: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404.69</w:t>
            </w:r>
          </w:p>
        </w:tc>
        <w:tc>
          <w:tcPr>
            <w:tcW w:w="16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93.3 %</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 (6)</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2,302,717</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27.5 %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1,805,598</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50.3 %</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1,201,268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359" w:hanging="330"/>
        <w:spacing w:after="0" w:line="261"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operating loss for 2021 does not include preopening costs of $0.7 million. Hospitality segment operating loss for 2021 also does not include gain on sale of assets of $0.3 million.</w:t>
      </w:r>
    </w:p>
    <w:p>
      <w:pPr>
        <w:ind w:left="380" w:right="199" w:hanging="330"/>
        <w:spacing w:after="0" w:line="265" w:lineRule="auto"/>
        <w:tabs>
          <w:tab w:leader="none" w:pos="3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Hospitality segment operating loss for 2021 includes approximately $4.6 million in net credits directly related to the COVID-19 pandemic, which are primarily related to employment costs. This amount includes $4.1 million of payroll tax credits afforded under the 2020 Coronavirus Aid, Relief, and Economic Security Act (the “CARES Act”).</w:t>
      </w:r>
    </w:p>
    <w:p>
      <w:pPr>
        <w:ind w:left="380" w:right="679" w:hanging="330"/>
        <w:spacing w:after="0" w:line="250"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metrics for each year include the addition of 302 additional guest rooms at Gaylord Palms beginning June 1, 2021.</w:t>
      </w:r>
    </w:p>
    <w:p>
      <w:pPr>
        <w:jc w:val="both"/>
        <w:ind w:left="380" w:right="559" w:hanging="330"/>
        <w:spacing w:after="0" w:line="250"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segment RevPAR by dividing rooms revenue by room nights available to guests for the period. Room nights available to guests include nights the hotels are closed. Hospitality segment RevPAR is not comparable to similarly titled measures such as revenues.</w:t>
      </w:r>
    </w:p>
    <w:p>
      <w:pPr>
        <w:spacing w:after="0" w:line="1" w:lineRule="exact"/>
        <w:rPr>
          <w:rFonts w:ascii="Times New Roman" w:cs="Times New Roman" w:eastAsia="Times New Roman" w:hAnsi="Times New Roman"/>
          <w:sz w:val="18"/>
          <w:szCs w:val="18"/>
          <w:color w:val="auto"/>
        </w:rPr>
      </w:pPr>
    </w:p>
    <w:p>
      <w:pPr>
        <w:jc w:val="both"/>
        <w:ind w:left="380" w:right="139" w:hanging="330"/>
        <w:spacing w:after="0" w:line="250"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segment Total RevPAR by dividing the sum of room, food and beverage, and other ancillary services revenue (which equals Hospitality segment revenue) by room nights available to guests for the period. Room nights available to guests include nights the hotels are closed. Hospitality segment Total RevPAR is not comparable to similarly titled measures such as revenues.</w:t>
      </w:r>
    </w:p>
    <w:p>
      <w:pPr>
        <w:spacing w:after="0" w:line="1" w:lineRule="exact"/>
        <w:rPr>
          <w:rFonts w:ascii="Times New Roman" w:cs="Times New Roman" w:eastAsia="Times New Roman" w:hAnsi="Times New Roman"/>
          <w:sz w:val="18"/>
          <w:szCs w:val="18"/>
          <w:color w:val="auto"/>
        </w:rPr>
      </w:pPr>
    </w:p>
    <w:p>
      <w:pPr>
        <w:ind w:left="380" w:right="159" w:hanging="330"/>
        <w:spacing w:after="0" w:line="250"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net definite room nights booked for 2023, 2022 and 2021 includes approximately 0.3 million, 0.4 million and 0.8 million group room cancellations, respectively.</w:t>
      </w:r>
    </w:p>
    <w:p>
      <w:pPr>
        <w:ind w:left="380" w:hanging="330"/>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Hospitality segment metrics do not include JW Marriott Hill Country, which we purchased June 30, 2023.</w:t>
      </w:r>
    </w:p>
    <w:p>
      <w:pPr>
        <w:spacing w:after="0" w:line="207"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Total Hospitality revenues in 2023 include $43.8 million in attrition and cancellation fee collections, a $13.5 million decrease from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was approximately as follows:</w:t>
      </w: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27 %</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r>
    </w:tbl>
    <w:p>
      <w:pPr>
        <w:spacing w:after="0" w:line="17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type of group based on rooms sold for our Hospitality segment for the years ended December 31 was approximately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Groups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Associations</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34 %</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Groups</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hotel expenses for the following years ended December 31 included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180" w:type="dxa"/>
            <w:vAlign w:val="bottom"/>
          </w:tcPr>
          <w:p>
            <w:pPr>
              <w:spacing w:after="0"/>
              <w:rPr>
                <w:sz w:val="15"/>
                <w:szCs w:val="15"/>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$ 176,112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$ 153,882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101,771</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27,128</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33,650</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33,947</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261,210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232,639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164,945</w:t>
            </w:r>
          </w:p>
        </w:tc>
      </w:tr>
      <w:tr>
        <w:trPr>
          <w:trHeight w:val="210"/>
        </w:trPr>
        <w:tc>
          <w:tcPr>
            <w:tcW w:w="28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$ 519,328</w:t>
            </w:r>
          </w:p>
        </w:tc>
        <w:tc>
          <w:tcPr>
            <w:tcW w:w="8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$ 457,291</w:t>
            </w:r>
          </w:p>
        </w:tc>
        <w:tc>
          <w:tcPr>
            <w:tcW w:w="8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327,791</w:t>
            </w:r>
          </w:p>
        </w:tc>
      </w:tr>
      <w:tr>
        <w:trPr>
          <w:trHeight w:val="20"/>
        </w:trPr>
        <w:tc>
          <w:tcPr>
            <w:tcW w:w="2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2023, as compared to 2022, primarily due to the addition of JW Marriott Hill Country, as well as increases at Gaylord Opryland, Gaylord National and Gaylord Texan associated with increased business levels. Utility costs increased during 2023, as compared to 2022, primarily due to the addition of JW Marriott Hill Country, as well as an increase at Gaylord Opryland associated with increased utility rates. Property taxes increased during 2023, as compared to 2022, primarily due to the addition of JW Marriott Hill Country. Other expenses, which include supplies, advertising, maintenance costs and consulting costs, increased during 2023, as compared to 2022, primarily due to the addition of JW Marriott Hill Country, as well as various increases at Gaylord Opryland, Gaylord National, Gaylord Texan and Gaylord Palms due to increased business levels.</w:t>
      </w:r>
    </w:p>
    <w:p>
      <w:pPr>
        <w:spacing w:after="0" w:line="194"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Each of our management agreements with Marriott requires us to pay Marriott a base management fee based on the gross revenues from the applicable property for each fiscal year or portion thereof. The applicable percentage for our Gaylord Hotels properties, excluding Gaylord Rockies, is approximately 2% of gross revenues, Gaylord Rockies is approximately 3% of gross revenues, and JW Marriott Hill Country is approximately 3.5% of gross revenues. Additionally, we pay Marriott an incentive management fee based on the profitability of our hotels. We incurred $41.3 million, $33.7 million and $17.1 million in total base management fees to Marriott related to our Hospitality segment during 2023, 2022 and 2021, respectively. We also incurred $28.3 million, $12.8 million and $0 in incentive management fees for our Hospitality segment during 2023, 2022 and 2021, respectively. Management fees are presented throughout this Annual Report on Form 10-K net of the amortization of the deferred management rights proceeds discussed in Note 5, “Deferred Management Rights Proceeds,” to the consolidated financial statements included herein.</w:t>
      </w:r>
    </w:p>
    <w:p>
      <w:pPr>
        <w:spacing w:after="0" w:line="194"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Hospitality segment depreciation and amortization expense decreased in 2023, as compared to 2022, primarily as a result of the intangible asset associated with advanced bookings at Gaylord Rockies when we purchased an additional interest in Gaylord Rockies in 2018 becoming fully amortized in 2022, partially offset by the increase related to JW Marriott Hill Country.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Property-Level Results. </w:t>
      </w:r>
      <w:r>
        <w:rPr>
          <w:rFonts w:ascii="Times New Roman" w:cs="Times New Roman" w:eastAsia="Times New Roman" w:hAnsi="Times New Roman"/>
          <w:sz w:val="18"/>
          <w:szCs w:val="18"/>
          <w:color w:val="auto"/>
        </w:rPr>
        <w:t>The following presents the property-level financial results of our Hospitality segment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2022 and 2021. In 2021, these properties experienced higher levels of attrition and cancellations and lower occupancy levels, which are directly related to the COVID-19 pandemic, and experienced heavily transient business. Therefore, the property-level financial results for 2021 are not comparable to 2023, 2022 or to historical periods prior to 2020. Total revenue at each of our Gaylord Hotels properties was lower for 2021 than that of historical periods due to the COVID-19 pandemic. Operating costs at each of our properties were lower for 2021 as a result of cost containment initiatives and lower variable costs due to lower occupancies.</w:t>
      </w:r>
    </w:p>
    <w:p>
      <w:pPr>
        <w:spacing w:after="0" w:line="183" w:lineRule="exact"/>
        <w:rPr>
          <w:sz w:val="20"/>
          <w:szCs w:val="20"/>
          <w:color w:val="auto"/>
        </w:rPr>
      </w:pPr>
    </w:p>
    <w:p>
      <w:pPr>
        <w:ind w:left="60" w:right="1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years ended December 31, 2023, 2022 and 2021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02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000" w:type="dxa"/>
            <w:vAlign w:val="bottom"/>
            <w:gridSpan w:val="3"/>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193,140</w:t>
            </w:r>
          </w:p>
        </w:tc>
        <w:tc>
          <w:tcPr>
            <w:tcW w:w="16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8.6 %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177,860</w:t>
            </w:r>
          </w:p>
        </w:tc>
        <w:tc>
          <w:tcPr>
            <w:tcW w:w="2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63.1 %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109,067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190,992</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19.9 %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159,359</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117.6 %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73,246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90,752</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86,969</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54.6 %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56,254</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474,884</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424,188</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77.8 %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238,567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43,112</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42,377</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56.9 %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102,213</w:t>
            </w:r>
          </w:p>
        </w:tc>
        <w:tc>
          <w:tcPr>
            <w:tcW w:w="16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88,122</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89.6 %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138,828</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126,360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36.2 %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92,793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21,667</w:t>
            </w:r>
          </w:p>
        </w:tc>
        <w:tc>
          <w:tcPr>
            <w:tcW w:w="16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54.5 %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14,028</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273.7 %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33,510</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34,406</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34,117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 (1)</w:t>
            </w:r>
          </w:p>
        </w:tc>
        <w:tc>
          <w:tcPr>
            <w:tcW w:w="1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339,330</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11.1 %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305,293</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49.5 %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204,155</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135,554</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14.0 %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118,895</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245.5 %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34,412</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73.0 %</w:t>
            </w:r>
          </w:p>
        </w:tc>
        <w:tc>
          <w:tcPr>
            <w:tcW w:w="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 pts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69.5 %</w:t>
            </w:r>
          </w:p>
        </w:tc>
        <w:tc>
          <w:tcPr>
            <w:tcW w:w="100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25.3 pts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44.2 %</w:t>
            </w:r>
          </w:p>
        </w:tc>
        <w:tc>
          <w:tcPr>
            <w:tcW w:w="0" w:type="dxa"/>
            <w:vAlign w:val="bottom"/>
          </w:tcPr>
          <w:p>
            <w:pPr>
              <w:spacing w:after="0"/>
              <w:rPr>
                <w:sz w:val="1"/>
                <w:szCs w:val="1"/>
                <w:color w:val="auto"/>
              </w:rPr>
            </w:pPr>
          </w:p>
        </w:tc>
      </w:tr>
      <w:tr>
        <w:trPr>
          <w:trHeight w:val="203"/>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250.96</w:t>
            </w:r>
          </w:p>
        </w:tc>
        <w:tc>
          <w:tcPr>
            <w:tcW w:w="16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3.4 %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242.71</w:t>
            </w:r>
          </w:p>
        </w:tc>
        <w:tc>
          <w:tcPr>
            <w:tcW w:w="2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183.22</w:t>
            </w:r>
          </w:p>
        </w:tc>
        <w:tc>
          <w:tcPr>
            <w:tcW w:w="16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168.73</w:t>
            </w: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450.50</w:t>
            </w:r>
          </w:p>
        </w:tc>
        <w:tc>
          <w:tcPr>
            <w:tcW w:w="1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12.0 %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402.41</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77.8 %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0" w:lineRule="exact"/>
        <w:rPr>
          <w:sz w:val="20"/>
          <w:szCs w:val="20"/>
          <w:color w:val="auto"/>
        </w:rPr>
      </w:pPr>
    </w:p>
    <w:p>
      <w:pPr>
        <w:jc w:val="center"/>
        <w:ind w:left="4420" w:right="1039" w:hanging="4019"/>
        <w:spacing w:after="0" w:line="783" w:lineRule="auto"/>
        <w:tabs>
          <w:tab w:leader="none" w:pos="7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Opryland operating expenses do not include a gain on sale of assets of $0.3 million in 2021.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3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Gaylord Palms results include 302 expansion rooms beginning in June 2021. The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Gaylord Palms for the years ended December 31, 2023, 2022 and 2021 are as follows (in thousands, except percentages and performance metrics):</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98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00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113,235</w:t>
            </w:r>
          </w:p>
        </w:tc>
        <w:tc>
          <w:tcPr>
            <w:tcW w:w="2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103,715</w:t>
            </w:r>
          </w:p>
        </w:tc>
        <w:tc>
          <w:tcPr>
            <w:tcW w:w="2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80.3 %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145,919</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19.1 %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122,515</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132.1 %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52,782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50,462</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53,348</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85.0 %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28,838</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309,616</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279,578</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100.9 %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139,130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22,357</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77.3 %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79,504</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68,564</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100.7 %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99,179</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94,078</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45.3 %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64,766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11,814</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45.7 %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266.0 %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22,267</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 (1)</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238,217</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215,377</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59.7 %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134,860</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71,399</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64,201</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1,403.5 %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73.7 %</w:t>
            </w:r>
          </w:p>
        </w:tc>
        <w:tc>
          <w:tcPr>
            <w:tcW w:w="98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5.3 pts</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68.4 %</w:t>
            </w:r>
          </w:p>
        </w:tc>
        <w:tc>
          <w:tcPr>
            <w:tcW w:w="10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23.8 pts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44.6 %</w:t>
            </w:r>
          </w:p>
        </w:tc>
        <w:tc>
          <w:tcPr>
            <w:tcW w:w="0" w:type="dxa"/>
            <w:vAlign w:val="bottom"/>
          </w:tcPr>
          <w:p>
            <w:pPr>
              <w:spacing w:after="0"/>
              <w:rPr>
                <w:sz w:val="1"/>
                <w:szCs w:val="1"/>
                <w:color w:val="auto"/>
              </w:rPr>
            </w:pPr>
          </w:p>
        </w:tc>
      </w:tr>
      <w:tr>
        <w:trPr>
          <w:trHeight w:val="20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245.04</w:t>
            </w:r>
          </w:p>
        </w:tc>
        <w:tc>
          <w:tcPr>
            <w:tcW w:w="2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241.85</w:t>
            </w:r>
          </w:p>
        </w:tc>
        <w:tc>
          <w:tcPr>
            <w:tcW w:w="2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9.5 %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180.58</w:t>
            </w: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165.40</w:t>
            </w:r>
          </w:p>
        </w:tc>
        <w:tc>
          <w:tcPr>
            <w:tcW w:w="2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493.75</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445.85</w:t>
            </w: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87.2 %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Gaylord Palms operating expenses do not include preopening costs of $0.7 million in 2021.</w:t>
      </w:r>
    </w:p>
    <w:p>
      <w:pPr>
        <w:spacing w:after="0" w:line="223" w:lineRule="exact"/>
        <w:rPr>
          <w:sz w:val="20"/>
          <w:szCs w:val="20"/>
          <w:color w:val="auto"/>
        </w:rPr>
      </w:pPr>
    </w:p>
    <w:p>
      <w:pPr>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years ended December 31, 2023, 2022 and 2021 are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 except percentages and performance metrics):</w:t>
      </w:r>
    </w:p>
    <w:p>
      <w:pPr>
        <w:spacing w:after="0" w:line="167" w:lineRule="exact"/>
        <w:rPr>
          <w:sz w:val="20"/>
          <w:szCs w:val="20"/>
          <w:color w:val="auto"/>
        </w:rPr>
      </w:pPr>
    </w:p>
    <w:tbl>
      <w:tblPr>
        <w:tblLayout w:type="fixed"/>
        <w:tblInd w:w="3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02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98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121,178</w:t>
            </w:r>
          </w:p>
        </w:tc>
        <w:tc>
          <w:tcPr>
            <w:tcW w:w="18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11.2 %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109,017</w:t>
            </w:r>
          </w:p>
        </w:tc>
        <w:tc>
          <w:tcPr>
            <w:tcW w:w="2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51.7 %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171,932</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23.9 %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138,750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97.0 %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70,429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65,289</w:t>
            </w: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59,551</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57.8 %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37,748</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358,399</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16.6 %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307,318</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70.7 %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180,031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26,655</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25,034</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56.9 %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91,686</w:t>
            </w:r>
          </w:p>
        </w:tc>
        <w:tc>
          <w:tcPr>
            <w:tcW w:w="18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78,065</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68.5 %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89,341</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83,569</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36.5 %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61,237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16,067</w:t>
            </w:r>
          </w:p>
        </w:tc>
        <w:tc>
          <w:tcPr>
            <w:tcW w:w="18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84.8 %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8,696</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204.3 %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22,947</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246,696</w:t>
            </w: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219,164</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45.1 %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151,083</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111,703</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26.7 %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88,154</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204.5 %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28,948</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74.9 %</w:t>
            </w:r>
          </w:p>
        </w:tc>
        <w:tc>
          <w:tcPr>
            <w:tcW w:w="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 pts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69.0 %</w:t>
            </w:r>
          </w:p>
        </w:tc>
        <w:tc>
          <w:tcPr>
            <w:tcW w:w="9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 pts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244.21</w:t>
            </w:r>
          </w:p>
        </w:tc>
        <w:tc>
          <w:tcPr>
            <w:tcW w:w="18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2.3 %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238.77</w:t>
            </w:r>
          </w:p>
        </w:tc>
        <w:tc>
          <w:tcPr>
            <w:tcW w:w="2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183.02</w:t>
            </w:r>
          </w:p>
        </w:tc>
        <w:tc>
          <w:tcPr>
            <w:tcW w:w="18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164.65</w:t>
            </w: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541.30</w:t>
            </w:r>
          </w:p>
        </w:tc>
        <w:tc>
          <w:tcPr>
            <w:tcW w:w="1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16.6 %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464.15</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70.7 %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The results of Gaylord National for the years ended December 31, 2023, 2022 and 2021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98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00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119,700</w:t>
            </w:r>
          </w:p>
        </w:tc>
        <w:tc>
          <w:tcPr>
            <w:tcW w:w="2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22.2 %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97,950</w:t>
            </w:r>
          </w:p>
        </w:tc>
        <w:tc>
          <w:tcPr>
            <w:tcW w:w="2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206.0 %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147,346</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24.7 %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118,119</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315.2 %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40,093</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18.7 %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33,780</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78.1 %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18,964</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307,139</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22.9 %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249,849</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214.6 %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79,419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41,981</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37,299</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142.4 %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88,389</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25.9 %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70,209</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198.7 %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95,100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84,981</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49.7 %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56,758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5,635</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34.6 %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454.0 %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33,357</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33,563</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 (1)</w:t>
            </w: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264,462</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14.9 %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230,240</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81.5 %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126,867</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42,677</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117.6 %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19,609</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141.3 %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(47,448)</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68.4 %</w:t>
            </w:r>
          </w:p>
        </w:tc>
        <w:tc>
          <w:tcPr>
            <w:tcW w:w="98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11.9 pts</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56.5 %</w:t>
            </w:r>
          </w:p>
        </w:tc>
        <w:tc>
          <w:tcPr>
            <w:tcW w:w="10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37.4 pts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19.1 %</w:t>
            </w: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240.30</w:t>
            </w:r>
          </w:p>
        </w:tc>
        <w:tc>
          <w:tcPr>
            <w:tcW w:w="2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0.9 %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238.13</w:t>
            </w:r>
          </w:p>
        </w:tc>
        <w:tc>
          <w:tcPr>
            <w:tcW w:w="2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164.30</w:t>
            </w: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134.45</w:t>
            </w:r>
          </w:p>
        </w:tc>
        <w:tc>
          <w:tcPr>
            <w:tcW w:w="2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421.58</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22.9 %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342.94</w:t>
            </w: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214.6 %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0" w:lineRule="exact"/>
        <w:rPr>
          <w:sz w:val="20"/>
          <w:szCs w:val="20"/>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National operating expenses for 2021 include approximately $2.7 million in credits directly related to the COVID-19 pandemic, which includes $2.5 million in payroll tax credits afforded under the CARES Act.</w:t>
      </w:r>
    </w:p>
    <w:p>
      <w:pPr>
        <w:spacing w:after="0" w:line="160" w:lineRule="exact"/>
        <w:rPr>
          <w:sz w:val="20"/>
          <w:szCs w:val="20"/>
          <w:color w:val="auto"/>
        </w:rPr>
      </w:pPr>
    </w:p>
    <w:p>
      <w:pPr>
        <w:ind w:left="60" w:right="3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Rockies Results. </w:t>
      </w:r>
      <w:r>
        <w:rPr>
          <w:rFonts w:ascii="Times New Roman" w:cs="Times New Roman" w:eastAsia="Times New Roman" w:hAnsi="Times New Roman"/>
          <w:sz w:val="18"/>
          <w:szCs w:val="18"/>
          <w:color w:val="auto"/>
        </w:rPr>
        <w:t>The results of Gaylord Rockies for the years ended December 31, 2023, 2022 and 2021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98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00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97,530</w:t>
            </w:r>
          </w:p>
        </w:tc>
        <w:tc>
          <w:tcPr>
            <w:tcW w:w="14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11.4 %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87,587</w:t>
            </w:r>
          </w:p>
        </w:tc>
        <w:tc>
          <w:tcPr>
            <w:tcW w:w="1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86.1 %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132,254</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124,463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135.9 %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36,953</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41,276</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14.3 %</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36,120</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266,737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253,326</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86.3 %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135,942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23,099</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70.7 %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78,079</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73,121</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89.1 %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55,095</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32.2 %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7,935</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7,514</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102.3 %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72,777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221,883</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236,148</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23.2 %</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191,698</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44,854</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161.1 %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17,178</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130.8 %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(55,756)</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73.4 %</w:t>
            </w:r>
          </w:p>
        </w:tc>
        <w:tc>
          <w:tcPr>
            <w:tcW w:w="9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 pts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68.3 %</w:t>
            </w:r>
          </w:p>
        </w:tc>
        <w:tc>
          <w:tcPr>
            <w:tcW w:w="100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28.4 pts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39.9 %</w:t>
            </w:r>
          </w:p>
        </w:tc>
        <w:tc>
          <w:tcPr>
            <w:tcW w:w="0" w:type="dxa"/>
            <w:vAlign w:val="bottom"/>
          </w:tcPr>
          <w:p>
            <w:pPr>
              <w:spacing w:after="0"/>
              <w:rPr>
                <w:sz w:val="1"/>
                <w:szCs w:val="1"/>
                <w:color w:val="auto"/>
              </w:rPr>
            </w:pPr>
          </w:p>
        </w:tc>
      </w:tr>
      <w:tr>
        <w:trPr>
          <w:trHeight w:val="20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242.39</w:t>
            </w:r>
          </w:p>
        </w:tc>
        <w:tc>
          <w:tcPr>
            <w:tcW w:w="14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234.19</w:t>
            </w:r>
          </w:p>
        </w:tc>
        <w:tc>
          <w:tcPr>
            <w:tcW w:w="1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8.8 %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178.02</w:t>
            </w: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159.87</w:t>
            </w: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486.87</w:t>
            </w: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462.39</w:t>
            </w: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86.3 %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JW Marriott Hill Country Results. </w:t>
      </w:r>
      <w:r>
        <w:rPr>
          <w:rFonts w:ascii="Times New Roman" w:cs="Times New Roman" w:eastAsia="Times New Roman" w:hAnsi="Times New Roman"/>
          <w:sz w:val="18"/>
          <w:szCs w:val="18"/>
          <w:color w:val="auto"/>
        </w:rPr>
        <w:t>We purchased JW Marriott Hill Country June 30, 2023. The results of JW Marriott Hill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Country for the period ended December 31, 2023 are as follows (in thousands, except percentages and performance metrics):</w:t>
      </w:r>
    </w:p>
    <w:p>
      <w:pPr>
        <w:spacing w:after="0" w:line="250"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474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90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2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26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16,527</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92,813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2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14,718</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79,630</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13,183</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2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40" w:type="dxa"/>
            <w:vAlign w:val="bottom"/>
            <w:vMerge w:val="continue"/>
          </w:tcPr>
          <w:p>
            <w:pPr>
              <w:spacing w:after="0"/>
              <w:rPr>
                <w:sz w:val="15"/>
                <w:szCs w:val="15"/>
                <w:color w:val="auto"/>
              </w:rPr>
            </w:pPr>
          </w:p>
        </w:tc>
        <w:tc>
          <w:tcPr>
            <w:tcW w:w="2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2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64.9 %</w:t>
            </w:r>
          </w:p>
        </w:tc>
        <w:tc>
          <w:tcPr>
            <w:tcW w:w="0" w:type="dxa"/>
            <w:vAlign w:val="bottom"/>
          </w:tcPr>
          <w:p>
            <w:pPr>
              <w:spacing w:after="0"/>
              <w:rPr>
                <w:sz w:val="1"/>
                <w:szCs w:val="1"/>
                <w:color w:val="auto"/>
              </w:rPr>
            </w:pPr>
          </w:p>
        </w:tc>
      </w:tr>
      <w:tr>
        <w:trPr>
          <w:trHeight w:val="203"/>
        </w:trPr>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290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29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290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Entertainment Segment</w:t>
      </w:r>
    </w:p>
    <w:p>
      <w:pPr>
        <w:spacing w:after="0" w:line="229"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Due to temporary closures and reopenings of various assets related to COVID-19 in 2021, the Entertainment segment financial results for 2021 are not comparable to 2023, 2022 or to historical periods prior to 2020. Entertainment segment financial results for 2023 and 2022 include Block 21 beginning May 31, 2022. The following presents the financial results of our Entertainment segment for the years ended December 31, 2023, 2022 and 2021 (in thousands, except percentages):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40" w:type="dxa"/>
            <w:vAlign w:val="bottom"/>
          </w:tcPr>
          <w:p>
            <w:pPr>
              <w:spacing w:after="0"/>
              <w:rPr>
                <w:sz w:val="18"/>
                <w:szCs w:val="18"/>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324,658</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267,995</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152,790</w:t>
            </w:r>
          </w:p>
        </w:tc>
      </w:tr>
      <w:tr>
        <w:trPr>
          <w:trHeight w:val="216"/>
        </w:trPr>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223,663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188,545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117,753</w:t>
            </w:r>
          </w:p>
        </w:tc>
      </w:tr>
      <w:tr>
        <w:trPr>
          <w:trHeight w:val="216"/>
        </w:trPr>
        <w:tc>
          <w:tcPr>
            <w:tcW w:w="34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w:t>
            </w:r>
          </w:p>
        </w:tc>
      </w:tr>
      <w:tr>
        <w:trPr>
          <w:trHeight w:val="210"/>
        </w:trPr>
        <w:tc>
          <w:tcPr>
            <w:tcW w:w="40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Operating income (1)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20,382</w:t>
            </w:r>
          </w:p>
        </w:tc>
      </w:tr>
      <w:tr>
        <w:trPr>
          <w:trHeight w:val="20"/>
        </w:trPr>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34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63" w:lineRule="exact"/>
        <w:rPr>
          <w:sz w:val="20"/>
          <w:szCs w:val="20"/>
          <w:color w:val="auto"/>
        </w:rPr>
      </w:pPr>
    </w:p>
    <w:p>
      <w:pPr>
        <w:ind w:left="720" w:right="319" w:hanging="319"/>
        <w:spacing w:after="0" w:line="261"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operating income does not include preopening costs of $1.3 million and $0.5 million in 2023 and 2022, respectively. Entertainment segment operating income also does not include loss from unconsolidated joint ventures of $17.3 million, $11.0 million and $9.0 million in 2023, 2022 and 2021, respectively, related to our television network joint venture (“Circle”).</w:t>
      </w:r>
    </w:p>
    <w:p>
      <w:pPr>
        <w:spacing w:after="0" w:line="180"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Revenues, operating expenses and depreciation and amortization increased in our Entertainment segment in 2023, as compared to 2022, primarily due to Block 21, which we acquired in May 2022. In addition, Entertainment segment revenues increased in 2023, as compared to 2022, due to increased revenues throughout our other OEG businesses as a result of increased attendance or volume, as applicable. Entertainment segment operating expenses also increased in 2023, as compared to 2022, due to increased variable expenses associated with higher business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and Other Segment</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presents the financial results of our Corporate and Other segment for the years ended December 31, 2023, 2022 and 2021 (in thousands, except percentages):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140" w:type="dxa"/>
            <w:vAlign w:val="bottom"/>
            <w:vMerge w:val="continue"/>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1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60" w:type="dxa"/>
            <w:vAlign w:val="bottom"/>
            <w:tcBorders>
              <w:bottom w:val="single" w:sz="8" w:color="CCEEFF"/>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(43,656)</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(43,803)</w:t>
            </w:r>
          </w:p>
        </w:tc>
        <w:tc>
          <w:tcPr>
            <w:tcW w:w="10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Corporate segment operating loss for 2022 does not include a loss on sale of assets of $0.5 million.</w:t>
      </w:r>
    </w:p>
    <w:p>
      <w:pPr>
        <w:spacing w:after="0" w:line="225"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Corporate and Other operating expenses, which consist primarily of costs associated with senior management salaries and benefits, legal, human resources, accounting, pension and other administrative costs, decreased slightly in 2023, as compared to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229"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We expense the costs associated with start-up activities and organization costs as incurred. Our preopening costs for 2023 primarily include costs associated with Ole Red Las Vegas, which opened in January 2024. Our preopening costs for 2022 primarily include costs associated with Ole Red Nashville International Airport, which opened in May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Loss on Sale of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Loss on sale of assets for 2022 includes the sale of a parcel of land in Nashville, Tennessee.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Results Affecting Net Income (Loss)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other factors which affected our net income (loss) for the years ended December 31, 2023, 2022 and 2021 (in thousands, except percentages):</w:t>
      </w:r>
    </w:p>
    <w:p>
      <w:pPr>
        <w:spacing w:after="0" w:line="169"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9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9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$ 211,370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$ 148,406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$ 125,347</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272.6 %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6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(1,547)</w:t>
            </w: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Loss from unconsolidated joint ventures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(17,308)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(10,967)</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(8,963)</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330.4 %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93,702</w:t>
            </w: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341.7 %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(38,775)</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(682.2)%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Interest expense increased $63.0 million in 2023, as compared to 2022, due primarily to higher interest rates and higher levels of indebtedness attributable to the 2022 OEG Term Loan and the Block 21 CMBS loan, as well as the May 2023 refinancing and increase of the term loan B and the June 2023 issuance of the $400 Million 7.25% Senior Notes. Our weighted average interest rate on our borrowings, excluding capitalized interest, but including the impact of interest rate swaps, was 6.6% and 5.0% in 2023 and 2022, respectively.</w:t>
      </w:r>
    </w:p>
    <w:p>
      <w:pPr>
        <w:spacing w:after="0" w:line="183" w:lineRule="exact"/>
        <w:rPr>
          <w:sz w:val="20"/>
          <w:szCs w:val="20"/>
          <w:color w:val="auto"/>
        </w:rPr>
      </w:pPr>
    </w:p>
    <w:p>
      <w:pPr>
        <w:ind w:left="60" w:right="579"/>
        <w:spacing w:after="0" w:line="266" w:lineRule="auto"/>
        <w:rPr>
          <w:sz w:val="20"/>
          <w:szCs w:val="20"/>
          <w:color w:val="auto"/>
        </w:rPr>
      </w:pPr>
      <w:r>
        <w:rPr>
          <w:rFonts w:ascii="Times New Roman" w:cs="Times New Roman" w:eastAsia="Times New Roman" w:hAnsi="Times New Roman"/>
          <w:sz w:val="18"/>
          <w:szCs w:val="18"/>
          <w:color w:val="auto"/>
        </w:rPr>
        <w:t>Cash interest expense increased $63.1 million to $200.8 million in 2023, as compared to 2022, and non-cash interest expense, which includes amortization of deferred financing costs and debt discounts or premiums and is offset by capitalized interest, decreased $0.1 million to $10.5 million in 2023, as compared to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left="60" w:right="459"/>
        <w:spacing w:after="0" w:line="289" w:lineRule="auto"/>
        <w:rPr>
          <w:sz w:val="20"/>
          <w:szCs w:val="20"/>
          <w:color w:val="auto"/>
        </w:rPr>
      </w:pPr>
      <w:r>
        <w:rPr>
          <w:rFonts w:ascii="Times New Roman" w:cs="Times New Roman" w:eastAsia="Times New Roman" w:hAnsi="Times New Roman"/>
          <w:sz w:val="17"/>
          <w:szCs w:val="17"/>
          <w:color w:val="auto"/>
        </w:rPr>
        <w:t>Interest income for 2023 primarily includes amounts earned on our larger than historical cash balances, as well as the bonds that were received in connection with the development of Gaylord National, which we hold as notes receivable. Interest income for 2022 primarily includes amounts earned on the bonds associated with Gaylord National.</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27"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As a result of the May 2023 refinancing of our credit facility and the extension of the Gaylord Rockies $800 million term loan, we recognized a loss on extinguishment of debt of $2.3 million in 2023.</w:t>
      </w:r>
    </w:p>
    <w:p>
      <w:pPr>
        <w:spacing w:after="0" w:line="162"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As a result of the June 2022 repayment of our previous $300 million term loan A with the proceeds from a $300 million OEG term loan, we recognized a loss on extinguishment of debt of $1.5 million in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from Unconsolidated Joint Ventures</w:t>
      </w:r>
    </w:p>
    <w:p>
      <w:pPr>
        <w:spacing w:after="0" w:line="22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The loss from unconsolidated joint ventures for 2023 and 2022 represents our equity method share of losses associated with Circle.</w:t>
      </w:r>
    </w:p>
    <w:p>
      <w:pPr>
        <w:spacing w:after="0" w:line="162"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September 2023, we determined to pivot from television network ownership in favor of a distribution approach. Therefore, we and our joint venture partner agreed to wind down Circle, and operations ceased on December 31, 2023. As a result, we incurred a loss related to Circle of approximately $10.5 million, which is included in loss from unconsolidated joint ventures in the accompanying consolidated statement of operations for 2023.</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Gains and (Losses), net</w:t>
      </w:r>
    </w:p>
    <w:p>
      <w:pPr>
        <w:spacing w:after="0" w:line="227" w:lineRule="exact"/>
        <w:rPr>
          <w:sz w:val="20"/>
          <w:szCs w:val="20"/>
          <w:color w:val="auto"/>
        </w:rPr>
      </w:pPr>
    </w:p>
    <w:p>
      <w:pPr>
        <w:ind w:left="60" w:right="219"/>
        <w:spacing w:after="0" w:line="312" w:lineRule="auto"/>
        <w:rPr>
          <w:sz w:val="20"/>
          <w:szCs w:val="20"/>
          <w:color w:val="auto"/>
        </w:rPr>
      </w:pPr>
      <w:r>
        <w:rPr>
          <w:rFonts w:ascii="Times New Roman" w:cs="Times New Roman" w:eastAsia="Times New Roman" w:hAnsi="Times New Roman"/>
          <w:sz w:val="17"/>
          <w:szCs w:val="17"/>
          <w:color w:val="auto"/>
        </w:rPr>
        <w:t>Other gains and (losses), net for 2023 and 2022 primarily includes a gain of $6.1 million and $2.9 million, respectively, from a fund associated with the Gaylord National bonds to reimburse us for certain marketing and maintenance expenses.</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227"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spacing w:after="0" w:line="1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During 2023 and 2022, we recorded an income tax (provision) benefit of $93.7 million and $(38.8) million, respectively. These results differ from the statutory rate primarily due to the REIT dividends paid deduction for both years and a change in valuation allowance at the TRSs in 2023.</w:t>
      </w:r>
    </w:p>
    <w:p>
      <w:pPr>
        <w:spacing w:after="0" w:line="1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We evaluate our deferred tax assets each reporting period to determine if it is more likely than not that those assets will be realized or if a valuation allowance is needed. In the fourth quarter of 2023, due to continued improvement in our financial results coming out of the COVID-19 pandemic and the projected future taxable income of our TRSs, we determined that the release of a significant portion of our federal and state valuation allowance was appropriate. This release of valuation allowance of $112.5 million was the primary factor in the large income tax benefit for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We present the following non-GAAP financial measures, which we believe are useful to investors as key measures of our operating performance:</w:t>
      </w:r>
    </w:p>
    <w:p>
      <w:pPr>
        <w:spacing w:after="0" w:line="158"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EBITDAre, Adjusted EBITDAre and Adjusted EBITDAre, Excluding Noncontrolling Interest in Consolidated Joint Venture Definition</w:t>
      </w:r>
    </w:p>
    <w:p>
      <w:pPr>
        <w:spacing w:after="0" w:line="157"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of the affiliate, and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182"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then calculated as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plus to the extent the following adjustments occurred during the periods presented:</w:t>
      </w:r>
    </w:p>
    <w:p>
      <w:pPr>
        <w:spacing w:after="0" w:line="160"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on bonds;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5"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color w:val="auto"/>
        </w:rPr>
        <w:t>We then exclude the pro rata share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related to noncontrolling interests in consolidated joint ventures to calculate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w:t>
      </w:r>
    </w:p>
    <w:p>
      <w:pPr>
        <w:spacing w:after="0" w:line="15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use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presenting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provides useful information to investors regarding our operating performance and debt leverage metrics.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FFO, Adjusted FFO, and Adjusted FFO available to common stockholders and unit holders Definition</w:t>
      </w:r>
    </w:p>
    <w:p>
      <w:pPr>
        <w:spacing w:after="0" w:line="227"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FFO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To calculate Adjusted FFO available to common stockholders and unit holders, we then exclude, to the extent the following adjustments occurred during the periods presented:</w:t>
      </w:r>
    </w:p>
    <w:p>
      <w:pPr>
        <w:spacing w:after="0" w:line="162" w:lineRule="exact"/>
        <w:rPr>
          <w:sz w:val="20"/>
          <w:szCs w:val="20"/>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 amortization;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discounts or premiums and amortization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 rata adjustments from unconsolidated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other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(benefit);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FFO available to common stockholders and unit holders and Adjusted FFO available to common stockholders and unit holders exclude the ownership portion of the joint ventures not controlled or owned by the Company.</w:t>
      </w:r>
    </w:p>
    <w:p>
      <w:pPr>
        <w:spacing w:after="0" w:line="16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believe that the presentation of FFO available to common stockholders and unit holders and Adjusted FFO available to common stockholders and unit holders provides useful information to investors regarding the performance of our ongoing operations because they are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caution investors that amounts presented in accordance with our definitions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FFO available to common stockholders and unit holders, and Adjusted FFO available to common stockholders and unit holders may not be comparable to similar measures disclosed by other companies, because not all companies calculate these non-GAAP measures in the same manner. These non-GAAP financial measures, and any related per share measures, should not be considered as alternative measures of our Net Income (Loss),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(loss)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the years ended December 31, 2023, 2022 and 2021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Borders>
              <w:bottom w:val="single" w:sz="8" w:color="CCEEFF"/>
            </w:tcBorders>
          </w:tcPr>
          <w:p>
            <w:pPr>
              <w:spacing w:after="0"/>
              <w:rPr>
                <w:sz w:val="15"/>
                <w:szCs w:val="15"/>
                <w:color w:val="auto"/>
              </w:rPr>
            </w:pPr>
          </w:p>
        </w:tc>
        <w:tc>
          <w:tcPr>
            <w:tcW w:w="38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341,800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134,948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(194,801)</w:t>
            </w:r>
          </w:p>
        </w:tc>
      </w:tr>
      <w:tr>
        <w:trPr>
          <w:trHeight w:val="203"/>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189,947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142,656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119,662</w:t>
            </w:r>
          </w:p>
        </w:tc>
      </w:tr>
      <w:tr>
        <w:trPr>
          <w:trHeight w:val="203"/>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(93,702)</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38,775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w:t>
            </w:r>
          </w:p>
        </w:tc>
      </w:tr>
      <w:tr>
        <w:trPr>
          <w:trHeight w:val="203"/>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211,227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208,616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220,357</w:t>
            </w:r>
          </w:p>
        </w:tc>
      </w:tr>
      <w:tr>
        <w:trPr>
          <w:trHeight w:val="203"/>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sale of assets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r>
      <w:tr>
        <w:trPr>
          <w:trHeight w:val="203"/>
        </w:trPr>
        <w:tc>
          <w:tcPr>
            <w:tcW w:w="60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Pro rata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196"/>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17"/>
                <w:szCs w:val="17"/>
                <w:i w:val="1"/>
                <w:iCs w:val="1"/>
                <w:color w:val="auto"/>
              </w:rPr>
              <w:t>re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649,297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525,411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149,933</w:t>
            </w:r>
          </w:p>
        </w:tc>
      </w:tr>
      <w:tr>
        <w:trPr>
          <w:trHeight w:val="203"/>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Preopening costs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w:t>
            </w:r>
          </w:p>
        </w:tc>
      </w:tr>
      <w:tr>
        <w:trPr>
          <w:trHeight w:val="203"/>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4,375</w:t>
            </w:r>
          </w:p>
        </w:tc>
      </w:tr>
      <w:tr>
        <w:trPr>
          <w:trHeight w:val="203"/>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12,104</w:t>
            </w:r>
          </w:p>
        </w:tc>
      </w:tr>
      <w:tr>
        <w:trPr>
          <w:trHeight w:val="203"/>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Pension settlement charge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r>
      <w:tr>
        <w:trPr>
          <w:trHeight w:val="202"/>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income on Gaylord National bonds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5,502</w:t>
            </w:r>
          </w:p>
        </w:tc>
      </w:tr>
      <w:tr>
        <w:trPr>
          <w:trHeight w:val="203"/>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2,949</w:t>
            </w:r>
          </w:p>
        </w:tc>
      </w:tr>
      <w:tr>
        <w:trPr>
          <w:trHeight w:val="203"/>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Transaction costs of acquisitions</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r>
      <w:tr>
        <w:trPr>
          <w:trHeight w:val="203"/>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 rata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 (1)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690,745</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555,854</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177,339</w:t>
            </w:r>
          </w:p>
        </w:tc>
      </w:tr>
      <w:tr>
        <w:trPr>
          <w:trHeight w:val="203"/>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of noncontrolling interest in consolidated joint venture</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(29,884)</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(15,309)</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w:t>
            </w:r>
          </w:p>
        </w:tc>
      </w:tr>
      <w:tr>
        <w:trPr>
          <w:trHeight w:val="19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 in consolidated joint venture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660,861</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540,545</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178,356</w:t>
            </w:r>
          </w:p>
        </w:tc>
      </w:tr>
      <w:tr>
        <w:trPr>
          <w:trHeight w:val="20"/>
        </w:trPr>
        <w:tc>
          <w:tcPr>
            <w:tcW w:w="2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r>
    </w:tbl>
    <w:p>
      <w:pPr>
        <w:spacing w:after="0" w:line="63" w:lineRule="exact"/>
        <w:rPr>
          <w:sz w:val="20"/>
          <w:szCs w:val="20"/>
          <w:color w:val="auto"/>
        </w:rPr>
      </w:pPr>
    </w:p>
    <w:p>
      <w:pPr>
        <w:ind w:left="720" w:right="319" w:hanging="319"/>
        <w:spacing w:after="0" w:line="26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we determined to pivot from television network ownership in favor of a distribution approach. Therefore, we and our joint venture partner agreed to wind down the Circle joint venture, with operations ceasing December 31, 2023. As a result, we incurred a loss related to Circle of approximately $10.5 million in 2023.</w:t>
      </w:r>
    </w:p>
    <w:p>
      <w:pPr>
        <w:spacing w:after="0" w:line="180"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(loss) to FFO and Adjusted FFO for the years ended December 31, 2023, 2022 and 2021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Borders>
              <w:bottom w:val="single" w:sz="8" w:color="CCEEFF"/>
            </w:tcBorders>
          </w:tcPr>
          <w:p>
            <w:pPr>
              <w:spacing w:after="0"/>
              <w:rPr>
                <w:sz w:val="15"/>
                <w:szCs w:val="15"/>
                <w:color w:val="auto"/>
              </w:rPr>
            </w:pPr>
          </w:p>
        </w:tc>
        <w:tc>
          <w:tcPr>
            <w:tcW w:w="36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(194,801)</w:t>
            </w:r>
          </w:p>
        </w:tc>
      </w:tr>
      <w:tr>
        <w:trPr>
          <w:trHeight w:val="216"/>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Noncontrolling interest in consolidated joint venture</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(28,465)</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(5,032)</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16,501</w:t>
            </w:r>
          </w:p>
        </w:tc>
      </w:tr>
      <w:tr>
        <w:trPr>
          <w:trHeight w:val="210"/>
        </w:trPr>
        <w:tc>
          <w:tcPr>
            <w:tcW w:w="5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available to common stockholders and unit holders</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313,335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(178,300)</w:t>
            </w:r>
          </w:p>
        </w:tc>
      </w:tr>
      <w:tr>
        <w:trPr>
          <w:trHeight w:val="216"/>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220,211</w:t>
            </w:r>
          </w:p>
        </w:tc>
      </w:tr>
      <w:tr>
        <w:trPr>
          <w:trHeight w:val="216"/>
        </w:trPr>
        <w:tc>
          <w:tcPr>
            <w:tcW w:w="5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r>
      <w:tr>
        <w:trPr>
          <w:trHeight w:val="216"/>
        </w:trPr>
        <w:tc>
          <w:tcPr>
            <w:tcW w:w="5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available to common stockholders and unit holders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30,915</w:t>
            </w:r>
          </w:p>
        </w:tc>
      </w:tr>
      <w:tr>
        <w:trPr>
          <w:trHeight w:val="216"/>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5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r>
      <w:tr>
        <w:trPr>
          <w:trHeight w:val="216"/>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16"/>
        </w:trPr>
        <w:tc>
          <w:tcPr>
            <w:tcW w:w="5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 (1)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loss on other assets</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5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w:t>
            </w:r>
          </w:p>
        </w:tc>
      </w:tr>
      <w:tr>
        <w:trPr>
          <w:trHeight w:val="216"/>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discounts and premiums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5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r>
      <w:tr>
        <w:trPr>
          <w:trHeight w:val="216"/>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(928)</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5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costs of acquisitions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(95,825)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r>
      <w:tr>
        <w:trPr>
          <w:trHeight w:val="209"/>
        </w:trPr>
        <w:tc>
          <w:tcPr>
            <w:tcW w:w="5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FFO available to common stockholders and unit 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363,501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52,030</w:t>
            </w: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63" w:lineRule="exact"/>
        <w:rPr>
          <w:sz w:val="20"/>
          <w:szCs w:val="20"/>
          <w:color w:val="auto"/>
        </w:rPr>
      </w:pPr>
    </w:p>
    <w:p>
      <w:pPr>
        <w:jc w:val="both"/>
        <w:ind w:left="720" w:right="759" w:hanging="319"/>
        <w:spacing w:after="0" w:line="312" w:lineRule="auto"/>
        <w:tabs>
          <w:tab w:leader="none" w:pos="7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2023, we determined to pivot from television network ownership in favor of a distribution approach. Therefore, we and our joint venture partner agreed to wind down the Circle joint venture, with</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19"/>
        <w:spacing w:after="0" w:line="282" w:lineRule="auto"/>
        <w:rPr>
          <w:sz w:val="20"/>
          <w:szCs w:val="20"/>
          <w:color w:val="auto"/>
        </w:rPr>
      </w:pPr>
      <w:r>
        <w:rPr>
          <w:rFonts w:ascii="Times New Roman" w:cs="Times New Roman" w:eastAsia="Times New Roman" w:hAnsi="Times New Roman"/>
          <w:sz w:val="18"/>
          <w:szCs w:val="18"/>
          <w:color w:val="auto"/>
        </w:rPr>
        <w:t>operations ceasing December 31, 2023. As a result, we incurred a loss related to Circle of approximately $10.5 million in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7"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Cash flow from operating activities is the principal source of cash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our operating expenses, interest payments on debt, maintenance capital expenditures, and dividends to stockholders. During 2023, our net cash flows provided by operating activities were $557.1 million, primarily reflecting our net income before depreciation expense, amortization expense and other non-cash charges of approximately $500.6 million and favorable changes in working capital of approximately $56.5 million. The favorable changes in working capital primarily resulted from an increase in deferred revenues associated with increased advanced room deposits on future hotel room stays.</w:t>
      </w:r>
    </w:p>
    <w:p>
      <w:pPr>
        <w:spacing w:after="0" w:line="18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During 2022, our net cash flows provided by operating activities were $419.9 million, primarily reflecting our net income before depreciation expense, amortization expense and other non-cash charges of approximately $387.6 million, and favorable changes in working capital of approximately $32.3 million. The favorable changes in working capital primarily resulted from an increase in deferred revenues associated with increased advanced ticket purchases at our OEG venues and advanced room deposits on future hotel room stays, and an increase in general accrued expenses, including an increase in management fees and incentive compensation, as a result of the increase in business levels. These favorable changes in working capital were partially offset by an increase in accounts receivable due to an increase in group business at our Gaylord Hotels properties.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During 2023, our primary use of funds for investing activities was the use of $791.5 million in net cash to purchase JW Marriott Hill Country and purchases of property and equipment, which totaled $206.8 million. Purchases of property and equipment consisted primarily of the construction of Ole Red Las Vegas, enhancements at Gaylord Rockies to better position the property for our group customers, a rooms, restaurant and meeting space renovation at Gaylord Palms, enhancements to the offerings at Block 21, and ongoing maintenance capital expenditures for each of our existing properties.</w:t>
      </w:r>
    </w:p>
    <w:p>
      <w:pPr>
        <w:spacing w:after="0" w:line="187"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During 2022, our primary use of funds for investing activities was the use of $94.0 million in net cash to fund a portion of the purchase price of Block 21 and purchases of property and equipment, which totaled $89.5 million. Purchases of property and equipment consisted primarily of enhancements at Gaylord Rockies to better position the property for our group customers, a re-concepting of the food and beverage options at Gaylord National, the construction of our Ole Red locations in Las Vegas and the Nashville International Airport, and ongoing maintenance capital expenditures for our existing properties.</w:t>
      </w:r>
    </w:p>
    <w:p>
      <w:pPr>
        <w:spacing w:after="0" w:line="185"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Provided By Financing Activities. </w:t>
      </w:r>
      <w:r>
        <w:rPr>
          <w:rFonts w:ascii="Times New Roman" w:cs="Times New Roman" w:eastAsia="Times New Roman" w:hAnsi="Times New Roman"/>
          <w:sz w:val="18"/>
          <w:szCs w:val="18"/>
          <w:color w:val="auto"/>
        </w:rPr>
        <w:t>Our cash flows from financing activities primarily reflect the incurrence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 of long-term debt and the payment of cash dividends. During 2023, net cash flows provided by financing activities were $711.9 million, primarily reflecting the issuance of the $400 Million 7.25% Senior Notes, $395.4 million in net proceeds from the issuance of approximately 4.4 million shares of our common stock, and the net borrowing of $121.3 million under our refinanced credit facility, partially offset by the payment of $176.0 million in cash distributions and the payment of $23.4 million in deferred financing costs.</w:t>
      </w:r>
    </w:p>
    <w:p>
      <w:pPr>
        <w:spacing w:after="0" w:line="184" w:lineRule="exact"/>
        <w:rPr>
          <w:sz w:val="20"/>
          <w:szCs w:val="20"/>
          <w:color w:val="auto"/>
        </w:rPr>
      </w:pPr>
    </w:p>
    <w:p>
      <w:pPr>
        <w:jc w:val="both"/>
        <w:ind w:left="60" w:right="299"/>
        <w:spacing w:after="0" w:line="261" w:lineRule="auto"/>
        <w:rPr>
          <w:sz w:val="20"/>
          <w:szCs w:val="20"/>
          <w:color w:val="auto"/>
        </w:rPr>
      </w:pPr>
      <w:r>
        <w:rPr>
          <w:rFonts w:ascii="Times New Roman" w:cs="Times New Roman" w:eastAsia="Times New Roman" w:hAnsi="Times New Roman"/>
          <w:sz w:val="18"/>
          <w:szCs w:val="18"/>
          <w:color w:val="auto"/>
        </w:rPr>
        <w:t>During 2022, net cash flows provided by financing activities were $50.7 million, primarily reflecting the net proceeds of the OEG Transaction of $285.9 million and the incurrence of the OEG Term Loan and the repayment of our former term loan A, partially offset by the repayment of $195.0 million under our credit facility and the payment of $15.4 million in deferred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At December 31, 2023, we had $591.8 million in unrestricted cash and $745.4 million available for borrowing in the aggregate under our revolving credit facility and the OEG revolving debt facility. During 2023, we issued $400 million in new senior notes for net proceeds of $393 million, received net proceeds of $395.4 million from the issuance of approximately 4.4 million shares of our common stock, net borrowed $121.3 million as part of the May 2023 upsizing of our Term Loan B from $370.0 million to $500.0 million, used $791.5 million in net cash to purchase JW Marriott Hill Country, incurred capital expenditures of $206.8 million and paid $176.0 million in cash distributions. These changes, as well as the cash flows provided by operations discussed above, were the primary factors in the increase in our cash balance from 2022 to 2023.</w:t>
      </w:r>
    </w:p>
    <w:p>
      <w:pPr>
        <w:spacing w:after="0" w:line="19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We anticipate investing in our operations during 2024 by spending between approximately $360 million and $440 million in capital expenditures, which includes projects at Gaylord Rockies to construct a new events pavilion, enhance the grand lodge and reposition its food and beverage outlets; enhancements to meeting spaces at Gaylord Opryland to further appeal to our target group customers; a rooms renovation at the W Hotel and common area enhancements at Block 21; the conversion of the Wildhorse Saloon to Category 10; the completion of Ole Red Las Vegas; a rooms renovation at Gaylord Palms; and ongoing maintenance capital for each of our current facilities. Further, our dividend policy provides that we will make minimum dividends of 100% of REIT taxable income annually. Following completion of the one-year extension of the Gaylord Rockies Loan (as defined and discussed below), we currently have no debt maturities until July 2024. We believe we will be able to refinance our debt agreements prior to their maturities, including extension options.</w:t>
      </w:r>
    </w:p>
    <w:p>
      <w:pPr>
        <w:spacing w:after="0" w:line="18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believe that our cash on hand and cash flow from operations, together with amounts available for borrowing under each of our revolving credit facility and the OEG revolving credit facility, will be adequate to fund our general short-term commitments, as well as: (i) current operating expenses, (ii) interest expense on long-term debt obligations, (iii) financing lease and operating lease obligations, (iv) declared dividends and (v) the capital expenditures described above. Our ability to draw on our credit facility and the OEG revolving credit facility is subject to the satisfaction of provisions of the credit facility and the OEG revolving credit facility, as applicable.</w:t>
      </w:r>
    </w:p>
    <w:p>
      <w:pPr>
        <w:spacing w:after="0" w:line="187"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Our outstanding principal debt agreements are described below. At December 31, 2023, there were no defaults under the covenants related to our outstanding debt.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225"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May 18, 2023, we entered into a Credit Agreement (the “Credit Agreement”) among the Company,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 the Operating Partnership, as borrower, certain other subsidiaries of the Company party thereto, as guarantors, certain subsidiaries of the Company party thereto, as pledgors, the lenders party thereto and Wells Fargo Bank, National Association, as administrative agent, which replaced the Company’s previous credit facility. The Credit Agreement provides for a $700.0 million revolving credit facility (the “Revolver”) and a $500.0 million senior secured term loan B (the “Term Loan B”), as well as an accordion feature that will allow us to increase the facilities following the closing date by an aggregate of up to $475 million, which may be allocated between the Revolver and the Term Loan B at our option.</w:t>
      </w:r>
    </w:p>
    <w:p>
      <w:pPr>
        <w:spacing w:after="0" w:line="185"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Each of the Revolver and Term Loan B is guaranteed by us, each of our subsidiaries that own the Gaylord Hotels properties, other than Gaylord Rockies, and certain of our other subsidiaries. Each of the Revolver and the Term Loan B is secured by equity pledges of our subsidiaries that are the fee owners of Gaylord Opryland and Gaylord Texan, their respective direct and indirect parent entities, and the equity of Ryman Hotel Operations Holdco, LLC, a wholly-owned indirect subsidiary of the Company. Assets and equity of Gaylord Rockies and OEG are not subject to the liens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 addition, each of the Revolver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80" w:lineRule="exact"/>
        <w:rPr>
          <w:sz w:val="20"/>
          <w:szCs w:val="20"/>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net leverage ratio of not greater than 6.50x.</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of not less than 1.50x.</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indebtedness must not exceed 30% of consolidated total asset value.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recourse indebtedness must not exceed 10% of consolidated total asset value.</w:t>
      </w:r>
    </w:p>
    <w:p>
      <w:pPr>
        <w:spacing w:after="0" w:line="225"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leverage ratio must not exceed 55% (with the ability to surge to 60% in connection with a material acquisition).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adjusted NOI to unsecured interest expense ratio must not exceed 2.0x.</w:t>
      </w:r>
    </w:p>
    <w:p>
      <w:pPr>
        <w:spacing w:after="0" w:line="225"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74" w:lineRule="exact"/>
        <w:rPr>
          <w:sz w:val="20"/>
          <w:szCs w:val="20"/>
          <w:color w:val="auto"/>
        </w:rPr>
      </w:pPr>
    </w:p>
    <w:p>
      <w:pPr>
        <w:ind w:left="60" w:right="159"/>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Revolving Credit Facility. </w:t>
      </w:r>
      <w:r>
        <w:rPr>
          <w:rFonts w:ascii="Times New Roman" w:cs="Times New Roman" w:eastAsia="Times New Roman" w:hAnsi="Times New Roman"/>
          <w:sz w:val="17"/>
          <w:szCs w:val="17"/>
          <w:color w:val="auto"/>
        </w:rPr>
        <w:t>The maturity date of the Revolver is May 18, 2027, with the option to extend the maturity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a maximum of one additional year through either (i) a single 12-month extension option or (ii) two individual six-month extensions. Borrowings under the Revolver bear interest at an annual rate equal to, at our option, either (i) Adjusted Term SOFR plus the applicable margin ranging from 1.40% to 2.00%, dependent upon our funded debt to total asset value ratio (as defined in the Credit Agreement), (ii) Adjusted Daily Simply SOFR plus the applicable margin ranging from</w:t>
      </w:r>
    </w:p>
    <w:p>
      <w:pPr>
        <w:spacing w:after="0" w:line="1"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1.40% to 2.00%, dependent on our funded debt to total asset value ratio (as defined in the Credit Agreement) or (iii) a base rate as set in the Credit Agreement plus the applicable margin ranging from 0.40% to 1.00%, dependent upon our funded debt to asset value ratio (as defined in the Credit Agreement). Principal is payable in full at maturity, and the Revolver was undrawn at closing.</w:t>
      </w:r>
    </w:p>
    <w:p>
      <w:pPr>
        <w:spacing w:after="0" w:line="189"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For purposes of the Revolver, Adjusted Term SOFR is calculated as the sum of Term SOFR plus an adjustment of 0.10% (all as more specifically described in the Credit Agreement), subject to a floor of 0.00%. Adjusted Daily Simple SOFR is calculated as the sum of SOFR plus an adjustment of 0.10% (all as more specifically described in the Credit Agreement), subject to a floor of 0.00%.</w:t>
      </w:r>
    </w:p>
    <w:p>
      <w:pPr>
        <w:spacing w:after="0" w:line="180"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At December 31, 2023, no amounts were outstanding under the Revolver, and the lending banks had issued $14.6 million of letters of credit under the Credit Agreement, which left $685.4 million of availability under the Revolver (subject to the satisfaction of debt incurrence tests under the indentures governing our $600 million in aggregate principal amount of senior notes due 2029 (the “$600 Million 4.50% Senior Notes”), our $700 million in aggregate principal amount of senior notes due 2027 (the “$700 Million 4.75% Senior Notes”) and our $400 Million 7.25% Senior Notes, which we met at December 31, 2023).</w:t>
      </w:r>
    </w:p>
    <w:p>
      <w:pPr>
        <w:spacing w:after="0" w:line="18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Term Loan B. </w:t>
      </w:r>
      <w:r>
        <w:rPr>
          <w:rFonts w:ascii="Times New Roman" w:cs="Times New Roman" w:eastAsia="Times New Roman" w:hAnsi="Times New Roman"/>
          <w:sz w:val="18"/>
          <w:szCs w:val="18"/>
          <w:color w:val="auto"/>
        </w:rPr>
        <w:t>The Term Loan B has a maturity date of May 18, 2030. The applicable interest rate margins for 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Term Loan B are, at our option, either (i) Term SOFR plus 2.75%, (ii) Daily Simple SOFR plus 2.75% or (iii) a base rate as set in the Credit Agreement plus 1.75%. At December 31, 2023, the interest rate on the Term Loan B was Term SOFR plus 2.75%. The Term Loan B amortizes in equal quarterly installments in aggregate annual amounts equal to 1.0% of the original principal amount of $500.0 million, with the balance due at maturity. In addition, if for any fiscal year there is Excess Cash Flow (as defined in the Credit Agreement), an additional principal amount is required. Amounts borrowed under the Term Loan B that are repaid or prepaid may not be reborrowed. At December 31, 2023, $496.3 million in borrowings were outstanding under the Term Loan B. A portion of the proceeds from the Term Loan B were used to repay in full the approximately $370 million balance of our previous term loan B.</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purposes of the Term Loan B, each of Term SOFR and Daily Simply SOFR are subject to a floor of 0.00%.</w:t>
      </w:r>
    </w:p>
    <w:p>
      <w:pPr>
        <w:spacing w:after="0" w:line="22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$700 Million 4.75% Senior Notes. </w:t>
      </w:r>
      <w:r>
        <w:rPr>
          <w:rFonts w:ascii="Times New Roman" w:cs="Times New Roman" w:eastAsia="Times New Roman" w:hAnsi="Times New Roman"/>
          <w:sz w:val="18"/>
          <w:szCs w:val="18"/>
          <w:color w:val="auto"/>
        </w:rPr>
        <w:t>In September 2019, the Operating Partnership and RHP Finance Corporation (“Finco”)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completed the private placement of $500.0 million in aggregate principal amount of senior notes due 2027,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 $500 Million 4.75% Senior Notes are general unsecured and unsubordinated obligations of the issuing subsidiaries and rank equal in right of payment with such subsidiaries’ existing and future senior unsecured indebtedness, including the $600 Million 4.50%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70" w:lineRule="exact"/>
        <w:rPr>
          <w:sz w:val="20"/>
          <w:szCs w:val="20"/>
          <w:color w:val="auto"/>
        </w:rPr>
      </w:pPr>
    </w:p>
    <w:p>
      <w:pPr>
        <w:ind w:left="60" w:right="159"/>
        <w:spacing w:after="0" w:line="270" w:lineRule="auto"/>
        <w:rPr>
          <w:sz w:val="20"/>
          <w:szCs w:val="20"/>
          <w:color w:val="auto"/>
        </w:rPr>
      </w:pPr>
      <w:r>
        <w:rPr>
          <w:rFonts w:ascii="Times New Roman" w:cs="Times New Roman" w:eastAsia="Times New Roman" w:hAnsi="Times New Roman"/>
          <w:sz w:val="17"/>
          <w:szCs w:val="17"/>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3"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4.75% Senior Notes”). All other terms and conditions of the additional 2027 notes are identical to the $500 Million 4.75% Senior Notes.</w:t>
      </w:r>
    </w:p>
    <w:p>
      <w:pPr>
        <w:spacing w:after="0" w:line="181"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The $700 Million 4.75% Senior Notes are currently redeemable, in whole or in part, at a redemption price expressed as a percentage of the principal amount thereof, which percentage is 102.375%, 101.188%, and 100.00% beginning on October 15 of 2023, 2024, and 2025, respectively, plus accrued and unpaid interest thereon to, but not including, the redemption date.</w:t>
      </w:r>
    </w:p>
    <w:p>
      <w:pPr>
        <w:spacing w:after="0" w:line="13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completed a registered offer to exchange the $700 Million 4.75% Senior Notes for registered notes with substantially identical terms as the $700 Million 4.75% Senior Notes in July 2020.</w:t>
      </w:r>
    </w:p>
    <w:p>
      <w:pPr>
        <w:spacing w:after="0" w:line="119"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i w:val="1"/>
          <w:iCs w:val="1"/>
          <w:color w:val="auto"/>
        </w:rPr>
        <w:t>$400 Million 7.25% Senior Notes</w:t>
      </w:r>
      <w:r>
        <w:rPr>
          <w:rFonts w:ascii="Times New Roman" w:cs="Times New Roman" w:eastAsia="Times New Roman" w:hAnsi="Times New Roman"/>
          <w:sz w:val="17"/>
          <w:szCs w:val="17"/>
          <w:color w:val="auto"/>
        </w:rPr>
        <w:t>. On June 22, 2023, the Operating Partnership and Finco completed the private placement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$400.0 million in aggregate principal amount of 7.25% senior notes due 2028, which are guaranteed by the Company and its subsidiaries that guarantee the Credit Agreement. 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w:t>
      </w:r>
    </w:p>
    <w:p>
      <w:pPr>
        <w:spacing w:after="0" w:line="1"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7.25% per annum, payable semi-annually in cash in arrears on January 15 and July 15 each year, beginning January 15, 2024. The $400 Million 7.25% Senior Notes are general unsecured and unsubordinated obligations of the issuing subsidiaries and rank equal in right of payment with such subsidiaries’ existing and future senior unsecured indebtedness, including the $700 Million 4.75% Senior Notes and $600 Million 4.50% Senior Notes, and senior in right of payment to future subordinated indebtedness, if any. 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92" w:lineRule="exact"/>
        <w:rPr>
          <w:sz w:val="20"/>
          <w:szCs w:val="20"/>
          <w:color w:val="auto"/>
        </w:rPr>
      </w:pPr>
    </w:p>
    <w:p>
      <w:pPr>
        <w:ind w:left="60" w:right="219"/>
        <w:spacing w:after="0" w:line="276" w:lineRule="auto"/>
        <w:rPr>
          <w:sz w:val="20"/>
          <w:szCs w:val="20"/>
          <w:color w:val="auto"/>
        </w:rPr>
      </w:pPr>
      <w:r>
        <w:rPr>
          <w:rFonts w:ascii="Times New Roman" w:cs="Times New Roman" w:eastAsia="Times New Roman" w:hAnsi="Times New Roman"/>
          <w:sz w:val="17"/>
          <w:szCs w:val="17"/>
          <w:color w:val="auto"/>
        </w:rPr>
        <w:t>The $400 Million 7.25% Senior Notes are redeemable before July 15, 2025, in whole or in part, at 100.00%, plus accrued and unpaid interest thereon to, but not including, the redemption date, plus a make-whole premium. The $400 Million</w:t>
      </w:r>
    </w:p>
    <w:p>
      <w:pPr>
        <w:spacing w:after="0" w:line="1" w:lineRule="exact"/>
        <w:rPr>
          <w:sz w:val="20"/>
          <w:szCs w:val="20"/>
          <w:color w:val="auto"/>
        </w:rPr>
      </w:pPr>
    </w:p>
    <w:p>
      <w:pPr>
        <w:ind w:left="60" w:right="419"/>
        <w:spacing w:after="0" w:line="260" w:lineRule="auto"/>
        <w:rPr>
          <w:sz w:val="20"/>
          <w:szCs w:val="20"/>
          <w:color w:val="auto"/>
        </w:rPr>
      </w:pPr>
      <w:r>
        <w:rPr>
          <w:rFonts w:ascii="Times New Roman" w:cs="Times New Roman" w:eastAsia="Times New Roman" w:hAnsi="Times New Roman"/>
          <w:sz w:val="18"/>
          <w:szCs w:val="18"/>
          <w:color w:val="auto"/>
        </w:rPr>
        <w:t>7.25% Senior Notes will be redeemable, in whole or in part, at any time on or after July 15, 2025 at a redemption price expressed as a percentage of the principal amount thereof, which percentage is 103.625%, 101.813% and</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100.000% beginning on July 15 of 2025, 2026, and 2027, respectively, plus accrued and unpaid interest thereon to, but not including, the redemption date.</w:t>
      </w:r>
    </w:p>
    <w:p>
      <w:pPr>
        <w:spacing w:after="0" w:line="16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i w:val="1"/>
          <w:iCs w:val="1"/>
          <w:color w:val="auto"/>
        </w:rPr>
        <w:t>$600 Million 4.50% Senior Notes</w:t>
      </w:r>
      <w:r>
        <w:rPr>
          <w:rFonts w:ascii="Times New Roman" w:cs="Times New Roman" w:eastAsia="Times New Roman" w:hAnsi="Times New Roman"/>
          <w:sz w:val="18"/>
          <w:szCs w:val="18"/>
          <w:color w:val="auto"/>
        </w:rPr>
        <w:t>. On February 17, 2021, the Operating Partnership and Finco completed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of $600.0 million in aggregate principal amount of senior notes due 2029, which are guaranteed by the Company and its subsidiaries that guarantee the Credit Agreement. The $600 Million 4.50% Senior Notes and guarantees were issued pursuant to an indenture by and among the issuing subsidiaries and the guarantors and U.S. Bank National Association as trustee. The $600 Million 4.50% Senior Notes have a maturity date of February 15, 2029 and bear interest at 4.50% per annum, payable semi-annually in cash in arrears on February 15 and August 15 each year. The $600 Million</w:t>
      </w:r>
    </w:p>
    <w:p>
      <w:pPr>
        <w:spacing w:after="0" w:line="2" w:lineRule="exact"/>
        <w:rPr>
          <w:sz w:val="20"/>
          <w:szCs w:val="20"/>
          <w:color w:val="auto"/>
        </w:rPr>
      </w:pPr>
    </w:p>
    <w:p>
      <w:pPr>
        <w:ind w:left="60" w:right="399"/>
        <w:spacing w:after="0" w:line="265" w:lineRule="auto"/>
        <w:rPr>
          <w:sz w:val="20"/>
          <w:szCs w:val="20"/>
          <w:color w:val="auto"/>
        </w:rPr>
      </w:pPr>
      <w:r>
        <w:rPr>
          <w:rFonts w:ascii="Times New Roman" w:cs="Times New Roman" w:eastAsia="Times New Roman" w:hAnsi="Times New Roman"/>
          <w:sz w:val="17"/>
          <w:szCs w:val="17"/>
          <w:color w:val="auto"/>
        </w:rPr>
        <w:t>4.50% Senior Notes are general unsecured and unsubordinated obligations of the issuing subsidiaries and rank equal in right of payment with such subsidiaries’ existing and future senior unsecured indebtedness, including the $700 Million</w:t>
      </w: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4.75%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8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Each of the indentures governing the $700 Million 4.75% Senior Notes, the $600 Million 4.50% Senior Notes and the $400 Million 7.25% Senior Notes contain certain covenants which, among other things and subject to certain exceptions and qualifications, limit the incurrence of additional indebtedness, investments, dividends, transactions with affiliates, assets sales, acquisitions, mergers and consolidations, liens and encumbrances and other matters customarily restricted in such agreements. In addition, if the Company experiences certain kinds of changes of control, the Company must offer to repurchase some or all of the senior notes at 101% of their principal amount, plus accrued and unpaid interest, if any, up to, but excluding, the repurchase date.</w:t>
      </w:r>
    </w:p>
    <w:p>
      <w:pPr>
        <w:spacing w:after="0" w:line="18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$800 Million Term Loan (Gaylord Rockies)</w:t>
      </w:r>
      <w:r>
        <w:rPr>
          <w:rFonts w:ascii="Times New Roman" w:cs="Times New Roman" w:eastAsia="Times New Roman" w:hAnsi="Times New Roman"/>
          <w:sz w:val="18"/>
          <w:szCs w:val="18"/>
          <w:color w:val="auto"/>
        </w:rPr>
        <w:t>. On July 2, 2019, Aurora Convention Center Hotel, LLC (“Hotel Owner”)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Aurora Convention Center Hotel Lessee, LLC (“Tenant” and collectively with Hotel Owner, the “Loan Parties”), subsidiaries of the entities comprising the previous Gaylord Rockies joint venture, entered into a Second Amended and Restated Loan Agreement (the “Gaylord Rockies Loan”) with Wells Fargo Bank, National Association, as administrative agent, which refinanced Gaylord Rockies’s existing $500 million construction loan and $39 million mezzanine loan, which were scheduled to mature in December 2019. The Gaylord Rockies Loan consists of an $800.0 million secured term loan facility and matures July 2, 2024 with two, one-year extension options remaining, subject to certain requirements in the Gaylord Rockies Loan. The first one-year extension option was successfully completed in May 2023. The Gaylord Rockies Loan bears interest at Adjusted Daily Simple SOFR plus 2.50%. We have entered into an interest rate swap to fix the SOFR portion of the interest rate at 5.2105% for the fifth year of the loan. We have designated this interest rate swap as an effective cash flow hedge.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Gaylord Rockies Loan is secured by a deed of trust lien on the Gaylord Rockies real estate and related assets.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Generally, the Gaylord Rockies Loan is non-recourse to the Company, subject to customary non-recourse carve-outs.</w:t>
      </w:r>
    </w:p>
    <w:p>
      <w:pPr>
        <w:spacing w:after="0" w:line="207"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On June 30, 2020, the Loan Parties entered into Amendment No. 1 (the “Loan Amendment”) to the Gaylord Rockies Loan, by and among the Loan Parties, Wells Fargo Bank, National Association, as administrative agent, and the lenders from time to time party thereto. The Loan Amendment modified the Gaylord Rockies Loan to (i) provide for the ability to use cash for certain purposes, even during a Cash Sweep Period (as defined in the Loan Agreement) and (ii) provide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favorable changes to the debt service coverage ratio provisions. The Loan Amendment includes restrictions on distributions to our subsidiaries that own Gaylord Rockies.</w:t>
      </w:r>
    </w:p>
    <w:p>
      <w:pPr>
        <w:spacing w:after="0" w:line="162"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Further, on May 2, 2023, the Loan Parties entered into a Benchmark Replacement Modification Agreement to the Gaylord Rockies Loan Agreement, which replaced LIBOR with Adjusted Daily Simple SOFR.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OEG Credit Agreement</w:t>
      </w:r>
      <w:r>
        <w:rPr>
          <w:rFonts w:ascii="Times New Roman" w:cs="Times New Roman" w:eastAsia="Times New Roman" w:hAnsi="Times New Roman"/>
          <w:sz w:val="18"/>
          <w:szCs w:val="18"/>
          <w:color w:val="auto"/>
        </w:rPr>
        <w:t>. On June 16, 2022, OEG Borrower, LLC (“OEG Borrower”) and OEG Finance, LLC (“OEG</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Finance”), each a wholly owned direct or indirect subsidiary of OEG, entered into a credit agreement (the “OEG Credit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among OEG Borrower, as borrower, OEG Finance, certain subsidiaries of OEG Borrower from time to time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party thereto as guarantors, the lenders party thereto and JPMorgan Chase Bank, N.A., as administrative agent. The OEG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Credit Agreement provides for (i) a senior secured term loan facility in the aggregate principal amount of $300.0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“OEG Term Loan”) and (ii) a senior secured revolving credit facility in an aggregate principal amount not to exceed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$65.0 million (the “OEG Revolver”). The OEG Term Loan matures on June 16, 2029, and the OEG Revolver matures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16, 2027. The OEG Term Loan bears interest at a rate equal to either, at OEG Borrower’s election, (i) the Alternate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Base Rate plus 4.00% or (ii) Adjusted Term SOFR plus 5.00% (all as specifically more described in the OEG Credit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In November 2022, OEG entered into an interest rate swap to fix the SOFR portion of the interest rate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$100.0 million of borrowings at 4.533% through December 2025. The OEG Revolver bears interest at a rate equal to either,</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OEG Borrower’s election, (i) the Alternate Base Rate plus 3.75% or (ii) Adjusted Term SOFR plus 4.25%, which shall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 subject to reduction in the applicable margin based upon OEG’s First Lien Leverage Ratio (all as specifically more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described in the OEG Credit Agreement). The OEG Term Loan and OEG Revolver are each secured by substantially all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assets of OEG Finance and each of its subsidiaries (other than Block 21 and Circle, as more specifically described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OEG Credit Agreement). The net proceeds we received from the OEG Term Loan were used to repay the outstanding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of our former term loan A. At December 31, 2023, $296.3 million was outstanding under the OEG Term Loan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$5.0 million was outstanding under the OEG Revolver.</w:t>
      </w:r>
    </w:p>
    <w:p>
      <w:pPr>
        <w:spacing w:after="0" w:line="205"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i w:val="1"/>
          <w:iCs w:val="1"/>
          <w:color w:val="auto"/>
        </w:rPr>
        <w:t>Block 21 CMBS Loan</w:t>
      </w:r>
      <w:r>
        <w:rPr>
          <w:rFonts w:ascii="Times New Roman" w:cs="Times New Roman" w:eastAsia="Times New Roman" w:hAnsi="Times New Roman"/>
          <w:sz w:val="18"/>
          <w:szCs w:val="18"/>
          <w:color w:val="auto"/>
        </w:rPr>
        <w:t>. At the closing of the purchase of Block 21 on May 31, 2022, a subsidiary of the Company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$136 million, ten-year, non-recourse term loan secured by a mortgage on Block 21 (the “Block 21 CMBS Loan”). The Block 21 CMBS Loan has a fixed interest rate of 5.58% per annum, payable monthly, matures January 5, 2026, and provides for payments due monthly based on a 30-year amortization. At December 31, 2023, $131.9 million was outstanding under the Block 21 CMBS Loan.</w:t>
      </w:r>
    </w:p>
    <w:p>
      <w:pPr>
        <w:spacing w:after="0" w:line="185"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Block 21 CMBS Loan contains customary financial covenants and other restrictions, including sponsor net worth and liquidity requirements, and debt service coverage ratio targets that Block 21 must meet in order to avoid a “Trigger Period,” the occurrence of which does not constitute a default. During the Trigger Period, any cash generated in excess of amounts necessary to fund loan obligations, budgeted operating expenses and specified reserves will not be distributed to Block 21. Block 21 was in a Trigger Period as of our purchase date but exited the Trigger Period with first quarter 2023 results.</w:t>
      </w:r>
    </w:p>
    <w:p>
      <w:pPr>
        <w:spacing w:after="0" w:line="185"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management agreements and pooling agreement with Marriott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Gaylord Hotels properties, excluding Gaylord Rockies, we are subject to certain debt limitations described below.</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225" w:lineRule="exact"/>
        <w:rPr>
          <w:sz w:val="20"/>
          <w:szCs w:val="20"/>
          <w:color w:val="auto"/>
        </w:rPr>
      </w:pPr>
    </w:p>
    <w:p>
      <w:pPr>
        <w:ind w:left="720" w:right="35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6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225" w:lineRule="exact"/>
        <w:rPr>
          <w:sz w:val="20"/>
          <w:szCs w:val="20"/>
          <w:color w:val="auto"/>
        </w:rPr>
      </w:pPr>
    </w:p>
    <w:p>
      <w:pPr>
        <w:ind w:left="720" w:right="19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w:t>
      </w:r>
    </w:p>
    <w:p>
      <w:pPr>
        <w:spacing w:after="0" w:line="27" w:lineRule="exact"/>
        <w:rPr>
          <w:rFonts w:ascii="Times New Roman" w:cs="Times New Roman" w:eastAsia="Times New Roman" w:hAnsi="Times New Roman"/>
          <w:sz w:val="18"/>
          <w:szCs w:val="18"/>
          <w:color w:val="auto"/>
        </w:rPr>
      </w:pPr>
    </w:p>
    <w:p>
      <w:pPr>
        <w:ind w:left="720" w:right="2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prior to closing on any mortgage or mezzanine debt, to (b) annual debt service for the Pooled Hotels, shall equal or exceed 1.2:1.</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Estimated Interest on Principal Debt Agreements</w:t>
      </w:r>
    </w:p>
    <w:p>
      <w:pPr>
        <w:spacing w:after="0" w:line="227"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Based on the stated interest rates on our fixed-rate debt and the rates in effect at December 31, 2023 for our variable-rate debt after considering interest rate swaps, our estimated interest obligations over the next five years are $783.9 million. These estimated obligations are $198.5 million in 2024, $166.4 million in 2025, $158.5 million in 2026, $150.6 million in 2027, and $110.0 million in 2028. Variable rates, as well as outstanding principal balances, could change in future periods. See “Principal Debt Agreements” above for a discussion of our outstanding long-term debt. See “Supplemental Cash Flow Information” in Note 1 to our consolidated financial statements included herein for a discussion of the interest we paid during 2023, 2022 and 2021.</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27" w:lineRule="exact"/>
        <w:rPr>
          <w:sz w:val="20"/>
          <w:szCs w:val="20"/>
          <w:color w:val="auto"/>
        </w:rPr>
      </w:pPr>
    </w:p>
    <w:p>
      <w:pPr>
        <w:ind w:left="60" w:right="439"/>
        <w:spacing w:after="0" w:line="261" w:lineRule="auto"/>
        <w:rPr>
          <w:sz w:val="20"/>
          <w:szCs w:val="20"/>
          <w:color w:val="auto"/>
        </w:rPr>
      </w:pPr>
      <w:r>
        <w:rPr>
          <w:rFonts w:ascii="Times New Roman" w:cs="Times New Roman" w:eastAsia="Times New Roman" w:hAnsi="Times New Roman"/>
          <w:sz w:val="18"/>
          <w:szCs w:val="18"/>
          <w:color w:val="auto"/>
        </w:rPr>
        <w:t>Inflation has had a more meaningful impact on our business during recent periods than in historical periods. However, favorable occupancy, ADR and outside-the-room spend in our Hospitality segment and business levels in our Entertainment segment have reduced the impact of increased operating costs, including increased wages and increased insurance and food and beverage costs, on our financial position and results of operations.</w:t>
      </w:r>
    </w:p>
    <w:p>
      <w:pPr>
        <w:spacing w:after="0" w:line="180"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Additionally, increased interest rates have driven higher interest expense on our higher debt levels. In an effort to mitigate the impact of increased interest rates, at December 31, 2023, 80% of our outstanding debt is fixed-rate debt, after considering the impact of interest rate swaps.</w:t>
      </w:r>
    </w:p>
    <w:p>
      <w:pPr>
        <w:spacing w:after="0" w:line="176"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We continue to monitor inflationary pressures and may need to consider potential mitigation actions in future periods. A prolonged inflationary environment could adversely affect our operating costs, customer spending and bookings, and our financial results.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227" w:lineRule="exact"/>
        <w:rPr>
          <w:sz w:val="20"/>
          <w:szCs w:val="20"/>
          <w:color w:val="auto"/>
        </w:rPr>
      </w:pPr>
    </w:p>
    <w:p>
      <w:pPr>
        <w:ind w:left="60" w:right="119"/>
        <w:spacing w:after="0" w:line="269" w:lineRule="auto"/>
        <w:rPr>
          <w:sz w:val="20"/>
          <w:szCs w:val="20"/>
          <w:color w:val="auto"/>
        </w:rPr>
      </w:pPr>
      <w:r>
        <w:rPr>
          <w:rFonts w:ascii="Times New Roman" w:cs="Times New Roman" w:eastAsia="Times New Roman" w:hAnsi="Times New Roman"/>
          <w:sz w:val="17"/>
          <w:szCs w:val="17"/>
          <w:color w:val="auto"/>
        </w:rPr>
        <w:t>The Company’s $400 Million 7.25% Senior Notes, $600 Million 4.50% Senior Notes and $700 Million 4.75% Senior Notes were each issued by the Issuers and are guaranteed on a senior unsecured basis by the Company (as the parent company), each of the Operating Partnership’s subsidiaries that own the Gaylord Hotels properties, excluding Gaylord Rockies, and certain other of the Company’s subsidiaries, each of which also guarantees the Operating Partnership’s Credit Agreement, as amended (such subsidiary guarantors, together with the Company, the “Guarantors”). The Guarantors</w:t>
      </w:r>
    </w:p>
    <w:p>
      <w:pPr>
        <w:spacing w:after="0" w:line="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these senior notes, and the guarantees are structurally subordinated to all indebtedness and other obligations of such subsidiaries that have not guaranteed these senior notes.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Issuers and the Guarantors on a combined basis and the intercompany balances and transactions between these parties, as well as any investments in or equity in earnings from non-guarantor subsidiaries, have been eliminated (amounts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receivables due from non-guarantor subsidiaries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60" w:type="dxa"/>
            <w:vAlign w:val="bottom"/>
          </w:tcPr>
          <w:p>
            <w:pPr>
              <w:spacing w:after="0"/>
              <w:rPr>
                <w:sz w:val="18"/>
                <w:szCs w:val="18"/>
                <w:color w:val="auto"/>
              </w:rPr>
            </w:pPr>
          </w:p>
        </w:tc>
      </w:tr>
      <w:tr>
        <w:trPr>
          <w:trHeight w:val="21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2,485,488</w:t>
            </w:r>
          </w:p>
        </w:tc>
        <w:tc>
          <w:tcPr>
            <w:tcW w:w="60" w:type="dxa"/>
            <w:vAlign w:val="bottom"/>
          </w:tcPr>
          <w:p>
            <w:pPr>
              <w:spacing w:after="0"/>
              <w:rPr>
                <w:sz w:val="18"/>
                <w:szCs w:val="18"/>
                <w:color w:val="auto"/>
              </w:rPr>
            </w:pPr>
          </w:p>
        </w:tc>
      </w:tr>
      <w:tr>
        <w:trPr>
          <w:trHeight w:val="209"/>
        </w:trPr>
        <w:tc>
          <w:tcPr>
            <w:tcW w:w="7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2,494,081</w:t>
            </w:r>
          </w:p>
        </w:tc>
        <w:tc>
          <w:tcPr>
            <w:tcW w:w="6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2,392,671</w:t>
            </w:r>
          </w:p>
        </w:tc>
        <w:tc>
          <w:tcPr>
            <w:tcW w:w="60" w:type="dxa"/>
            <w:vAlign w:val="bottom"/>
          </w:tcPr>
          <w:p>
            <w:pPr>
              <w:spacing w:after="0"/>
              <w:rPr>
                <w:sz w:val="18"/>
                <w:szCs w:val="18"/>
                <w:color w:val="auto"/>
              </w:rPr>
            </w:pPr>
          </w:p>
        </w:tc>
      </w:tr>
      <w:tr>
        <w:trPr>
          <w:trHeight w:val="249"/>
        </w:trPr>
        <w:tc>
          <w:tcPr>
            <w:tcW w:w="7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2,392,671</w:t>
            </w:r>
          </w:p>
        </w:tc>
        <w:tc>
          <w:tcPr>
            <w:tcW w:w="60" w:type="dxa"/>
            <w:vAlign w:val="bottom"/>
          </w:tcPr>
          <w:p>
            <w:pPr>
              <w:spacing w:after="0"/>
              <w:rPr>
                <w:sz w:val="21"/>
                <w:szCs w:val="21"/>
                <w:color w:val="auto"/>
              </w:rPr>
            </w:pPr>
          </w:p>
        </w:tc>
      </w:tr>
      <w:tr>
        <w:trPr>
          <w:trHeight w:val="197"/>
        </w:trPr>
        <w:tc>
          <w:tcPr>
            <w:tcW w:w="760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Total noncontrolling interest</w:t>
            </w:r>
          </w:p>
        </w:tc>
        <w:tc>
          <w:tcPr>
            <w:tcW w:w="1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3,624</w:t>
            </w:r>
          </w:p>
        </w:tc>
        <w:tc>
          <w:tcPr>
            <w:tcW w:w="6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4"/>
        </w:trPr>
        <w:tc>
          <w:tcPr>
            <w:tcW w:w="7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6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459,749</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expenses to non-guarantor subsidiaries)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133,522</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to non-guarantor subsidiaries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13,554</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312,673</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from non-guarantor subsidiaries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1,252</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208,217</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177,634</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 discusses our consolidated financial statements, which have been prepared in accordance with U.S. generally accepted accounting principles. Accounting estimates are an integral part of the preparation of the consolidated financial statements and the financial reporting process and are based upon current judgments. 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Certain accounting estimates are particularly sensitive because of their complexity and the possibility that future events affecting them may differ materially from our current judgments and estimates.</w:t>
      </w:r>
    </w:p>
    <w:p>
      <w:pPr>
        <w:spacing w:after="0" w:line="188"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This listing of critical accounting policies is not intended to be a comprehensive list of all of our accounting policies. In many cases, the accounting treatment of a particular transaction is specifically dictated by generally accepted accounting principles, with no need for management’s judgment regarding accounting policy. We believe that of our significant accounting policies, which are discussed in Note 1 to the consolidated financial statements included herein, the following involve a higher degree of judgment and complexity.</w:t>
      </w:r>
    </w:p>
    <w:p>
      <w:pPr>
        <w:spacing w:after="0" w:line="179" w:lineRule="exact"/>
        <w:rPr>
          <w:sz w:val="20"/>
          <w:szCs w:val="20"/>
          <w:color w:val="auto"/>
        </w:rPr>
      </w:pPr>
    </w:p>
    <w:p>
      <w:pPr>
        <w:ind w:left="60" w:right="7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Impairment of long-lived and other assets. </w:t>
      </w:r>
      <w:r>
        <w:rPr>
          <w:rFonts w:ascii="Times New Roman" w:cs="Times New Roman" w:eastAsia="Times New Roman" w:hAnsi="Times New Roman"/>
          <w:sz w:val="17"/>
          <w:szCs w:val="17"/>
          <w:color w:val="auto"/>
        </w:rPr>
        <w:t>In accounting for our long-lived and other assets, we assess our long-lived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assets for impairment whenever events or changes in circumstances indicate that the carrying value of the assets or asset groups may not be recoverable. Factors we consider when assessing whether impairment indicators exist include (i) significant under-performance relative to historical or projected future operating results, (ii) significant changes in the manner of our use of assets or the strategy for our overall business, or (iii) significant negative industry or economic trends.</w:t>
      </w:r>
    </w:p>
    <w:p>
      <w:pPr>
        <w:spacing w:after="0" w:line="16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Recoverability of property and equipment and definite-lived intangible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difference between the assets’ carrying amount and their fair value, which is estimated using discounted cash flow analyses that utilize comprehensive cash flow projections, as well as observable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Times New Roman" w:cs="Times New Roman" w:eastAsia="Times New Roman" w:hAnsi="Times New Roman"/>
          <w:sz w:val="17"/>
          <w:szCs w:val="17"/>
          <w:color w:val="auto"/>
        </w:rPr>
        <w:t>market data to the extent available. Estimating the total future undiscounted net cash flows, as well as the fair value of assets or asset groups, if necessary, requires management to make assumptions and projections of future cash flows, long-term growth rates, asset holding periods, and other factors. The assumptions used to assess impairment consider historical trends, macroeconomic conditions, and projections consistent with our operating strategy. Changes in these estimates and assumptions can have a significant impact on the assessment, which could result in material impairment losses.</w:t>
      </w:r>
    </w:p>
    <w:p>
      <w:pPr>
        <w:spacing w:after="0" w:line="164"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losses on financial assets. </w:t>
      </w:r>
      <w:r>
        <w:rPr>
          <w:rFonts w:ascii="Times New Roman" w:cs="Times New Roman" w:eastAsia="Times New Roman" w:hAnsi="Times New Roman"/>
          <w:sz w:val="18"/>
          <w:szCs w:val="18"/>
          <w:color w:val="auto"/>
        </w:rPr>
        <w:t>We assess our financial assets, including the bonds we received in 2008 related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Gaylord National construction (“Gaylord National Bonds”), and our accounts receivable for credit losses utilizing the expected loss model prescribed by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and record a reserve, in the form of an allowance for credit losses, against the amortized cost basis for the portion of the financial asset that will not be recovered due to credit losses.</w:t>
      </w:r>
    </w:p>
    <w:p>
      <w:pPr>
        <w:spacing w:after="0" w:line="18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provide credit loss reserves for the Gaylord National Bonds by comparing the amortized cost basis to their fair value. If the amortized cost basis exceeds the fair value, an expected credit loss exists and the allowance for credit losses is measured as the difference between the bonds’ amortized cost basis and fair value, which is estimated using discounted cash flow analyses that utilize comprehensive cash flow projections over the contractual life of the bonds, as well as observable market data to the extent available. Our estimate of the fair value of the Gaylord National Bonds is sensitive to the significant assumptions of the discounted cash flow analysis, which include the projections of hotel taxes (which are based on expected hotel rooms revenues) and property taxes, both of which are affected by expectations about future market and economic conditions, particularly those in the Washington D.C. market. Further, such assumptions require significant judgment as the Gaylord National Bonds and related projected cash flows continue for an extended period of time through 2037.</w:t>
      </w:r>
    </w:p>
    <w:p>
      <w:pPr>
        <w:spacing w:after="0" w:line="194"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We provide for credit loss reserves for trade receivables based upon a percentage of accounts receivable that considers historical write-offs, current economic conditions, and management’s expectations about future economic conditions, as well as periodic evaluations of the aging of accounts receivable.</w:t>
      </w:r>
    </w:p>
    <w:p>
      <w:pPr>
        <w:spacing w:after="0" w:line="172"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As a REIT, generally we will not be subject to federal corporate income taxes on ordinary taxable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capital gains income from real estate investments that we distribute to our stockholders. We will continue to be required to pay federal and state corporate income taxes on earnings of our TRSs.</w:t>
      </w:r>
    </w:p>
    <w:p>
      <w:pPr>
        <w:spacing w:after="0" w:line="121"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deferred tax assets and liabilities are recognized for the future tax consequences attributable to differences between the financial statement carrying amounts of existing assets and liabilities and their respective tax bases, using enacted tax rates expected to apply to taxable income in the years in which those temporary differences are expected to be recovered or settled.</w:t>
      </w:r>
    </w:p>
    <w:p>
      <w:pPr>
        <w:spacing w:after="0" w:line="12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We must assess the likelihood that we will be able to recover our deferred tax assets. If recovery is not likely, the provision for taxes is increased by recording a reserve, in the form of a valuation allowance, against the estimated deferred tax assets that will not ultimately be recoverable.</w:t>
      </w:r>
    </w:p>
    <w:p>
      <w:pPr>
        <w:spacing w:after="0" w:line="122"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In addition, we must evaluate uncertainties in the application of complex tax regulations in the calculation of tax liabilities. We provide for uncertain tax positions and the related interest and penalties based upon management’s assessment of whether a tax benefit is more likely than not to be sustained upon examination by tax authorities. We make this assessment based on only the technical merits of the tax position. At December 31, 2023 and 2022, we had no accruals for unrecognized tax benefits. We recognize interest and penalties related to uncertain tax positions, if any, in income tax expense. At December 31, 2023 and 2022, we have accrued no interest or penalties related to uncertain tax positions.</w:t>
      </w:r>
    </w:p>
    <w:p>
      <w:pPr>
        <w:spacing w:after="0" w:line="169" w:lineRule="exact"/>
        <w:rPr>
          <w:sz w:val="20"/>
          <w:szCs w:val="20"/>
          <w:color w:val="auto"/>
        </w:rPr>
      </w:pPr>
    </w:p>
    <w:p>
      <w:pPr>
        <w:ind w:left="60" w:right="2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and Purchase Price Allocations. </w:t>
      </w:r>
      <w:r>
        <w:rPr>
          <w:rFonts w:ascii="Times New Roman" w:cs="Times New Roman" w:eastAsia="Times New Roman" w:hAnsi="Times New Roman"/>
          <w:sz w:val="18"/>
          <w:szCs w:val="18"/>
          <w:color w:val="auto"/>
        </w:rPr>
        <w:t>Accounting for the acquisition of an entity as a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becoming the primary beneficiary of a previously unconsolidated variable interest entity, or a significant asset acquisition requires an allocation of the purchase price to the assets acquired and the liabilities assumed in the transaction based on their respective estimated fair values, which requires us to make significant estimates and assumptions regarding the fair value of the acquired assets and liabilities assumed. We may engage third parties to provide valuation services to assist in the fair value determinations of the long-lived assets acquired and the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assumed. The most difficult estimations of individual fair values are those involving long-lived assets, such as property, equipment, and intangible assets, that are assumed as part of the transaction, as well as any noncontrolling interests. When making fair value determinations, we consider market data for similar assets, expected cash flows discounted at risk-adjusted rates, and replacement cost for assets, among other information. Management judgment is required when making the significant assumptions used to value long-lived and identifiable intangible assets, which include projected revenue growth, estimated cash flows, discount rates, and other factors.</w:t>
      </w:r>
    </w:p>
    <w:p>
      <w:pPr>
        <w:spacing w:after="0" w:line="183" w:lineRule="exact"/>
        <w:rPr>
          <w:sz w:val="20"/>
          <w:szCs w:val="20"/>
          <w:color w:val="auto"/>
        </w:rPr>
      </w:pPr>
    </w:p>
    <w:p>
      <w:pPr>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Contingencies. </w:t>
      </w:r>
      <w:r>
        <w:rPr>
          <w:rFonts w:ascii="Times New Roman" w:cs="Times New Roman" w:eastAsia="Times New Roman" w:hAnsi="Times New Roman"/>
          <w:sz w:val="18"/>
          <w:szCs w:val="18"/>
          <w:color w:val="auto"/>
        </w:rPr>
        <w:t>We are subject to various legal proceedings and claims, the outcomes of which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uncertainty. We record an accrual for loss contingencies when a loss is probable and the amount of the loss can be reasonably estimated, the determination of which requires significant judgment. We review these accruals each reporting period and make revisions based on changes in facts and circumstances, but resolution of legal matters in a manner inconsistent with our expectations could have a material impact on our financial condition and operating results.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For a discussion of recently issued accounting standards, see Note 1 to our consolidated financial statements included herein.</w:t>
      </w:r>
    </w:p>
    <w:p>
      <w:pPr>
        <w:spacing w:after="0" w:line="158"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 Our primary exposures to market risk are from changes in interest rates, including the rising interest rates experienced in recent years, and changes in asset values of investments that fund our pension plan. See Item 7, “Management’s Discussion and Analysis of Financial Condition and Results of Operations,” and Item 1A, “Risk Factors,” in this Annual Report on Form 10-K for more discussion on how interest rate increases affect our operations and financial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Related to Changes in Interest Rates</w:t>
      </w:r>
    </w:p>
    <w:p>
      <w:pPr>
        <w:spacing w:after="0" w:line="229" w:lineRule="exact"/>
        <w:rPr>
          <w:sz w:val="20"/>
          <w:szCs w:val="20"/>
          <w:color w:val="auto"/>
        </w:rPr>
      </w:pPr>
    </w:p>
    <w:p>
      <w:pPr>
        <w:ind w:left="60" w:right="619"/>
        <w:spacing w:after="0" w:line="266" w:lineRule="auto"/>
        <w:rPr>
          <w:sz w:val="20"/>
          <w:szCs w:val="20"/>
          <w:color w:val="auto"/>
        </w:rPr>
      </w:pPr>
      <w:r>
        <w:rPr>
          <w:rFonts w:ascii="Times New Roman" w:cs="Times New Roman" w:eastAsia="Times New Roman" w:hAnsi="Times New Roman"/>
          <w:sz w:val="18"/>
          <w:szCs w:val="18"/>
          <w:color w:val="auto"/>
        </w:rPr>
        <w:t>At December 31, 2023, borrowings outstanding under the Term Loan B bore interest at an annual rate of SOFR plus 2.75%. If SOFR were to increase by 100 basis points, our annual interest cost on the $496.3 million in borrowings outstanding at December 31, 2023 would increase by approximately $5.0 million.</w:t>
      </w:r>
    </w:p>
    <w:p>
      <w:pPr>
        <w:spacing w:after="0" w:line="1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At December 31, 2023, borrowings outstanding under the Gaylord Rockies Loan bore interest at an annual rate of SOFR plus 2.50%. We have hedged our interest rate exposure with an interest rate swap that fixes the SOFR portion of interest payments through July 2024. If we do not enter into an additional interest rate swap, and we extend the maturity date of the Gaylord Rockies Loan beyond July 2024, we will be subject to interest rate risk under the Gaylord Rockies Loan from July 2024 through the extended maturity date.</w:t>
      </w:r>
    </w:p>
    <w:p>
      <w:pPr>
        <w:spacing w:after="0" w:line="183"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At December 31, 2023, borrowings outstanding under the OEG Term Loan bore interest at an annual rate of SOFR plus 5.00%. We have hedged our interest rate exposure on $100.0 million of borrowings under the OEG Term Loan with an interest rate swap that fixes the SOFR portion of interest payments through December 2025. If Adjusted Term SOFR were to increase by 100 basis points, our annual interest cost on the $196.3 million in borrowings outstanding under the OEG Term Loan that are not hedged at December 31, 2023 would increase by approximately $2.0 million.</w:t>
      </w:r>
    </w:p>
    <w:p>
      <w:pPr>
        <w:spacing w:after="0" w:line="183"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Certain of our outstanding cash balances are occasionally invested overnight with high credit quality financial institutions. We do not have significant exposure to changing interest rates on invested cash at December 31, 2023. As a result, the interest rate market risk implicit in these investments at December 31, 2023, if any, is low.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Related to Changes in Asset Values that Fund our Pension Plans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December 31, 2023, the value of the investments in the pension fund was $52.6 million,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and an immediate ten percent decrease in the value of the investments in the fund would have reduced the value of the fund by approximately $5.3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Based upon our overall market risk exposures at December 31, 2023, we believe that the effects of changes in interest rates related to our borrowings and asset values of investments that fund our pension plan could be material to our consolidated financial position, results of operations or cash flows.</w:t>
      </w:r>
    </w:p>
    <w:p>
      <w:pPr>
        <w:spacing w:after="0" w:line="172"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9" w:lineRule="exact"/>
        <w:rPr>
          <w:sz w:val="20"/>
          <w:szCs w:val="20"/>
          <w:color w:val="auto"/>
        </w:rPr>
      </w:pPr>
    </w:p>
    <w:p>
      <w:pPr>
        <w:jc w:val="both"/>
        <w:ind w:left="60" w:right="99"/>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contained in the Company’s consolidated financial statements included in the Index beginning on page 77 of this Annual Report on Form 10-K and incorporated by reference herein.</w:t>
      </w:r>
    </w:p>
    <w:p>
      <w:pPr>
        <w:spacing w:after="0" w:line="158"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and Rule 15d-15(e) promulgated under the Securities Exchange Act of 1934, as amended (the “Exchange Act”), as of the end of the period covered by this Annual Report. Based on this evaluation, our principal executive officer and our principal financial officer concluded that our disclosure controls and procedures were effective, as of the end of the period covered by this Annual Report.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183" w:lineRule="exact"/>
        <w:rPr>
          <w:sz w:val="20"/>
          <w:szCs w:val="20"/>
          <w:color w:val="auto"/>
        </w:rPr>
      </w:pPr>
    </w:p>
    <w:p>
      <w:pPr>
        <w:ind w:left="720" w:right="2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9"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ind w:left="60" w:right="159"/>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2023. In making this assessment, management used the criteria set forth by the Committee of Sponsoring Organizations of the Treadway Commission (2013 framework) in Internal Control - Integrated Framework.</w:t>
      </w:r>
    </w:p>
    <w:p>
      <w:pPr>
        <w:spacing w:after="0" w:line="1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Based on management’s assessment and those criteria, management believes that, as of December 31, 2023, the Company’s internal control over financial reporting was effective.</w:t>
      </w:r>
    </w:p>
    <w:p>
      <w:pPr>
        <w:spacing w:after="0" w:line="16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On June 30, 2023, we acquired JW Marriott Hill Country. We are currently in the process of assessing JW Marriott Hill Country’s internal control over financial reporting and integrating the entity’s internal control over financial reporting with our existing internal control over financial reporting. As permitted by SEC regulations, we have excluded JW Marriott Hill Country from our assessment of internal control over financial reporting as of December 31, 2023 since we acquired the entity in June 2023. JW Marriott Hill Country constituted 16.4% and 4.3% of total assets and total revenues, respectively, as of and for the year ended December 31, 2023.</w:t>
      </w:r>
    </w:p>
    <w:p>
      <w:pPr>
        <w:spacing w:after="0" w:line="187"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issued an attestation report on the Company’s internal control over financial reporting, which is included herein.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December 31, 2023 that have materially affected, or are reasonably likely to materially affect, our internal control over financial reporting.</w:t>
      </w:r>
    </w:p>
    <w:p>
      <w:pPr>
        <w:spacing w:after="0" w:line="172"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2023, no director or Section 16 officer adopted or terminated any Rule 10b5-1 trading arrangements or non-Rule 10b5-1 trading arrangements (in each case, as defined in Item 408(a) of Regulation S-K).</w:t>
      </w:r>
    </w:p>
    <w:p>
      <w:pPr>
        <w:spacing w:after="0" w:line="1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ind w:left="60" w:right="179"/>
        <w:spacing w:after="0" w:line="274" w:lineRule="auto"/>
        <w:rPr>
          <w:sz w:val="20"/>
          <w:szCs w:val="20"/>
          <w:color w:val="auto"/>
        </w:rPr>
      </w:pPr>
      <w:r>
        <w:rPr>
          <w:rFonts w:ascii="Times New Roman" w:cs="Times New Roman" w:eastAsia="Times New Roman" w:hAnsi="Times New Roman"/>
          <w:sz w:val="17"/>
          <w:szCs w:val="17"/>
          <w:color w:val="auto"/>
        </w:rPr>
        <w:t>Information about our Board of Directors required by Item 401 of Regulation S-K is incorporated herein by reference to the discussion under the heading “Proposal 1: Election of the Ten (10) Nominees for Director Identified in this Proxy Statement” in our Proxy Statement for the 2024 Annual Meeting of Stockholders, to be filed with the SEC. Information regarding procedures for stockholder nominations to our Board of Directors required by Item 407(c)(3) of Regulation S-K is incorporated by reference to the discussion under the heading “Submitting Stockholder Proposals and Nominations for 2025 Annual Meeting” in our Proxy Statement for the 2024 Annual Meeting of Stockholders, to be filed with the SEC.</w:t>
      </w:r>
    </w:p>
    <w:p>
      <w:pPr>
        <w:spacing w:after="0" w:line="173"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Certain other information concerning executive officers and certain other officers of the Company is included in Item 1 of Part I of this Annual Report on Form 10-K under the caption “Information about our Executive Officers.”</w:t>
      </w:r>
    </w:p>
    <w:p>
      <w:pPr>
        <w:spacing w:after="0" w:line="162"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has a separately designated audit committee of the Board of Directors established in accordance with the Exchange Act. Alvin Bowles, Erin Helgren (as of January 1, 2024), Fazal Merchant and Christine Pantoya currently serve as members of the Audit Committee, and Mr. Merchant serves as its chairman. Our Board of Directors has determined that Mr. Merchant is an “audit committee financial expert” as defined by the SEC and is independent, as that term is defined in the Exchange Act and the listing standards of the New York Stock Exchange.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applicable to the members of our Board of Directors and our officers, including our Principal Executive Officer, Principal Financial Officer and Principal Accounting Officer. In addition, the Board of Directors has adopted Corporate Governance Guidelines and restated charters for our Audit Committee, Human Resources Committee, and Nominating and Corporate Governance Committee. You can access our Code of Business Conduct and Ethics, Corporate Governance Guidelines and current committee charters on our website at www.rymanhp.com or request a copy of any of the foregoing by writing to the following address: Ryman Hospitality Properties, Inc., Attention: Secretary, One Gaylord Drive, Nashville, Tennessee 37214. The Company will make any legally required disclosures regarding amendments to, or waivers of, provisions of the Code of Business Conduct and Ethics, Corporate Governance Guidelines or current committee charters on its website. In accordance with the corporate governance listing standards of the New York Stock Exchange, the Company has designated Mr. Robert S. Prather, Jr. as the lead director at all meetings of non-management directors, which meetings will be held on a regular basis. Stockholders, employees and other interested parties may communicate with Mr. Prather, individual non-management directors, or the non-management directors as a group, by email at boardofdirectors@rymanhp.com.</w:t>
      </w:r>
    </w:p>
    <w:p>
      <w:pPr>
        <w:spacing w:after="0" w:line="183"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discussions under the headings “Director Compensation,” “Compensation Discussion and Analysis,” “Executive Compensation – 2023 Summary Compensation Table,” “2023 Grants of Plan-Based Awards,” “Outstanding Equity Awards at 2023 Fiscal Year End,” “2023 Option Exercises and Stock Vested,” “Company Information – CEO Pay Ratio,” “2023 Pay Versus Performance,” “Other Compensation Information – Pension Benefits,” “Other Compensation Information – Nonqualified Deferred Compensation,” “Other Compensation Information – 2023 Nonqualified Deferred Compensation Table,” “Potential Payments on Termination or Change of Control,” “Company Information – Committees of the Board – Compensation Committee Interlocks and Insider Participation,” and “Human Resources Committee Report” in our Proxy Statement for the 2024 Annual Meeting of Stockholders, to be filed with the SEC.</w:t>
      </w:r>
    </w:p>
    <w:p>
      <w:pPr>
        <w:spacing w:after="0" w:line="184"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discussions under the headings “Stock Ownership” and “Equity Compensation Plan Information” in our Proxy Statement for the 2024 Annual Meeting of Stockholders, to be filed with the SEC.</w:t>
      </w:r>
    </w:p>
    <w:p>
      <w:pPr>
        <w:spacing w:after="0" w:line="1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discussions under the headings “Company Information – Corporate Governance – Independence of Directors” and “Certain Transactions” in our Proxy Statement for the 2024 Annual Meeting of Stockholders, to be filed with the SEC.</w:t>
      </w:r>
    </w:p>
    <w:p>
      <w:pPr>
        <w:spacing w:after="0" w:line="1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 under the heading “Our Independent Registered Public Accounting Firm” in our Proxy Statement for the 2024 Annual Meeting of Stockholders, to be filed with the SEC.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7"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accompanying index to financial statements on page 77 of this Annual Report on Form 10-K is provided in response to this Item.</w:t>
      </w:r>
    </w:p>
    <w:p>
      <w:pPr>
        <w:spacing w:after="0" w:line="160"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 schedules are filed as a part of this report and are included herein beginning on page 118 of this Annual Report on Form 10-K:</w:t>
      </w:r>
    </w:p>
    <w:p>
      <w:pPr>
        <w:spacing w:after="0" w:line="162" w:lineRule="exact"/>
        <w:rPr>
          <w:sz w:val="20"/>
          <w:szCs w:val="20"/>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 – Valuation and Qualifying Accounts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III – Real Estate and Accumulated Depreciation</w:t>
      </w:r>
    </w:p>
    <w:p>
      <w:pPr>
        <w:spacing w:after="0" w:line="225"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All other financial statement schedules for which provision is made in the applicable accounting regulations of the SEC are not required under the related instructions or are inapplicable and, therefore, have been omitted.</w:t>
      </w:r>
    </w:p>
    <w:p>
      <w:pPr>
        <w:spacing w:after="0" w:line="160"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exhibits are filed with this Annual Report on Form 10-K or are incorporated herein by reference:</w:t>
      </w: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180" w:type="dxa"/>
            <w:vAlign w:val="bottom"/>
            <w:gridSpan w:val="15"/>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180" w:type="dxa"/>
            <w:vAlign w:val="bottom"/>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580" w:type="dxa"/>
            <w:vAlign w:val="bottom"/>
            <w:tcBorders>
              <w:top w:val="single" w:sz="8" w:color="auto"/>
              <w:bottom w:val="single" w:sz="8" w:color="0000EE"/>
            </w:tcBorders>
            <w:gridSpan w:val="13"/>
          </w:tcPr>
          <w:p>
            <w:pPr>
              <w:spacing w:after="0" w:line="169"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Amended and Restated Certificate of Incorporation of the Company (incorporated by reference to Exhibit</w:t>
              </w:r>
            </w:hyperlink>
          </w:p>
        </w:tc>
        <w:tc>
          <w:tcPr>
            <w:tcW w:w="220" w:type="dxa"/>
            <w:vAlign w:val="bottom"/>
            <w:tcBorders>
              <w:top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19"/>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Current Report on Form 8-K filed October 1, 2012).</w:t>
              </w:r>
            </w:hyperlink>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7"/>
                <w:szCs w:val="17"/>
                <w:color w:val="auto"/>
              </w:rPr>
            </w:pPr>
          </w:p>
        </w:tc>
        <w:tc>
          <w:tcPr>
            <w:tcW w:w="7820" w:type="dxa"/>
            <w:vAlign w:val="bottom"/>
            <w:gridSpan w:val="19"/>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Second Amended and Restated Bylaws of the Company (incorporated by reference to Exhibit 3.2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Company’s Annual Report on Form 10-K filed February 24, 2023).</w:t>
              </w:r>
            </w:hyperlink>
          </w:p>
        </w:tc>
        <w:tc>
          <w:tcPr>
            <w:tcW w:w="2600" w:type="dxa"/>
            <w:vAlign w:val="bottom"/>
            <w:tcBorders>
              <w:top w:val="single" w:sz="8" w:color="0000EE"/>
            </w:tcBorders>
            <w:gridSpan w:val="5"/>
          </w:tcPr>
          <w:p>
            <w:pPr>
              <w:spacing w:after="0"/>
              <w:rPr>
                <w:sz w:val="17"/>
                <w:szCs w:val="17"/>
                <w:color w:val="auto"/>
              </w:rPr>
            </w:pPr>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17"/>
                <w:szCs w:val="17"/>
                <w:color w:val="auto"/>
              </w:rPr>
            </w:pPr>
          </w:p>
        </w:tc>
        <w:tc>
          <w:tcPr>
            <w:tcW w:w="7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Specimen of Common Stock certificate of the Company (incorporated by reference to Exhibit 4.1 to the</w:t>
              </w:r>
            </w:hyperlink>
          </w:p>
        </w:tc>
        <w:tc>
          <w:tcPr>
            <w:tcW w:w="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19"/>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Company’s Current Report on Form 8-K filed September 24, 2012).</w:t>
              </w:r>
            </w:hyperlink>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18"/>
                <w:szCs w:val="18"/>
                <w:color w:val="auto"/>
              </w:rPr>
            </w:pPr>
          </w:p>
        </w:tc>
        <w:tc>
          <w:tcPr>
            <w:tcW w:w="7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Reference is made to Exhibits 3.1 and 3.2 hereof for instruments defining the rights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stockholders of the Company.</w:t>
            </w:r>
          </w:p>
        </w:tc>
        <w:tc>
          <w:tcPr>
            <w:tcW w:w="0" w:type="dxa"/>
            <w:vAlign w:val="bottom"/>
          </w:tcPr>
          <w:p>
            <w:pPr>
              <w:spacing w:after="0"/>
              <w:rPr>
                <w:sz w:val="1"/>
                <w:szCs w:val="1"/>
                <w:color w:val="auto"/>
              </w:rPr>
            </w:pPr>
          </w:p>
        </w:tc>
      </w:tr>
      <w:tr>
        <w:trPr>
          <w:trHeight w:val="194"/>
        </w:trPr>
        <w:tc>
          <w:tcPr>
            <w:tcW w:w="7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16"/>
                <w:szCs w:val="16"/>
                <w:color w:val="auto"/>
              </w:rPr>
            </w:pPr>
          </w:p>
        </w:tc>
        <w:tc>
          <w:tcPr>
            <w:tcW w:w="7820" w:type="dxa"/>
            <w:vAlign w:val="bottom"/>
            <w:gridSpan w:val="19"/>
          </w:tcPr>
          <w:p>
            <w:pPr>
              <w:spacing w:after="0" w:line="194"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Description of Securities (incorporated by reference to Exhibit 4.3 to the Company’s Annual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89">
              <w:r>
                <w:rPr>
                  <w:rFonts w:ascii="Times New Roman" w:cs="Times New Roman" w:eastAsia="Times New Roman" w:hAnsi="Times New Roman"/>
                  <w:sz w:val="18"/>
                  <w:szCs w:val="18"/>
                  <w:color w:val="0000EE"/>
                  <w:w w:val="98"/>
                </w:rPr>
                <w:t>Form 10-K filed February 25, 2020).</w:t>
              </w:r>
            </w:hyperlink>
          </w:p>
        </w:tc>
        <w:tc>
          <w:tcPr>
            <w:tcW w:w="4760" w:type="dxa"/>
            <w:vAlign w:val="bottom"/>
            <w:tcBorders>
              <w:top w:val="single" w:sz="8" w:color="0000EE"/>
            </w:tcBorders>
            <w:gridSpan w:val="6"/>
          </w:tcPr>
          <w:p>
            <w:pPr>
              <w:spacing w:after="0"/>
              <w:rPr>
                <w:sz w:val="17"/>
                <w:szCs w:val="17"/>
                <w:color w:val="auto"/>
              </w:rPr>
            </w:pPr>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spacing w:after="0"/>
              <w:rPr>
                <w:sz w:val="17"/>
                <w:szCs w:val="17"/>
                <w:color w:val="auto"/>
              </w:rPr>
            </w:pPr>
          </w:p>
        </w:tc>
        <w:tc>
          <w:tcPr>
            <w:tcW w:w="78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Indenture, dated as of September 19, 2019, among RHP Hotel Properties, LP and RHP Finance Corporation,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19"/>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as the issuers, Ryman Hospitality Properties, Inc., as a guarantor, each of the subsidiary guarantors named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therein and U.S. Bank National Association, as trustee, relating to the 4.750% Senior Notes due 2027</w:t>
              </w:r>
            </w:hyperlink>
          </w:p>
        </w:tc>
        <w:tc>
          <w:tcPr>
            <w:tcW w:w="320" w:type="dxa"/>
            <w:vAlign w:val="bottom"/>
            <w:tcBorders>
              <w:top w:val="single" w:sz="8" w:color="0000EE"/>
            </w:tcBorders>
            <w:gridSpan w:val="5"/>
          </w:tcPr>
          <w:p>
            <w:pPr>
              <w:spacing w:after="0"/>
              <w:rPr>
                <w:sz w:val="17"/>
                <w:szCs w:val="17"/>
                <w:color w:val="auto"/>
              </w:rPr>
            </w:pPr>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19"/>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(incorporated by reference to Exhibit 4.1 to the Company’s Current Report on Form 8-K filed September 19,</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r:id="rId90">
              <w:r>
                <w:rPr>
                  <w:rFonts w:ascii="Times New Roman" w:cs="Times New Roman" w:eastAsia="Times New Roman" w:hAnsi="Times New Roman"/>
                  <w:sz w:val="18"/>
                  <w:szCs w:val="18"/>
                  <w:color w:val="0000EE"/>
                  <w:w w:val="90"/>
                </w:rPr>
                <w:t>2019).</w:t>
              </w:r>
            </w:hyperlink>
          </w:p>
        </w:tc>
        <w:tc>
          <w:tcPr>
            <w:tcW w:w="15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17"/>
                <w:szCs w:val="17"/>
                <w:color w:val="auto"/>
              </w:rPr>
            </w:pPr>
          </w:p>
        </w:tc>
        <w:tc>
          <w:tcPr>
            <w:tcW w:w="76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Form of 4.750% Senior Note due 2027 (incorporated by reference to Exhibit 4.2 to the Company’s Current</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19"/>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Report on Form 8-K filed September 19, 2019).</w:t>
              </w:r>
            </w:hyperlink>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360" w:type="dxa"/>
            <w:vAlign w:val="bottom"/>
          </w:tcPr>
          <w:p>
            <w:pPr>
              <w:spacing w:after="0"/>
              <w:rPr>
                <w:sz w:val="17"/>
                <w:szCs w:val="17"/>
                <w:color w:val="auto"/>
              </w:rPr>
            </w:pPr>
          </w:p>
        </w:tc>
        <w:tc>
          <w:tcPr>
            <w:tcW w:w="7820" w:type="dxa"/>
            <w:vAlign w:val="bottom"/>
            <w:gridSpan w:val="19"/>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Supplemental Indenture No. 1, dated as of October 8, 2019, by and among RHP Hotel Properties, LP,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RHP Finance Corporation, as the issuers, Ryman Hospitality Properties, Inc., as a guarantor, each of the</w:t>
              </w:r>
            </w:hyperlink>
          </w:p>
        </w:tc>
        <w:tc>
          <w:tcPr>
            <w:tcW w:w="120" w:type="dxa"/>
            <w:vAlign w:val="bottom"/>
            <w:tcBorders>
              <w:top w:val="single" w:sz="8" w:color="0000EE"/>
            </w:tcBorders>
          </w:tcPr>
          <w:p>
            <w:pPr>
              <w:spacing w:after="0"/>
              <w:rPr>
                <w:sz w:val="17"/>
                <w:szCs w:val="17"/>
                <w:color w:val="auto"/>
              </w:rPr>
            </w:pPr>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19"/>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subsidiary guarantors named therein and U.S. Bank National Association, as trustee, relating to the 4.750%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5740" w:type="dxa"/>
            <w:vAlign w:val="bottom"/>
            <w:gridSpan w:val="1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7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Senior Notes due 2027 (incorporated by reference to Exhibit 4.3 to the Company’s Current Report on Form</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19"/>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8-K filed October 8, 2019).</w:t>
              </w:r>
            </w:hyperlink>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tcBorders>
              <w:top w:val="single" w:sz="8" w:color="0000EE"/>
            </w:tcBorders>
            <w:gridSpan w:val="3"/>
          </w:tcPr>
          <w:p>
            <w:pPr>
              <w:spacing w:after="0"/>
              <w:rPr>
                <w:sz w:val="24"/>
                <w:szCs w:val="24"/>
                <w:color w:val="auto"/>
              </w:rPr>
            </w:pPr>
          </w:p>
        </w:tc>
        <w:tc>
          <w:tcPr>
            <w:tcW w:w="288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7820" w:type="dxa"/>
            <w:vAlign w:val="bottom"/>
            <w:gridSpan w:val="30"/>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Indenture, dated as of February 17, 2021, among RHP Hotel Properties, LP, and RHP Finance Corporation,</w:t>
              </w:r>
            </w:hyperlink>
          </w:p>
        </w:tc>
      </w:tr>
      <w:tr>
        <w:trPr>
          <w:trHeight w:val="196"/>
        </w:trPr>
        <w:tc>
          <w:tcPr>
            <w:tcW w:w="1060" w:type="dxa"/>
            <w:vAlign w:val="bottom"/>
          </w:tcPr>
          <w:p>
            <w:pPr>
              <w:spacing w:after="0"/>
              <w:rPr>
                <w:sz w:val="17"/>
                <w:szCs w:val="17"/>
                <w:color w:val="auto"/>
              </w:rPr>
            </w:pPr>
          </w:p>
        </w:tc>
        <w:tc>
          <w:tcPr>
            <w:tcW w:w="77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as the issuers, Ryman Hospitality Properties, Inc., as a guarantor, each of the guarantors named therein and</w:t>
              </w:r>
            </w:hyperlink>
          </w:p>
        </w:tc>
        <w:tc>
          <w:tcPr>
            <w:tcW w:w="120" w:type="dxa"/>
            <w:vAlign w:val="bottom"/>
            <w:gridSpan w:val="4"/>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U.S. Bank National Association, as trustee, relating to the 4.500% Senior Notes due 2029 (incorporated by</w:t>
              </w:r>
            </w:hyperlink>
          </w:p>
        </w:tc>
      </w:tr>
      <w:tr>
        <w:trPr>
          <w:trHeight w:val="196"/>
        </w:trPr>
        <w:tc>
          <w:tcPr>
            <w:tcW w:w="1060" w:type="dxa"/>
            <w:vAlign w:val="bottom"/>
          </w:tcPr>
          <w:p>
            <w:pPr>
              <w:spacing w:after="0"/>
              <w:rPr>
                <w:sz w:val="17"/>
                <w:szCs w:val="17"/>
                <w:color w:val="auto"/>
              </w:rPr>
            </w:pPr>
          </w:p>
        </w:tc>
        <w:tc>
          <w:tcPr>
            <w:tcW w:w="69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reference to Exhibit 4.1 to the Company’s Current Report on Form 8-K filed February 17, 2021).</w:t>
              </w:r>
            </w:hyperlink>
          </w:p>
        </w:tc>
        <w:tc>
          <w:tcPr>
            <w:tcW w:w="700" w:type="dxa"/>
            <w:vAlign w:val="bottom"/>
            <w:tcBorders>
              <w:top w:val="single" w:sz="8" w:color="0000EE"/>
            </w:tcBorders>
            <w:gridSpan w:val="13"/>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77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Form of 4.500% Senior Note due 2029 (incorporated by reference to Exhibit 4.2 to the Company’s Current</w:t>
              </w:r>
            </w:hyperlink>
          </w:p>
        </w:tc>
        <w:tc>
          <w:tcPr>
            <w:tcW w:w="12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Report on Form 8-K filed February 17, 2021).</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76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Indenture, dated as of June 22, 2023, among RHP Hotel Properties, LP, RHP Finance Corporation, Ryman</w:t>
              </w:r>
            </w:hyperlink>
          </w:p>
        </w:tc>
        <w:tc>
          <w:tcPr>
            <w:tcW w:w="140" w:type="dxa"/>
            <w:vAlign w:val="bottom"/>
            <w:gridSpan w:val="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7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Hospitality Properties, Inc., as a guarantor, each of the other guarantors named therein and U.S. Bank Trust</w:t>
              </w:r>
            </w:hyperlink>
          </w:p>
        </w:tc>
        <w:tc>
          <w:tcPr>
            <w:tcW w:w="12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3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Company, National Association, as trustee (incorporated by reference to Exhibit 4.1 to the Company’s</w:t>
              </w:r>
            </w:hyperlink>
          </w:p>
        </w:tc>
        <w:tc>
          <w:tcPr>
            <w:tcW w:w="460" w:type="dxa"/>
            <w:vAlign w:val="bottom"/>
            <w:gridSpan w:val="1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Current Report on Form 8-K filed June 22, 2023).</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71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Form of 7.250% Senior Note due 2028 (incorporated by reference to Exhibit A to Exhibit 4.1 to the</w:t>
              </w:r>
            </w:hyperlink>
          </w:p>
        </w:tc>
        <w:tc>
          <w:tcPr>
            <w:tcW w:w="640" w:type="dxa"/>
            <w:vAlign w:val="bottom"/>
            <w:gridSpan w:val="1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Company’s Current Report on Form 8-K filed June 22, 2023).</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77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Credit Agreement, dated as of May 18, 2023, among Ryman Hospitality Properties, Inc., as parent and as a</w:t>
              </w:r>
            </w:hyperlink>
          </w:p>
        </w:tc>
        <w:tc>
          <w:tcPr>
            <w:tcW w:w="12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guarantor, RHP Hotel Properties, LP, as borrower, certain other subsidiaries of Ryman Hospitality</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Properties, Inc. party thereto, as guarantors, certain subsidiaries of Ryman Hospitality Properties, Inc. party</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7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thereto, as pledgors, the lenders party thereto and Wells Fargo Bank National Association, as administrative</w:t>
              </w:r>
            </w:hyperlink>
          </w:p>
        </w:tc>
        <w:tc>
          <w:tcPr>
            <w:tcW w:w="6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agent (incorporated by reference to Exhibit 10.1 to the Company’s Current Report on Form 8-K filed May</w:t>
              </w:r>
            </w:hyperlink>
          </w:p>
        </w:tc>
      </w:tr>
      <w:tr>
        <w:trPr>
          <w:trHeight w:val="196"/>
        </w:trPr>
        <w:tc>
          <w:tcPr>
            <w:tcW w:w="10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94">
              <w:r>
                <w:rPr>
                  <w:rFonts w:ascii="Times New Roman" w:cs="Times New Roman" w:eastAsia="Times New Roman" w:hAnsi="Times New Roman"/>
                  <w:sz w:val="18"/>
                  <w:szCs w:val="18"/>
                  <w:color w:val="0000EE"/>
                  <w:w w:val="97"/>
                </w:rPr>
                <w:t>19, 2023).</w:t>
              </w:r>
            </w:hyperlink>
          </w:p>
        </w:tc>
        <w:tc>
          <w:tcPr>
            <w:tcW w:w="106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Opryland Hotel-Florida Ground Lease, dated as of March 3, 1999, by and between Xentury City</w:t>
              </w:r>
            </w:hyperlink>
          </w:p>
        </w:tc>
      </w:tr>
      <w:tr>
        <w:trPr>
          <w:trHeight w:val="20"/>
        </w:trPr>
        <w:tc>
          <w:tcPr>
            <w:tcW w:w="10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Development Company, L.L.C., and Opryland Hotel-Florida Limited Partnership (incorporated by reference</w:t>
              </w:r>
            </w:hyperlink>
          </w:p>
        </w:tc>
      </w:tr>
      <w:tr>
        <w:trPr>
          <w:trHeight w:val="196"/>
        </w:trPr>
        <w:tc>
          <w:tcPr>
            <w:tcW w:w="1060" w:type="dxa"/>
            <w:vAlign w:val="bottom"/>
          </w:tcPr>
          <w:p>
            <w:pPr>
              <w:spacing w:after="0"/>
              <w:rPr>
                <w:sz w:val="17"/>
                <w:szCs w:val="17"/>
                <w:color w:val="auto"/>
              </w:rPr>
            </w:pPr>
          </w:p>
        </w:tc>
        <w:tc>
          <w:tcPr>
            <w:tcW w:w="758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to Exhibit 10.11 to the Company’s Annual Report on Form 10-K for the year ended December 31, 1999).</w:t>
              </w:r>
            </w:hyperlink>
          </w:p>
        </w:tc>
        <w:tc>
          <w:tcPr>
            <w:tcW w:w="22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Hotel/ Convention Center Sublease Agreement, dated as of May 16, 2000, by and between the City of</w:t>
              </w:r>
            </w:hyperlink>
          </w:p>
        </w:tc>
      </w:tr>
      <w:tr>
        <w:trPr>
          <w:trHeight w:val="20"/>
        </w:trPr>
        <w:tc>
          <w:tcPr>
            <w:tcW w:w="10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4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Grapevine, Texas and Opryland Hotel-Texas Limited Partnership (incorporated by reference to Exhibit</w:t>
              </w:r>
            </w:hyperlink>
          </w:p>
        </w:tc>
        <w:tc>
          <w:tcPr>
            <w:tcW w:w="400" w:type="dxa"/>
            <w:vAlign w:val="bottom"/>
            <w:gridSpan w:val="10"/>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6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21</w:t>
              </w:r>
              <w:r>
                <w:rPr>
                  <w:rFonts w:ascii="Times New Roman" w:cs="Times New Roman" w:eastAsia="Times New Roman" w:hAnsi="Times New Roman"/>
                  <w:sz w:val="18"/>
                  <w:szCs w:val="18"/>
                  <w:color w:val="0000EE"/>
                  <w:w w:val="99"/>
                </w:rPr>
                <w:t xml:space="preserve"> to the Company’s Annual Report on Form 10-K for the year ended December 31, 2002).</w:t>
              </w:r>
            </w:hyperlink>
          </w:p>
        </w:tc>
        <w:tc>
          <w:tcPr>
            <w:tcW w:w="1000" w:type="dxa"/>
            <w:vAlign w:val="bottom"/>
            <w:gridSpan w:val="21"/>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74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Sublease Addendum Number 1, dated July 28, 2000, by and between the City of Grapevine, Texas and</w:t>
              </w:r>
            </w:hyperlink>
          </w:p>
        </w:tc>
        <w:tc>
          <w:tcPr>
            <w:tcW w:w="420" w:type="dxa"/>
            <w:vAlign w:val="bottom"/>
            <w:gridSpan w:val="11"/>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5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Opryland Hotel-Texas Limited Partnership (incorporated by reference to Exhibit 10.22 to the Company’s</w:t>
              </w:r>
            </w:hyperlink>
          </w:p>
        </w:tc>
        <w:tc>
          <w:tcPr>
            <w:tcW w:w="260" w:type="dxa"/>
            <w:vAlign w:val="bottom"/>
            <w:gridSpan w:val="8"/>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50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Annual Report on Form 10-K for the year ended December 31, 2002).</w:t>
              </w:r>
            </w:hyperlink>
          </w:p>
        </w:tc>
        <w:tc>
          <w:tcPr>
            <w:tcW w:w="2760" w:type="dxa"/>
            <w:vAlign w:val="bottom"/>
            <w:gridSpan w:val="23"/>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7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First Amended and Restated Agreement of Limited Partnership of RHP Hotel Properties, LP, dated</w:t>
              </w:r>
            </w:hyperlink>
          </w:p>
        </w:tc>
        <w:tc>
          <w:tcPr>
            <w:tcW w:w="680" w:type="dxa"/>
            <w:vAlign w:val="bottom"/>
            <w:gridSpan w:val="16"/>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December 31, 2018 (incorporated by reference to Exhibit 10.1 to the Company’s Current Report on Form 8-</w:t>
              </w:r>
            </w:hyperlink>
          </w:p>
        </w:tc>
      </w:tr>
      <w:tr>
        <w:trPr>
          <w:trHeight w:val="196"/>
        </w:trPr>
        <w:tc>
          <w:tcPr>
            <w:tcW w:w="1060" w:type="dxa"/>
            <w:vAlign w:val="bottom"/>
          </w:tcPr>
          <w:p>
            <w:pPr>
              <w:spacing w:after="0"/>
              <w:rPr>
                <w:sz w:val="17"/>
                <w:szCs w:val="17"/>
                <w:color w:val="auto"/>
              </w:rPr>
            </w:pPr>
          </w:p>
        </w:tc>
        <w:tc>
          <w:tcPr>
            <w:tcW w:w="778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K filed January 7, 2019).</w:t>
              </w:r>
            </w:hyperlink>
          </w:p>
        </w:tc>
        <w:tc>
          <w:tcPr>
            <w:tcW w:w="40" w:type="dxa"/>
            <w:vAlign w:val="bottom"/>
            <w:gridSpan w:val="2"/>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Second Amended and Restated Loan Agreement entered into as of July 2, 2019, among Aurora Convention</w:t>
              </w:r>
            </w:hyperlink>
          </w:p>
        </w:tc>
      </w:tr>
      <w:tr>
        <w:trPr>
          <w:trHeight w:val="20"/>
        </w:trPr>
        <w:tc>
          <w:tcPr>
            <w:tcW w:w="1060" w:type="dxa"/>
            <w:vAlign w:val="bottom"/>
          </w:tcPr>
          <w:p>
            <w:pPr>
              <w:spacing w:after="0" w:line="20" w:lineRule="exact"/>
              <w:rPr>
                <w:sz w:val="1"/>
                <w:szCs w:val="1"/>
                <w:color w:val="auto"/>
              </w:rPr>
            </w:pPr>
          </w:p>
        </w:tc>
        <w:tc>
          <w:tcPr>
            <w:tcW w:w="3940" w:type="dxa"/>
            <w:vAlign w:val="bottom"/>
            <w:gridSpan w:val="5"/>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Center Hotel, LLC, Aurora Convention Center Hotel Lessee, LLC, Wells Fargo Bank, National Association,</w:t>
              </w:r>
            </w:hyperlink>
          </w:p>
        </w:tc>
      </w:tr>
      <w:tr>
        <w:trPr>
          <w:trHeight w:val="196"/>
        </w:trPr>
        <w:tc>
          <w:tcPr>
            <w:tcW w:w="1060" w:type="dxa"/>
            <w:vAlign w:val="bottom"/>
          </w:tcPr>
          <w:p>
            <w:pPr>
              <w:spacing w:after="0"/>
              <w:rPr>
                <w:sz w:val="17"/>
                <w:szCs w:val="17"/>
                <w:color w:val="auto"/>
              </w:rPr>
            </w:pPr>
          </w:p>
        </w:tc>
        <w:tc>
          <w:tcPr>
            <w:tcW w:w="780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as administrative agent, and the financial institutions from time to time party thereto (incorporated by</w:t>
              </w:r>
            </w:hyperlink>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3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reference to Exhibit 10.1 to the Company’s Current Report on Form 8-K filed July 5, 2019).</w:t>
              </w:r>
            </w:hyperlink>
          </w:p>
        </w:tc>
        <w:tc>
          <w:tcPr>
            <w:tcW w:w="480" w:type="dxa"/>
            <w:vAlign w:val="bottom"/>
            <w:gridSpan w:val="13"/>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3940" w:type="dxa"/>
            <w:vAlign w:val="bottom"/>
            <w:gridSpan w:val="5"/>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69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Amendment No. 1 to Second Amended and Restated Loan Agreement and Modification to Loan</w:t>
              </w:r>
            </w:hyperlink>
          </w:p>
        </w:tc>
        <w:tc>
          <w:tcPr>
            <w:tcW w:w="860" w:type="dxa"/>
            <w:vAlign w:val="bottom"/>
            <w:gridSpan w:val="19"/>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Documents, dated as of June 30, 2020, by and among Aurora Convention Center Hotel, LLC, Aurora</w:t>
              </w:r>
            </w:hyperlink>
          </w:p>
        </w:tc>
      </w:tr>
      <w:tr>
        <w:trPr>
          <w:trHeight w:val="20"/>
        </w:trPr>
        <w:tc>
          <w:tcPr>
            <w:tcW w:w="1060" w:type="dxa"/>
            <w:vAlign w:val="bottom"/>
          </w:tcPr>
          <w:p>
            <w:pPr>
              <w:spacing w:after="0" w:line="20" w:lineRule="exact"/>
              <w:rPr>
                <w:sz w:val="1"/>
                <w:szCs w:val="1"/>
                <w:color w:val="auto"/>
              </w:rPr>
            </w:pPr>
          </w:p>
        </w:tc>
        <w:tc>
          <w:tcPr>
            <w:tcW w:w="3940" w:type="dxa"/>
            <w:vAlign w:val="bottom"/>
            <w:gridSpan w:val="5"/>
            <w:shd w:val="clear" w:color="auto" w:fill="0000EE"/>
          </w:tcPr>
          <w:p>
            <w:pPr>
              <w:spacing w:after="0" w:line="20" w:lineRule="exact"/>
              <w:rPr>
                <w:sz w:val="1"/>
                <w:szCs w:val="1"/>
                <w:color w:val="auto"/>
              </w:rPr>
            </w:pPr>
          </w:p>
        </w:tc>
        <w:tc>
          <w:tcPr>
            <w:tcW w:w="3340" w:type="dxa"/>
            <w:vAlign w:val="bottom"/>
            <w:gridSpan w:val="11"/>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Convention Center Hotel Lessee, LLC, Wells Fargo Bank National Association, as administrative agent, and</w:t>
              </w:r>
            </w:hyperlink>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the lenders from time to time party thereto (incorporated by reference to Exhibit 10.2 to the Company’s</w:t>
              </w:r>
            </w:hyperlink>
          </w:p>
        </w:tc>
      </w:tr>
      <w:tr>
        <w:trPr>
          <w:trHeight w:val="196"/>
        </w:trPr>
        <w:tc>
          <w:tcPr>
            <w:tcW w:w="106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Quarterly Report on Form 10-Q filed August 6, 2020).</w:t>
              </w:r>
            </w:hyperlink>
          </w:p>
        </w:tc>
        <w:tc>
          <w:tcPr>
            <w:tcW w:w="3500" w:type="dxa"/>
            <w:vAlign w:val="bottom"/>
            <w:tcBorders>
              <w:top w:val="single" w:sz="8" w:color="0000EE"/>
            </w:tcBorders>
            <w:gridSpan w:val="16"/>
          </w:tcPr>
          <w:p>
            <w:pPr>
              <w:spacing w:after="0"/>
              <w:rPr>
                <w:sz w:val="17"/>
                <w:szCs w:val="17"/>
                <w:color w:val="auto"/>
              </w:rPr>
            </w:pPr>
          </w:p>
        </w:tc>
        <w:tc>
          <w:tcPr>
            <w:tcW w:w="380" w:type="dxa"/>
            <w:vAlign w:val="bottom"/>
            <w:gridSpan w:val="9"/>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Amendment No. 2 to Second Amended and Restated Loan Agreement and Modification to Guaranty, dated</w:t>
              </w:r>
            </w:hyperlink>
          </w:p>
        </w:tc>
      </w:tr>
      <w:tr>
        <w:trPr>
          <w:trHeight w:val="196"/>
        </w:trPr>
        <w:tc>
          <w:tcPr>
            <w:tcW w:w="1060" w:type="dxa"/>
            <w:vAlign w:val="bottom"/>
          </w:tcPr>
          <w:p>
            <w:pPr>
              <w:spacing w:after="0"/>
              <w:rPr>
                <w:sz w:val="17"/>
                <w:szCs w:val="17"/>
                <w:color w:val="auto"/>
              </w:rPr>
            </w:pPr>
          </w:p>
        </w:tc>
        <w:tc>
          <w:tcPr>
            <w:tcW w:w="77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as of May 7, 2021, by and among Aurora Convention Center Hotel, LLC, Aurora Convention Center Hotel</w:t>
              </w:r>
            </w:hyperlink>
          </w:p>
        </w:tc>
        <w:tc>
          <w:tcPr>
            <w:tcW w:w="120" w:type="dxa"/>
            <w:vAlign w:val="bottom"/>
            <w:gridSpan w:val="4"/>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7700" w:type="dxa"/>
            <w:vAlign w:val="bottom"/>
            <w:gridSpan w:val="26"/>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7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Lessee, LLC, Wells Fargo Bank National Association, as administrative agent, and the lenders from time to</w:t>
              </w:r>
            </w:hyperlink>
          </w:p>
        </w:tc>
        <w:tc>
          <w:tcPr>
            <w:tcW w:w="120" w:type="dxa"/>
            <w:vAlign w:val="bottom"/>
            <w:gridSpan w:val="4"/>
          </w:tcPr>
          <w:p>
            <w:pPr>
              <w:spacing w:after="0"/>
              <w:rPr>
                <w:sz w:val="17"/>
                <w:szCs w:val="17"/>
                <w:color w:val="auto"/>
              </w:rPr>
            </w:pPr>
          </w:p>
        </w:tc>
      </w:tr>
    </w:tbl>
    <w:p>
      <w:pPr>
        <w:spacing w:after="0" w:line="9" w:lineRule="exact"/>
        <w:rPr>
          <w:sz w:val="20"/>
          <w:szCs w:val="20"/>
          <w:color w:val="auto"/>
        </w:rPr>
      </w:pPr>
    </w:p>
    <w:p>
      <w:pPr>
        <w:ind w:left="1120" w:right="299"/>
        <w:spacing w:after="0" w:line="282" w:lineRule="auto"/>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time party thereto (incorporated by reference to Exhibit 10.2 to the Company’s Quarterly Report on Form</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10-Q filed August 3, 2021).</w:t>
        </w:r>
      </w:hyperlink>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75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Benchmark Replacement Modification Agreement, dated as of May 2, 2023, by and among Wells Fargo</w:t>
              </w:r>
            </w:hyperlink>
          </w:p>
        </w:tc>
        <w:tc>
          <w:tcPr>
            <w:tcW w:w="320" w:type="dxa"/>
            <w:vAlign w:val="bottom"/>
            <w:gridSpan w:val="1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2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Bank, National Association, as administrative agent, Aurora Convention Center Hotel, LLC, Aurora</w:t>
              </w:r>
            </w:hyperlink>
          </w:p>
        </w:tc>
        <w:tc>
          <w:tcPr>
            <w:tcW w:w="620" w:type="dxa"/>
            <w:vAlign w:val="bottom"/>
            <w:gridSpan w:val="2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Convention Center Hotel Lessee, LLC, and each of the lenders party thereto (relating to the Second</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74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Amended and Restated Loan Agreement entered into as of July 2, 2019, among Aurora Convention Center,</w:t>
              </w:r>
            </w:hyperlink>
          </w:p>
        </w:tc>
        <w:tc>
          <w:tcPr>
            <w:tcW w:w="10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LLC, Aurora Convention Center Hotel Lessee, LLC, Wells Fargo Bank, National Association, as</w:t>
              </w:r>
            </w:hyperlink>
          </w:p>
        </w:tc>
      </w:tr>
      <w:tr>
        <w:trPr>
          <w:trHeight w:val="196"/>
        </w:trPr>
        <w:tc>
          <w:tcPr>
            <w:tcW w:w="1080" w:type="dxa"/>
            <w:vAlign w:val="bottom"/>
          </w:tcPr>
          <w:p>
            <w:pPr>
              <w:spacing w:after="0"/>
              <w:rPr>
                <w:sz w:val="17"/>
                <w:szCs w:val="17"/>
                <w:color w:val="auto"/>
              </w:rPr>
            </w:pPr>
          </w:p>
        </w:tc>
        <w:tc>
          <w:tcPr>
            <w:tcW w:w="69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administrative agent, and the financial institutions from time to time party thereto, as amended)</w:t>
              </w:r>
            </w:hyperlink>
          </w:p>
        </w:tc>
        <w:tc>
          <w:tcPr>
            <w:tcW w:w="860" w:type="dxa"/>
            <w:vAlign w:val="bottom"/>
            <w:gridSpan w:val="2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(incorporated by reference to Exhibit 10.1 to the Company’s Quarterly Report on Form 10-Q for the quarter</w:t>
              </w:r>
            </w:hyperlink>
          </w:p>
        </w:tc>
      </w:tr>
      <w:tr>
        <w:trPr>
          <w:trHeight w:val="196"/>
        </w:trPr>
        <w:tc>
          <w:tcPr>
            <w:tcW w:w="1080" w:type="dxa"/>
            <w:vAlign w:val="bottom"/>
          </w:tcPr>
          <w:p>
            <w:pPr>
              <w:spacing w:after="0"/>
              <w:rPr>
                <w:sz w:val="17"/>
                <w:szCs w:val="17"/>
                <w:color w:val="auto"/>
              </w:rPr>
            </w:pPr>
          </w:p>
        </w:tc>
        <w:tc>
          <w:tcPr>
            <w:tcW w:w="776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ended June 30, 2023).</w:t>
              </w:r>
            </w:hyperlink>
          </w:p>
        </w:tc>
        <w:tc>
          <w:tcPr>
            <w:tcW w:w="8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77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Investment Agreement, dated as of April 4, 2022, by and among the Company, OEG Attractions Holdings,</w:t>
              </w:r>
            </w:hyperlink>
          </w:p>
        </w:tc>
        <w:tc>
          <w:tcPr>
            <w:tcW w:w="14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LLC, RHP Hotels, LLC, RHP Hotel Properties, LP, A-OEG Holdings, LLC and Atairos Group, Inc.,</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(incorporated by reference to Exhibit 10.1 to the Company’s Current Report on Form 8-K filed April 5,</w:t>
              </w:r>
            </w:hyperlink>
          </w:p>
        </w:tc>
      </w:tr>
      <w:tr>
        <w:trPr>
          <w:trHeight w:val="196"/>
        </w:trPr>
        <w:tc>
          <w:tcPr>
            <w:tcW w:w="10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04">
              <w:r>
                <w:rPr>
                  <w:rFonts w:ascii="Times New Roman" w:cs="Times New Roman" w:eastAsia="Times New Roman" w:hAnsi="Times New Roman"/>
                  <w:sz w:val="18"/>
                  <w:szCs w:val="18"/>
                  <w:color w:val="0000EE"/>
                  <w:w w:val="94"/>
                </w:rPr>
                <w:t>2022).</w:t>
              </w:r>
            </w:hyperlink>
          </w:p>
        </w:tc>
        <w:tc>
          <w:tcPr>
            <w:tcW w:w="1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First Amendment to Investment Agreement, dated as of May 26, 2022, by and among the Company, OEG</w:t>
              </w:r>
            </w:hyperlink>
          </w:p>
        </w:tc>
      </w:tr>
      <w:tr>
        <w:trPr>
          <w:trHeight w:val="196"/>
        </w:trPr>
        <w:tc>
          <w:tcPr>
            <w:tcW w:w="1080" w:type="dxa"/>
            <w:vAlign w:val="bottom"/>
          </w:tcPr>
          <w:p>
            <w:pPr>
              <w:spacing w:after="0"/>
              <w:rPr>
                <w:sz w:val="17"/>
                <w:szCs w:val="17"/>
                <w:color w:val="auto"/>
              </w:rPr>
            </w:pPr>
          </w:p>
        </w:tc>
        <w:tc>
          <w:tcPr>
            <w:tcW w:w="762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Attractions Holdings, LLC, RHP Hotels, LLC, RHP Hotel Properties, LP, A-OEG Holdings, LLC and</w:t>
              </w:r>
            </w:hyperlink>
          </w:p>
        </w:tc>
        <w:tc>
          <w:tcPr>
            <w:tcW w:w="220" w:type="dxa"/>
            <w:vAlign w:val="bottom"/>
            <w:gridSpan w:val="9"/>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Atairos Group, Inc., (incorporated by reference to Exhibit 10.2 to the Company’s Quarterly Report on Form</w:t>
              </w:r>
            </w:hyperlink>
          </w:p>
        </w:tc>
      </w:tr>
      <w:tr>
        <w:trPr>
          <w:trHeight w:val="196"/>
        </w:trPr>
        <w:tc>
          <w:tcPr>
            <w:tcW w:w="108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10-Q filed August 2, 2022).</w:t>
              </w:r>
            </w:hyperlink>
          </w:p>
        </w:tc>
        <w:tc>
          <w:tcPr>
            <w:tcW w:w="5740" w:type="dxa"/>
            <w:vAlign w:val="bottom"/>
            <w:tcBorders>
              <w:top w:val="single" w:sz="8" w:color="0000EE"/>
            </w:tcBorders>
            <w:gridSpan w:val="28"/>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784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Second Amendment to Investment Agreement, dated as of June 15, 2022, by and among the Company, OEG</w:t>
              </w:r>
            </w:hyperlink>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Attractions Holdings, LLC, RHP Hotels, LLC, RHP Hotel Properties, LP, A-OEG Holdings, LLC and</w:t>
              </w:r>
            </w:hyperlink>
          </w:p>
        </w:tc>
      </w:tr>
      <w:tr>
        <w:trPr>
          <w:trHeight w:val="20"/>
        </w:trPr>
        <w:tc>
          <w:tcPr>
            <w:tcW w:w="10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Atairos Group, Inc., (incorporated by reference to Exhibit 10.3 to the Company’s Quarterly Report on Form</w:t>
              </w:r>
            </w:hyperlink>
          </w:p>
        </w:tc>
      </w:tr>
      <w:tr>
        <w:trPr>
          <w:trHeight w:val="196"/>
        </w:trPr>
        <w:tc>
          <w:tcPr>
            <w:tcW w:w="108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10-Q filed August 2, 2022).</w:t>
              </w:r>
            </w:hyperlink>
          </w:p>
        </w:tc>
        <w:tc>
          <w:tcPr>
            <w:tcW w:w="5740" w:type="dxa"/>
            <w:vAlign w:val="bottom"/>
            <w:tcBorders>
              <w:top w:val="single" w:sz="8" w:color="0000EE"/>
            </w:tcBorders>
            <w:gridSpan w:val="28"/>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Second Amended and Restated Limited Liability Company Agreement for OEG Attractions Holdings, LLC,</w:t>
              </w:r>
            </w:hyperlink>
          </w:p>
        </w:tc>
      </w:tr>
      <w:tr>
        <w:trPr>
          <w:trHeight w:val="20"/>
        </w:trPr>
        <w:tc>
          <w:tcPr>
            <w:tcW w:w="10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2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dated June 16, 2022 (incorporated by reference to Exhibit 10.1 to the Company’s Current Report on Form 8-</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K filed June 16, 2022).</w:t>
              </w:r>
            </w:hyperlink>
          </w:p>
        </w:tc>
      </w:tr>
      <w:tr>
        <w:trPr>
          <w:trHeight w:val="20"/>
        </w:trPr>
        <w:tc>
          <w:tcPr>
            <w:tcW w:w="10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73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First Amendment to Second Amended and Restated Limited Liability Company Agreement for OEG</w:t>
            </w:r>
          </w:p>
        </w:tc>
        <w:tc>
          <w:tcPr>
            <w:tcW w:w="500" w:type="dxa"/>
            <w:vAlign w:val="bottom"/>
            <w:gridSpan w:val="1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Attractions Holdings, LLC, dated January 12, 2024.</w:t>
            </w:r>
          </w:p>
        </w:tc>
      </w:tr>
      <w:tr>
        <w:trPr>
          <w:trHeight w:val="20"/>
        </w:trPr>
        <w:tc>
          <w:tcPr>
            <w:tcW w:w="108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784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The Opryland USA Inc. Supplemental Deferred Compensation Plan (incorporated by reference to Exhibit</w:t>
            </w:r>
          </w:p>
        </w:tc>
      </w:tr>
      <w:tr>
        <w:trPr>
          <w:trHeight w:val="216"/>
        </w:trPr>
        <w:tc>
          <w:tcPr>
            <w:tcW w:w="1080" w:type="dxa"/>
            <w:vAlign w:val="bottom"/>
          </w:tcPr>
          <w:p>
            <w:pPr>
              <w:spacing w:after="0"/>
              <w:rPr>
                <w:sz w:val="18"/>
                <w:szCs w:val="18"/>
                <w:color w:val="auto"/>
              </w:rPr>
            </w:pPr>
          </w:p>
        </w:tc>
        <w:tc>
          <w:tcPr>
            <w:tcW w:w="784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10.11 to the former Gaylord Entertainment Company’s Registration Statement on Form S-1).</w:t>
            </w:r>
          </w:p>
        </w:tc>
      </w:tr>
      <w:tr>
        <w:trPr>
          <w:trHeight w:val="194"/>
        </w:trPr>
        <w:tc>
          <w:tcPr>
            <w:tcW w:w="10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10.16#</w:t>
            </w:r>
          </w:p>
        </w:tc>
        <w:tc>
          <w:tcPr>
            <w:tcW w:w="7800" w:type="dxa"/>
            <w:vAlign w:val="bottom"/>
            <w:tcBorders>
              <w:bottom w:val="single" w:sz="8" w:color="0000EE"/>
            </w:tcBorders>
            <w:gridSpan w:val="35"/>
          </w:tcPr>
          <w:p>
            <w:pPr>
              <w:spacing w:after="0" w:line="194"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Gaylord Entertainment Company Retirement Benefit Restoration Plan (incorporated by reference to Exhibit</w:t>
              </w:r>
            </w:hyperlink>
          </w:p>
        </w:tc>
        <w:tc>
          <w:tcPr>
            <w:tcW w:w="40" w:type="dxa"/>
            <w:vAlign w:val="bottom"/>
            <w:gridSpan w:val="2"/>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6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19</w:t>
              </w:r>
              <w:r>
                <w:rPr>
                  <w:rFonts w:ascii="Times New Roman" w:cs="Times New Roman" w:eastAsia="Times New Roman" w:hAnsi="Times New Roman"/>
                  <w:sz w:val="18"/>
                  <w:szCs w:val="18"/>
                  <w:color w:val="0000EE"/>
                  <w:w w:val="99"/>
                </w:rPr>
                <w:t xml:space="preserve"> to the Company’s Annual Report on Form 10-K for the year ended December 31, 2000).</w:t>
              </w:r>
            </w:hyperlink>
          </w:p>
        </w:tc>
        <w:tc>
          <w:tcPr>
            <w:tcW w:w="980" w:type="dxa"/>
            <w:vAlign w:val="bottom"/>
            <w:gridSpan w:val="24"/>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70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Executive Employment Agreement of Colin V. Reed, dated February 25, 2008, with the Company</w:t>
              </w:r>
            </w:hyperlink>
          </w:p>
        </w:tc>
        <w:tc>
          <w:tcPr>
            <w:tcW w:w="780" w:type="dxa"/>
            <w:vAlign w:val="bottom"/>
            <w:gridSpan w:val="2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(incorporated by reference to Exhibit 10.1 to the Company’s Current Report on Form 8-K filed with the</w:t>
              </w:r>
            </w:hyperlink>
          </w:p>
        </w:tc>
      </w:tr>
      <w:tr>
        <w:trPr>
          <w:trHeight w:val="196"/>
        </w:trPr>
        <w:tc>
          <w:tcPr>
            <w:tcW w:w="108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SEC on February 27, 2008).</w:t>
              </w:r>
            </w:hyperlink>
          </w:p>
        </w:tc>
        <w:tc>
          <w:tcPr>
            <w:tcW w:w="5420" w:type="dxa"/>
            <w:vAlign w:val="bottom"/>
            <w:tcBorders>
              <w:top w:val="single" w:sz="8" w:color="0000EE"/>
            </w:tcBorders>
            <w:gridSpan w:val="15"/>
          </w:tcPr>
          <w:p>
            <w:pPr>
              <w:spacing w:after="0"/>
              <w:rPr>
                <w:sz w:val="17"/>
                <w:szCs w:val="17"/>
                <w:color w:val="auto"/>
              </w:rPr>
            </w:pPr>
          </w:p>
        </w:tc>
        <w:tc>
          <w:tcPr>
            <w:tcW w:w="380" w:type="dxa"/>
            <w:vAlign w:val="bottom"/>
            <w:gridSpan w:val="15"/>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76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First Amendment to Executive Employment Agreement of Colin V. Reed, dated December 18, 2008, with</w:t>
              </w:r>
            </w:hyperlink>
          </w:p>
        </w:tc>
        <w:tc>
          <w:tcPr>
            <w:tcW w:w="20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Company (incorporated by reference to Exhibit 10.3 of the Company’s Current Report on Form 8-K filed</w:t>
              </w:r>
            </w:hyperlink>
          </w:p>
        </w:tc>
        <w:tc>
          <w:tcPr>
            <w:tcW w:w="24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7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with the SEC on December 23, 2008).</w:t>
              </w:r>
            </w:hyperlink>
          </w:p>
        </w:tc>
        <w:tc>
          <w:tcPr>
            <w:tcW w:w="5080" w:type="dxa"/>
            <w:vAlign w:val="bottom"/>
            <w:gridSpan w:val="29"/>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76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Second Amendment to Executive Employment Agreement, dated September 3, 2010, by and between the</w:t>
              </w:r>
            </w:hyperlink>
          </w:p>
        </w:tc>
        <w:tc>
          <w:tcPr>
            <w:tcW w:w="24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Company and Colin V. Reed (incorporated by reference to Exhibit 10.2 to the Company’s Quarterly Report</w:t>
              </w:r>
            </w:hyperlink>
          </w:p>
        </w:tc>
        <w:tc>
          <w:tcPr>
            <w:tcW w:w="12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1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on Form 10-Q for the quarter ended September 30, 2010).</w:t>
              </w:r>
            </w:hyperlink>
          </w:p>
        </w:tc>
        <w:tc>
          <w:tcPr>
            <w:tcW w:w="3660" w:type="dxa"/>
            <w:vAlign w:val="bottom"/>
            <w:gridSpan w:val="27"/>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Third Amendment to Executive Employment Agreement, dated as of November 5, 2012, by and between</w:t>
              </w:r>
            </w:hyperlink>
          </w:p>
        </w:tc>
      </w:tr>
      <w:tr>
        <w:trPr>
          <w:trHeight w:val="196"/>
        </w:trPr>
        <w:tc>
          <w:tcPr>
            <w:tcW w:w="1080" w:type="dxa"/>
            <w:vAlign w:val="bottom"/>
          </w:tcPr>
          <w:p>
            <w:pPr>
              <w:spacing w:after="0"/>
              <w:rPr>
                <w:sz w:val="17"/>
                <w:szCs w:val="17"/>
                <w:color w:val="auto"/>
              </w:rPr>
            </w:pPr>
          </w:p>
        </w:tc>
        <w:tc>
          <w:tcPr>
            <w:tcW w:w="758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the Company and Colin V. Reed (incorporated by reference to Exhibit 10.5 to the Company’s Quarterly</w:t>
              </w:r>
            </w:hyperlink>
          </w:p>
        </w:tc>
        <w:tc>
          <w:tcPr>
            <w:tcW w:w="260" w:type="dxa"/>
            <w:vAlign w:val="bottom"/>
            <w:gridSpan w:val="1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4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Report on Form 10-Q for the quarter ended September 30, 2012).</w:t>
              </w:r>
            </w:hyperlink>
          </w:p>
        </w:tc>
        <w:tc>
          <w:tcPr>
            <w:tcW w:w="400" w:type="dxa"/>
            <w:vAlign w:val="bottom"/>
            <w:gridSpan w:val="16"/>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8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774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Fourth Amendment to Executive Employment Agreement, dated as of December 31, 2020, by and between</w:t>
              </w:r>
            </w:hyperlink>
          </w:p>
        </w:tc>
        <w:tc>
          <w:tcPr>
            <w:tcW w:w="10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3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the Company and Colin V. Reed (incorporated by reference to Exhibit 10.17 to the Company’s Annual</w:t>
              </w:r>
            </w:hyperlink>
          </w:p>
        </w:tc>
        <w:tc>
          <w:tcPr>
            <w:tcW w:w="460" w:type="dxa"/>
            <w:vAlign w:val="bottom"/>
            <w:gridSpan w:val="1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Report on Form 10-K for the year ended December 31, 2020).</w:t>
              </w:r>
            </w:hyperlink>
          </w:p>
        </w:tc>
        <w:tc>
          <w:tcPr>
            <w:tcW w:w="3360" w:type="dxa"/>
            <w:vAlign w:val="bottom"/>
            <w:gridSpan w:val="26"/>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Fifth Amendment to Employment Agreement, dated as of October 11, 2022, by and between the Company</w:t>
              </w:r>
            </w:hyperlink>
          </w:p>
        </w:tc>
      </w:tr>
      <w:tr>
        <w:trPr>
          <w:trHeight w:val="20"/>
        </w:trPr>
        <w:tc>
          <w:tcPr>
            <w:tcW w:w="108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500" w:type="dxa"/>
            <w:vAlign w:val="bottom"/>
            <w:gridSpan w:val="18"/>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2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and Colin V. Reed (incorporated by reference to Exhibit 10.1 to the Company’s Current Report on Form 8-K</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filed October 11, 2022).</w:t>
              </w:r>
            </w:hyperlink>
          </w:p>
        </w:tc>
      </w:tr>
      <w:tr>
        <w:trPr>
          <w:trHeight w:val="20"/>
        </w:trPr>
        <w:tc>
          <w:tcPr>
            <w:tcW w:w="108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00" w:type="dxa"/>
            <w:vAlign w:val="bottom"/>
            <w:gridSpan w:val="1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75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Indemnification Agreement, dated as of April 23, 2001, by and between the Company and Colin V. Reed</w:t>
              </w:r>
            </w:hyperlink>
          </w:p>
        </w:tc>
        <w:tc>
          <w:tcPr>
            <w:tcW w:w="280" w:type="dxa"/>
            <w:vAlign w:val="bottom"/>
            <w:gridSpan w:val="1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(incorporated by reference to Exhibit 10.30 to the Company’s Annual Report on Form 10-K for the year</w:t>
              </w:r>
            </w:hyperlink>
          </w:p>
        </w:tc>
        <w:tc>
          <w:tcPr>
            <w:tcW w:w="340" w:type="dxa"/>
            <w:vAlign w:val="bottom"/>
            <w:gridSpan w:val="1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ended December 31, 2001).</w:t>
              </w:r>
            </w:hyperlink>
          </w:p>
        </w:tc>
        <w:tc>
          <w:tcPr>
            <w:tcW w:w="5840" w:type="dxa"/>
            <w:vAlign w:val="bottom"/>
            <w:gridSpan w:val="32"/>
          </w:tcPr>
          <w:p>
            <w:pPr>
              <w:spacing w:after="0"/>
              <w:rPr>
                <w:sz w:val="17"/>
                <w:szCs w:val="17"/>
                <w:color w:val="auto"/>
              </w:rPr>
            </w:pPr>
          </w:p>
        </w:tc>
      </w:tr>
      <w:tr>
        <w:trPr>
          <w:trHeight w:val="669"/>
        </w:trPr>
        <w:tc>
          <w:tcPr>
            <w:tcW w:w="1080" w:type="dxa"/>
            <w:vAlign w:val="bottom"/>
          </w:tcPr>
          <w:p>
            <w:pPr>
              <w:spacing w:after="0"/>
              <w:rPr>
                <w:sz w:val="24"/>
                <w:szCs w:val="24"/>
                <w:color w:val="auto"/>
              </w:rPr>
            </w:pPr>
          </w:p>
        </w:tc>
        <w:tc>
          <w:tcPr>
            <w:tcW w:w="3740" w:type="dxa"/>
            <w:vAlign w:val="bottom"/>
            <w:gridSpan w:val="9"/>
          </w:tcPr>
          <w:p>
            <w:pPr>
              <w:ind w:left="3300"/>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1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20" w:right="439" w:hanging="1065"/>
        <w:spacing w:after="0" w:line="257"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16">
        <w:r>
          <w:rPr>
            <w:rFonts w:ascii="Times New Roman" w:cs="Times New Roman" w:eastAsia="Times New Roman" w:hAnsi="Times New Roman"/>
            <w:sz w:val="18"/>
            <w:szCs w:val="18"/>
            <w:u w:val="single" w:color="auto"/>
            <w:color w:val="0000EE"/>
          </w:rPr>
          <w:t>Form of Employment Agreement of Mark Fioravanti, dated February 25, 2008, with the Company</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(incorporated by reference to Exhibit 10.3 to the Company’s Current Report on Form 8-K filed with the</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SEC on February 27, 2008).</w:t>
        </w:r>
      </w:hyperlink>
    </w:p>
    <w:p>
      <w:pPr>
        <w:spacing w:after="0" w:line="1" w:lineRule="exact"/>
        <w:rPr>
          <w:rFonts w:ascii="Times New Roman" w:cs="Times New Roman" w:eastAsia="Times New Roman" w:hAnsi="Times New Roman"/>
          <w:sz w:val="18"/>
          <w:szCs w:val="18"/>
          <w:u w:val="single" w:color="auto"/>
          <w:color w:val="0000EE"/>
        </w:rPr>
      </w:pPr>
    </w:p>
    <w:p>
      <w:pPr>
        <w:ind w:left="1120" w:right="379" w:hanging="1065"/>
        <w:spacing w:after="0" w:line="265"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17">
        <w:r>
          <w:rPr>
            <w:rFonts w:ascii="Times New Roman" w:cs="Times New Roman" w:eastAsia="Times New Roman" w:hAnsi="Times New Roman"/>
            <w:sz w:val="17"/>
            <w:szCs w:val="17"/>
            <w:u w:val="single" w:color="auto"/>
            <w:color w:val="0000EE"/>
          </w:rPr>
          <w:t>Form of Amendment No. 1 to Employment Agreement of Mark Fioravanti (incorporated by reference to</w:t>
        </w:r>
      </w:hyperlink>
      <w:r>
        <w:rPr>
          <w:rFonts w:ascii="Times New Roman" w:cs="Times New Roman" w:eastAsia="Times New Roman" w:hAnsi="Times New Roman"/>
          <w:sz w:val="17"/>
          <w:szCs w:val="17"/>
          <w:u w:val="single" w:color="auto"/>
          <w:color w:val="0000EE"/>
        </w:rPr>
        <w:t xml:space="preserve"> </w:t>
      </w:r>
      <w:hyperlink r:id="rId117">
        <w:r>
          <w:rPr>
            <w:rFonts w:ascii="Times New Roman" w:cs="Times New Roman" w:eastAsia="Times New Roman" w:hAnsi="Times New Roman"/>
            <w:sz w:val="17"/>
            <w:szCs w:val="17"/>
            <w:u w:val="single" w:color="auto"/>
            <w:color w:val="0000EE"/>
          </w:rPr>
          <w:t>Exhibit 10.38 to the Company’s Annual Report on Form 10-K for the year ended December 31, 2009).</w:t>
        </w:r>
      </w:hyperlink>
    </w:p>
    <w:p>
      <w:pPr>
        <w:jc w:val="both"/>
        <w:ind w:left="1120" w:right="11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18">
        <w:r>
          <w:rPr>
            <w:rFonts w:ascii="Times New Roman" w:cs="Times New Roman" w:eastAsia="Times New Roman" w:hAnsi="Times New Roman"/>
            <w:sz w:val="18"/>
            <w:szCs w:val="18"/>
            <w:u w:val="single" w:color="auto"/>
            <w:color w:val="0000EE"/>
          </w:rPr>
          <w:t>Amendment No. 2 to Employment Agreement, dated September 3, 2010, by and between the Company and</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Mark Fioravanti (incorporated by reference to Exhibit 10.5 to the Company’s Quarterly Report on Form 10-</w:t>
        </w:r>
      </w:hyperlink>
      <w:hyperlink r:id="rId118">
        <w:r>
          <w:rPr>
            <w:rFonts w:ascii="Times New Roman" w:cs="Times New Roman" w:eastAsia="Times New Roman" w:hAnsi="Times New Roman"/>
            <w:sz w:val="18"/>
            <w:szCs w:val="18"/>
            <w:u w:val="single" w:color="auto"/>
            <w:color w:val="0000EE"/>
          </w:rPr>
          <w:t>Q for the quarter ended September 30, 2010).</w:t>
        </w:r>
      </w:hyperlink>
    </w:p>
    <w:p>
      <w:pPr>
        <w:spacing w:after="0" w:line="1" w:lineRule="exact"/>
        <w:rPr>
          <w:rFonts w:ascii="Times New Roman" w:cs="Times New Roman" w:eastAsia="Times New Roman" w:hAnsi="Times New Roman"/>
          <w:sz w:val="18"/>
          <w:szCs w:val="18"/>
          <w:u w:val="single" w:color="auto"/>
          <w:color w:val="0000EE"/>
        </w:rPr>
      </w:pPr>
    </w:p>
    <w:p>
      <w:pPr>
        <w:ind w:left="1120" w:right="9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19">
        <w:r>
          <w:rPr>
            <w:rFonts w:ascii="Times New Roman" w:cs="Times New Roman" w:eastAsia="Times New Roman" w:hAnsi="Times New Roman"/>
            <w:sz w:val="18"/>
            <w:szCs w:val="18"/>
            <w:u w:val="single" w:color="auto"/>
            <w:color w:val="0000EE"/>
          </w:rPr>
          <w:t>Third Amendment to Executive Employment Agreement dated as of November 5, 2012, by and between the</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Company and Mark Fioravanti (incorporated by reference to Exhibit 10.6 to the Company’s Quarterly</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Report on Form 10-Q for the quarter ended September 30, 2012).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20" w:right="23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20">
        <w:r>
          <w:rPr>
            <w:rFonts w:ascii="Times New Roman" w:cs="Times New Roman" w:eastAsia="Times New Roman" w:hAnsi="Times New Roman"/>
            <w:sz w:val="18"/>
            <w:szCs w:val="18"/>
            <w:u w:val="single" w:color="auto"/>
            <w:color w:val="0000EE"/>
          </w:rPr>
          <w:t>Fourth Amendment to Employment Agreement dated as of March 1, 2022, by and between the Company</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and Mark Fioravanti (incorporated by reference to Exhibit 10.1 to the Company’s Current Report on Form</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8-K filed on March 1,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20" w:right="23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21">
        <w:r>
          <w:rPr>
            <w:rFonts w:ascii="Times New Roman" w:cs="Times New Roman" w:eastAsia="Times New Roman" w:hAnsi="Times New Roman"/>
            <w:sz w:val="18"/>
            <w:szCs w:val="18"/>
            <w:u w:val="single" w:color="auto"/>
            <w:color w:val="0000EE"/>
          </w:rPr>
          <w:t>Fifth Amendment to Employment Agreement dated as of October 11, 2022, by and between the Company</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and Mark Fioravanti (incorporated by reference to Exhibit 10.2 to the Company’s Current Report on Form</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8-K filed on October 11, 2022).</w:t>
        </w:r>
      </w:hyperlink>
    </w:p>
    <w:p>
      <w:pPr>
        <w:spacing w:after="0" w:line="1" w:lineRule="exact"/>
        <w:rPr>
          <w:rFonts w:ascii="Times New Roman" w:cs="Times New Roman" w:eastAsia="Times New Roman" w:hAnsi="Times New Roman"/>
          <w:sz w:val="18"/>
          <w:szCs w:val="18"/>
          <w:u w:val="single" w:color="auto"/>
          <w:color w:val="0000EE"/>
        </w:rPr>
      </w:pPr>
    </w:p>
    <w:p>
      <w:pPr>
        <w:ind w:left="1120" w:right="39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22">
        <w:r>
          <w:rPr>
            <w:rFonts w:ascii="Times New Roman" w:cs="Times New Roman" w:eastAsia="Times New Roman" w:hAnsi="Times New Roman"/>
            <w:sz w:val="18"/>
            <w:szCs w:val="18"/>
            <w:u w:val="single" w:color="auto"/>
            <w:color w:val="0000EE"/>
          </w:rPr>
          <w:t>Severance Agreement dated as of February 26, 2018 between the Company and Patrick Chaffin</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(incorporated by reference to Exhibit 10.21 to the Company’s Annual Report on Form 10-K for the year</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ended December 31,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20" w:right="9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23">
        <w:r>
          <w:rPr>
            <w:rFonts w:ascii="Times New Roman" w:cs="Times New Roman" w:eastAsia="Times New Roman" w:hAnsi="Times New Roman"/>
            <w:sz w:val="18"/>
            <w:szCs w:val="18"/>
            <w:u w:val="single" w:color="auto"/>
            <w:color w:val="0000EE"/>
          </w:rPr>
          <w:t>Severance Agreement dated as of February 26, 2018 between the Company and Scott Lynn (incorporated by</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reference to Exhibit 10.22 to the Company’s Annual Report on Form 10-K for the year ended December 31,</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2017).</w:t>
        </w:r>
      </w:hyperlink>
    </w:p>
    <w:p>
      <w:pPr>
        <w:spacing w:after="0" w:line="1" w:lineRule="exact"/>
        <w:rPr>
          <w:rFonts w:ascii="Times New Roman" w:cs="Times New Roman" w:eastAsia="Times New Roman" w:hAnsi="Times New Roman"/>
          <w:sz w:val="18"/>
          <w:szCs w:val="18"/>
          <w:u w:val="single" w:color="auto"/>
          <w:color w:val="0000EE"/>
        </w:rPr>
      </w:pPr>
    </w:p>
    <w:p>
      <w:pPr>
        <w:ind w:left="1120" w:right="13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24">
        <w:r>
          <w:rPr>
            <w:rFonts w:ascii="Times New Roman" w:cs="Times New Roman" w:eastAsia="Times New Roman" w:hAnsi="Times New Roman"/>
            <w:sz w:val="18"/>
            <w:szCs w:val="18"/>
            <w:u w:val="single" w:color="auto"/>
            <w:color w:val="0000EE"/>
          </w:rPr>
          <w:t>Severance Agreement dated as of March 1, 2022, by and between the Company and Jennifer Hutcheson</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(incorporated by reference to Exhibit 10.2 to the Company’s Current Report on Form 8-K filed on March 1,</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2022).</w:t>
        </w:r>
      </w:hyperlink>
    </w:p>
    <w:p>
      <w:pPr>
        <w:spacing w:after="0" w:line="1" w:lineRule="exact"/>
        <w:rPr>
          <w:rFonts w:ascii="Times New Roman" w:cs="Times New Roman" w:eastAsia="Times New Roman" w:hAnsi="Times New Roman"/>
          <w:sz w:val="18"/>
          <w:szCs w:val="18"/>
          <w:u w:val="single" w:color="auto"/>
          <w:color w:val="0000EE"/>
        </w:rPr>
      </w:pPr>
    </w:p>
    <w:p>
      <w:pPr>
        <w:ind w:left="1120" w:right="39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25">
        <w:r>
          <w:rPr>
            <w:rFonts w:ascii="Times New Roman" w:cs="Times New Roman" w:eastAsia="Times New Roman" w:hAnsi="Times New Roman"/>
            <w:sz w:val="18"/>
            <w:szCs w:val="18"/>
            <w:u w:val="single" w:color="auto"/>
            <w:color w:val="0000EE"/>
          </w:rPr>
          <w:t>Form of Indemnification Agreement between the Company and each of its non-employee directors</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(incorporated by reference to Exhibit 10.36 to the Company’s Annual Report on Form 10-K for the year</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ended December 31, 2002).</w:t>
        </w:r>
      </w:hyperlink>
    </w:p>
    <w:p>
      <w:pPr>
        <w:spacing w:after="0" w:line="1" w:lineRule="exact"/>
        <w:rPr>
          <w:rFonts w:ascii="Times New Roman" w:cs="Times New Roman" w:eastAsia="Times New Roman" w:hAnsi="Times New Roman"/>
          <w:sz w:val="18"/>
          <w:szCs w:val="18"/>
          <w:u w:val="single" w:color="auto"/>
          <w:color w:val="0000EE"/>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color w:val="auto"/>
        </w:rPr>
        <w:t>10.34*#</w:t>
      </w:r>
      <w:r>
        <w:rPr>
          <w:sz w:val="20"/>
          <w:szCs w:val="20"/>
          <w:color w:val="auto"/>
        </w:rPr>
        <w:tab/>
      </w:r>
      <w:r>
        <w:rPr>
          <w:rFonts w:ascii="Times New Roman" w:cs="Times New Roman" w:eastAsia="Times New Roman" w:hAnsi="Times New Roman"/>
          <w:sz w:val="17"/>
          <w:szCs w:val="17"/>
          <w:u w:val="single" w:color="auto"/>
          <w:color w:val="0000EE"/>
        </w:rPr>
        <w:t>Summary of Director and Executive Officer Compensation.</w:t>
      </w:r>
    </w:p>
    <w:p>
      <w:pPr>
        <w:spacing w:after="0" w:line="9" w:lineRule="exact"/>
        <w:rPr>
          <w:rFonts w:ascii="Times New Roman" w:cs="Times New Roman" w:eastAsia="Times New Roman" w:hAnsi="Times New Roman"/>
          <w:sz w:val="18"/>
          <w:szCs w:val="18"/>
          <w:u w:val="single" w:color="auto"/>
          <w:color w:val="0000EE"/>
        </w:rPr>
      </w:pPr>
    </w:p>
    <w:p>
      <w:pPr>
        <w:ind w:left="1120" w:right="13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126">
        <w:r>
          <w:rPr>
            <w:rFonts w:ascii="Times New Roman" w:cs="Times New Roman" w:eastAsia="Times New Roman" w:hAnsi="Times New Roman"/>
            <w:sz w:val="18"/>
            <w:szCs w:val="18"/>
            <w:u w:val="single" w:color="auto"/>
            <w:color w:val="0000EE"/>
          </w:rPr>
          <w:t>Ryman Hospitality Properties, Inc. 2016 Omnibus Incentive Plan (incorporated by reference to Exhibit 10.1</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to the Company’s Current Report on Form 8-K filed with the SEC on May 6, 2016).</w:t>
        </w:r>
      </w:hyperlink>
    </w:p>
    <w:p>
      <w:pPr>
        <w:spacing w:after="0" w:line="1" w:lineRule="exact"/>
        <w:rPr>
          <w:sz w:val="20"/>
          <w:szCs w:val="20"/>
          <w:color w:val="auto"/>
        </w:rPr>
      </w:pPr>
    </w:p>
    <w:p>
      <w:pPr>
        <w:ind w:left="1120" w:right="27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127">
        <w:r>
          <w:rPr>
            <w:rFonts w:ascii="Times New Roman" w:cs="Times New Roman" w:eastAsia="Times New Roman" w:hAnsi="Times New Roman"/>
            <w:sz w:val="18"/>
            <w:szCs w:val="18"/>
            <w:u w:val="single" w:color="auto"/>
            <w:color w:val="0000EE"/>
          </w:rPr>
          <w:t>Amendment dated February 10, 2017 to Ryman Hospitality Properties, Inc. 2016 Omnibus Incentive Plan</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(incorporated by reference to Exhibit 10.43 to the Company’s Annual Report on Form 10-K for the year</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ended December 31, 2016).</w:t>
        </w:r>
      </w:hyperlink>
    </w:p>
    <w:p>
      <w:pPr>
        <w:spacing w:after="0" w:line="1" w:lineRule="exact"/>
        <w:rPr>
          <w:rFonts w:ascii="Times New Roman" w:cs="Times New Roman" w:eastAsia="Times New Roman" w:hAnsi="Times New Roman"/>
          <w:sz w:val="18"/>
          <w:szCs w:val="18"/>
          <w:u w:val="single" w:color="auto"/>
          <w:color w:val="0000EE"/>
        </w:rPr>
      </w:pPr>
    </w:p>
    <w:p>
      <w:pPr>
        <w:ind w:left="1120" w:right="13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128">
        <w:r>
          <w:rPr>
            <w:rFonts w:ascii="Times New Roman" w:cs="Times New Roman" w:eastAsia="Times New Roman" w:hAnsi="Times New Roman"/>
            <w:sz w:val="18"/>
            <w:szCs w:val="18"/>
            <w:u w:val="single" w:color="auto"/>
            <w:color w:val="0000EE"/>
          </w:rPr>
          <w:t>Form of Restricted Stock Unit Award Agreement granted pursuant to the Company’s 2016 Omnibus</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Incentive Plan (incorporated by reference to Exhibit 10.1 to the Company’s Quarterly Report on Form 10-Q</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for the quarter ended June 30, 2016).</w:t>
        </w:r>
      </w:hyperlink>
    </w:p>
    <w:p>
      <w:pPr>
        <w:spacing w:after="0" w:line="1" w:lineRule="exact"/>
        <w:rPr>
          <w:rFonts w:ascii="Times New Roman" w:cs="Times New Roman" w:eastAsia="Times New Roman" w:hAnsi="Times New Roman"/>
          <w:sz w:val="18"/>
          <w:szCs w:val="18"/>
          <w:u w:val="single" w:color="auto"/>
          <w:color w:val="0000EE"/>
        </w:rPr>
      </w:pPr>
    </w:p>
    <w:p>
      <w:pPr>
        <w:ind w:left="1120" w:right="11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129">
        <w:r>
          <w:rPr>
            <w:rFonts w:ascii="Times New Roman" w:cs="Times New Roman" w:eastAsia="Times New Roman" w:hAnsi="Times New Roman"/>
            <w:sz w:val="18"/>
            <w:szCs w:val="18"/>
            <w:u w:val="single" w:color="auto"/>
            <w:color w:val="0000EE"/>
          </w:rPr>
          <w:t>Form of Restricted Stock Unit Award Agreement with respect to time-based vesting restricted stock units</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granted pursuant to the Company’s 2016 Omnibus Incentive Plan (incorporated by reference to Exhibit 10.2</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to the Company’s Quarterly Report on Form 10-Q for the quarter ended June 30, 2016).</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20" w:right="7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10.39#</w:t>
      </w:r>
      <w:r>
        <w:rPr>
          <w:sz w:val="20"/>
          <w:szCs w:val="20"/>
          <w:color w:val="auto"/>
        </w:rPr>
        <w:tab/>
      </w:r>
      <w:hyperlink r:id="rId130">
        <w:r>
          <w:rPr>
            <w:rFonts w:ascii="Times New Roman" w:cs="Times New Roman" w:eastAsia="Times New Roman" w:hAnsi="Times New Roman"/>
            <w:sz w:val="18"/>
            <w:szCs w:val="18"/>
            <w:u w:val="single" w:color="auto"/>
            <w:color w:val="0000EE"/>
          </w:rPr>
          <w:t>Form of Restricted Stock Unit Award Agreement with respect to performance-based vesting restricted stock</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units granted pursuant to the Company’s 2016 Omnibus Incentive Plan (incorporated by reference to Exhibit</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10.3 to the Company’s Quarterly Report on Form 10-Q for the quarter ended June 30, 2016).</w:t>
        </w:r>
      </w:hyperlink>
    </w:p>
    <w:p>
      <w:pPr>
        <w:spacing w:after="0" w:line="1" w:lineRule="exact"/>
        <w:rPr>
          <w:rFonts w:ascii="Times New Roman" w:cs="Times New Roman" w:eastAsia="Times New Roman" w:hAnsi="Times New Roman"/>
          <w:sz w:val="18"/>
          <w:szCs w:val="18"/>
          <w:u w:val="single" w:color="auto"/>
          <w:color w:val="0000EE"/>
        </w:rPr>
      </w:pPr>
    </w:p>
    <w:p>
      <w:pPr>
        <w:ind w:left="1120" w:right="11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10.40#</w:t>
      </w:r>
      <w:r>
        <w:rPr>
          <w:sz w:val="20"/>
          <w:szCs w:val="20"/>
          <w:color w:val="auto"/>
        </w:rPr>
        <w:tab/>
      </w:r>
      <w:hyperlink r:id="rId131">
        <w:r>
          <w:rPr>
            <w:rFonts w:ascii="Times New Roman" w:cs="Times New Roman" w:eastAsia="Times New Roman" w:hAnsi="Times New Roman"/>
            <w:sz w:val="18"/>
            <w:szCs w:val="18"/>
            <w:u w:val="single" w:color="auto"/>
            <w:color w:val="0000EE"/>
          </w:rPr>
          <w:t>Form of Long-Term Stockholder Value Creation Restricted Stock Award Agreement with respect to</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restricted stock units granted pursuant to the Company’s 2016 Omnibus Incentive Plan (incorporated by</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reference to Exhibit 10.46 to the Company’s Annual Report on Form 10-K for the year ended December 31,</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2020).</w:t>
        </w:r>
      </w:hyperlink>
    </w:p>
    <w:p>
      <w:pPr>
        <w:spacing w:after="0" w:line="2" w:lineRule="exact"/>
        <w:rPr>
          <w:rFonts w:ascii="Times New Roman" w:cs="Times New Roman" w:eastAsia="Times New Roman" w:hAnsi="Times New Roman"/>
          <w:sz w:val="18"/>
          <w:szCs w:val="18"/>
          <w:u w:val="single" w:color="auto"/>
          <w:color w:val="0000EE"/>
        </w:rPr>
      </w:pPr>
    </w:p>
    <w:p>
      <w:pPr>
        <w:ind w:left="1120" w:right="119" w:hanging="1065"/>
        <w:spacing w:after="0" w:line="255"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10.41#</w:t>
      </w:r>
      <w:r>
        <w:rPr>
          <w:sz w:val="20"/>
          <w:szCs w:val="20"/>
          <w:color w:val="auto"/>
        </w:rPr>
        <w:tab/>
      </w:r>
      <w:hyperlink r:id="rId132">
        <w:r>
          <w:rPr>
            <w:rFonts w:ascii="Times New Roman" w:cs="Times New Roman" w:eastAsia="Times New Roman" w:hAnsi="Times New Roman"/>
            <w:sz w:val="18"/>
            <w:szCs w:val="18"/>
            <w:u w:val="single" w:color="auto"/>
            <w:color w:val="0000EE"/>
          </w:rPr>
          <w:t>Form of Restricted Stock Unit Award Agreement with respect to time-based vesting restricted stock units</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granted pursuant to the Company’s 2016 Omnibus Incentive Plan (incorporated by reference to Exhibit 10.1</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to the Company’s Quarterly Report on Form 10-Q for the quarter ended March 31, 2023).</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2"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77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Form of Restricted Stock Unit Award Agreement with respect to performance-based vesting restricted stock</w:t>
              </w:r>
            </w:hyperlink>
          </w:p>
        </w:tc>
        <w:tc>
          <w:tcPr>
            <w:tcW w:w="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units granted pursuant to the Company’s 2016 Omnibus Incentive Plan (incorporated by reference to Exhibit</w:t>
              </w:r>
            </w:hyperlink>
          </w:p>
        </w:tc>
      </w:tr>
      <w:tr>
        <w:trPr>
          <w:trHeight w:val="196"/>
        </w:trPr>
        <w:tc>
          <w:tcPr>
            <w:tcW w:w="1060" w:type="dxa"/>
            <w:vAlign w:val="bottom"/>
          </w:tcPr>
          <w:p>
            <w:pPr>
              <w:spacing w:after="0"/>
              <w:rPr>
                <w:sz w:val="17"/>
                <w:szCs w:val="17"/>
                <w:color w:val="auto"/>
              </w:rPr>
            </w:pPr>
          </w:p>
        </w:tc>
        <w:tc>
          <w:tcPr>
            <w:tcW w:w="68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2</w:t>
              </w:r>
              <w:r>
                <w:rPr>
                  <w:rFonts w:ascii="Times New Roman" w:cs="Times New Roman" w:eastAsia="Times New Roman" w:hAnsi="Times New Roman"/>
                  <w:sz w:val="18"/>
                  <w:szCs w:val="18"/>
                  <w:color w:val="0000EE"/>
                  <w:w w:val="99"/>
                </w:rPr>
                <w:t xml:space="preserve"> to the Company’s Quarterly Report on Form 10-Q for the quarter ended March 31, 2023).</w:t>
              </w:r>
            </w:hyperlink>
          </w:p>
        </w:tc>
        <w:tc>
          <w:tcPr>
            <w:tcW w:w="1000" w:type="dxa"/>
            <w:vAlign w:val="bottom"/>
            <w:gridSpan w:val="7"/>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7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Agreement of Purchase and Sale, dated as of June 5, 2023, by and between BREIT JWM San Antonio, LP</w:t>
              </w:r>
            </w:hyperlink>
          </w:p>
        </w:tc>
        <w:tc>
          <w:tcPr>
            <w:tcW w:w="160" w:type="dxa"/>
            <w:vAlign w:val="bottom"/>
            <w:gridSpan w:val="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7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and BREIT JWM San Antonio TRS LLC, as Seller, and RHP Property SA, LLC, as Buyer (incorporated by</w:t>
              </w:r>
            </w:hyperlink>
          </w:p>
        </w:tc>
        <w:tc>
          <w:tcPr>
            <w:tcW w:w="6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6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reference to Exhibit 10.1 to the Company’s Current Report on Form 8-K filed June 5, 2023).</w:t>
              </w:r>
            </w:hyperlink>
          </w:p>
        </w:tc>
        <w:tc>
          <w:tcPr>
            <w:tcW w:w="1160" w:type="dxa"/>
            <w:vAlign w:val="bottom"/>
            <w:gridSpan w:val="8"/>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7820" w:type="dxa"/>
            <w:vAlign w:val="bottom"/>
            <w:gridSpan w:val="11"/>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First Amendment to Agreement of Purchase and Sale, dated as of June 15, 2023, by and between BREIT</w:t>
              </w:r>
            </w:hyperlink>
          </w:p>
        </w:tc>
      </w:tr>
      <w:tr>
        <w:trPr>
          <w:trHeight w:val="20"/>
        </w:trPr>
        <w:tc>
          <w:tcPr>
            <w:tcW w:w="106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11"/>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JWM San Antonio, LP and BREIT JWM San Antonio TRS LLC, as Seller, and RHP Property SA, LLC, as</w:t>
              </w:r>
            </w:hyperlink>
          </w:p>
        </w:tc>
      </w:tr>
      <w:tr>
        <w:trPr>
          <w:trHeight w:val="196"/>
        </w:trPr>
        <w:tc>
          <w:tcPr>
            <w:tcW w:w="1060" w:type="dxa"/>
            <w:vAlign w:val="bottom"/>
          </w:tcPr>
          <w:p>
            <w:pPr>
              <w:spacing w:after="0"/>
              <w:rPr>
                <w:sz w:val="17"/>
                <w:szCs w:val="17"/>
                <w:color w:val="auto"/>
              </w:rPr>
            </w:pPr>
          </w:p>
        </w:tc>
        <w:tc>
          <w:tcPr>
            <w:tcW w:w="77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Buyer (incorporated by reference to Exhibit 10.4 to the Company’s Quarterly Report on Form 10-Q for the</w:t>
              </w:r>
            </w:hyperlink>
          </w:p>
        </w:tc>
        <w:tc>
          <w:tcPr>
            <w:tcW w:w="20" w:type="dxa"/>
            <w:vAlign w:val="bottom"/>
            <w:tcBorders>
              <w:top w:val="single" w:sz="8" w:color="0000EE"/>
            </w:tcBorders>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11"/>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quarter ended June 30, 2023).</w:t>
              </w:r>
            </w:hyperlink>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1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Subsidiaries of the Company.</w:t>
            </w:r>
          </w:p>
        </w:tc>
        <w:tc>
          <w:tcPr>
            <w:tcW w:w="20" w:type="dxa"/>
            <w:vAlign w:val="bottom"/>
            <w:tcBorders>
              <w:top w:val="single" w:sz="8" w:color="0000EE"/>
            </w:tcBorders>
          </w:tcPr>
          <w:p>
            <w:pPr>
              <w:spacing w:after="0"/>
              <w:rPr>
                <w:sz w:val="17"/>
                <w:szCs w:val="17"/>
                <w:color w:val="auto"/>
              </w:rPr>
            </w:pPr>
          </w:p>
        </w:tc>
        <w:tc>
          <w:tcPr>
            <w:tcW w:w="5680" w:type="dxa"/>
            <w:vAlign w:val="bottom"/>
            <w:gridSpan w:val="9"/>
          </w:tcPr>
          <w:p>
            <w:pPr>
              <w:spacing w:after="0"/>
              <w:rPr>
                <w:sz w:val="17"/>
                <w:szCs w:val="17"/>
                <w:color w:val="auto"/>
              </w:rPr>
            </w:pPr>
          </w:p>
        </w:tc>
      </w:tr>
    </w:tbl>
    <w:p>
      <w:pPr>
        <w:spacing w:after="0" w:line="9" w:lineRule="exact"/>
        <w:rPr>
          <w:sz w:val="20"/>
          <w:szCs w:val="20"/>
          <w:color w:val="auto"/>
        </w:rPr>
      </w:pPr>
    </w:p>
    <w:p>
      <w:pPr>
        <w:ind w:left="1120" w:hanging="1064"/>
        <w:spacing w:after="0"/>
        <w:tabs>
          <w:tab w:leader="none" w:pos="1120" w:val="left"/>
        </w:tabs>
        <w:numPr>
          <w:ilvl w:val="0"/>
          <w:numId w:val="40"/>
        </w:numPr>
        <w:rPr>
          <w:rFonts w:ascii="Times New Roman" w:cs="Times New Roman" w:eastAsia="Times New Roman" w:hAnsi="Times New Roman"/>
          <w:sz w:val="18"/>
          <w:szCs w:val="18"/>
          <w:u w:val="single" w:color="auto"/>
          <w:color w:val="0000EE"/>
        </w:rPr>
      </w:pPr>
      <w:hyperlink r:id="rId137">
        <w:r>
          <w:rPr>
            <w:rFonts w:ascii="Times New Roman" w:cs="Times New Roman" w:eastAsia="Times New Roman" w:hAnsi="Times New Roman"/>
            <w:sz w:val="18"/>
            <w:szCs w:val="18"/>
            <w:u w:val="single" w:color="auto"/>
            <w:color w:val="0000EE"/>
          </w:rPr>
          <w:t>List of Parent and Subsidiary Guarantors (incorporated by reference to Exhibit 22 of the Company’s</w:t>
        </w:r>
      </w:hyperlink>
    </w:p>
    <w:tbl>
      <w:tblPr>
        <w:tblLayout w:type="fixed"/>
        <w:tblInd w:w="40" w:type="dxa"/>
        <w:tblCellMar>
          <w:top w:w="0" w:type="dxa"/>
          <w:left w:w="0" w:type="dxa"/>
          <w:bottom w:w="0" w:type="dxa"/>
          <w:right w:w="0" w:type="dxa"/>
        </w:tblCellMar>
      </w:tblPr>
      <w:tr>
        <w:trPr>
          <w:trHeight w:val="203"/>
        </w:trPr>
        <w:tc>
          <w:tcPr>
            <w:tcW w:w="1080" w:type="dxa"/>
            <w:vAlign w:val="bottom"/>
          </w:tcPr>
          <w:p>
            <w:pPr>
              <w:spacing w:after="0"/>
              <w:rPr>
                <w:sz w:val="17"/>
                <w:szCs w:val="17"/>
                <w:color w:val="auto"/>
              </w:rPr>
            </w:pPr>
          </w:p>
        </w:tc>
        <w:tc>
          <w:tcPr>
            <w:tcW w:w="7800" w:type="dxa"/>
            <w:vAlign w:val="bottom"/>
            <w:gridSpan w:val="13"/>
          </w:tcPr>
          <w:p>
            <w:pPr>
              <w:spacing w:after="0" w:line="203"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Quarterly Report on Form 10-Q for the quarter ended September 30, 2023).</w:t>
              </w:r>
            </w:hyperlink>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54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2360" w:type="dxa"/>
            <w:vAlign w:val="bottom"/>
            <w:gridSpan w:val="7"/>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74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of Periodic Report Pursuant to Rule 13a - 14(a) and Rule 15d -</w:t>
            </w:r>
          </w:p>
        </w:tc>
        <w:tc>
          <w:tcPr>
            <w:tcW w:w="36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14(a).</w:t>
            </w:r>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78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of Periodic Report Pursuant to Rule 13a - 14(a) and</w:t>
            </w:r>
          </w:p>
        </w:tc>
      </w:tr>
      <w:tr>
        <w:trPr>
          <w:trHeight w:val="196"/>
        </w:trPr>
        <w:tc>
          <w:tcPr>
            <w:tcW w:w="108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15d - 14(a).</w:t>
            </w:r>
          </w:p>
        </w:tc>
        <w:tc>
          <w:tcPr>
            <w:tcW w:w="5340" w:type="dxa"/>
            <w:vAlign w:val="bottom"/>
            <w:tcBorders>
              <w:top w:val="single" w:sz="8" w:color="0000EE"/>
            </w:tcBorders>
            <w:gridSpan w:val="7"/>
          </w:tcPr>
          <w:p>
            <w:pPr>
              <w:spacing w:after="0"/>
              <w:rPr>
                <w:sz w:val="17"/>
                <w:szCs w:val="17"/>
                <w:color w:val="auto"/>
              </w:rPr>
            </w:pPr>
          </w:p>
        </w:tc>
        <w:tc>
          <w:tcPr>
            <w:tcW w:w="1220" w:type="dxa"/>
            <w:vAlign w:val="bottom"/>
            <w:gridSpan w:val="3"/>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8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w:t>
            </w: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54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w:t>
            </w:r>
          </w:p>
        </w:tc>
        <w:tc>
          <w:tcPr>
            <w:tcW w:w="40" w:type="dxa"/>
            <w:vAlign w:val="bottom"/>
            <w:tcBorders>
              <w:top w:val="single" w:sz="8" w:color="0000EE"/>
            </w:tcBorders>
          </w:tcPr>
          <w:p>
            <w:pPr>
              <w:spacing w:after="0"/>
              <w:rPr>
                <w:sz w:val="17"/>
                <w:szCs w:val="17"/>
                <w:color w:val="auto"/>
              </w:rPr>
            </w:pPr>
          </w:p>
        </w:tc>
        <w:tc>
          <w:tcPr>
            <w:tcW w:w="2280" w:type="dxa"/>
            <w:vAlign w:val="bottom"/>
            <w:gridSpan w:val="5"/>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63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Ryman Hospitality Properties, Inc. NYSE Executive Compensation Recoupment Policy.</w:t>
            </w:r>
          </w:p>
        </w:tc>
        <w:tc>
          <w:tcPr>
            <w:tcW w:w="1440" w:type="dxa"/>
            <w:vAlign w:val="bottom"/>
            <w:gridSpan w:val="4"/>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78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Credit Agreement, dated as of June 16, 2022, among OEG Borrower, LLC as borrower, OEG Finance, LLC,</w:t>
              </w:r>
            </w:hyperlink>
          </w:p>
        </w:tc>
      </w:tr>
      <w:tr>
        <w:trPr>
          <w:trHeight w:val="196"/>
        </w:trPr>
        <w:tc>
          <w:tcPr>
            <w:tcW w:w="1080" w:type="dxa"/>
            <w:vAlign w:val="bottom"/>
          </w:tcPr>
          <w:p>
            <w:pPr>
              <w:spacing w:after="0"/>
              <w:rPr>
                <w:sz w:val="17"/>
                <w:szCs w:val="17"/>
                <w:color w:val="auto"/>
              </w:rPr>
            </w:pPr>
          </w:p>
        </w:tc>
        <w:tc>
          <w:tcPr>
            <w:tcW w:w="77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certain subsidiaries of OEG Borrower, LLC, from time to time party thereto as guarantors, the lenders party</w:t>
              </w:r>
            </w:hyperlink>
          </w:p>
        </w:tc>
        <w:tc>
          <w:tcPr>
            <w:tcW w:w="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thereto and JPMorgan Chase Bank, N.A., as administrative agent (incorporated by reference to Exhibit 99.1</w:t>
              </w:r>
            </w:hyperlink>
          </w:p>
        </w:tc>
        <w:tc>
          <w:tcPr>
            <w:tcW w:w="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1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to the Company’s Current Report on Form 8-K filed on June 16, 2022).</w:t>
              </w:r>
            </w:hyperlink>
          </w:p>
        </w:tc>
        <w:tc>
          <w:tcPr>
            <w:tcW w:w="2660" w:type="dxa"/>
            <w:vAlign w:val="bottom"/>
            <w:gridSpan w:val="8"/>
          </w:tcPr>
          <w:p>
            <w:pPr>
              <w:spacing w:after="0"/>
              <w:rPr>
                <w:sz w:val="17"/>
                <w:szCs w:val="17"/>
                <w:color w:val="auto"/>
              </w:rPr>
            </w:pPr>
          </w:p>
        </w:tc>
      </w:tr>
      <w:tr>
        <w:trPr>
          <w:trHeight w:val="21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materials from Ryman Hospitality Property, Inc.’s Annual Form on Form 10-K for the year</w:t>
            </w:r>
          </w:p>
        </w:tc>
      </w:tr>
      <w:tr>
        <w:trPr>
          <w:trHeight w:val="216"/>
        </w:trPr>
        <w:tc>
          <w:tcPr>
            <w:tcW w:w="1080" w:type="dxa"/>
            <w:vAlign w:val="bottom"/>
          </w:tcPr>
          <w:p>
            <w:pPr>
              <w:spacing w:after="0"/>
              <w:rPr>
                <w:sz w:val="18"/>
                <w:szCs w:val="18"/>
                <w:color w:val="auto"/>
              </w:rPr>
            </w:pP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ended December 31, 2023, formatted in Inline XBRL (eXtensible Business Reporting Language): (i)</w:t>
            </w:r>
          </w:p>
        </w:tc>
      </w:tr>
      <w:tr>
        <w:trPr>
          <w:trHeight w:val="216"/>
        </w:trPr>
        <w:tc>
          <w:tcPr>
            <w:tcW w:w="1080" w:type="dxa"/>
            <w:vAlign w:val="bottom"/>
          </w:tcPr>
          <w:p>
            <w:pPr>
              <w:spacing w:after="0"/>
              <w:rPr>
                <w:sz w:val="18"/>
                <w:szCs w:val="18"/>
                <w:color w:val="auto"/>
              </w:rPr>
            </w:pP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Consolidated Balance Sheets at December 31, 2023 and 2022, (ii) Consolidated Statements of Operations</w:t>
            </w:r>
          </w:p>
        </w:tc>
      </w:tr>
      <w:tr>
        <w:trPr>
          <w:trHeight w:val="216"/>
        </w:trPr>
        <w:tc>
          <w:tcPr>
            <w:tcW w:w="1080" w:type="dxa"/>
            <w:vAlign w:val="bottom"/>
          </w:tcPr>
          <w:p>
            <w:pPr>
              <w:spacing w:after="0"/>
              <w:rPr>
                <w:sz w:val="18"/>
                <w:szCs w:val="18"/>
                <w:color w:val="auto"/>
              </w:rPr>
            </w:pP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 the years ended December 31, 2023, 2022 and 2021, (iii) Consolidated Statements of Comprehensive</w:t>
            </w:r>
          </w:p>
        </w:tc>
      </w:tr>
      <w:tr>
        <w:trPr>
          <w:trHeight w:val="216"/>
        </w:trPr>
        <w:tc>
          <w:tcPr>
            <w:tcW w:w="1080" w:type="dxa"/>
            <w:vAlign w:val="bottom"/>
          </w:tcPr>
          <w:p>
            <w:pPr>
              <w:spacing w:after="0"/>
              <w:rPr>
                <w:sz w:val="18"/>
                <w:szCs w:val="18"/>
                <w:color w:val="auto"/>
              </w:rPr>
            </w:pP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Income (Loss) for the years ended December 31, 2023, 2022 and 2021, (iv) Consolidated Statements of</w:t>
            </w:r>
          </w:p>
        </w:tc>
      </w:tr>
      <w:tr>
        <w:trPr>
          <w:trHeight w:val="216"/>
        </w:trPr>
        <w:tc>
          <w:tcPr>
            <w:tcW w:w="1080" w:type="dxa"/>
            <w:vAlign w:val="bottom"/>
          </w:tcPr>
          <w:p>
            <w:pPr>
              <w:spacing w:after="0"/>
              <w:rPr>
                <w:sz w:val="18"/>
                <w:szCs w:val="18"/>
                <w:color w:val="auto"/>
              </w:rPr>
            </w:pP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9"/>
              </w:rPr>
              <w:t>Cash Flows for the years ended December 31, 2023, 2022 and 2021, (v) Consolidated Statement of Changes</w:t>
            </w:r>
          </w:p>
        </w:tc>
      </w:tr>
      <w:tr>
        <w:trPr>
          <w:trHeight w:val="216"/>
        </w:trPr>
        <w:tc>
          <w:tcPr>
            <w:tcW w:w="1080" w:type="dxa"/>
            <w:vAlign w:val="bottom"/>
          </w:tcPr>
          <w:p>
            <w:pPr>
              <w:spacing w:after="0"/>
              <w:rPr>
                <w:sz w:val="18"/>
                <w:szCs w:val="18"/>
                <w:color w:val="auto"/>
              </w:rPr>
            </w:pP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 Stockholders’ Equity (Deficit) and Noncontrolling Interest for the years ended December 31, 2023, 2022</w:t>
            </w:r>
          </w:p>
        </w:tc>
      </w:tr>
      <w:tr>
        <w:trPr>
          <w:trHeight w:val="216"/>
        </w:trPr>
        <w:tc>
          <w:tcPr>
            <w:tcW w:w="1080" w:type="dxa"/>
            <w:vAlign w:val="bottom"/>
          </w:tcPr>
          <w:p>
            <w:pPr>
              <w:spacing w:after="0"/>
              <w:rPr>
                <w:sz w:val="18"/>
                <w:szCs w:val="18"/>
                <w:color w:val="auto"/>
              </w:rPr>
            </w:pP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and 2021, and (vi) Notes to Consolidated Financial Statements.</w:t>
            </w:r>
          </w:p>
        </w:tc>
      </w:tr>
      <w:tr>
        <w:trPr>
          <w:trHeight w:val="23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8"/>
        </w:trPr>
        <w:tc>
          <w:tcPr>
            <w:tcW w:w="10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79" w:lineRule="exact"/>
        <w:rPr>
          <w:sz w:val="20"/>
          <w:szCs w:val="20"/>
          <w:color w:val="auto"/>
        </w:rPr>
      </w:pPr>
    </w:p>
    <w:p>
      <w:pPr>
        <w:ind w:left="360" w:hanging="310"/>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80" w:right="159" w:hanging="330"/>
        <w:spacing w:after="0" w:line="250" w:lineRule="auto"/>
        <w:tabs>
          <w:tab w:leader="none" w:pos="36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directed by Item 601(a)(5) or 601(b)(2) of Regulation S-K, as applicable, certain schedules and exhibits to this exhibit are omitted from this filing. The Company agrees to furnish supplementally a copy of any omitted schedule or exhibit to the SEC upon request.</w:t>
      </w:r>
    </w:p>
    <w:p>
      <w:pPr>
        <w:spacing w:after="0" w:line="1" w:lineRule="exact"/>
        <w:rPr>
          <w:sz w:val="20"/>
          <w:szCs w:val="20"/>
          <w:color w:val="auto"/>
        </w:rPr>
      </w:pPr>
    </w:p>
    <w:p>
      <w:pPr>
        <w:ind w:left="360" w:hanging="310"/>
        <w:spacing w:after="0"/>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2"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64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By:/s/ Mark Fioravanti</w:t>
            </w:r>
          </w:p>
        </w:tc>
      </w:tr>
      <w:tr>
        <w:trPr>
          <w:trHeight w:val="20"/>
        </w:trPr>
        <w:tc>
          <w:tcPr>
            <w:tcW w:w="3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r>
      <w:tr>
        <w:trPr>
          <w:trHeight w:val="176"/>
        </w:trPr>
        <w:tc>
          <w:tcPr>
            <w:tcW w:w="3100" w:type="dxa"/>
            <w:vAlign w:val="bottom"/>
          </w:tcPr>
          <w:p>
            <w:pPr>
              <w:spacing w:after="0"/>
              <w:rPr>
                <w:sz w:val="15"/>
                <w:szCs w:val="15"/>
                <w:color w:val="auto"/>
              </w:rPr>
            </w:pPr>
          </w:p>
        </w:tc>
        <w:tc>
          <w:tcPr>
            <w:tcW w:w="5800" w:type="dxa"/>
            <w:vAlign w:val="bottom"/>
            <w:gridSpan w:val="2"/>
          </w:tcPr>
          <w:p>
            <w:pPr>
              <w:ind w:left="1360"/>
              <w:spacing w:after="0" w:line="176"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6"/>
        </w:trPr>
        <w:tc>
          <w:tcPr>
            <w:tcW w:w="3100" w:type="dxa"/>
            <w:vAlign w:val="bottom"/>
          </w:tcPr>
          <w:p>
            <w:pPr>
              <w:spacing w:after="0"/>
              <w:rPr>
                <w:sz w:val="20"/>
                <w:szCs w:val="20"/>
                <w:color w:val="auto"/>
              </w:rPr>
            </w:pP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0" w:type="dxa"/>
            <w:vAlign w:val="bottom"/>
          </w:tcPr>
          <w:p>
            <w:pPr>
              <w:spacing w:after="0"/>
              <w:rPr>
                <w:sz w:val="15"/>
                <w:szCs w:val="15"/>
                <w:color w:val="auto"/>
              </w:rPr>
            </w:pPr>
          </w:p>
        </w:tc>
        <w:tc>
          <w:tcPr>
            <w:tcW w:w="3860" w:type="dxa"/>
            <w:vAlign w:val="bottom"/>
            <w:tcBorders>
              <w:bottom w:val="single" w:sz="8" w:color="auto"/>
            </w:tcBorders>
          </w:tcPr>
          <w:p>
            <w:pPr>
              <w:jc w:val="right"/>
              <w:ind w:right="1708"/>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5"/>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Colin V. Reed</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Colin V. Reed</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Rachna Bhasin</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Rachna Bhasin</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Alvin Bowles, Jr.</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Alvin Bowles, Jr.</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E. Haslam</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E. Haslam</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Erin Mulligan Helgren</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Erin Mulligan Helgren</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Fazal F. Merchant</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Fazal F. Merchant</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Christine Pantoya</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Christine Pantoya</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S. Prather, Jr.</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Robert S. Prather, Jr.</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I. Roth</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I. Roth</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Fioravanti</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Mark Fioravanti</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Hutcheson</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Jennifer Hutcheson</w:t>
            </w: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and Chief Accounting Officer</w:t>
            </w:r>
          </w:p>
        </w:tc>
        <w:tc>
          <w:tcPr>
            <w:tcW w:w="1680" w:type="dxa"/>
            <w:vAlign w:val="bottom"/>
          </w:tcPr>
          <w:p>
            <w:pPr>
              <w:spacing w:after="0"/>
              <w:rPr>
                <w:sz w:val="19"/>
                <w:szCs w:val="19"/>
                <w:color w:val="auto"/>
              </w:rPr>
            </w:pPr>
          </w:p>
        </w:tc>
      </w:tr>
      <w:tr>
        <w:trPr>
          <w:trHeight w:val="643"/>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20" w:type="dxa"/>
            <w:vAlign w:val="bottom"/>
            <w:gridSpan w:val="2"/>
          </w:tcPr>
          <w:p>
            <w:pPr>
              <w:jc w:val="right"/>
              <w:ind w:right="2428"/>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58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b w:val="1"/>
                <w:bCs w:val="1"/>
                <w:color w:val="auto"/>
              </w:rPr>
              <w:t>Ryman Hospitality Properties, Inc. and Subsidiaries Audited Consolidated Financial Statements as of December 31, 2023</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7"/>
        </w:trPr>
        <w:tc>
          <w:tcPr>
            <w:tcW w:w="8580" w:type="dxa"/>
            <w:vAlign w:val="bottom"/>
            <w:gridSpan w:val="10"/>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58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and 2022 and for Each of the Three Years in the Period Ended December 31, 2023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8260" w:type="dxa"/>
            <w:vAlign w:val="bottom"/>
            <w:gridSpan w:val="9"/>
          </w:tcPr>
          <w:p>
            <w:pPr>
              <w:spacing w:after="0" w:line="176"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0042)</w:t>
            </w:r>
          </w:p>
        </w:tc>
        <w:tc>
          <w:tcPr>
            <w:tcW w:w="32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800" w:type="dxa"/>
            <w:vAlign w:val="bottom"/>
            <w:tcBorders>
              <w:top w:val="single" w:sz="8" w:color="0000EE"/>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Report of Independent Registered Public Accounting Firm</w:t>
            </w:r>
          </w:p>
        </w:tc>
        <w:tc>
          <w:tcPr>
            <w:tcW w:w="4460" w:type="dxa"/>
            <w:vAlign w:val="bottom"/>
            <w:gridSpan w:val="6"/>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826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Consolidated Balance Sheets as of December 31, 2023 and 2022</w:t>
            </w: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826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Operations for the Years ended December 31, 2023, 2022, and 2021</w:t>
            </w: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826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Comprehensive Income (Loss) for the Years ended December 31, 2023, 2022, and 2021</w:t>
            </w: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6280" w:type="dxa"/>
            <w:vAlign w:val="bottom"/>
            <w:tcBorders>
              <w:top w:val="single" w:sz="8" w:color="0000EE"/>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2023, 2022, and 2021</w:t>
            </w:r>
          </w:p>
        </w:tc>
        <w:tc>
          <w:tcPr>
            <w:tcW w:w="1220" w:type="dxa"/>
            <w:vAlign w:val="bottom"/>
            <w:tcBorders>
              <w:top w:val="single" w:sz="8" w:color="0000EE"/>
            </w:tcBorders>
          </w:tcPr>
          <w:p>
            <w:pPr>
              <w:spacing w:after="0"/>
              <w:rPr>
                <w:sz w:val="15"/>
                <w:szCs w:val="15"/>
                <w:color w:val="auto"/>
              </w:rPr>
            </w:pPr>
          </w:p>
        </w:tc>
        <w:tc>
          <w:tcPr>
            <w:tcW w:w="760" w:type="dxa"/>
            <w:vAlign w:val="bottom"/>
            <w:gridSpan w:val="2"/>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826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Equity (Deficit) and Noncontrolling Interest for the Years ended December 31, 2023, 2022, and</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ind w:left="320"/>
              <w:spacing w:after="0" w:line="183" w:lineRule="exact"/>
              <w:rPr>
                <w:sz w:val="20"/>
                <w:szCs w:val="20"/>
                <w:color w:val="auto"/>
              </w:rPr>
            </w:pPr>
            <w:r>
              <w:rPr>
                <w:rFonts w:ascii="Times New Roman" w:cs="Times New Roman" w:eastAsia="Times New Roman" w:hAnsi="Times New Roman"/>
                <w:sz w:val="16"/>
                <w:szCs w:val="16"/>
                <w:color w:val="0000EE"/>
                <w:w w:val="93"/>
              </w:rPr>
              <w:t>2021</w:t>
            </w:r>
          </w:p>
        </w:tc>
        <w:tc>
          <w:tcPr>
            <w:tcW w:w="2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284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5420" w:type="dxa"/>
            <w:vAlign w:val="bottom"/>
            <w:gridSpan w:val="7"/>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 the Stockholders and the Board of Directors of Ryman Hospitality Properties,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Ryman Hospitality Properties, Inc. and subsidiaries (the Company) as of December 31, 2023 and 2022, the related consolidated statements of operations, comprehensive income (loss), equity (deficit) and noncontrolling interest and cash flows for each of the three years in the period ended December 31, 2023,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92" w:lineRule="exact"/>
        <w:rPr>
          <w:sz w:val="20"/>
          <w:szCs w:val="20"/>
          <w:color w:val="auto"/>
        </w:rPr>
      </w:pPr>
    </w:p>
    <w:p>
      <w:pPr>
        <w:jc w:val="both"/>
        <w:ind w:left="60" w:right="51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issued by the Committee of Sponsoring Organizations of the Treadway Commission (2013 framework), and our report dated February 23, 2024, expressed an unqualified opinion thereon.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i w:val="1"/>
          <w:iCs w:val="1"/>
          <w:color w:val="auto"/>
        </w:rPr>
        <w:t>National bonds credit loss reserve</w:t>
      </w:r>
    </w:p>
    <w:p>
      <w:pPr>
        <w:spacing w:after="0" w:line="225" w:lineRule="exact"/>
        <w:rPr>
          <w:sz w:val="20"/>
          <w:szCs w:val="20"/>
          <w:color w:val="auto"/>
        </w:rPr>
      </w:pPr>
    </w:p>
    <w:p>
      <w:pPr>
        <w:ind w:left="6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Description of the</w:t>
      </w:r>
      <w:r>
        <w:rPr>
          <w:sz w:val="20"/>
          <w:szCs w:val="20"/>
          <w:color w:val="auto"/>
        </w:rPr>
        <w:tab/>
      </w:r>
      <w:r>
        <w:rPr>
          <w:rFonts w:ascii="Times New Roman" w:cs="Times New Roman" w:eastAsia="Times New Roman" w:hAnsi="Times New Roman"/>
          <w:sz w:val="18"/>
          <w:szCs w:val="18"/>
          <w:color w:val="auto"/>
        </w:rPr>
        <w:t>At December 31, 2023, the Company holds within Notes Receivable two issuances of</w:t>
      </w:r>
    </w:p>
    <w:p>
      <w:pPr>
        <w:spacing w:after="0" w:line="31" w:lineRule="exact"/>
        <w:rPr>
          <w:sz w:val="20"/>
          <w:szCs w:val="20"/>
          <w:color w:val="auto"/>
        </w:rPr>
      </w:pPr>
    </w:p>
    <w:p>
      <w:pPr>
        <w:ind w:left="1860" w:right="79" w:hanging="1799"/>
        <w:spacing w:after="0" w:line="252"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Matter</w:t>
      </w:r>
      <w:r>
        <w:rPr>
          <w:sz w:val="20"/>
          <w:szCs w:val="20"/>
          <w:color w:val="auto"/>
        </w:rPr>
        <w:tab/>
      </w:r>
      <w:r>
        <w:rPr>
          <w:rFonts w:ascii="Times New Roman" w:cs="Times New Roman" w:eastAsia="Times New Roman" w:hAnsi="Times New Roman"/>
          <w:sz w:val="18"/>
          <w:szCs w:val="18"/>
          <w:color w:val="auto"/>
        </w:rPr>
        <w:t>governmental bonds (the Bonds) received in connection with the development of the Gaylord National Resort &amp; Convention Center which are reported at a total carrying value of $61.8 million, net of a credit loss reserve of $38.0 million. At December 31, 2023, the Series B bond is fully reserved. The Series A bond is of higher priority than other tranches which fall between the Company’s two issuances. The Company assesses the Bonds for credit losses, which requires an estimate of projected tax revenues that will service the Bonds over the remaining term. The Bonds and related accounting are more fully described in Note 3 to the consolidated financial statements.</w:t>
      </w:r>
    </w:p>
    <w:p>
      <w:pPr>
        <w:spacing w:after="0" w:line="188" w:lineRule="exact"/>
        <w:rPr>
          <w:sz w:val="20"/>
          <w:szCs w:val="20"/>
          <w:color w:val="auto"/>
        </w:rPr>
      </w:pPr>
    </w:p>
    <w:p>
      <w:pPr>
        <w:ind w:left="1860" w:right="99"/>
        <w:spacing w:after="0" w:line="255" w:lineRule="auto"/>
        <w:rPr>
          <w:sz w:val="20"/>
          <w:szCs w:val="20"/>
          <w:color w:val="auto"/>
        </w:rPr>
      </w:pPr>
      <w:r>
        <w:rPr>
          <w:rFonts w:ascii="Times New Roman" w:cs="Times New Roman" w:eastAsia="Times New Roman" w:hAnsi="Times New Roman"/>
          <w:sz w:val="18"/>
          <w:szCs w:val="18"/>
          <w:color w:val="auto"/>
        </w:rPr>
        <w:t>Auditing management’s assessment of the valuation of the credit loss reserve for the Bonds was complex and judgmental due to the significant estimation required in projecting tax revenues, specifically property tax increments, hotel taxes and special hotel rental taxes generated from the Gaylord National Resort &amp; Convention Center which provide revenues to fund the Bonds. In particular, the estimate of credit losses is impacted by the projections of hotel taxes (which are based on estimated hotel revenues) and property taxes, both of which are judgmental as the Bonds and related projected cash flows continue for an extended period of time through 2037.</w:t>
      </w:r>
    </w:p>
    <w:p>
      <w:pPr>
        <w:spacing w:after="0" w:line="185" w:lineRule="exact"/>
        <w:rPr>
          <w:sz w:val="20"/>
          <w:szCs w:val="20"/>
          <w:color w:val="auto"/>
        </w:rPr>
      </w:pPr>
    </w:p>
    <w:p>
      <w:pPr>
        <w:ind w:left="60" w:right="479"/>
        <w:spacing w:after="0" w:line="263" w:lineRule="auto"/>
        <w:rPr>
          <w:sz w:val="20"/>
          <w:szCs w:val="20"/>
          <w:color w:val="auto"/>
        </w:rPr>
      </w:pPr>
      <w:r>
        <w:rPr>
          <w:rFonts w:ascii="Times New Roman" w:cs="Times New Roman" w:eastAsia="Times New Roman" w:hAnsi="Times New Roman"/>
          <w:sz w:val="18"/>
          <w:szCs w:val="18"/>
          <w:b w:val="1"/>
          <w:bCs w:val="1"/>
          <w:color w:val="auto"/>
        </w:rPr>
        <w:t>How We Addressed the</w:t>
      </w:r>
      <w:r>
        <w:rPr>
          <w:rFonts w:ascii="Times New Roman" w:cs="Times New Roman" w:eastAsia="Times New Roman" w:hAnsi="Times New Roman"/>
          <w:sz w:val="18"/>
          <w:szCs w:val="18"/>
          <w:color w:val="auto"/>
        </w:rPr>
        <w:t>We obtained an understanding, evaluated the design and tested the operating effectiveness of</w:t>
      </w:r>
      <w:r>
        <w:rPr>
          <w:rFonts w:ascii="Times New Roman" w:cs="Times New Roman" w:eastAsia="Times New Roman" w:hAnsi="Times New Roman"/>
          <w:sz w:val="18"/>
          <w:szCs w:val="18"/>
          <w:b w:val="1"/>
          <w:bCs w:val="1"/>
          <w:color w:val="auto"/>
        </w:rPr>
        <w:t xml:space="preserve"> Matter in Our Audit </w:t>
      </w:r>
      <w:r>
        <w:rPr>
          <w:rFonts w:ascii="Times New Roman" w:cs="Times New Roman" w:eastAsia="Times New Roman" w:hAnsi="Times New Roman"/>
          <w:sz w:val="18"/>
          <w:szCs w:val="18"/>
          <w:color w:val="auto"/>
        </w:rPr>
        <w:t>controls over the Company’s estimation of the credit loss reserve for the Bonds, including</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controls over management’s review of the projections described above.</w:t>
      </w:r>
    </w:p>
    <w:p>
      <w:pPr>
        <w:spacing w:after="0" w:line="207" w:lineRule="exact"/>
        <w:rPr>
          <w:sz w:val="20"/>
          <w:szCs w:val="20"/>
          <w:color w:val="auto"/>
        </w:rPr>
      </w:pPr>
    </w:p>
    <w:p>
      <w:pPr>
        <w:ind w:left="1860" w:right="179"/>
        <w:spacing w:after="0" w:line="272" w:lineRule="auto"/>
        <w:rPr>
          <w:sz w:val="20"/>
          <w:szCs w:val="20"/>
          <w:color w:val="auto"/>
        </w:rPr>
      </w:pPr>
      <w:r>
        <w:rPr>
          <w:rFonts w:ascii="Times New Roman" w:cs="Times New Roman" w:eastAsia="Times New Roman" w:hAnsi="Times New Roman"/>
          <w:sz w:val="17"/>
          <w:szCs w:val="17"/>
          <w:color w:val="auto"/>
        </w:rPr>
        <w:t>To test the Company’s determination of the credit loss reserve as of December 31, 2023, we performed audit procedures that included, among others, assessing the methodology utilized by management, testing the projections discussed above and the related underlying data used by the Company in its evaluation, and testing the mathematical accuracy of the calculations. In performing those procedures, we compared hotel revenue projections used by management to current industry forecasts. We also involved valuation specialists to assist in assessing the Company’s hotel revenue projections used in the credit loss analysis and a property tax specialist to assist in assessing the Company’s property tax projections used in the credit loss analysis.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right="1899" w:firstLine="1835"/>
        <w:spacing w:after="0" w:line="502" w:lineRule="auto"/>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 To the Stockholders and the Board of Directors of Ryman Hospitality Properties, Inc. Opinion on Internal Control Over Financial Reporting</w:t>
      </w:r>
    </w:p>
    <w:p>
      <w:pPr>
        <w:spacing w:after="0" w:line="2" w:lineRule="exact"/>
        <w:rPr>
          <w:sz w:val="20"/>
          <w:szCs w:val="20"/>
          <w:color w:val="auto"/>
        </w:rPr>
      </w:pPr>
    </w:p>
    <w:p>
      <w:pPr>
        <w:ind w:left="60" w:right="79"/>
        <w:spacing w:after="0" w:line="287" w:lineRule="auto"/>
        <w:rPr>
          <w:sz w:val="20"/>
          <w:szCs w:val="20"/>
          <w:color w:val="auto"/>
        </w:rPr>
      </w:pPr>
      <w:r>
        <w:rPr>
          <w:rFonts w:ascii="Times New Roman" w:cs="Times New Roman" w:eastAsia="Times New Roman" w:hAnsi="Times New Roman"/>
          <w:sz w:val="15"/>
          <w:szCs w:val="15"/>
          <w:color w:val="auto"/>
        </w:rPr>
        <w:t>We have audited Ryman Hospitality Properties, Inc.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Ryman Hospitality Properties, Inc. and subsidiaries (the Company) maintained, in all material respects, effective internal control over financial reporting as of December 31, 2023, based on the COSO criteria.</w:t>
      </w:r>
    </w:p>
    <w:p>
      <w:pPr>
        <w:spacing w:after="0" w:line="133"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5"/>
          <w:szCs w:val="15"/>
          <w:color w:val="auto"/>
        </w:rPr>
        <w:t>As indicated in the accompanying Management’s Report on Internal Control over Financial Reporting, management’s assessment of and conclusion on the effectiveness of internal control over financial reporting did not include the internal controls of JW Marriott Hill Country, which is included in the 2023 consolidated financial statements of the Company and which constituted 16.4% and 4.3% of total assets and total revenues, respectively, as of and for the year ended December 31, 2023. Our audit of internal control over financial reporting of the Company also did not include an evaluation of the internal control over financial reporting of JW Marriott Hill Country.</w:t>
      </w:r>
    </w:p>
    <w:p>
      <w:pPr>
        <w:spacing w:after="0" w:line="120" w:lineRule="exact"/>
        <w:rPr>
          <w:sz w:val="20"/>
          <w:szCs w:val="20"/>
          <w:color w:val="auto"/>
        </w:rPr>
      </w:pPr>
    </w:p>
    <w:p>
      <w:pPr>
        <w:ind w:left="60" w:right="119"/>
        <w:spacing w:after="0" w:line="317" w:lineRule="auto"/>
        <w:rPr>
          <w:sz w:val="20"/>
          <w:szCs w:val="20"/>
          <w:color w:val="auto"/>
        </w:rPr>
      </w:pPr>
      <w:r>
        <w:rPr>
          <w:rFonts w:ascii="Times New Roman" w:cs="Times New Roman" w:eastAsia="Times New Roman" w:hAnsi="Times New Roman"/>
          <w:sz w:val="15"/>
          <w:szCs w:val="15"/>
          <w:color w:val="auto"/>
        </w:rPr>
        <w:t>We also have audited, in accordance with the standards of the Public Company Accounting Oversight Board (United States) (PCAOB), the 2023 consolidated financial statements of the Company, and our report dated February 23, 2024 expressed an unqualified opinion thereon.</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83"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5"/>
          <w:szCs w:val="15"/>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left="60" w:right="279"/>
        <w:spacing w:after="0" w:line="298" w:lineRule="auto"/>
        <w:rPr>
          <w:sz w:val="20"/>
          <w:szCs w:val="20"/>
          <w:color w:val="auto"/>
        </w:rPr>
      </w:pPr>
      <w:r>
        <w:rPr>
          <w:rFonts w:ascii="Times New Roman" w:cs="Times New Roman" w:eastAsia="Times New Roman" w:hAnsi="Times New Roman"/>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5" w:lineRule="exact"/>
        <w:rPr>
          <w:sz w:val="20"/>
          <w:szCs w:val="20"/>
          <w:color w:val="auto"/>
        </w:rPr>
      </w:pPr>
    </w:p>
    <w:p>
      <w:pPr>
        <w:ind w:left="60" w:right="79"/>
        <w:spacing w:after="0" w:line="290" w:lineRule="auto"/>
        <w:rPr>
          <w:sz w:val="20"/>
          <w:szCs w:val="20"/>
          <w:color w:val="auto"/>
        </w:rPr>
      </w:pPr>
      <w:r>
        <w:rPr>
          <w:rFonts w:ascii="Times New Roman" w:cs="Times New Roman" w:eastAsia="Times New Roman" w:hAnsi="Times New Roman"/>
          <w:sz w:val="15"/>
          <w:szCs w:val="15"/>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b w:val="1"/>
          <w:bCs w:val="1"/>
          <w:color w:val="auto"/>
        </w:rPr>
        <w:t>Definition and Limitations of Internal Control Over Financial Reporting</w:t>
      </w:r>
    </w:p>
    <w:p>
      <w:pPr>
        <w:spacing w:after="0" w:line="196" w:lineRule="exact"/>
        <w:rPr>
          <w:sz w:val="20"/>
          <w:szCs w:val="20"/>
          <w:color w:val="auto"/>
        </w:rPr>
      </w:pPr>
    </w:p>
    <w:p>
      <w:pPr>
        <w:ind w:left="60" w:right="159"/>
        <w:spacing w:after="0" w:line="278" w:lineRule="auto"/>
        <w:rPr>
          <w:sz w:val="20"/>
          <w:szCs w:val="20"/>
          <w:color w:val="auto"/>
        </w:rPr>
      </w:pPr>
      <w:r>
        <w:rPr>
          <w:rFonts w:ascii="Times New Roman" w:cs="Times New Roman" w:eastAsia="Times New Roman" w:hAnsi="Times New Roman"/>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ind w:left="60" w:right="99"/>
        <w:spacing w:after="0" w:line="290"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Nashville, Tennessee</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February 23, 2024</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2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CONSOLIDATED BALANCE SHEETS (Amounts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2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3,955,586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3,171,708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 - unrestricted</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591,833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Cash and cash equivalents - restricted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108,608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Notes receivable, net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61,760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Trade receivables, net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110,029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81,624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154,810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Intangible assets, net</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124,287</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105,951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5,188,537</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4,040,623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AND EQUITY:</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Debt and finance lease obligations</w:t>
            </w:r>
          </w:p>
        </w:tc>
        <w:tc>
          <w:tcPr>
            <w:tcW w:w="4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3,377,028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2,862,592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464,720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Distributions payable</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67,932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management rights proceeds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165,174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129,122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income tax liabilities, net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66,658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4,270,634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3,632,865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Noncontrolling interest in consolidated joint venture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345,126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311,857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Equity:</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100,000 shares authorized, no shares issued or outstanding</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9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7"/>
                <w:szCs w:val="17"/>
                <w:color w:val="auto"/>
              </w:rPr>
              <w:t>Common stock, $.01 par value, 400,000 shares authorized, 59,712 and 55,167 shares issued and</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outstanding, respectively</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1,502,710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1,102,733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Treasury stock of 668 and 648 shares, at cost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Distributions in excess of retained earnings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(894,259)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(978,619)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(19,387)</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569,153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95,276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Noncontrolling interest in Operating Partnership</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3,624</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Total equity</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572,777</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95,901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5,188,537</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00"/>
          </w:cols>
          <w:pgMar w:left="1240" w:top="513" w:right="1259"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Rooms</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701,138</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595,544</w:t>
            </w:r>
          </w:p>
        </w:tc>
        <w:tc>
          <w:tcPr>
            <w:tcW w:w="2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328,874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Food and beverage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279,489</w:t>
            </w: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hotel revenue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178,220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152,790</w:t>
            </w:r>
          </w:p>
        </w:tc>
        <w:tc>
          <w:tcPr>
            <w:tcW w:w="0" w:type="dxa"/>
            <w:vAlign w:val="bottom"/>
          </w:tcPr>
          <w:p>
            <w:pPr>
              <w:spacing w:after="0"/>
              <w:rPr>
                <w:sz w:val="1"/>
                <w:szCs w:val="1"/>
                <w:color w:val="auto"/>
              </w:rPr>
            </w:pPr>
          </w:p>
        </w:tc>
      </w:tr>
      <w:tr>
        <w:trPr>
          <w:trHeight w:val="209"/>
        </w:trPr>
        <w:tc>
          <w:tcPr>
            <w:tcW w:w="5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2,158,136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1,805,969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939,373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Rooms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88,244</w:t>
            </w: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Food and beverage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190,855</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hotel expenses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327,791</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Management fees, net</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hotel operating expenses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620,921</w:t>
            </w: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117,753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38,597</w:t>
            </w: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Preopening costs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211,227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208,616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220,357</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1,704,452</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998,048</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unconsolidated joint ventures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gains and (losses), net</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(189,844)</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93,702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(194,801)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noncontrolling interest in consolidated joint venture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 loss attributable to noncontrolling interest in Operating Partnership</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(loss) available to common stockholders</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311,217</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128,993</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(176,966)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income (loss) per share available to common stockholders</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Diluted income (loss) per share available to common stockholders</w:t>
            </w:r>
          </w:p>
        </w:tc>
        <w:tc>
          <w:tcPr>
            <w:tcW w:w="26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5.36</w:t>
            </w:r>
          </w:p>
        </w:tc>
        <w:tc>
          <w:tcPr>
            <w:tcW w:w="2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2"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CONSOLIDATED STATEMENTS OF COMPREHENSIVE INCOME (LOSS) For the Years Ended December 31, 2023, 2022 and 2021 (Amounts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income (loss)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341,800</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134,948</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(194,801)</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 (loss), before tax:</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Gain (loss) on minimum pension liability: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Gains (losses) arising during the period</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4,428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(1,428)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10,314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Amount reclassified from accumulated other comprehensive loss</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(308)</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(174)</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4,120</w:t>
            </w:r>
          </w:p>
        </w:tc>
        <w:tc>
          <w:tcPr>
            <w:tcW w:w="1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(1,602)</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10,204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Interest rate derivatives: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Gains arising during period</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670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16,007</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Amount reclassified from accumulated other comprehensive loss</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(12,177)</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3,541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16,501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(11,507)</w:t>
            </w:r>
          </w:p>
        </w:tc>
        <w:tc>
          <w:tcPr>
            <w:tcW w:w="1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19,548</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18,456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Other-than-temporary impairment loss on held-to-maturity securities:</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Amount reclassified from accumulated other comprehensive loss</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209</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209</w:t>
            </w:r>
          </w:p>
        </w:tc>
        <w:tc>
          <w:tcPr>
            <w:tcW w:w="1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211</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211</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 (loss), before tax</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(7,178)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18,157</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28,871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Income tax provision related to items of comprehensive loss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(1,286)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Other comprehensive income (loss), net of tax</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(8,464)</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18,157</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28,871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Comprehensive income (loss)</w:t>
            </w:r>
          </w:p>
        </w:tc>
        <w:tc>
          <w:tcPr>
            <w:tcW w:w="300" w:type="dxa"/>
            <w:vAlign w:val="bottom"/>
            <w:gridSpan w:val="2"/>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333,336</w:t>
            </w:r>
          </w:p>
        </w:tc>
        <w:tc>
          <w:tcPr>
            <w:tcW w:w="320" w:type="dxa"/>
            <w:vAlign w:val="bottom"/>
            <w:gridSpan w:val="2"/>
            <w:shd w:val="clear" w:color="auto" w:fill="CCEEFF"/>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153,105</w:t>
            </w:r>
          </w:p>
        </w:tc>
        <w:tc>
          <w:tcPr>
            <w:tcW w:w="1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(165,930)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Comprehensive (income) loss attributable to noncontrolling interest in consolidated joint venture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(28,560)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(4,683)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15,419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Comprehensive (income) loss attributable to noncontrolling interest in Operating Partnership</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(2,062)</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(1,052)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1,128</w:t>
            </w:r>
          </w:p>
        </w:tc>
        <w:tc>
          <w:tcPr>
            <w:tcW w:w="0" w:type="dxa"/>
            <w:vAlign w:val="bottom"/>
          </w:tcPr>
          <w:p>
            <w:pPr>
              <w:spacing w:after="0"/>
              <w:rPr>
                <w:sz w:val="1"/>
                <w:szCs w:val="1"/>
                <w:color w:val="auto"/>
              </w:rPr>
            </w:pPr>
          </w:p>
        </w:tc>
      </w:tr>
      <w:tr>
        <w:trPr>
          <w:trHeight w:val="156"/>
        </w:trPr>
        <w:tc>
          <w:tcPr>
            <w:tcW w:w="606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Comprehensive income (loss) available to common stockholders</w:t>
            </w:r>
          </w:p>
        </w:tc>
        <w:tc>
          <w:tcPr>
            <w:tcW w:w="160" w:type="dxa"/>
            <w:vAlign w:val="bottom"/>
          </w:tcPr>
          <w:p>
            <w:pPr>
              <w:spacing w:after="0"/>
              <w:rPr>
                <w:sz w:val="13"/>
                <w:szCs w:val="13"/>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302,714</w:t>
            </w:r>
          </w:p>
        </w:tc>
        <w:tc>
          <w:tcPr>
            <w:tcW w:w="160" w:type="dxa"/>
            <w:vAlign w:val="bottom"/>
          </w:tcPr>
          <w:p>
            <w:pPr>
              <w:spacing w:after="0"/>
              <w:rPr>
                <w:sz w:val="13"/>
                <w:szCs w:val="13"/>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147,370</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(149,383)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3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341,800</w:t>
            </w:r>
          </w:p>
        </w:tc>
        <w:tc>
          <w:tcPr>
            <w:tcW w:w="320" w:type="dxa"/>
            <w:vAlign w:val="bottom"/>
            <w:gridSpan w:val="2"/>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134,948</w:t>
            </w:r>
          </w:p>
        </w:tc>
        <w:tc>
          <w:tcPr>
            <w:tcW w:w="3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(194,801)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Amounts to reconcile net income (loss) to net cash flows provided by operating activities: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(benefit) for deferred income taxes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(95,825)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8,244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211,227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208,616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220,357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10,663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9,829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8,790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Loss from unconsolidated joint ventures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17,308</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10,967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8,963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15,421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14,985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12,104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Trade receivables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21,550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(40,686)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(54,639)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and accrued liabilities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41,520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66,428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107,012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Borders>
              <w:bottom w:val="single" w:sz="8" w:color="CCEEFF"/>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(6,608)</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6,600</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2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operating activities</w:t>
            </w:r>
          </w:p>
        </w:tc>
        <w:tc>
          <w:tcPr>
            <w:tcW w:w="2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557,056</w:t>
            </w:r>
          </w:p>
        </w:tc>
        <w:tc>
          <w:tcPr>
            <w:tcW w:w="2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419,931</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111,253</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(206,776)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(89,520)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(77,426)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land adjacent to Gaylord Rockies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Collection of notes receivable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5,903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JW Marriott Hill Country, net of cash acquired</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(791,466)</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Block 21, net of cash acquired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(93,992)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additional interest in Gaylord Rockies joint venture</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(188,000)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Investment in Circle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(10,500)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(9,977)</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481</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5,344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2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(1,012,816)</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(189,313)</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(289,738)</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Net borrowings (repayments) under revolving credit facility</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(190,000)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84,000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term loan B</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A</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(300,000)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B</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(378,750)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Net borrowings under OEG revolving credit facility</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term loan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288,000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term loan</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(750)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Block 21 CMBS loan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(2,765)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senior notes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400,000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Redemption of senior notes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financing costs paid</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(23,400)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(15,411)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(10,628)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common stock, net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395,444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Redemption of noncontrolling interest in Operating Partnership</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Sale of noncontrolling interest in OEG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285,925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distributions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(176,001)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(5,855)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tax withholdings for share-based compensation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(4,386)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(4,478)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(271)</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(199)</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2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financing activities</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711,871</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50,712</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261,731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256,111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281,330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83,246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year</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444,330</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163,000</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79,754</w:t>
            </w:r>
          </w:p>
        </w:tc>
        <w:tc>
          <w:tcPr>
            <w:tcW w:w="0" w:type="dxa"/>
            <w:vAlign w:val="bottom"/>
          </w:tcPr>
          <w:p>
            <w:pPr>
              <w:spacing w:after="0"/>
              <w:rPr>
                <w:sz w:val="1"/>
                <w:szCs w:val="1"/>
                <w:color w:val="auto"/>
              </w:rPr>
            </w:pPr>
          </w:p>
        </w:tc>
      </w:tr>
      <w:tr>
        <w:trPr>
          <w:trHeight w:val="195"/>
        </w:trPr>
        <w:tc>
          <w:tcPr>
            <w:tcW w:w="584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year</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700,441</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444,330</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163,000</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8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to balance sheet: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unrestricted</w:t>
            </w:r>
          </w:p>
        </w:tc>
        <w:tc>
          <w:tcPr>
            <w:tcW w:w="34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591,833</w:t>
            </w:r>
          </w:p>
        </w:tc>
        <w:tc>
          <w:tcPr>
            <w:tcW w:w="320" w:type="dxa"/>
            <w:vAlign w:val="bottom"/>
            <w:gridSpan w:val="2"/>
            <w:shd w:val="clear" w:color="auto" w:fill="CCEEFF"/>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334,194</w:t>
            </w:r>
          </w:p>
        </w:tc>
        <w:tc>
          <w:tcPr>
            <w:tcW w:w="3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140,688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restricted</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108,608</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110,136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22,312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20" w:type="dxa"/>
            <w:vAlign w:val="bottom"/>
            <w:tcBorders>
              <w:bottom w:val="single" w:sz="8" w:color="CCEEFF"/>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year</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700,441</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444,330</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500"/>
        <w:spacing w:after="0" w:line="265"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CONSOLIDATED STATEMENTS OF EQUITY (DEFICIT) AND NONCONTROLLING INTEREST For the Years Ended December 31, 2023, 2022 and 2021 (Amounts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Distributions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60" w:type="dxa"/>
            <w:vAlign w:val="bottom"/>
          </w:tcPr>
          <w:p>
            <w:pPr>
              <w:spacing w:after="0"/>
              <w:rPr>
                <w:sz w:val="11"/>
                <w:szCs w:val="11"/>
                <w:color w:val="auto"/>
              </w:rPr>
            </w:pPr>
          </w:p>
        </w:tc>
        <w:tc>
          <w:tcPr>
            <w:tcW w:w="7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6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rPr>
              <w:t>Paid-in</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Stockholders'</w:t>
            </w:r>
          </w:p>
        </w:tc>
        <w:tc>
          <w:tcPr>
            <w:tcW w:w="6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Operating</w:t>
            </w:r>
          </w:p>
        </w:tc>
        <w:tc>
          <w:tcPr>
            <w:tcW w:w="180" w:type="dxa"/>
            <w:vAlign w:val="bottom"/>
          </w:tcPr>
          <w:p>
            <w:pPr>
              <w:spacing w:after="0"/>
              <w:rPr>
                <w:sz w:val="11"/>
                <w:szCs w:val="11"/>
                <w:color w:val="auto"/>
              </w:rPr>
            </w:pPr>
          </w:p>
        </w:tc>
        <w:tc>
          <w:tcPr>
            <w:tcW w:w="7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c>
          <w:tcPr>
            <w:tcW w:w="0" w:type="dxa"/>
            <w:vAlign w:val="bottom"/>
          </w:tcPr>
          <w:p>
            <w:pPr>
              <w:spacing w:after="0"/>
              <w:rPr>
                <w:sz w:val="1"/>
                <w:szCs w:val="1"/>
                <w:color w:val="auto"/>
              </w:rPr>
            </w:pPr>
          </w:p>
        </w:tc>
      </w:tr>
      <w:tr>
        <w:trPr>
          <w:trHeight w:val="145"/>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40" w:type="dxa"/>
            <w:vAlign w:val="bottom"/>
          </w:tcPr>
          <w:p>
            <w:pPr>
              <w:spacing w:after="0"/>
              <w:rPr>
                <w:sz w:val="12"/>
                <w:szCs w:val="12"/>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Equity (Deficit)</w:t>
            </w:r>
          </w:p>
        </w:tc>
        <w:tc>
          <w:tcPr>
            <w:tcW w:w="6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Partnership</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Equity (Deficit)</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c>
          <w:tcPr>
            <w:tcW w:w="0" w:type="dxa"/>
            <w:vAlign w:val="bottom"/>
          </w:tcPr>
          <w:p>
            <w:pPr>
              <w:spacing w:after="0"/>
              <w:rPr>
                <w:sz w:val="1"/>
                <w:szCs w:val="1"/>
                <w:color w:val="auto"/>
              </w:rPr>
            </w:pPr>
          </w:p>
        </w:tc>
      </w:tr>
      <w:tr>
        <w:trPr>
          <w:trHeight w:val="97"/>
        </w:trPr>
        <w:tc>
          <w:tcPr>
            <w:tcW w:w="1660" w:type="dxa"/>
            <w:vAlign w:val="bottom"/>
            <w:tcBorders>
              <w:top w:val="single" w:sz="8" w:color="CCEEFF"/>
            </w:tcBorders>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BALANCE,</w:t>
            </w: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31, 2020</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$ 1,192,261</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2"/>
              </w:rPr>
              <w:t>$ (18,467)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(911,092)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(57,951)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205,301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219,817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100,969</w:t>
            </w:r>
          </w:p>
        </w:tc>
        <w:tc>
          <w:tcPr>
            <w:tcW w:w="0" w:type="dxa"/>
            <w:vAlign w:val="bottom"/>
          </w:tcPr>
          <w:p>
            <w:pPr>
              <w:spacing w:after="0"/>
              <w:rPr>
                <w:sz w:val="1"/>
                <w:szCs w:val="1"/>
                <w:color w:val="auto"/>
              </w:rPr>
            </w:pPr>
          </w:p>
        </w:tc>
      </w:tr>
      <w:tr>
        <w:trPr>
          <w:trHeight w:val="135"/>
        </w:trPr>
        <w:tc>
          <w:tcPr>
            <w:tcW w:w="16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(176,966)</w:t>
            </w:r>
          </w:p>
        </w:tc>
        <w:tc>
          <w:tcPr>
            <w:tcW w:w="14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(176,966)</w:t>
            </w:r>
          </w:p>
        </w:tc>
        <w:tc>
          <w:tcPr>
            <w:tcW w:w="6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(1,334)</w:t>
            </w:r>
          </w:p>
        </w:tc>
        <w:tc>
          <w:tcPr>
            <w:tcW w:w="1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(178,300)</w:t>
            </w: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(16,501)</w:t>
            </w: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net of 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28,871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28,871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28,871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Contribution to</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consolidated joint venture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4,425</w:t>
            </w: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Purchase of remaining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in consolidated joint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venture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(99,107)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(99,107)</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(99,107)</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(88,893)</w:t>
            </w:r>
          </w:p>
        </w:tc>
        <w:tc>
          <w:tcPr>
            <w:tcW w:w="0" w:type="dxa"/>
            <w:vAlign w:val="bottom"/>
          </w:tcPr>
          <w:p>
            <w:pPr>
              <w:spacing w:after="0"/>
              <w:rPr>
                <w:sz w:val="1"/>
                <w:szCs w:val="1"/>
                <w:color w:val="auto"/>
              </w:rPr>
            </w:pPr>
          </w:p>
        </w:tc>
      </w:tr>
      <w:tr>
        <w:trPr>
          <w:trHeight w:val="117"/>
        </w:trPr>
        <w:tc>
          <w:tcPr>
            <w:tcW w:w="16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Redemption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noncontrolling interests in</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Operating Partnership</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(1,356)</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(1,356)</w:t>
            </w:r>
          </w:p>
        </w:tc>
        <w:tc>
          <w:tcPr>
            <w:tcW w:w="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(1,082)</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(2,438)</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Reallocation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noncontrolling interest in</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Partnership</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12,259</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(12,259)</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 options surrendered</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(3,294)</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(3,340)</w:t>
            </w: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(3,340)</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12,104</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12,104</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12,104</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66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BALANCE,</w:t>
            </w: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31, 2021</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7"/>
              </w:rPr>
              <w:t>$ 1,112,867</w:t>
            </w:r>
          </w:p>
        </w:tc>
        <w:tc>
          <w:tcPr>
            <w:tcW w:w="1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2"/>
              </w:rPr>
              <w:t>$ (18,467)</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8"/>
              </w:rPr>
              <w:t>(1,088,105)</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(29,080)</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(22,234)</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(159)</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(22,393)</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128,993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128,993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129,916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5,032</w:t>
            </w:r>
          </w:p>
        </w:tc>
        <w:tc>
          <w:tcPr>
            <w:tcW w:w="0" w:type="dxa"/>
            <w:vAlign w:val="bottom"/>
          </w:tcPr>
          <w:p>
            <w:pPr>
              <w:spacing w:after="0"/>
              <w:rPr>
                <w:sz w:val="1"/>
                <w:szCs w:val="1"/>
                <w:color w:val="auto"/>
              </w:rPr>
            </w:pPr>
          </w:p>
        </w:tc>
      </w:tr>
      <w:tr>
        <w:trPr>
          <w:trHeight w:val="117"/>
        </w:trPr>
        <w:tc>
          <w:tcPr>
            <w:tcW w:w="16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noncontrolling interest in</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consolidated joint venture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 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(10,869)</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(10,869)</w:t>
            </w: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(10,869)</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10,869</w:t>
            </w: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net of 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Sale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in OEG</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(10,031)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(10,031)</w:t>
            </w: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(10,031)</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295,956</w:t>
            </w: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declared ($0.35 per</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share/unit)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(19,507)</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(19,453)</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(139)</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(19,592)</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 options surrendered</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(4,273)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(4,272)</w:t>
            </w: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(4,272)</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14,985</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66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BALANCE,</w:t>
            </w: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31, 2022</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7"/>
              </w:rPr>
              <w:t>$ 1,102,733</w:t>
            </w:r>
          </w:p>
        </w:tc>
        <w:tc>
          <w:tcPr>
            <w:tcW w:w="1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2"/>
              </w:rPr>
              <w:t>$ (18,467)</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(978,619)</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(10,923)</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95,276</w:t>
            </w:r>
          </w:p>
        </w:tc>
        <w:tc>
          <w:tcPr>
            <w:tcW w:w="1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12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95,901</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311,857</w:t>
            </w: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311,217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311,217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2,118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313,335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28,465</w:t>
            </w:r>
          </w:p>
        </w:tc>
        <w:tc>
          <w:tcPr>
            <w:tcW w:w="0" w:type="dxa"/>
            <w:vAlign w:val="bottom"/>
          </w:tcPr>
          <w:p>
            <w:pPr>
              <w:spacing w:after="0"/>
              <w:rPr>
                <w:sz w:val="1"/>
                <w:szCs w:val="1"/>
                <w:color w:val="auto"/>
              </w:rPr>
            </w:pPr>
          </w:p>
        </w:tc>
      </w:tr>
      <w:tr>
        <w:trPr>
          <w:trHeight w:val="117"/>
        </w:trPr>
        <w:tc>
          <w:tcPr>
            <w:tcW w:w="16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noncontrolling interest in</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consolidated joint venture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 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(4,804)</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(4,804)</w:t>
            </w: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(4,804)</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4,804</w:t>
            </w: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of 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(8,464)</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(8,464)</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(8,464)</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Reallocation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noncontrolling interest in</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Operating Partnership</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(2,401)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(2,401)</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395,400</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395,444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395,444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declared ($3.85 per</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share/unit)</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1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(2,041)</w:t>
            </w: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(226,857)</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(228,292)</w:t>
            </w:r>
          </w:p>
        </w:tc>
        <w:tc>
          <w:tcPr>
            <w:tcW w:w="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(1,520)</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(229,812)</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options surrendered</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(4,245)</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(4,244)</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(4,244)</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15,421</w:t>
            </w:r>
          </w:p>
        </w:tc>
        <w:tc>
          <w:tcPr>
            <w:tcW w:w="1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15,421</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15,421</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66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BALANCE,</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12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$ 1,502,710</w:t>
            </w:r>
          </w:p>
        </w:tc>
        <w:tc>
          <w:tcPr>
            <w:tcW w:w="12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2"/>
              </w:rPr>
              <w:t>$ (20,508)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(894,259)</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(19,387)</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569,153</w:t>
            </w:r>
          </w:p>
        </w:tc>
        <w:tc>
          <w:tcPr>
            <w:tcW w:w="12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3,624</w:t>
            </w:r>
          </w:p>
        </w:tc>
        <w:tc>
          <w:tcPr>
            <w:tcW w:w="12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572,777</w:t>
            </w:r>
          </w:p>
        </w:tc>
        <w:tc>
          <w:tcPr>
            <w:tcW w:w="12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345,126</w:t>
            </w:r>
          </w:p>
        </w:tc>
        <w:tc>
          <w:tcPr>
            <w:tcW w:w="0" w:type="dxa"/>
            <w:vAlign w:val="bottom"/>
          </w:tcPr>
          <w:p>
            <w:pPr>
              <w:spacing w:after="0"/>
              <w:rPr>
                <w:sz w:val="1"/>
                <w:szCs w:val="1"/>
                <w:color w:val="auto"/>
              </w:rPr>
            </w:pPr>
          </w:p>
        </w:tc>
      </w:tr>
      <w:tr>
        <w:trPr>
          <w:trHeight w:val="140"/>
        </w:trPr>
        <w:tc>
          <w:tcPr>
            <w:tcW w:w="166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3"/>
                <w:szCs w:val="13"/>
                <w:color w:val="auto"/>
              </w:rPr>
              <w:t>December 31, 2023</w:t>
            </w:r>
          </w:p>
        </w:tc>
        <w:tc>
          <w:tcPr>
            <w:tcW w:w="80" w:type="dxa"/>
            <w:vAlign w:val="bottom"/>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the Business and Summary of Significant Accounting Policies</w:t>
      </w:r>
    </w:p>
    <w:p>
      <w:pPr>
        <w:spacing w:after="0" w:line="22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For financial statement presentation and reporting purposes, the Company is the successor to Gaylord Entertainment Company, a Delaware corporation (“Gaylord”). As part of the plan to restructure the business operations of Gaylord to facilitate its qualification as a real estate investment trust (“REIT”) for federal income tax purposes, Gaylord merged with and into its wholly-owned subsidiary, Ryman Hospitality Properties, Inc., a Delaware corporation (“Ryman”), on October 1, 2012, with Ryman as the surviving corporation (the “Merger”). At 12:01 a.m. on October 1, 2012, the effective time of the Merger, Ryman succeeded to and began conducting, directly or indirectly, all of the business conducted by Gaylord immediately prior to the Merger. The “Company” refers to Ryman and its subsidiaries and to Gaylord.</w:t>
      </w:r>
    </w:p>
    <w:p>
      <w:pPr>
        <w:spacing w:after="0" w:line="18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January 1, 2013, the Company began operating as a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five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Prior to May 2021, Gaylord Rockies was owned by a joint venture (the “Gaylord Rockies joint venture”) in which the Company owned a 65% interest. The Company’s other owned hotel assets managed by Marriott include the Inn at Opryland, an overflow hotel adjacent to Gaylord Opryland, the AC Hotel at National Harbor, Washington D.C. (“AC Hotel”), an overflow hotel adjacent to Gaylord National, and effective June 30, 2023, the JW Marriott San Antonio Hill Country Resort &amp; Spa (“JW Marriott Hill Country”). See “JW Marriott Hill Country Transaction” below for further disclosure.</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April 2021, the Company entered into an agreement with RIDA Development Corporation to acquire the remaining 35% ownership interest in the Gaylord Rockies joint venture not previously owned by the Company for $188.0 million and approximately 130 acres of undeveloped, adjacent land for $22.0 million in cash (the “JV Purchase”). The JV Purchase closed in May 2021 and was funded through cash on hand and borrowings under the Company’s $700 million revolving credit facility. As discussed below, the Company consolidated the Gaylord Rockies joint venture both before and after the purchase in the accompanying consolidated financial statements.</w:t>
      </w:r>
    </w:p>
    <w:p>
      <w:pPr>
        <w:spacing w:after="0" w:line="18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also owns a controlling 70% equity interest in a business comprised of a number of entertainment and media assets, known as the Opry Entertainment Group (“OEG”), which the Company reports as its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two Nashville-based assets – the Wildhorse Saloon and the General Jackson Showboat (“General Jackson”); and as of May 31, 2022, Block 21, a mixed-use entertainment, lodging, office, and retail complex located in Austin, Texas (“Block 21”). Prior to June 16, 2022, the Company owned 100% of OEG. The Company also previously owned a 50% interest in a joint venture that created and distributed a linear multicast and over-the-top channel dedicated to the country music lifestyle (“Circle”). See “OEG Transaction,” and “Block 21 Transaction” in this Note 1, as well as Note 11, “Commitments and Contingencies,” for further disclosure.</w:t>
      </w:r>
    </w:p>
    <w:p>
      <w:pPr>
        <w:spacing w:after="0" w:line="192"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conducts its business through an umbrella partnership REIT, in which all of its assets are held by, and all of its operations are conducted through, RHP Hotel Properties, LP, a subsidiary operating partnership (the “Operating Partnership”) that the Company formed in connection with its REIT conversion. Ryman and the non-controlling operating partnership unit holders discussed in “Income (Loss) Per Share” in this Note 1 are the sole limited partners of the Operating Partnership, and Ryman currently owns, either directly or indirectly, 99.3% of the partnership units of the Operating Partnership. RHP Finance Corporation, a Delaware corporation (“Finco”), was formed as a wholly-owned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subsidiary of the Operating Partnership for the sole purpose of being an issuer of debt securities with the Operating Partnership. Neither Ryman nor Finco has any material assets, other than Ryman’s investment in the Operating Partnership and its 100%-owned subsidiaries. Neither the Operating Partnership nor Finco has any business, operations, financial results or other material information, other than the business, operations, financial results and other material information described in this Annual Report on Form 10-K and Ryman’s other reports, documents or other information filed with the Securities and Exchange Commission pursuant to the Securities Exchange Act of 1934, as amended.</w:t>
      </w:r>
    </w:p>
    <w:p>
      <w:pPr>
        <w:spacing w:after="0" w:line="187"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Company principally operates, through its subsidiaries and its property managers, as applicable, in the following business segments: Hospitality; Entertainment; and Corporate and Other. The Company’s fiscal year ends on December 31 for all periods presented.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Hospitality</w:t>
      </w:r>
    </w:p>
    <w:p>
      <w:pPr>
        <w:spacing w:after="0" w:line="227"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The Hospitality segment includes the Gaylord Hotels properties, JW Marriott Hill Country (effective June 30, 2023), the Inn at Opryland and the AC Hotel, each of which is managed by Marriott pursuant to a management agreement for each hotel.</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Entertainment</w:t>
      </w:r>
    </w:p>
    <w:p>
      <w:pPr>
        <w:spacing w:after="0" w:line="22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Entertainment segment includes the OEG business, specifically the Grand Ole Opry, the Ryman Auditorium, WSM-AM, Ole Red, Block 21, the General Jackson, the Wildhorse Saloon, and the Company’s previous investment in the Circle joint venture, among various others. Marriott manages the day-to-day operations of the General Jackson and the W Austin, which is part of the Block 21 complex, pursuant to management agreements.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Corporate and Other segment includes operating and general and administrative expenses related to the overall management of the Company which are not allocated to the other reportable segments, including certain costs for the Company’s retirement plans, equity-based compensation plans, information technology, human resources, accounting, and other administrative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The Company’s investments in non-controlled entities in which it has the ability to exercise significant influence over operating and financial policies are accounted for by the equity method. All significant intercompany accounts and transactions have been eliminated in consolidation.</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 analyzes its variable interests, including loans, guarantees, management agreements, leasing arrangements and equity investments, to determine if an entity in which it has a variable interest is a variable interest entity (“VIE”). This analysis primarily includes a qualitative review, which is based on a review of the design of the entity, its organizational structure, including decision-making ability, and relevant financial agreements. This analysis is also used to determine if the Company must consolidate the VIE as the primary beneficiary.</w:t>
      </w:r>
    </w:p>
    <w:p>
      <w:pPr>
        <w:spacing w:after="0" w:line="183"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For periods prior to its acquiring 100% ownership of the Gaylord Rockies joint venture in May 2021, management concluded that the Company was the primary beneficiary of the Gaylord Rockies joint venture, which was a VIE. As such, the Company consolidated the assets, liabilities and results of operations of the Gaylord Rockies joint venture in the accompanying consolidated financial statements. The portion of the Gaylord Rockies joint venture that the Company did not previously own was recorded as noncontrolling interest in consolidated joint venture, and any previous adjustment necessary to reflect the noncontrolling interest at its redemption value was shown in the accompanying consolidated statements of equity (deficit) and noncontrolling interest. As Gaylord Rockies is now wholly-owned by the Company, it is no longer considered a VIE. See “Noncontrolling Interests” below for further discussion.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terms of the Company's joint venture agreement in Circle provided that the Company and its joint venture partner each shared the authority to make major decisions in the joint venture, including operating plans, entering into certain contracts, admitting additional members of the joint venture, issuing additional membership interests, and amending the operating agreement. In addition, the officers of Circle were not employees of the Company. Based on management’s analysis of the joint venture agreement, management concluded that the Company was not the primary beneficiary of this variable interest entity and accounted for this previous investment under the equity method.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OEG Transaction</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On June 16, 2022, the Company and certain of its subsidiaries, including OEG Attractions Holdings, LLC (“OEG”), which directly or indirectly owns the assets that comprise the Company’s Entertainment segment, consummated the transactions contemplated by an investment agreement (the “Investment Agreement”) with Atairos Group, Inc. (“Atairos”) and A-OEG Holdings, LLC, an affiliate of Atairos (the “OEG Investor”), pursuant to which OEG issued and sold to the OEG Investor, and the OEG Investor acquired, 30% of the equity interests of OEG for approximately $296.0 million (the “OEG Transaction”). The purchase price payable to the Company for the OEG Transaction may be increased by $30.0 million if OEG achieves certain financial objectives in 2024.</w:t>
      </w:r>
    </w:p>
    <w:p>
      <w:pPr>
        <w:spacing w:after="0" w:line="18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 retains a controlling 70% equity interest in OEG and continues to consolidate the assets, liabilities and results of operations of OEG in the accompanying consolidated financial statements. The portion of OEG that the Company does not own is recorded as noncontrolling interest in consolidated joint venture, which is classified as mezzanine equity in the accompanying consolidated balance sheets, and any adjustment necessary to reflect the noncontrolling interest at its redemption value is shown in the accompanying consolidated statements of equity (deficit) and noncontrolling interest. After the payment of transaction expenses, the Company used substantially all of the net proceeds from the OEG Transaction, together with the net proceeds the Company received from the OEG Term Loan (as defined below), to repay the then-outstanding balance of the Company’s former $300 million term loan A and to pay down substantially all borrowings then outstanding under the Company’s revolving credit facility.</w:t>
      </w:r>
    </w:p>
    <w:p>
      <w:pPr>
        <w:spacing w:after="0" w:line="188" w:lineRule="exact"/>
        <w:rPr>
          <w:sz w:val="20"/>
          <w:szCs w:val="20"/>
          <w:color w:val="auto"/>
        </w:rPr>
      </w:pPr>
    </w:p>
    <w:p>
      <w:pPr>
        <w:jc w:val="both"/>
        <w:ind w:left="60" w:right="119"/>
        <w:spacing w:after="0" w:line="257" w:lineRule="auto"/>
        <w:rPr>
          <w:sz w:val="20"/>
          <w:szCs w:val="20"/>
          <w:color w:val="auto"/>
        </w:rPr>
      </w:pPr>
      <w:r>
        <w:rPr>
          <w:rFonts w:ascii="Times New Roman" w:cs="Times New Roman" w:eastAsia="Times New Roman" w:hAnsi="Times New Roman"/>
          <w:sz w:val="18"/>
          <w:szCs w:val="18"/>
          <w:color w:val="auto"/>
        </w:rPr>
        <w:t>Pursuant to the Second Amended and Restated Limited Liability Company Agreement for OEG entered into at the closing of the OEG Transaction (the “OEG LLC Agreement”), OEG is governed by a Board of Managers (the “Board”), subject to member consent to certain actions. The Board initially consists of six members, four designated by the Company</w:t>
      </w:r>
    </w:p>
    <w:p>
      <w:pPr>
        <w:spacing w:after="0" w:line="1"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and two designated by the OEG Investor. Board membership may be modified from time to time to reflect the proportional ownership of outstanding units by each party. Subject to certain ownership thresholds, the approval of both parties will be required with respect to certain “major decisions” affecting OEG, including, but not limited to, approval of OEG’s annual operating budget in the event of changes exceeding certain thresholds, the incurrence of certain debt, the issuance of new equity securities, and mergers, acquisitions or dispositions in excess of a certain dollar threshold.</w:t>
      </w:r>
    </w:p>
    <w:p>
      <w:pPr>
        <w:spacing w:after="0" w:line="18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OEG Investor will have the option to acquire additional common units of OEG from the Company (the “Purchase Option”) in each of the fourth quarters of 2024 and 2025 in an amount equal to the lesser of $125 million or the maximum amount of proceeds that the Company may receive with respect to its compliance with applicable REIT tests, provided that the OEG Investor may not purchase an amount of common units that would result in the Company owning less than 51% of the outstanding common units after giving effect to the purchase. If the OEG Investor elects to exercise the Purchase Option, then (i) beginning on June 16, 2027 (the fifth anniversary of the OEG Investor’s original investment in OEG (the “Fifth Anniversary”)), the OEG Investor will have the right to demand that OEG undertake a Qualified IPO and (ii) the OEG Investor’s rights with respect to the IPO Request Put Right, the Seven-Year Put Right, an IPO Payment and a Sale Payment, each as defined in the OEG LLC Agreement and described below, will expire. The Purchase Option will terminate upon the occurrence of a Qualified IPO, a Sale of OEG or a Qualified Spinoff, each as defined in the OEG LLC Agreement.</w:t>
      </w:r>
    </w:p>
    <w:p>
      <w:pPr>
        <w:spacing w:after="0" w:line="190"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i w:val="1"/>
          <w:iCs w:val="1"/>
          <w:color w:val="auto"/>
        </w:rPr>
        <w:t>IPO Request Put Right</w:t>
      </w:r>
      <w:r>
        <w:rPr>
          <w:rFonts w:ascii="Times New Roman" w:cs="Times New Roman" w:eastAsia="Times New Roman" w:hAnsi="Times New Roman"/>
          <w:sz w:val="18"/>
          <w:szCs w:val="18"/>
          <w:color w:val="auto"/>
        </w:rPr>
        <w:t>. If OEG has not completed a Qualified IPO prior to June 16, 2026 (the fourth anniversary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OEG Investor’s original investment in OEG (the “Fourth Anniversary”)), the OEG Investor may request that OEG undertake a Qualified IPO. If the Company, through its subsidiary RHP Hotels, LLC (the “Ryman Member”), declines to undertake such Qualified IPO, the OEG Investor may cause the Ryman Member to acquire all of the OEG Investor’s interest in OEG at a price equal to 1.5 times the OEG Investor’s equity investment (the “IPO Request Put Price”).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Seven-Year Put Right</w:t>
      </w:r>
      <w:r>
        <w:rPr>
          <w:rFonts w:ascii="Times New Roman" w:cs="Times New Roman" w:eastAsia="Times New Roman" w:hAnsi="Times New Roman"/>
          <w:sz w:val="18"/>
          <w:szCs w:val="18"/>
          <w:color w:val="auto"/>
        </w:rPr>
        <w:t>. If OEG has not completed a Qualified IPO, Sale of OEG or a Qualified Spinoff prior to June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2029 (the seventh anniversary of the OEG Investor’s original investment in OEG (the “Seventh Anniversary”)), the OEG Investor may cause the Ryman Member to acquire all of the OEG Investor’s interest in OEG at a price equal to the fair value of the OEG Investor’s equity interest (the “Seven-Year Put Price”).</w:t>
      </w:r>
    </w:p>
    <w:p>
      <w:pPr>
        <w:spacing w:after="0" w:line="18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IPO Request Put Price and the Seven-Year Put Price may each be settled in either cash or Company stock, at the Company’s option, and the IPO Request Put Right and the Seven-Year Put Right will each terminate at the first closing of the Purchase Option.</w:t>
      </w:r>
    </w:p>
    <w:p>
      <w:pPr>
        <w:spacing w:after="0" w:line="174"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i w:val="1"/>
          <w:iCs w:val="1"/>
          <w:color w:val="auto"/>
        </w:rPr>
        <w:t>IPO Payment</w:t>
      </w:r>
      <w:r>
        <w:rPr>
          <w:rFonts w:ascii="Times New Roman" w:cs="Times New Roman" w:eastAsia="Times New Roman" w:hAnsi="Times New Roman"/>
          <w:sz w:val="18"/>
          <w:szCs w:val="18"/>
          <w:color w:val="auto"/>
        </w:rPr>
        <w:t>. Upon a Qualified IPO that occurs on or before the Seventh Anniversary, the OEG Investor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IPO Payment if the Post IPO Investor Stake Value (as defined in OEG LLC Agreement) measured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trading day post-IPO does not equal or exceed the Minimum Investor Stake Value (as defined in the OEG LLC Agreement). If the IPO occurs after the Fourth Anniversary, the IPO Payment will be capped at 50% of the OEG Investor’s investment in OEG (the “Payment Cap”). Any IPO Payment may be satisfied in either cash, OEG equity owned by the Ryman Member, or Company stock, at the Company’s option.</w:t>
      </w:r>
    </w:p>
    <w:p>
      <w:pPr>
        <w:spacing w:after="0" w:line="189"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Sale Payment</w:t>
      </w:r>
      <w:r>
        <w:rPr>
          <w:rFonts w:ascii="Times New Roman" w:cs="Times New Roman" w:eastAsia="Times New Roman" w:hAnsi="Times New Roman"/>
          <w:sz w:val="18"/>
          <w:szCs w:val="18"/>
          <w:color w:val="auto"/>
        </w:rPr>
        <w:t>. Upon a sale of OEG (but excluding a Qualified Spinoff) that occurs on or before the Seventh Anniversary,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OEG Investor will be entitled to a Sale Payment if the value of the OEG Investor’s retained invested equity (implied by the sale) does not equal or exceed the Minimum Investor Sale Value (as defined in the OEG LLC Agreement). If a sale of OEG occurs after the Fifth Anniversary, any Sale Payment will be capped at the Payment Cap. Any Sale Payment may be satisfied in either cash, a preferential cash distribution, additional consideration in the Sale of OEG or Company stock at the Company’s option.</w:t>
      </w:r>
    </w:p>
    <w:p>
      <w:pPr>
        <w:spacing w:after="0" w:line="184" w:lineRule="exact"/>
        <w:rPr>
          <w:sz w:val="20"/>
          <w:szCs w:val="20"/>
          <w:color w:val="auto"/>
        </w:rPr>
      </w:pPr>
    </w:p>
    <w:p>
      <w:pPr>
        <w:ind w:left="60" w:right="7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above descriptions related to the OEG LLC Agreement do not purport to be complete and are qualified in their entirety by reference to the OEG LLC Agreement filed as </w:t>
      </w:r>
      <w:hyperlink r:id="rId106">
        <w:r>
          <w:rPr>
            <w:rFonts w:ascii="Times New Roman" w:cs="Times New Roman" w:eastAsia="Times New Roman" w:hAnsi="Times New Roman"/>
            <w:sz w:val="18"/>
            <w:szCs w:val="18"/>
            <w:u w:val="single" w:color="auto"/>
            <w:color w:val="0000EE"/>
          </w:rPr>
          <w:t>Exhibit 10.12 to this 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JW Marriott Hill Country Transaction</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June 30, 2023, the Company purchased JW Marriott Hill Country for approximately $800 million. Located amid approximately 600 acres in the Texas Hill Country region outside of San Antonio, JW Marriott Hill Country, which opened in 2010, is a premier group-oriented resort with 1,002 rooms and 268,000 total square feet of indoor and outdoor meeting and event space. The resort’s amenities include a spa, several food and beverage outlets, a water experience, and TPC San Antonio, which features two 18-hole golf courses. The Company funded the purchase price with approximately</w:t>
      </w:r>
    </w:p>
    <w:p>
      <w:pPr>
        <w:spacing w:after="0" w:line="3" w:lineRule="exact"/>
        <w:rPr>
          <w:sz w:val="20"/>
          <w:szCs w:val="20"/>
          <w:color w:val="auto"/>
        </w:rPr>
      </w:pPr>
    </w:p>
    <w:p>
      <w:pPr>
        <w:ind w:left="60" w:right="239"/>
        <w:spacing w:after="0" w:line="273" w:lineRule="auto"/>
        <w:rPr>
          <w:sz w:val="20"/>
          <w:szCs w:val="20"/>
          <w:color w:val="auto"/>
        </w:rPr>
      </w:pPr>
      <w:r>
        <w:rPr>
          <w:rFonts w:ascii="Times New Roman" w:cs="Times New Roman" w:eastAsia="Times New Roman" w:hAnsi="Times New Roman"/>
          <w:sz w:val="17"/>
          <w:szCs w:val="17"/>
          <w:color w:val="auto"/>
        </w:rPr>
        <w:t>$395 million in net proceeds of an underwritten registered public offering of approximately 4.4 million shares of the Company’s common stock (see Note 9, “Equity”), approximately $393 million in net proceeds of a private placement of $400 million aggregate principal amount of 7.25% senior notes due 2028 (see Note 4, “Debt”) and cash on hand. JW Marriott Hill Country assets and operations are reflected in the Company’s Hospitality segment beginning June 30, 2023.</w:t>
      </w:r>
    </w:p>
    <w:p>
      <w:pPr>
        <w:spacing w:after="0" w:line="17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performed a valuation of the fair value of the acquired assets and liabilities assumed as of June 30, 2023. The valuations of the various components of property and equipment were determined principally based on the cost approach, which uses assumptions regarding replacement values from established indices. The valuation of intangible assets was based on various methods to evaluate the values of advanced bookings previously received for the hotel and the values of golf memberships and water rights for the golf course. The Company considers each of these estimates as Level 3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99"/>
        <w:spacing w:after="0" w:line="289" w:lineRule="auto"/>
        <w:rPr>
          <w:sz w:val="20"/>
          <w:szCs w:val="20"/>
          <w:color w:val="auto"/>
        </w:rPr>
      </w:pPr>
      <w:r>
        <w:rPr>
          <w:rFonts w:ascii="Times New Roman" w:cs="Times New Roman" w:eastAsia="Times New Roman" w:hAnsi="Times New Roman"/>
          <w:sz w:val="17"/>
          <w:szCs w:val="17"/>
          <w:color w:val="auto"/>
        </w:rPr>
        <w:t>The Company determined that the acquisition represents an asset acquisition and has capitalized transaction costs and allocated the purchase price to the relative fair values of assets acquired and liabilities assumed, adjusted for working capital adjustments as set forth in the purchase agreement and transaction costs, as follows (amounts in thousands):</w:t>
      </w:r>
    </w:p>
    <w:p>
      <w:pPr>
        <w:spacing w:after="0" w:line="163"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772,821</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restricted</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r>
      <w:tr>
        <w:trPr>
          <w:trHeight w:val="216"/>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25,097</w:t>
            </w:r>
          </w:p>
        </w:tc>
      </w:tr>
      <w:tr>
        <w:trPr>
          <w:trHeight w:val="237"/>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834,781</w:t>
            </w:r>
          </w:p>
        </w:tc>
      </w:tr>
      <w:tr>
        <w:trPr>
          <w:trHeight w:val="209"/>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(25,148)</w:t>
            </w:r>
          </w:p>
        </w:tc>
      </w:tr>
      <w:tr>
        <w:trPr>
          <w:trHeight w:val="237"/>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(25,148)</w:t>
            </w:r>
          </w:p>
        </w:tc>
      </w:tr>
      <w:tr>
        <w:trPr>
          <w:trHeight w:val="20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809,633</w:t>
            </w: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Block 21 Transaction</w:t>
      </w:r>
    </w:p>
    <w:p>
      <w:pPr>
        <w:spacing w:after="0" w:line="229" w:lineRule="exact"/>
        <w:rPr>
          <w:sz w:val="20"/>
          <w:szCs w:val="20"/>
          <w:color w:val="auto"/>
        </w:rPr>
      </w:pPr>
    </w:p>
    <w:p>
      <w:pPr>
        <w:ind w:left="60" w:right="199"/>
        <w:spacing w:after="0" w:line="276" w:lineRule="auto"/>
        <w:rPr>
          <w:sz w:val="20"/>
          <w:szCs w:val="20"/>
          <w:color w:val="auto"/>
        </w:rPr>
      </w:pPr>
      <w:r>
        <w:rPr>
          <w:rFonts w:ascii="Times New Roman" w:cs="Times New Roman" w:eastAsia="Times New Roman" w:hAnsi="Times New Roman"/>
          <w:sz w:val="17"/>
          <w:szCs w:val="17"/>
          <w:color w:val="auto"/>
        </w:rPr>
        <w:t>On May 31, 2022, the Company purchased Block 21 for a stated purchase price of $260 million, as subsequently adjusted to $255 million pursuant to the terms of the purchase agreement, which included the assumption of approximately</w:t>
      </w:r>
    </w:p>
    <w:p>
      <w:pPr>
        <w:spacing w:after="0" w:line="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$136 million of existing mortgage debt. Block 21 is the home of the Austin City Limits Live at The Moody Theater (“ACL Live”), a 2,750-seat entertainment venue that serves as the filming location for the Austin City Limits television series. The Block 21 complex also includes the 251-room W Austin, the 3TEN at ACL Live club and approximately 53,000 square feet of other Class A commercial space. The Company funded the cash portion of the purchase price with cash on hand and borrowings under its revolving credit facility. The acquisition was accounted for as a business combination, given the different nature of the principal operations acquired (a hotel and an entertainment venue). Block 21 assets and operations are reflected in the Company’s Entertainment segment beginning May 31, 2022.</w:t>
      </w:r>
    </w:p>
    <w:p>
      <w:pPr>
        <w:spacing w:after="0" w:line="188"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performed a preliminary valuation of the fair value of the acquired assets and liabilities assumed as of May 31, 2022. The valuations of the various components of property and equipment were determined principally based on the cost approach, which uses assumptions regarding replacement values from established indices. The valuation of intangible assets was based on various methods to evaluate the values of leases in place and advanced bookings previously received for the hotel. The valuation of assumed debt was principally based on a discounted cash flow approach using market interest rates at the time of the transaction. The Company considers each of these estimates as Level 3 fair value measurements. Other acquired assets were valued at, and fair value approximated, carrying value. Based on the aggregation of fair values as compared to consideration transferred, the Company concluded that there was no goodwill or bargain purchase gain related to the business combination. The Company performed an income approach evaluation of the acquired set which corroborated the conclusion that there was no goodwill related to the acquisition. Such evaluation included assumptions of future projected cash flows, which were based on the future projected occupancy and average daily rate for the W Hotel Austin, future anticipated cash flows at ACL Live, and market discount rates.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Utilizing the valuation, the Company performed a purchase price allocation for the acquired assets and liabilities of Block</w:t>
      </w:r>
    </w:p>
    <w:p>
      <w:pPr>
        <w:spacing w:after="0" w:line="27" w:lineRule="exact"/>
        <w:rPr>
          <w:sz w:val="20"/>
          <w:szCs w:val="20"/>
          <w:color w:val="auto"/>
        </w:rPr>
      </w:pPr>
    </w:p>
    <w:p>
      <w:pPr>
        <w:ind w:left="60" w:right="579" w:hanging="10"/>
        <w:spacing w:after="0" w:line="260" w:lineRule="auto"/>
        <w:tabs>
          <w:tab w:leader="none" w:pos="33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the Company allocated the purchase price, adjusted for working capital adjustments as defined in the purchase agreement, as follows (amounts in thousands):</w:t>
      </w:r>
    </w:p>
    <w:p>
      <w:pPr>
        <w:spacing w:after="0" w:line="213"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restricted</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262,315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312" w:lineRule="auto"/>
        <w:rPr>
          <w:sz w:val="20"/>
          <w:szCs w:val="20"/>
          <w:color w:val="auto"/>
        </w:rPr>
      </w:pPr>
      <w:r>
        <w:rPr>
          <w:rFonts w:ascii="Times New Roman" w:cs="Times New Roman" w:eastAsia="Times New Roman" w:hAnsi="Times New Roman"/>
          <w:sz w:val="17"/>
          <w:szCs w:val="17"/>
          <w:color w:val="auto"/>
        </w:rPr>
        <w:t>During the first quarter of 2023, the Company concluded its valuation of the fair value of the acquired assets and liabilities assumed as of May 31, 2022, and no significant changes were made to the provisional amounts presented above.</w:t>
      </w:r>
    </w:p>
    <w:p>
      <w:pPr>
        <w:spacing w:after="0" w:line="140"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 incurred $1.3 million in acquisition-related expenses in 2022, which are included in entertainment expenses in the accompanying consolidated statement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or initially at estimated fair value if recorded in connection with purchase accounting. Improvements and significant renovations that extend the lives of existing assets are capitalized. Interest on funds borrowed to finance the construction of major capital additions is included in the cost of the applicable capital addition. Maintenance and repairs are charged to expense as incurred. Property and equipment are generally depreciated using the straight-line method over the following estimated useful lives: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5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40 years</w:t>
            </w: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5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20 years</w:t>
            </w: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5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5-8 years</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shorter of the lease term or useful life</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 — Unrestricted</w:t>
      </w:r>
    </w:p>
    <w:p>
      <w:pPr>
        <w:spacing w:after="0" w:line="229"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maintains cash and cash equivalents balances in excess of insured limits with various financial institutions.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 — Restricted</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Restricted cash and cash equivalents primarily represent funds held by our property manager for furniture, fixtures and equipment reserves. In addition, based on their respective loan agreements, Gaylord Rockies must maintain a restricted cash balance related to debt service payments and Block 21 must maintain a restricted cash balance related to debt service, property tax, insurance and other payments.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Beginning in July 2020, Gaylord Rockies was in a cash sweep period pursuant to the Gaylord Rockies term loan agreement, and such cash amounts are also included in restricted cash for 2022. Gaylord Rockies exited this cash sweep period in January 2023. Block 21 was in a Trigger Period (as defined in Note 4, “Debt”) as of the date of its purchase by the Company but exited the Trigger Period with first quarter 2023 results. Such cash amounts previously held as a result of the Trigger Period are also included in restricted cash for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29"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Cash paid for interest, net of amounts from interest rate swaps, for the years ended December 31 was comprised of (amounts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interest paid</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$ 183,479</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$ 135,467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113,669</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r>
      <w:tr>
        <w:trPr>
          <w:trHeight w:val="209"/>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paid for interest, net of capitalized interest</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$ 180,996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$ 135,284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110,747</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Net cash payments of income taxes in 2023, 2022 and 2021 were $6.5 million, $27.0 million and $0.5 million, respectively.</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are primarily generated by meetings and convention attendees’ room nights and food and beverage. Receivables arising from these sales are not collateralized. Credit risk associated with the accounts receivable is minimized due to the large and diverse nature of the customer base.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Loss Reserves on Accounts Receivable</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Company provides credit loss reserves based upon a percentage of accounts receivable that considers historical write-offs, current economic conditions, and management’s expectations about future economic conditions, as well as periodic evaluations of the aging of accounts receivable.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Prepaid expenses and other assets at December 31 consist of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deferred compensation plan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29,245</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rebate receivables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22,181</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12,041</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for operating leases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18,910</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on revolving credit facilities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15,309</w:t>
            </w: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134,170</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Prepaid expenses consist of prepayments for property taxes, insurance and other contracts that will be expensed during the subsequent year. Inventories consist primarily of food and beverage inventory for resale and retail inventory sold in the Entertainment segment. Inventory is carried at the lower of cost or net realizable value. Cost is computed on an average cost basis. Other assets include capitalized software costs, non-trade receivables, and investments in joint ventures, among others.</w:t>
      </w:r>
    </w:p>
    <w:p>
      <w:pPr>
        <w:spacing w:after="0" w:line="183" w:lineRule="exact"/>
        <w:rPr>
          <w:sz w:val="20"/>
          <w:szCs w:val="20"/>
          <w:color w:val="auto"/>
        </w:rPr>
      </w:pPr>
    </w:p>
    <w:p>
      <w:pPr>
        <w:ind w:left="60" w:right="439"/>
        <w:spacing w:after="0" w:line="312" w:lineRule="auto"/>
        <w:rPr>
          <w:sz w:val="20"/>
          <w:szCs w:val="20"/>
          <w:color w:val="auto"/>
        </w:rPr>
      </w:pPr>
      <w:r>
        <w:rPr>
          <w:rFonts w:ascii="Times New Roman" w:cs="Times New Roman" w:eastAsia="Times New Roman" w:hAnsi="Times New Roman"/>
          <w:sz w:val="17"/>
          <w:szCs w:val="17"/>
          <w:color w:val="auto"/>
        </w:rPr>
        <w:t>Gaylord Rockies is party to an incentive agreement with the local government that provides that Gaylord Rockies is entitled to receive monthly rebates of certain city and state taxes, including property, sales and lodging taxes. The term</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of the rebate agreement varies by type of tax but ranges from 25-33 years from commencement of the construction of Gaylord Rockies. Gaylord Rockies earned $52.8 million, $38.4 million and $29.1 million in rebates in 2023, 2022 and 2021, respectively, which are generally recorded as a reduction in other hotel expenses in the accompanying consolidated statements of operations for 2023, 2022 and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In connection with the Company’s purchase price allocation of the Gaylord Rockies joint venture, the Company acquired certain definite-lived intangibles, which are shown on the accompanying consolidated balance sheets. Included in these intangibles are the original estimated fair value of advanced bookings of $125.5 million and the original estimated fair value related to the Gaylord Hotels trade name, which Marriott owns, of $115.3 million. The advanced bookings asset was amortized on a straight-line basis over a period of 3.5 years, which corresponded with the period in which the advanced bookings related, and the value in the trade name is being amortized on a straight-line basis over 30 years, which is the period of the Marriott management agreement.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gross carrying amount of intangible assets at December 31, 2023 and 2022 was $279.8 million and $254.7 million,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respectively. Accumulated amortization of intangible assets at December 31, 2023 and 2022 was $155.6 million and $148.7</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respectively. Amortization expense related to intangible assets during 2023, 2022 and 2021 was $6.8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$22.7 million and $40.2 million, respectively. The estimated amounts of amortization expense for the next five years are 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 (amounts in thousands):</w:t>
      </w:r>
    </w:p>
    <w:p>
      <w:pPr>
        <w:spacing w:after="0" w:line="239"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5740" w:type="dxa"/>
            <w:vAlign w:val="bottom"/>
            <w:shd w:val="clear" w:color="auto" w:fill="CCEEFF"/>
          </w:tcPr>
          <w:p>
            <w:pPr>
              <w:jc w:val="right"/>
              <w:ind w:right="5290"/>
              <w:spacing w:after="0"/>
              <w:rPr>
                <w:sz w:val="20"/>
                <w:szCs w:val="20"/>
                <w:color w:val="auto"/>
              </w:rPr>
            </w:pPr>
            <w:r>
              <w:rPr>
                <w:rFonts w:ascii="Times New Roman" w:cs="Times New Roman" w:eastAsia="Times New Roman" w:hAnsi="Times New Roman"/>
                <w:sz w:val="18"/>
                <w:szCs w:val="18"/>
                <w:color w:val="auto"/>
                <w:w w:val="94"/>
              </w:rPr>
              <w:t>2024</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w:t>
            </w:r>
          </w:p>
        </w:tc>
      </w:tr>
      <w:tr>
        <w:trPr>
          <w:trHeight w:val="216"/>
        </w:trPr>
        <w:tc>
          <w:tcPr>
            <w:tcW w:w="5740" w:type="dxa"/>
            <w:vAlign w:val="bottom"/>
          </w:tcPr>
          <w:p>
            <w:pPr>
              <w:jc w:val="right"/>
              <w:ind w:right="5290"/>
              <w:spacing w:after="0"/>
              <w:rPr>
                <w:sz w:val="20"/>
                <w:szCs w:val="20"/>
                <w:color w:val="auto"/>
              </w:rPr>
            </w:pPr>
            <w:r>
              <w:rPr>
                <w:rFonts w:ascii="Times New Roman" w:cs="Times New Roman" w:eastAsia="Times New Roman" w:hAnsi="Times New Roman"/>
                <w:sz w:val="18"/>
                <w:szCs w:val="18"/>
                <w:color w:val="auto"/>
                <w:w w:val="94"/>
              </w:rPr>
              <w:t>2025</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w:t>
            </w:r>
          </w:p>
        </w:tc>
      </w:tr>
      <w:tr>
        <w:trPr>
          <w:trHeight w:val="216"/>
        </w:trPr>
        <w:tc>
          <w:tcPr>
            <w:tcW w:w="5740" w:type="dxa"/>
            <w:vAlign w:val="bottom"/>
            <w:shd w:val="clear" w:color="auto" w:fill="CCEEFF"/>
          </w:tcPr>
          <w:p>
            <w:pPr>
              <w:jc w:val="right"/>
              <w:ind w:right="5290"/>
              <w:spacing w:after="0"/>
              <w:rPr>
                <w:sz w:val="20"/>
                <w:szCs w:val="20"/>
                <w:color w:val="auto"/>
              </w:rPr>
            </w:pPr>
            <w:r>
              <w:rPr>
                <w:rFonts w:ascii="Times New Roman" w:cs="Times New Roman" w:eastAsia="Times New Roman" w:hAnsi="Times New Roman"/>
                <w:sz w:val="18"/>
                <w:szCs w:val="18"/>
                <w:color w:val="auto"/>
                <w:w w:val="94"/>
              </w:rPr>
              <w:t>2026</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w:t>
            </w:r>
          </w:p>
        </w:tc>
      </w:tr>
      <w:tr>
        <w:trPr>
          <w:trHeight w:val="216"/>
        </w:trPr>
        <w:tc>
          <w:tcPr>
            <w:tcW w:w="5740" w:type="dxa"/>
            <w:vAlign w:val="bottom"/>
          </w:tcPr>
          <w:p>
            <w:pPr>
              <w:jc w:val="right"/>
              <w:ind w:right="5290"/>
              <w:spacing w:after="0"/>
              <w:rPr>
                <w:sz w:val="20"/>
                <w:szCs w:val="20"/>
                <w:color w:val="auto"/>
              </w:rPr>
            </w:pPr>
            <w:r>
              <w:rPr>
                <w:rFonts w:ascii="Times New Roman" w:cs="Times New Roman" w:eastAsia="Times New Roman" w:hAnsi="Times New Roman"/>
                <w:sz w:val="18"/>
                <w:szCs w:val="18"/>
                <w:color w:val="auto"/>
                <w:w w:val="94"/>
              </w:rPr>
              <w:t>2027</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16"/>
        </w:trPr>
        <w:tc>
          <w:tcPr>
            <w:tcW w:w="5740" w:type="dxa"/>
            <w:vAlign w:val="bottom"/>
            <w:shd w:val="clear" w:color="auto" w:fill="CCEEFF"/>
          </w:tcPr>
          <w:p>
            <w:pPr>
              <w:jc w:val="right"/>
              <w:ind w:right="5290"/>
              <w:spacing w:after="0"/>
              <w:rPr>
                <w:sz w:val="20"/>
                <w:szCs w:val="20"/>
                <w:color w:val="auto"/>
              </w:rPr>
            </w:pPr>
            <w:r>
              <w:rPr>
                <w:rFonts w:ascii="Times New Roman" w:cs="Times New Roman" w:eastAsia="Times New Roman" w:hAnsi="Times New Roman"/>
                <w:sz w:val="18"/>
                <w:szCs w:val="18"/>
                <w:color w:val="auto"/>
                <w:w w:val="94"/>
              </w:rPr>
              <w:t>2028</w:t>
            </w: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r>
      <w:tr>
        <w:trPr>
          <w:trHeight w:val="210"/>
        </w:trPr>
        <w:tc>
          <w:tcPr>
            <w:tcW w:w="574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33,827</w:t>
            </w:r>
          </w:p>
        </w:tc>
      </w:tr>
      <w:tr>
        <w:trPr>
          <w:trHeight w:val="20"/>
        </w:trPr>
        <w:tc>
          <w:tcPr>
            <w:tcW w:w="5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Payable and Accrued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payable and accrued liabilities at December 31 consist of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38,628</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other taxes payable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73,461</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159,762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136,479</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58,219</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23,111</w:t>
            </w: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55,261</w:t>
            </w: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464,720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385,159</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Deferred revenues consist primarily of deposits on advance bookings of hotel rooms and advance ticket sales at the Company’s entertainment properties, as well as uncollected attrition and cancellation fees. Other accrued liabilities include accruals for, among others, purchasing, meeting planner commissions and utilities.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establishes deferred tax assets and liabilities based on the difference between the financial statement and income tax carrying amounts of assets and liabilities using existing tax laws and tax rates. The Company reports a liability for unrecognized tax benefits resulting from uncertain tax positions taken or expected to be taken in a tax return, if any. The Company recognizes interest and penalties, if any, related to unrecognized tax benefits in income tax expense. See Note 10, “Income Taxes,” for more detail on the Company’s income taxes.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61" w:lineRule="auto"/>
        <w:rPr>
          <w:sz w:val="20"/>
          <w:szCs w:val="20"/>
          <w:color w:val="auto"/>
        </w:rPr>
      </w:pPr>
      <w:r>
        <w:rPr>
          <w:rFonts w:ascii="Times New Roman" w:cs="Times New Roman" w:eastAsia="Times New Roman" w:hAnsi="Times New Roman"/>
          <w:sz w:val="18"/>
          <w:szCs w:val="18"/>
          <w:color w:val="auto"/>
        </w:rPr>
        <w:t>The effect on deferred tax assets and liabilities of a change in the tax rate is recognized in income in the period that includes the enactment date of the rate change. The Company records a valuation allowance to reduce its deferred tax assets to the amount that is more likely than not to be realized. The Company has considered all available positive and negative evidence in assessing the need for a valuation allowance.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Management Rights Proceeds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 has deferred and amortizes the proceeds received from Marriott that were allocated to the sale of the management rights, as discussed further in Note 5, “Deferred Management Rights Proceeds,” on a straight-line basis over the term of the hotel management agreements, including extensions, as a reduction in management fee expense in the accompanying consolidated statements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liabilities at December 31 consist of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postretirement benefits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29,245</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w:t>
            </w:r>
          </w:p>
        </w:tc>
      </w:tr>
      <w:tr>
        <w:trPr>
          <w:trHeight w:val="209"/>
        </w:trPr>
        <w:tc>
          <w:tcPr>
            <w:tcW w:w="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64,824</w:t>
            </w: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Deferred financing costs (“DFCs”) consist of loan fees and other costs of financing that are amortized over the term of the related financing agreements, using the effective interest method, and are generally presented as a reduction of the related debt liability. DFCs on the Company’s revolving credit facility and the OEG revolving credit facility are included in prepaid expenses and other assets when the related revolving credit facility has no outstanding balance. During 2023, 2022 and 2021, DFCs of $10.7 million, $9.8 million and $8.8 million, respectively, were amortized to interest expense in the accompanying consolidated statements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OEG</w:t>
      </w:r>
    </w:p>
    <w:p>
      <w:pPr>
        <w:spacing w:after="0" w:line="22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noncontrolling interest in consolidated joint venture for 2023 and 2022 represents the minority investor’s proportionate share of the assets and liabilities of OEG, adjusted for changes in the redemption value of the related put rights. The noncontrolling interest is classified in the mezzanine section of the consolidated balance sheets as the related redemption options do not meet the requirements for permanent equity classification because these redemption options may be redeemed by the holder as described above in “OEG Transaction.”</w:t>
      </w:r>
    </w:p>
    <w:p>
      <w:pPr>
        <w:spacing w:after="0" w:line="18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initial value of the noncontrolling interest in OEG, which included certain put rights, was estimated based on the purchase price received from the OEG Investor. In general, the carrying value will be based on the greater of the accumulated historical cost or the put right redemption value, and at December 31, 2023, approximates the fair value of the noncontrolling interest. An adjustment is also made for the OEG Investor’s proportionate share of income or loss in the accompanying consolidated statements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Gaylord Rockies</w:t>
      </w:r>
    </w:p>
    <w:p>
      <w:pPr>
        <w:spacing w:after="0" w:line="22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Until the Company’s buyout of the minority partners’ interest in the Gaylord Rockies joint venture in 2021, the noncontrolling interest in consolidated joint venture for 2021 represents the previous minority partners’ proportionate share of the assets and liabilities of the Gaylord Rockies joint venture. An adjustment was made in 2021 for the minority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partners’ proportionate share of income or loss in the joint venture in the accompanying consolidated statement of operations.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 Units</w:t>
      </w:r>
    </w:p>
    <w:p>
      <w:pPr>
        <w:spacing w:after="0" w:line="227"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Certain former owners of interests in the Gaylord Rockies joint venture received units of the Operating Partnership (“OP Units”) in exchange for their interests. Such OP Units have economic terms that are substantially similar to shares of the Company’s common stock and are redeemable at the option of the holders thereof.</w:t>
      </w:r>
    </w:p>
    <w:p>
      <w:pPr>
        <w:spacing w:after="0" w:line="1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noncontrolling interest in the Operating Partnership represents the limited partners’ proportionate share of the equity of the Operating Partnership. The noncontrolling interest is classified in the equity section of the consolidated balance sheets, separately from stockholders’ equity, as the related redemption options are redeemable for cash, or if the Company so elects, in unregistered shares of the Company’s common stock on a one-for-one basis, subject to certain adjustments. An adjustment is made for the limited partners’ proportionate share of income or loss in the accompanying consolidated statements of operations. At December 31, 2023, 0.4 million outstanding OP Units, or 0.7% of the outstanding OP Units, were held by the noncontrolling limited partners and are included as a component of equity in the accompanying consolidated balance sheets. The Company owns, directly or indirectly, the remaining 99.3% of the outstanding OP Units.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Cash received from advanced ticket sales is deferred and recognized as revenue at the time of the event. Entertainment segment revenues from licenses of content are recognized at the point in time the content is delivered to the licensee and the licensee can use and benefit from the content. Revenue related to content provided to Circle has been eliminated for the portion of Circle that the Company owned.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from the customer and relieves the liability when payments are remitted to the applicable governmental agency.</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group rooms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364,835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$ 131,404</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 transient rooms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230,709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197,470</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440,364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140,186</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226,645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139,303</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other</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178,220</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62,768</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produced content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65,703</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32,588</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2,158,136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1,805,969</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$ 939,373</w:t>
            </w: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Gaylord Opryland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424,188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$ 238,567</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Gaylord Palms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279,578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139,130</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Gaylord Texan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307,318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180,031</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Gaylord National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249,849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79,419</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Gaylord Rockies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253,326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135,942</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JW Marriott Hill Country</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 Hotel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r>
      <w:tr>
        <w:trPr>
          <w:trHeight w:val="216"/>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Inn at Opryland and other</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7,656</w:t>
            </w:r>
          </w:p>
        </w:tc>
      </w:tr>
      <w:tr>
        <w:trPr>
          <w:trHeight w:val="209"/>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1,833,478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1,537,974</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$ 786,583</w:t>
            </w: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majority of the Company’s Entertainment segment revenues are concentrated in Nashville, Tennessee and Austin, Texas.</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in advance of its performance obligations, primarily related to advanced deposits on hotel rooms in its Hospitality segment and advanced ticketing in its OEG venues. At December 31, 2023 and 2022, the Company had $159.8 million and $136.5 million, respectively, in deferred revenues, which are included in accounts payable and accrued liabilities in the accompanying consolidated balance sheets. Of the amount outstanding at December 31, 2022, approximately $103.1 million was recognized in revenues during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Fees</w:t>
      </w:r>
    </w:p>
    <w:p>
      <w:pPr>
        <w:spacing w:after="0" w:line="22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The Company pays Marriott a base management fee based on the gross revenues from the applicable property for each fiscal year or portion thereof. The applicable percentage for the Gaylord Hotels properties, excluding Gaylord Rockies, is approximately 2% of gross revenues, Gaylord Rockies is approximately 3% of revenues, and JW Marriott Hill Country is approximately 3.5% of gross revenues. Additionally, the Company pays Marriott an incentive management fee based on the profitability of the properties. The Company incurred $42.8 million, $35.1 million and $17.6 million in base management fees to Marriott during 2023, 2022 and 2021, respectively. The Company incurred $28.5 million, $13.5 million and $0.3 million in incentive fees to Marriott during 2023, 2022 and 2021, respectively. Management fees are presented in the consolidated statements of operations net of the amortization of the deferred management rights proceeds discussed further in Note 5, “Deferred Management Rights Proceeds.”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were $65.0 million, $55.1 million, and $36.2 million for 2023, 2022 and 2021,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The Company has stock-based employee compensation plans, which are described more fully in Note 7, “Stock Plans.” The Company accounts for its stock-based compensation plan under the provisions of Financial Accounting Standards Board (“FASB”) Accounting Standards Codification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Preopening Costs</w:t>
      </w:r>
    </w:p>
    <w:p>
      <w:pPr>
        <w:spacing w:after="0" w:line="229" w:lineRule="exact"/>
        <w:rPr>
          <w:sz w:val="20"/>
          <w:szCs w:val="20"/>
          <w:color w:val="auto"/>
        </w:rPr>
      </w:pPr>
    </w:p>
    <w:p>
      <w:pPr>
        <w:ind w:left="60" w:right="159"/>
        <w:spacing w:after="0" w:line="277" w:lineRule="auto"/>
        <w:rPr>
          <w:sz w:val="20"/>
          <w:szCs w:val="20"/>
          <w:color w:val="auto"/>
        </w:rPr>
      </w:pPr>
      <w:r>
        <w:rPr>
          <w:rFonts w:ascii="Times New Roman" w:cs="Times New Roman" w:eastAsia="Times New Roman" w:hAnsi="Times New Roman"/>
          <w:sz w:val="17"/>
          <w:szCs w:val="17"/>
          <w:color w:val="auto"/>
        </w:rPr>
        <w:t>The Company expenses the costs associated with start-up activities and organization costs associated with its development or reopening of hotels and significant attractions as incurred. The Company’s preopening costs during 2023 include costs associated with Ole Red Las Vegas, which opened in January 2024. The Company’s preopening costs during 2022 include costs associated with Ole Red Nashville International Airport, which opened in May 2022. The Company’s preopening costs during 2021 include costs associated with the Gaylord Palms expansion, which was completed in April 2021.</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Company has entered into and may in the future enter into additional interest rate swap agreements to hedge against interest rate fluctuations. The Company does not use derivatives for trading or speculative purposes and currently does not hold any derivatives that are not designated as hedges.</w:t>
      </w:r>
    </w:p>
    <w:p>
      <w:pPr>
        <w:spacing w:after="0" w:line="149"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For derivatives designated as and that qualify as cash flow hedges of interest rate risk, the gain or loss on the derivative resulting from recording each instrument at estimated fair value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$0.3 million will be reclassified from accumulated other comprehensive loss to interest expense in the next twelve months.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Long-Lived and Other Assets</w:t>
      </w:r>
    </w:p>
    <w:p>
      <w:pPr>
        <w:spacing w:after="0" w:line="229"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In accounting for the Company’s long-lived and other assets (including its property and equipment and intangible assets), the Company assesses its long-lived assets for impairment whenever events or changes in circumstances indicate that the carrying value of the assets or asset group may not be recoverable.</w:t>
      </w:r>
    </w:p>
    <w:p>
      <w:pPr>
        <w:spacing w:after="0" w:line="1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Recoverability of property and equipment and definite-lived intangible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excess of the assets’ carrying amount over their fair value, which is estimated using discounted cash flow analyses that utilize comprehensive cash flow projections, as well as observable market data to the extent available.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recorded no impairment losses during 2023, 2022 or 2021.</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(Loss) Per Share</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Income (loss) per share is measured as basic earnings per share and diluted earnings per share. Basic earnings per share is computed by dividing net income (loss) by the weighted average number of common shares outstanding during the year. Diluted earnings per share is computed by dividing net income (loss) by the weighted average number of common shares outstanding after considering the effect of conversion of dilutive instruments, calculated using the treasury stock method or if-converted method, as applicable. Net income (loss) per share amounts are calculated as follows for the years ended December 31 (income (loss) and share amounts in thousands):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 (loss) available to common stockholders</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311,217</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128,993</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Effect of dilutive stock-based compensation</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(loss) per share available to common stockholders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(loss) per share available to common stockholders</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59"/>
        <w:spacing w:after="0" w:line="289" w:lineRule="auto"/>
        <w:rPr>
          <w:sz w:val="20"/>
          <w:szCs w:val="20"/>
          <w:color w:val="auto"/>
        </w:rPr>
      </w:pPr>
      <w:r>
        <w:rPr>
          <w:rFonts w:ascii="Times New Roman" w:cs="Times New Roman" w:eastAsia="Times New Roman" w:hAnsi="Times New Roman"/>
          <w:sz w:val="17"/>
          <w:szCs w:val="17"/>
          <w:color w:val="auto"/>
        </w:rPr>
        <w:t>For 2021, the effect of dilutive stock-based compensation was the equivalent of 0.2 million shares of common stock outstanding. Because the Company had a loss available to common stockholders in 2021, these incremental shares were excluded from the computation of dilutive earnings per share as the effect of their inclusion would have been anti-dilutive.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As more fully discussed above in “OEG Transaction,” although currently not exercisable, the OEG Investor has certain put rights (the “OEG Put Rights”) to require the Company to purchase the OEG Investor’s equity interest in OEG, which the Company may pay in cash or Company stock, at the Company’s option. The Company calculated potential dilution for the OEG Put Rights based on the if-converted method, which assumes the OEG Put Rights were converted on the first day of the period or the date of issuance and the OEG Investor’s noncontrolling equity interest was redeemed in exchange for shares of the Company’s common stock. For 2023 and 2022, the effect of the OEG Put Rights was the equivalent of 4.2 million and 1.9 million shares, respectively, of Company common stock outstanding. Because the OEG Put Rights were anti-dilutive for 2023 and 2022, such incremental shares were excluded from the computation of dilutive earnings per share.</w:t>
      </w:r>
    </w:p>
    <w:p>
      <w:pPr>
        <w:spacing w:after="0" w:line="18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OP Units held by the noncontrolling interest holders in the Operating Partnership have been excluded from the denominator of the diluted income (loss) per share calculation as there would be no effect on the calculation of diluted earnings per share because the income (loss) attributable to the OP Units held by the noncontrolling interest holders would also be added (subtracted) to derive net income (loss) available to common stockholders.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periods. Actual results could differ from those estimates.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Newly Issued Accounting Standards</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 March 2020, the FASB issued ASU No. 2020-04, “</w:t>
      </w:r>
      <w:r>
        <w:rPr>
          <w:rFonts w:ascii="Times New Roman" w:cs="Times New Roman" w:eastAsia="Times New Roman" w:hAnsi="Times New Roman"/>
          <w:sz w:val="18"/>
          <w:szCs w:val="18"/>
          <w:i w:val="1"/>
          <w:iCs w:val="1"/>
          <w:color w:val="auto"/>
        </w:rPr>
        <w:t>Reference Rate Reform – Facilitation of the Effects of Reference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Reform on Financial Reporting</w:t>
      </w:r>
      <w:r>
        <w:rPr>
          <w:rFonts w:ascii="Times New Roman" w:cs="Times New Roman" w:eastAsia="Times New Roman" w:hAnsi="Times New Roman"/>
          <w:sz w:val="18"/>
          <w:szCs w:val="18"/>
          <w:color w:val="auto"/>
        </w:rPr>
        <w:t>,” which provides temporary optional expedients and exceptions to the existing guidance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modifications and hedge accounting to ease the financial reporting burdens of the expected market transition from the London Interbank Offered Rate (“LIBOR”) and other interbank offered rates to alternative reference rates, such as the Secured Overnight Financing Rate (“SOFR”). The guidance in ASU 2020-04 is optional, effective immediately, and may be elected over time as reference rate reform activities occur generally through December 31, 2022. In December 2022, the FASB issued ASU No. 2022-06, “</w:t>
      </w:r>
      <w:r>
        <w:rPr>
          <w:rFonts w:ascii="Times New Roman" w:cs="Times New Roman" w:eastAsia="Times New Roman" w:hAnsi="Times New Roman"/>
          <w:sz w:val="18"/>
          <w:szCs w:val="18"/>
          <w:i w:val="1"/>
          <w:iCs w:val="1"/>
          <w:color w:val="auto"/>
        </w:rPr>
        <w:t>Reference Rate Reform (Topic 848): Deferral of the Sunset Date of Topic 848</w:t>
      </w:r>
      <w:r>
        <w:rPr>
          <w:rFonts w:ascii="Times New Roman" w:cs="Times New Roman" w:eastAsia="Times New Roman" w:hAnsi="Times New Roman"/>
          <w:sz w:val="18"/>
          <w:szCs w:val="18"/>
          <w:color w:val="auto"/>
        </w:rPr>
        <w:t>,” which extends the transition period for the shift from LIBOR to December 2024. The Company has now converted all of its LIBOR-indexed debt and derivatives to SOFR-based indexes. For all derivatives in hedge accounting relationships, the Company utilized the elective relief in ASU 2020-04 and ASU 2022-06 that allows for the continuation of hedge accounting through the transition process.</w:t>
      </w:r>
    </w:p>
    <w:p>
      <w:pPr>
        <w:spacing w:after="0" w:line="192" w:lineRule="exact"/>
        <w:rPr>
          <w:sz w:val="20"/>
          <w:szCs w:val="20"/>
          <w:color w:val="auto"/>
        </w:rPr>
      </w:pPr>
    </w:p>
    <w:p>
      <w:pPr>
        <w:ind w:left="60" w:right="219"/>
        <w:spacing w:after="0" w:line="257" w:lineRule="auto"/>
        <w:rPr>
          <w:sz w:val="20"/>
          <w:szCs w:val="20"/>
          <w:color w:val="auto"/>
        </w:rPr>
      </w:pPr>
      <w:r>
        <w:rPr>
          <w:rFonts w:ascii="Times New Roman" w:cs="Times New Roman" w:eastAsia="Times New Roman" w:hAnsi="Times New Roman"/>
          <w:sz w:val="18"/>
          <w:szCs w:val="18"/>
          <w:color w:val="auto"/>
        </w:rPr>
        <w:t>In November 2023, the FASB issued ASU No.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requiring public entities to provide disclosures of significant segment expenses and other segment items, as well as to provide in interim periods all disclosures about a reportable segment’s profit or loss and assets that are currently required annually. The guidance is applied retrospectively and will be effective for the Company for fiscal year 2024 and for interim periods beginning in fiscal year 2025. The Company is currently evaluating the impact of this ASU but does not anticipate this adoption to have a material impact on the Company’s financial statements.</w:t>
      </w:r>
    </w:p>
    <w:p>
      <w:pPr>
        <w:spacing w:after="0" w:line="182"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requiring public entities to provide additional information in the rate reconciliation, to disclose annually income taxes paid disaggregated by federal, state and foreign taxes and to disaggregate the information by jurisdiction based on a quantitative threshold. The guidance is applied prospectively, but with the option to apply retrospectively, and will be effective for the Company for fiscal year 2025. The Company is currently evaluating the impact of this ASU but does not anticipate this adoption to have a material impact on the Company’s financial statements.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Property and Equipment</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Property and equipment at December 31 is recorded at cost, with the exception of right-of-use finance leases and the initial value assigned to assets acquired in an acquisition, and summarized as follows (amounts in thousands):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5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443,469</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4,396,302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3,785,968</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1,015,078</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w:t>
            </w:r>
          </w:p>
        </w:tc>
      </w:t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6,265,287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5,296,440</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(2,309,701)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(2,124,732)</w:t>
            </w:r>
          </w:p>
        </w:tc>
      </w:tr>
      <w:tr>
        <w:trPr>
          <w:trHeight w:val="20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3,955,586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3,171,708</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Depreciation expense, including amortization of assets under finance lease obligations, during 2023, 2022 and 2021 was $203.3 million, $184.7 million, and $178.8 million, respectively.</w:t>
      </w:r>
    </w:p>
    <w:p>
      <w:pPr>
        <w:spacing w:after="0" w:line="16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June 2017, the Company entered into an agreement with the Industrial Development Board of the Metropolitan Government of Nashville and Davidson County (the “Board”) to implement a tax abatement plan related to Gaylord Opryland. The tax abatement plan provides for the capping of real property taxes for a period of eight years by legally transferring title to the Gaylord Opryland real property to the Board. The Board financed the acquisition of the Gaylord Opryland real property by issuing a $650 million industrial revenue bond to the Company. The Board then leased this property back to the Company. The Company is obligated to make lease payments equal to the debt service on the industrial revenue bond. No cash was exchanged, and no cash will be exchanged in connection with the Company’s lease payments under the lease. The tax abatement period extends through the term of the lease, which coincides with the nine-year maturity of the bond. At any time, the Company has the option to repurchase the real property at a de minimis amount. Due to the form of these transactions, the Company has not recorded the bond or the lease obligation associated with the sale lease-back transaction, and the cost of the Gaylord Opryland real property remains recorded on the balance sheets and is being depreciated over its estimated useful life.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Notes Receivable</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 connection with the development of Gaylord National, Prince George’s County, Maryland (“the County”) issued a bond with a face value of $95 million (“Series A Bond”) and an additional bond with a face value of $50 million (“Series B Bond”), which were delivered to the Company upon substantial completion and opening of Gaylord National in 2008. The interest rate on the Series A Bond and Series B Bond is 8.0% and 10.0%, respectively. The maturity dates of the Series A Bond and the Series B Bond are July 1, 2034 and September 1, 2037, respectively.</w:t>
      </w:r>
    </w:p>
    <w:p>
      <w:pPr>
        <w:spacing w:after="0" w:line="18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Upon receipt in 2008, the Company calculated the present value of the future debt service payments from the Series A Bond and Series B Bond based on their effective interest rates of 8.04% and 11.42%, respectively, and recorded the notes receivable at their discounted values of $93.8 million and $38.3 million, respectively. The Company records the amortization of discount on these notes receivable as interest income over the terms of the notes. The Company is currently holding the bonds, which have aggregate carrying values and approximate fair values of $61.8 million and $67.6 million at December 31, 2023 and 2022, respectively, net of a credit loss reserve of $38.0 million at each period. The Company earns interest income on the debt service on the notes receivable, which are payable from tax increments, hotel taxes and special hotel rental taxes generated from the development through the maturity date. The Company’s estimate of credit loss reserves is sensitive to significant assumptions, which include the projections of hotel taxes (which are based on expected hotel revenues) and property taxes, both of which are affected by expectations about future market and economic conditions, particularly those in the Washington D.C. market. These assumptions are based on Level 3 inputs. Further, such assumptions are judgmental as the bonds and related projected cash flows continue for an extended period of time through 2037.</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has the intent and ability to hold the Series A Bond and Series B Bond to maturity and had at inception expected to receive all debt service payments due. As a result of reduced long-range tax revenue projections over the remaining life of the Series B Bond, in 2017, the Company no longer believed it would receive all debt service payments due under the note, and the Company considered the Series B Bond to be other-than-temporarily impaired (“OTTI”). The amount of the OTTI related to changing market conditions, or the increase in the discount rate, of $6.5 million was recorded as an increase to other comprehensive loss in 2017 and is amortized as an adjustment to the carrying value of the Series B Bond in the accompanying consolidated balance sheets. The discount rate was determined based on the then-current market interest rates of notes receivable with comparable market ratings and the then-current expectations about the timing of debt service payments under the note.</w:t>
      </w:r>
    </w:p>
    <w:p>
      <w:pPr>
        <w:spacing w:after="0" w:line="18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Company performs a quarterly assessment of credit losses, which considers the estimate of projected tax revenues that will service the bonds over its remaining term. At December 31, 2023 and 2022, the Series B Bond is fully reserved. The Series A Bond is of higher priority than other tranches which fall between the Company’s two issuances.</w:t>
      </w:r>
    </w:p>
    <w:p>
      <w:pPr>
        <w:spacing w:after="0" w:line="1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During 2023, 2022 and 2021, the Company recorded interest income of $4.9 million, $5.3 million and $5.5 million, respectively, on these bonds. The Company received payments of $11.0 million, $9.1 million and $6.4 million during 2023, 2022 and 2021, respectively, relating to these notes receivable, which include principal and interest payments. At each of December 31, 2023 and 2022, before consideration of the credit loss reserve, the Company had accrued interest receivable related to these bonds of $41.0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debt and finance lease obligations at December 31 consisted of (amounts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0" w:type="dxa"/>
            <w:vAlign w:val="bottom"/>
            <w:tcBorders>
              <w:bottom w:val="single" w:sz="8" w:color="CCEEFF"/>
            </w:tcBorders>
          </w:tcPr>
          <w:p>
            <w:pPr>
              <w:spacing w:after="0"/>
              <w:rPr>
                <w:sz w:val="15"/>
                <w:szCs w:val="15"/>
                <w:color w:val="auto"/>
              </w:rPr>
            </w:pPr>
          </w:p>
        </w:tc>
        <w:tc>
          <w:tcPr>
            <w:tcW w:w="6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$700M Revolving Credit Facility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$500M Term Loan B</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371,250</w:t>
            </w:r>
          </w:p>
        </w:tc>
      </w:tr>
      <w:tr>
        <w:trPr>
          <w:trHeight w:val="216"/>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$400M</w:t>
            </w: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7.25% Senior Notes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$600M</w:t>
            </w: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4.50% Senior Notes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$700M</w:t>
            </w: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 Senior Notes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$800M</w:t>
            </w: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Gaylord Rockies Term Loan</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16"/>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$300M OEG Term Loan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299,250</w:t>
            </w:r>
          </w:p>
        </w:tc>
      </w:tr>
      <w:tr>
        <w:trPr>
          <w:trHeight w:val="216"/>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$65M OEG Revolver</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Block 21 CMBS Loan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134,636</w:t>
            </w:r>
          </w:p>
        </w:tc>
      </w:tr>
      <w:tr>
        <w:trPr>
          <w:trHeight w:val="216"/>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16"/>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(38,309)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(30,482)</w:t>
            </w:r>
          </w:p>
        </w:tc>
      </w:tr>
      <w:tr>
        <w:trPr>
          <w:trHeight w:val="216"/>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discounts and premiums, net</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(14,172)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(12,747)</w:t>
            </w:r>
          </w:p>
        </w:tc>
      </w:tr>
      <w:tr>
        <w:trPr>
          <w:trHeight w:val="210"/>
        </w:trPr>
        <w:tc>
          <w:tcPr>
            <w:tcW w:w="68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3,377,028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2,862,592</w:t>
            </w:r>
          </w:p>
        </w:tc>
      </w:tr>
      <w:tr>
        <w:trPr>
          <w:trHeight w:val="20"/>
        </w:trPr>
        <w:tc>
          <w:tcPr>
            <w:tcW w:w="5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31, 2023, there were no defaults under the covenants related to the Company’s outstanding debt.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Annual maturities of long-term debt, excluding finance lease obligations, are as follows (amounts in thousands):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3"/>
                <w:szCs w:val="13"/>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40" w:type="dxa"/>
            <w:vAlign w:val="bottom"/>
          </w:tcPr>
          <w:p>
            <w:pPr>
              <w:spacing w:after="0"/>
              <w:rPr>
                <w:sz w:val="13"/>
                <w:szCs w:val="13"/>
                <w:color w:val="auto"/>
              </w:rPr>
            </w:pPr>
          </w:p>
        </w:tc>
        <w:tc>
          <w:tcPr>
            <w:tcW w:w="8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$700M Revolving Credit Facility</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$500M Term Loan B</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496,250</w:t>
            </w:r>
          </w:p>
        </w:tc>
        <w:tc>
          <w:tcPr>
            <w:tcW w:w="0" w:type="dxa"/>
            <w:vAlign w:val="bottom"/>
          </w:tcPr>
          <w:p>
            <w:pPr>
              <w:spacing w:after="0"/>
              <w:rPr>
                <w:sz w:val="1"/>
                <w:szCs w:val="1"/>
                <w:color w:val="auto"/>
              </w:rPr>
            </w:pPr>
          </w:p>
        </w:tc>
      </w:tr>
      <w:tr>
        <w:trPr>
          <w:trHeight w:val="216"/>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$400M 7.25% Senior Notes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$600M</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4.50% Senior Notes</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$700M</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 Senior Notes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16"/>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$800M Gaylord Rockies Term Loan (1)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$300M</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OEG Term Loan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296,250</w:t>
            </w:r>
          </w:p>
        </w:tc>
        <w:tc>
          <w:tcPr>
            <w:tcW w:w="0" w:type="dxa"/>
            <w:vAlign w:val="bottom"/>
          </w:tcPr>
          <w:p>
            <w:pPr>
              <w:spacing w:after="0"/>
              <w:rPr>
                <w:sz w:val="1"/>
                <w:szCs w:val="1"/>
                <w:color w:val="auto"/>
              </w:rPr>
            </w:pPr>
          </w:p>
        </w:tc>
      </w:tr>
      <w:tr>
        <w:trPr>
          <w:trHeight w:val="216"/>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$65M OEG Revolver</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Block 21 CMBS Loan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131,871</w:t>
            </w: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810,904</w:t>
            </w: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133,873</w:t>
            </w: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713,000</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1,352,500</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3,429,371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720" w:right="61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$800 Million Gaylord Rockies Term Loan includes two, one-year extension options, subject to certain requirements.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On May 18, 2023, the Company entered into a Credit Agreement (the “Credit 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 The Credit Agreement provides a $700.0 million revolving credit facility (the “Revolver”) and $500.0 million term loan B (the “Term Loan B”), as well as an accordion feature that will allow Borrower to increase the facilities by an aggregate total of up to $475 million, which may be allocated between the Revolver and the Term Loan B at the option of the Borrower. The Revolver replaced the Company’s previous $700 million revolving credit facility, and a portion of the proceeds from the Term Loan B were used to repay in full the approximately $370 million balance of the Company’s previous term loan B. The Revolver was undrawn at closing.</w:t>
      </w:r>
    </w:p>
    <w:p>
      <w:pPr>
        <w:spacing w:after="0" w:line="18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Each of the Revolver and Term Loan B is guaranteed by the Company, each of the Company’s subsidiaries that own the Gaylord Hotels properties, other than Gaylord Rockies, and certain other of the Company’s subsidiaries. Each is secured by equity pledges of the Company’s subsidiaries that are the fee owners of Gaylord Opryland and Gaylord Texan, their respective direct and indirect parent entities, and the equity of Ryman Hotel Operations Holdco, LLC, a wholly-owned indirect subsidiary of the Company. Assets of Gaylord Rockies and OEG are not subject to the liens of the Credit Agreement.</w:t>
      </w:r>
    </w:p>
    <w:p>
      <w:pPr>
        <w:spacing w:after="0" w:line="187" w:lineRule="exact"/>
        <w:rPr>
          <w:sz w:val="20"/>
          <w:szCs w:val="20"/>
          <w:color w:val="auto"/>
        </w:rPr>
      </w:pPr>
    </w:p>
    <w:p>
      <w:pPr>
        <w:ind w:left="60" w:right="539"/>
        <w:spacing w:after="0" w:line="266" w:lineRule="auto"/>
        <w:rPr>
          <w:sz w:val="20"/>
          <w:szCs w:val="20"/>
          <w:color w:val="auto"/>
        </w:rPr>
      </w:pPr>
      <w:r>
        <w:rPr>
          <w:rFonts w:ascii="Times New Roman" w:cs="Times New Roman" w:eastAsia="Times New Roman" w:hAnsi="Times New Roman"/>
          <w:sz w:val="18"/>
          <w:szCs w:val="18"/>
          <w:color w:val="auto"/>
        </w:rPr>
        <w:t>Each of the Revolver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w:t>
      </w:r>
    </w:p>
    <w:p>
      <w:pPr>
        <w:spacing w:after="0" w:line="1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$700 Million Revolving Credit Facility</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maturity of the Revolver is May 18, 2027, with the option to extend the maturity date for a maximum of one additional year through either (i) a single twelve-month extension option or (ii) two individual six-month extensions. Borrowings under the Revolver bear interest at an annual rate equal to, at the Company’s option, either (i) Adjusted Term SOFR plus the applicable margin ranging from 1.40% to 2.00%, (ii) Adjusted Daily Simple SOFR plus the applicable margin ranging from 1.40% to 2.00%, or (iii) a base rate as set in the Credit Agreement plus the applicable margin ranging from 0.40% to 1.00%, with each option dependent upon the Company’s funded debt to total asset value ratio (as defined in the Credit Agreement). Principal is payable in full at maturity.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$500 Million Term Loan B</w:t>
      </w:r>
    </w:p>
    <w:p>
      <w:pPr>
        <w:spacing w:after="0" w:line="22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Term Loan B has a maturity of May 18, 2030. The applicable interest rate margins for borrowings under the Term Loan B are, at the Company’s option, either (i) Term SOFR plus 2.75%, (ii) Daily Simple SOFR plus 2.75%, or (iii) a base rate as set in the Credit Agreement plus 1.75%. At December 31, 2023, the interest rate on the Term Loan B was Term SOFR plus 2.75%. The Term Loan B amortizes in equal quarterly installments in aggregate annual amounts equal to 1.0% of the original principal amount of $500.0 million, with the balance due at maturity. In addition, if for any fiscal year there is Excess Cash Flow (as defined in the Credit Agreement), an additional principal amount is required. Amounts borrowed under the Term Loan B that are repaid or prepaid may not be reborrowed.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purposes of the Term Loan B, each of Term SOFR and Daily Simple SOFR are subject to a floor of 0.00%.</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$400 Million 7.25% Senior Notes Due 2028</w:t>
      </w:r>
    </w:p>
    <w:p>
      <w:pPr>
        <w:spacing w:after="0" w:line="227"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On June 22, 2023, the Operating Partnership and Finco (collectively, the “issuing subsidiaries”) completed the private placement of $400.0 million in aggregate principal amount of 7.25% senior notes due 2028 (the “$400 Million 7.25% Senior Notes”), which are guaranteed by the Company and its subsidiaries that guarantee the Company’s credit agreement.</w:t>
      </w:r>
    </w:p>
    <w:p>
      <w:pPr>
        <w:spacing w:after="0" w:line="131"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 7.25% per annum, payable semi-annually in cash in arrears on January 15 and July 15 each year, beginning on January 15, 2024. The $400 Million 7.25% Senior Notes are general unsecured and unsubordinated obligations of the issuing subsidiaries and rank equal in right of payment with such subsidiaries’ existing and future senior unsecured indebtedness, including the Company’s $600 million 4.50% senior notes due 2029 and $700 million 4.75% senior notes due 2027, and senior in right of payment to future subordinated indebtedness, if any.</w:t>
      </w:r>
    </w:p>
    <w:p>
      <w:pPr>
        <w:spacing w:after="0" w:line="151"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48"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$400 Million 7.25% Senior Notes totaled approximately $393 million, after deducting the initial purchasers’ discounts, commissions and offering expenses. The Company used these proceeds to pay a portion of the purchase price for JW Marriott Hill Country discussed in Note 1.</w:t>
      </w:r>
    </w:p>
    <w:p>
      <w:pPr>
        <w:spacing w:after="0" w:line="149" w:lineRule="exact"/>
        <w:rPr>
          <w:sz w:val="20"/>
          <w:szCs w:val="20"/>
          <w:color w:val="auto"/>
        </w:rPr>
      </w:pPr>
    </w:p>
    <w:p>
      <w:pPr>
        <w:ind w:left="60" w:right="219"/>
        <w:spacing w:after="0" w:line="276" w:lineRule="auto"/>
        <w:rPr>
          <w:sz w:val="20"/>
          <w:szCs w:val="20"/>
          <w:color w:val="auto"/>
        </w:rPr>
      </w:pPr>
      <w:r>
        <w:rPr>
          <w:rFonts w:ascii="Times New Roman" w:cs="Times New Roman" w:eastAsia="Times New Roman" w:hAnsi="Times New Roman"/>
          <w:sz w:val="17"/>
          <w:szCs w:val="17"/>
          <w:color w:val="auto"/>
        </w:rPr>
        <w:t>The $400 Million 7.25% Senior Notes are redeemable before July 15, 2025, in whole or in part, at 100.00%, plus accrued and unpaid interest thereon to, but not including, the redemption date, plus a make-whole premium. The $400 Million</w:t>
      </w:r>
    </w:p>
    <w:p>
      <w:pPr>
        <w:spacing w:after="0" w:line="1"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7.25% Senior Notes will be redeemable, in whole or in part, at any time on or after July 15, 2025 at a redemption price expressed as a percentage of the principal amount thereof, which percentage is 103.625%, 101.813%, and 100.000% beginning on July 15 of 2025, 2026, and 2027, respectively, plus accrued and unpaid interest thereon to, but not including, the redemption date.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$600 Million 4.50% Senior Notes Due 2029</w:t>
      </w:r>
    </w:p>
    <w:p>
      <w:pPr>
        <w:spacing w:after="0" w:line="22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On February 17, 2021, the Operating Partnership and Finco completed the private placement of $600.0 million in aggregate principal amount of 4.50% senior notes due 2029 (the “$600 Million 4.50% Senior Notes”), which are guaranteed by the Company and its subsidiaries that guarantee the Company’s credit agreement.</w:t>
      </w:r>
    </w:p>
    <w:p>
      <w:pPr>
        <w:spacing w:after="0" w:line="135" w:lineRule="exact"/>
        <w:rPr>
          <w:sz w:val="20"/>
          <w:szCs w:val="20"/>
          <w:color w:val="auto"/>
        </w:rPr>
      </w:pPr>
    </w:p>
    <w:p>
      <w:pPr>
        <w:ind w:left="60" w:right="359"/>
        <w:spacing w:after="0" w:line="312" w:lineRule="auto"/>
        <w:rPr>
          <w:sz w:val="20"/>
          <w:szCs w:val="20"/>
          <w:color w:val="auto"/>
        </w:rPr>
      </w:pPr>
      <w:r>
        <w:rPr>
          <w:rFonts w:ascii="Times New Roman" w:cs="Times New Roman" w:eastAsia="Times New Roman" w:hAnsi="Times New Roman"/>
          <w:sz w:val="17"/>
          <w:szCs w:val="17"/>
          <w:color w:val="auto"/>
        </w:rPr>
        <w:t>The $600 Million 4.50% Senior Notes and guarantees were issued pursuant to an indenture by and among the issuing subsidiaries, the guarantors and U.S. Bank National Association, as trustee. The $600 Million 4.50% Senior Notes have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 maturity date of February 15, 2029 and bear interest at 4.50% per annum, payable semi-annually in cash in arrears on February 15 and August 15 each year. The $600 Million 4.50% Senior Notes are general unsecured and unsubordinated obligations of the issuing subsidiaries and rank equal in right of payment with such subsidiaries’ existing and future senior unsecured indebtedness, including the Company’s $700 million 4.75% senior notes due 2027, and senior in right of payment to future subordinated indebtedness, if any.</w:t>
      </w:r>
    </w:p>
    <w:p>
      <w:pPr>
        <w:spacing w:after="0" w:line="15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48"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The net proceeds from the issuance of the $600 Million 4.50% Senior Notes totaled approximately $591 million, after deducting the initial purchasers’ discounts, commissions and offering expenses. The Company used a significant portion of these proceeds to tender and redeem its previous $400 million 5% senior notes and to repay all of the amounts outstanding under the Revolver at that time. The Company used the remaining net proceeds for general corporate purposes.</w:t>
      </w:r>
    </w:p>
    <w:p>
      <w:pPr>
        <w:spacing w:after="0" w:line="124"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$700 Million 4.75% Senior Notes Due 2027</w:t>
      </w:r>
    </w:p>
    <w:p>
      <w:pPr>
        <w:spacing w:after="0" w:line="227"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In September 2019, the Operating Partnership and Finco completed the private placement of $500.0 million in aggregate principal amount of senior notes due 2027 (the “$500 Million 4.75% Senior Notes”),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w:t>
      </w:r>
    </w:p>
    <w:p>
      <w:pPr>
        <w:spacing w:after="0" w:line="5" w:lineRule="exact"/>
        <w:rPr>
          <w:sz w:val="20"/>
          <w:szCs w:val="20"/>
          <w:color w:val="auto"/>
        </w:rPr>
      </w:pPr>
    </w:p>
    <w:p>
      <w:pPr>
        <w:ind w:left="60" w:right="99"/>
        <w:spacing w:after="0" w:line="250" w:lineRule="auto"/>
        <w:rPr>
          <w:sz w:val="20"/>
          <w:szCs w:val="20"/>
          <w:color w:val="auto"/>
        </w:rPr>
      </w:pPr>
      <w:r>
        <w:rPr>
          <w:rFonts w:ascii="Times New Roman" w:cs="Times New Roman" w:eastAsia="Times New Roman" w:hAnsi="Times New Roman"/>
          <w:sz w:val="18"/>
          <w:szCs w:val="18"/>
          <w:color w:val="auto"/>
        </w:rPr>
        <w:t>$500 Million 4.75%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w:t>
      </w:r>
    </w:p>
    <w:p>
      <w:pPr>
        <w:spacing w:after="0" w:line="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8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net proceeds from the issuance of the $500 Million 4.75% Senior Notes totaled approximately $493 million, after deducting the initial purchasers’ discounts, commissions and offering expenses. The Company used substantially all of these proceeds to tender and redeem its previous $350 million 5% senior notes and to repay a portion of the amounts then outstanding under the Revolver.</w:t>
      </w:r>
    </w:p>
    <w:p>
      <w:pPr>
        <w:spacing w:after="0" w:line="180"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 October 2019, the Operating Partnership and Finco completed a tack-on private placement of $200.0 million in aggregate principal amount of 4.75% senior notes due 2027 (the “additional 2027 notes”) at an issue price of 101.250% of their aggregate principal amount plus accrued interest from the September 2019 issue date for the $500 Million 4.75% Senior Notes. The additional 2027 notes and the $500 Million 4.75% Senior Notes constitute a single class of securities (collectively, the “$700 Million 4.75% Senior Notes”). All other terms and conditions of the additional 2027 notes are identical to the $500 Million 4.75% Senior Notes.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net proceeds of the additional 2027 notes totaled approximately $199 million, after deducting the initial purchasers’ discounts, commissions and offering expenses. The Company used substantially all of these proceeds to repay a portion of the amounts then outstanding under the Revolver.</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$700 Million 4.75% Senior Notes are redeemable, in whole or in part, at a redemption price expressed as a percentage of the principal amount thereof, which percentage is 102.375%, 101.188%, and 100.00% beginning on October 15 of 2023, 2024, and 2025, respectively, plus accrued and unpaid interest thereon to, but not including, the redemption date.</w:t>
      </w:r>
    </w:p>
    <w:p>
      <w:pPr>
        <w:spacing w:after="0" w:line="14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The Company completed a registered offer to exchange the $700 Million 4.75% Senior Notes for registered notes with substantially identical terms as the $700 Million 4.75% Senior Notes in July 2020.</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$800 Million Gaylord Rockies Term Loan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July 2019, Aurora Convention Center Hotel, LLC and Aurora Convention Center Hotel Lessee, LLC, the entities that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comprise Gaylord Rockies, entered into a Second Amended and Restated Loan Agreement (the “Gaylord Rockies Loan”)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Wells Fargo Bank, National Association, as administrative agent, which refinanced Gaylord Rockies’ previous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$500 million construction loan and $39 million mezzanine loan, which were scheduled to mature in December 2019.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Loan consists of an $800.0 million secured term loan facility, matures July 2, 2024 with two, one-year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extension options, subject to certain requirements in the Gaylord Rockies Loan, and bears interest at Adjusted Daily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Simple SOFR plus 2.50%. The Company has entered into an interest rate swap to fix the SOFR portion of the interest rate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5.2105% for the fifth year of the loan. The Company has designated this interest rate swap as an effective cash flow</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hedge.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Gaylord Rockies Loan is secured by a deed of trust lien on the Gaylord Rockies real estate and related assets.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Generally, the Gaylord Rockies Loan is non-recourse to the Company, subject to customary non-recourse carve-outs.</w:t>
      </w:r>
    </w:p>
    <w:p>
      <w:pPr>
        <w:spacing w:after="0" w:line="20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June 2020, the Loan Parties entered into Amendment No. 1 (the “Loan Amendment”) to the Gaylord Rockies Loan, by and among the Loan Parties, Wells Fargo Bank, National Association, as administrative agent, and the lenders from time to time party thereto. The Loan Amendment modified the Gaylord Rockies Loan to (i) provide for the ability to use cash for certain purposes, even during a Cash Sweep Period (as defined in the Loan Agreement) and (ii) provide favorable changes to the debt service coverage ratio provisions. The Loan Amendment includes restrictions on distributions to the Company’s subsidiaries that own Gaylord Rockies.</w:t>
      </w:r>
    </w:p>
    <w:p>
      <w:pPr>
        <w:spacing w:after="0" w:line="187"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Further, on May 2, 2023, the Loan Parties entered into a Benchmark Replacement Modification Agreement to the Gaylord Rockies Loan, which replaced LIBOR with Adjusted Daily Simple SOFR.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OEG Credit Agreement</w:t>
      </w:r>
    </w:p>
    <w:p>
      <w:pPr>
        <w:spacing w:after="0" w:line="227" w:lineRule="exact"/>
        <w:rPr>
          <w:sz w:val="20"/>
          <w:szCs w:val="20"/>
          <w:color w:val="auto"/>
        </w:rPr>
      </w:pPr>
    </w:p>
    <w:p>
      <w:pPr>
        <w:ind w:left="60" w:right="139"/>
        <w:spacing w:after="0" w:line="269" w:lineRule="auto"/>
        <w:rPr>
          <w:sz w:val="20"/>
          <w:szCs w:val="20"/>
          <w:color w:val="auto"/>
        </w:rPr>
      </w:pPr>
      <w:r>
        <w:rPr>
          <w:rFonts w:ascii="Times New Roman" w:cs="Times New Roman" w:eastAsia="Times New Roman" w:hAnsi="Times New Roman"/>
          <w:sz w:val="17"/>
          <w:szCs w:val="17"/>
          <w:color w:val="auto"/>
        </w:rPr>
        <w:t>In June 2022, OEG Borrower, LLC (“OEG Borrower”) and OEG Finance, LLC (“OEG Finance”), each a wholly-owned direct or indirect subsidiary of OEG, entered into a credit agreement (the “OEG Credit Agreement”) among OEG Borrower, as borrower, OEG Finance, certain subsidiaries of OEG Borrower from time to time party thereto as guarantors, the lenders party thereto and JPMorgan Chase Bank, N.A., as administrative agent. The OEG Credit Agreement provides for (i) a senior secured term loan facility in the aggregate principal amount of $300.0 million (the “OEG Term Loan”) and</w:t>
      </w:r>
    </w:p>
    <w:p>
      <w:pPr>
        <w:spacing w:after="0" w:line="3" w:lineRule="exact"/>
        <w:rPr>
          <w:sz w:val="20"/>
          <w:szCs w:val="20"/>
          <w:color w:val="auto"/>
        </w:rPr>
      </w:pPr>
    </w:p>
    <w:p>
      <w:pPr>
        <w:ind w:left="60" w:right="59" w:hanging="10"/>
        <w:spacing w:after="0" w:line="265" w:lineRule="auto"/>
        <w:tabs>
          <w:tab w:leader="none" w:pos="32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senior secured revolving credit facility in an aggregate principal amount not to exceed $65.0 million (the “OEG Revolver”). The OEG Term Loan matures on June 16, 2029, and the OEG Revolver matures on June 16, 2027. The OEG Term Loan bears interest at a rate equal to either, at OEG Borrower’s election, (i) the Alternate Base Rate plus 4.00% or (ii) Adjusted Term SOFR plus 5.00% (all as specifically more described in the OEG Credit Agreement). In November 2022, OEG entered into an interest rate swap to fix the SOFR portion of the interest rate on $100.0 million of borrowings at</w:t>
      </w:r>
    </w:p>
    <w:p>
      <w:pPr>
        <w:ind w:left="60" w:right="7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4.533% through December 2025. The OEG Revolver bears interest at a rate equal to either, at OEG Borrower’s election, (i) the Alternate Base Rate plus 3.75% or (ii) Adjusted Term SOFR plus 4.25%, which shall be subject to reduction in the applicable margin based upon OEG’s First Lien Leverage Ratio (all as more specifically described in the OEG Credit Agreement). The OEG Term Loan and OEG Revolver are each secured by substantially all of the assets of OEG Finance and each of its subsidiaries (but not Block 21 and Circle, as more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specifically described in the OEG Credit Agreement). No revolving credit advance was made under the OEG Revolver at closing.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Block 21 CMBS Loan</w:t>
      </w:r>
    </w:p>
    <w:p>
      <w:pPr>
        <w:spacing w:after="0" w:line="22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At the closing of the purchase of Block 21 on May 31, 2022, a subsidiary of the Company assumed a $136 million, ten-year, non-recourse term loan secured by a mortgage on Block 21 (the “Block 21 CMBS Loan”). The Block 21 CMBS Loan has a fixed interest rate of 5.58% per annum, payable monthly, matures January 5, 2026, and payments are due monthly based on a 30-year amortization.</w:t>
      </w:r>
    </w:p>
    <w:p>
      <w:pPr>
        <w:spacing w:after="0" w:line="18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Block 21 CMBS Loan contains customary financial covenants and other restrictions, including sponsor net worth and liquidity requirements, and debt service coverage ratio targets that Block 21 must meet in order to avoid a “Trigger Period,” the occurrence of which does not constitute a default. Block 21 was in a Trigger Period as of the date of its purchase by the Company but exited the Trigger Period with first quarter 2023 results. During the Trigger Period, any cash generated by Block 21 in excess of amounts necessary to fund loan obligations, budgeted operating expenses and specified reserves will not be distributed to Block 21.</w:t>
      </w:r>
    </w:p>
    <w:p>
      <w:pPr>
        <w:spacing w:after="0" w:line="187"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In connection with the purchase of Block 21, the Company provided (i) limited guarantees to the Block 21 lenders under the Block 21 CMBS Loan via a guaranty agreement, a guaranty of completion agreement and an environmental indemnity, and (ii) a letter of credit drawable by the Block 21 lenders in the event of a default of the Block 21 CMBS Loan.</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Company has entered into or previously entered into interest rate swaps to manage interest rate risk associated with the Company’s previous term loan B, the Gaylord Rockies Loan and the OEG Term Loan. Each swap has been designated as a cash flow hedge whereby the Company receives variable-rate amounts in exchange for fixed-rate payments over the life of the agreement without exchange of the underlying principal amount.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fair values of the Company’s derivative financial instruments at December 31 are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Strike</w:t>
            </w: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5"/>
                <w:szCs w:val="15"/>
                <w:color w:val="auto"/>
              </w:rPr>
            </w:pPr>
          </w:p>
        </w:tc>
        <w:tc>
          <w:tcPr>
            <w:tcW w:w="17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Asset (Liability) Balance</w:t>
            </w:r>
          </w:p>
        </w:tc>
        <w:tc>
          <w:tcPr>
            <w:tcW w:w="0" w:type="dxa"/>
            <w:vAlign w:val="bottom"/>
          </w:tcPr>
          <w:p>
            <w:pPr>
              <w:spacing w:after="0"/>
              <w:rPr>
                <w:sz w:val="1"/>
                <w:szCs w:val="1"/>
                <w:color w:val="auto"/>
              </w:rPr>
            </w:pPr>
          </w:p>
        </w:tc>
      </w:tr>
      <w:tr>
        <w:trPr>
          <w:trHeight w:val="117"/>
        </w:trPr>
        <w:tc>
          <w:tcPr>
            <w:tcW w:w="20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Hedged Debt</w:t>
            </w:r>
          </w:p>
        </w:tc>
        <w:tc>
          <w:tcPr>
            <w:tcW w:w="12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40" w:type="dxa"/>
            <w:vAlign w:val="bottom"/>
            <w:gridSpan w:val="2"/>
            <w:vMerge w:val="continue"/>
          </w:tcPr>
          <w:p>
            <w:pPr>
              <w:spacing w:after="0"/>
              <w:rPr>
                <w:sz w:val="10"/>
                <w:szCs w:val="10"/>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2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8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Term Loan B</w:t>
            </w:r>
          </w:p>
        </w:tc>
        <w:tc>
          <w:tcPr>
            <w:tcW w:w="4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1-month LIBOR</w:t>
            </w:r>
          </w:p>
        </w:tc>
        <w:tc>
          <w:tcPr>
            <w:tcW w:w="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May 11, 2023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87,500</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2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2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2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20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2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1.2315%</w:t>
            </w:r>
          </w:p>
        </w:tc>
        <w:tc>
          <w:tcPr>
            <w:tcW w:w="6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2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Gaylord Rockies Term Loan</w:t>
            </w:r>
          </w:p>
        </w:tc>
        <w:tc>
          <w:tcPr>
            <w:tcW w:w="12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3.3410%</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20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August 1, 2023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Gaylord Rockies Term Loan</w:t>
            </w:r>
          </w:p>
        </w:tc>
        <w:tc>
          <w:tcPr>
            <w:tcW w:w="12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5.2105%</w:t>
            </w:r>
          </w:p>
        </w:tc>
        <w:tc>
          <w:tcPr>
            <w:tcW w:w="6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Daily SOFR</w:t>
            </w:r>
          </w:p>
        </w:tc>
        <w:tc>
          <w:tcPr>
            <w:tcW w:w="12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July 2, 2024</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(474)</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OEG Term Loan</w:t>
            </w:r>
          </w:p>
        </w:tc>
        <w:tc>
          <w:tcPr>
            <w:tcW w:w="12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4.5330%</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3-month SOFR</w:t>
            </w:r>
          </w:p>
        </w:tc>
        <w:tc>
          <w:tcPr>
            <w:tcW w:w="120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December 18, 2025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(1,322)</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in an asset position are included in prepaid expenses and other assets and those in a liability position are included in other liabilities in the accompanying consolidated balance sheets.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 effect of the Company’s derivative financial instruments on the accompanying consolidated statements of operations and comprehensive income (loss) for the years ended December 31 is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0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00" w:type="dxa"/>
            <w:vAlign w:val="bottom"/>
          </w:tcPr>
          <w:p>
            <w:pPr>
              <w:spacing w:after="0"/>
              <w:rPr>
                <w:sz w:val="13"/>
                <w:szCs w:val="13"/>
                <w:color w:val="auto"/>
              </w:rPr>
            </w:pPr>
          </w:p>
        </w:tc>
        <w:tc>
          <w:tcPr>
            <w:tcW w:w="1860" w:type="dxa"/>
            <w:vAlign w:val="bottom"/>
            <w:gridSpan w:val="4"/>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Amount of Gain (Loss)</w:t>
            </w:r>
          </w:p>
        </w:tc>
      </w:tr>
      <w:tr>
        <w:trPr>
          <w:trHeight w:val="148"/>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10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96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r>
      <w:tr>
        <w:trPr>
          <w:trHeight w:val="173"/>
        </w:trPr>
        <w:tc>
          <w:tcPr>
            <w:tcW w:w="3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0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r>
      <w:tr>
        <w:trPr>
          <w:trHeight w:val="142"/>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20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8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5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100" w:type="dxa"/>
            <w:vAlign w:val="bottom"/>
          </w:tcPr>
          <w:p>
            <w:pPr>
              <w:spacing w:after="0"/>
              <w:rPr>
                <w:sz w:val="12"/>
                <w:szCs w:val="12"/>
                <w:color w:val="auto"/>
              </w:rPr>
            </w:pPr>
          </w:p>
        </w:tc>
        <w:tc>
          <w:tcPr>
            <w:tcW w:w="860" w:type="dxa"/>
            <w:vAlign w:val="bottom"/>
          </w:tcPr>
          <w:p>
            <w:pPr>
              <w:jc w:val="right"/>
              <w:ind w:right="26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4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55"/>
        </w:trPr>
        <w:tc>
          <w:tcPr>
            <w:tcW w:w="36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62"/>
        </w:trPr>
        <w:tc>
          <w:tcPr>
            <w:tcW w:w="3660" w:type="dxa"/>
            <w:vAlign w:val="bottom"/>
            <w:tcBorders>
              <w:bottom w:val="single" w:sz="8" w:color="CCEEFF"/>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Interest rate swaps</w:t>
            </w:r>
          </w:p>
        </w:tc>
        <w:tc>
          <w:tcPr>
            <w:tcW w:w="1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670</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16,007</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12,177</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(3,541)</w:t>
            </w:r>
          </w:p>
        </w:tc>
      </w:tr>
      <w:tr>
        <w:trPr>
          <w:trHeight w:val="155"/>
        </w:trPr>
        <w:tc>
          <w:tcPr>
            <w:tcW w:w="366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derivatives</w:t>
            </w: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670</w:t>
            </w: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16,007</w:t>
            </w:r>
          </w:p>
        </w:tc>
        <w:tc>
          <w:tcPr>
            <w:tcW w:w="10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12,177</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(3,541)</w:t>
            </w: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499"/>
        <w:spacing w:after="0" w:line="266" w:lineRule="auto"/>
        <w:rPr>
          <w:sz w:val="20"/>
          <w:szCs w:val="20"/>
          <w:color w:val="auto"/>
        </w:rPr>
      </w:pPr>
      <w:r>
        <w:rPr>
          <w:rFonts w:ascii="Times New Roman" w:cs="Times New Roman" w:eastAsia="Times New Roman" w:hAnsi="Times New Roman"/>
          <w:sz w:val="18"/>
          <w:szCs w:val="18"/>
          <w:color w:val="auto"/>
        </w:rPr>
        <w:t>Reclassifications from accumulated other comprehensive loss for interest rate swaps are shown in the table above and included in interest expense. Total consolidated interest expense for 2023, 2022 and 2021 was $211.4 million, $148.4 million and $125.3 million, respectively.</w:t>
      </w:r>
    </w:p>
    <w:p>
      <w:pPr>
        <w:spacing w:after="0" w:line="14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At December 31, 2023, the fair value of derivatives in a net liability position including accrued interest but excluding any adjustment for nonperformance risk related to these agreements was $1.2 million. As of December 31, 2023,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$1.2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Deferred Management Rights Proceeds</w:t>
      </w:r>
    </w:p>
    <w:p>
      <w:pPr>
        <w:spacing w:after="0" w:line="229"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such property. The Company allocated $190.0 million of the purchase price to the Management Rights, based on the Company’s estimates of the fair values for the respective components. For financial reporting purposes, the amount related to the Management Rights was deferred and is amortized on a straight-line basis over the 65-year term of the hotel management agreements, including extensions, as a reduction in management fee expense.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a lessee of a 65.3 acre site in Osceola County, Florida on which Gaylord Palms is located; building or land leases for Ole Red Gatlinburg, Ole Red Orlando, Ole Red Tishomingo, Ole Red Nashville International Airport and Ole Red Las Vegas; and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with the exception of Ole Red Nashville International Airport, which has no extension option. Extension options are not considered reasonably assured and thus are not included in the Company’s calculation of its right-of-use assets and liabilities. The Company’s lease agreements do not contain any material residual value guarantees or material restrictive covenants.</w:t>
      </w:r>
    </w:p>
    <w:p>
      <w:pPr>
        <w:spacing w:after="0" w:line="18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terms of the Gaylord Palms lease include variable lease payments based upon net revenues at Gaylord Palms and certain other of the Company’s leases include rental payments adjusted periodically for inflation. The Company recorded $3.5 million, $3.0 million and $1.8 million of contingent rental expense related to Gaylord Palms in 2023, 2022 and 2021, respectively.</w:t>
      </w:r>
    </w:p>
    <w:p>
      <w:pPr>
        <w:spacing w:after="0" w:line="180"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As the discount rate implicit in the Company’s operating leases is not readily determinable, the Company applies judgments related to the determination of the discount rates used to calculate the lease liability as required by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calculates its incremental borrowing rates by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utilizing judgments and estimates regarding the Company’s secured borrowing rates, market credit rating, comparable bond yield curve, and adjustments to market yield curves to determine a securitized rate.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lease cost for the years ended December 31 is as follows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7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4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13,384</w:t>
            </w: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at December 31, 2023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5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556,191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(473,698)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CCEEFF"/>
            </w:tcBorders>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remaining lease term and discount rate for the Company’s leases are as follows:</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Stock Plans</w:t>
      </w:r>
    </w:p>
    <w:p>
      <w:pPr>
        <w:spacing w:after="0" w:line="229" w:lineRule="exact"/>
        <w:rPr>
          <w:sz w:val="20"/>
          <w:szCs w:val="20"/>
          <w:color w:val="auto"/>
        </w:rPr>
      </w:pPr>
    </w:p>
    <w:p>
      <w:pPr>
        <w:jc w:val="both"/>
        <w:ind w:left="60" w:right="339"/>
        <w:spacing w:after="0" w:line="261" w:lineRule="auto"/>
        <w:rPr>
          <w:sz w:val="20"/>
          <w:szCs w:val="20"/>
          <w:color w:val="auto"/>
        </w:rPr>
      </w:pPr>
      <w:r>
        <w:rPr>
          <w:rFonts w:ascii="Times New Roman" w:cs="Times New Roman" w:eastAsia="Times New Roman" w:hAnsi="Times New Roman"/>
          <w:sz w:val="18"/>
          <w:szCs w:val="18"/>
          <w:color w:val="auto"/>
        </w:rPr>
        <w:t>The Company’s 2016 Omnibus Incentive Plan (the “Plan”) permits the grant of stock options, stock appreciation rights, restricted stock, restricted stock units, performance awards and other share-based awards to its directors, employees and consultants. At December 31, 2023, approximately 0.5 million shares of common stock remained available for issuance pursuant to future grants of awards under the Plan.</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Restricted stock units granted to employees vest one to four years from the date of grant, subject to any applicable performance targets, and restricted stock units granted to non-employee directors vest one year from the date of grant, unless the recipient chooses to defer the vesting for a period of time. Depending on the type of award, the fair value of restricted stock units is determined either based on the market price of the Company’s stock at the date of grant or based on a Monte-Carlo valuation. Forfeitures are estimated based on historical experience. The Company generally records compensation expense equal to the fair value of each restricted stock unit granted over the vesting period. The weighted-average grant-date fair value of restricted stock units granted during 2023, 2022, and 2021 was $85.25, $82.66, and $73.96,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restricted stock units as of December 31, 2023 and changes during the year ended December 31, 2023, is presented below:</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gridSpan w:val="2"/>
          </w:tcPr>
          <w:p>
            <w:pPr>
              <w:jc w:val="center"/>
              <w:ind w:left="54"/>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550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at January 1, 2023</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585,011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207,159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(166,282)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Canceled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(24,033)</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at December 31, 2023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601,855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 fair value of all restricted stock units that vested during 2023, 2022 and 2021 was $14.9 million, $12.9 million and $10.6 million, respectively.</w:t>
      </w:r>
    </w:p>
    <w:p>
      <w:pPr>
        <w:spacing w:after="0" w:line="162"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At December 31, 2023, there was $21.9 million of total unrecognized compensation cost related to restricted stock units granted under the Company’s equity incentive plans. That cost is expected to be recognized over a weighted-average period of 2.3 years.</w:t>
      </w:r>
    </w:p>
    <w:p>
      <w:pPr>
        <w:spacing w:after="0" w:line="176"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color w:val="auto"/>
        </w:rPr>
        <w:t>The compensation cost that has been charged against pre-tax income for all of the Company’s stock-based compensation plans was $15.4 million, $15.0 million, and $12.1 million for 2023, 2022, and 2021, respectively. The total income tax benefit recognized in the accompanying consolidated statements of operations for all of the Company’s stock-based employee compensation plans was $3.5 million, $3.5 million, and $2.9 million for 2023, 2022, and 2021, respectively.</w:t>
      </w:r>
    </w:p>
    <w:p>
      <w:pPr>
        <w:spacing w:after="0" w:line="164"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The actual tax benefit realized from exercise, vesting or cancellation of the stock-based employee compensation arrangements during 2023, 2022, and 2021 totaled $0, $0.5 million, and $0.4 million, respectively, and is reflected as an adjustment to (provision) benefit for income taxes in the accompanying consolidated statements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Pension Plans</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Prior to January 1, 2001, the Company maintained a noncontributory defined benefit pension plan in which substantially all of its employees were eligible to participate upon meeting the pension plan’s participation requirements. The benefits were based on years of service and compensation levels. On December 31, 2000, benefits credited under the plan’s previous formula were frozen. On January 1, 2001, the Company amended its defined benefit pension plan to determine future benefits using a cash balance formula. Under the cash formula, each participant had an account which was credited monthly with 3% of qualified earnings and the interest earned on their previous month-end cash balance. In addition, the Company included a “grandfather” clause which assures that those participating at January 1, 2001 will receive the greater of the benefit calculated under the cash balance plan and the benefit that would have been payable if the defined benefit plan had remained in existence. The benefit payable to a terminated vested participant upon retirement at age 65, or as early as age 55 if the participant had 15 years of service at the time the plan was frozen, is equal to the participant’s account balance, which increases with interest credits over time. At retirement, the employee generally receives the balance in the account as a lump sum. The funding policy of the Company is to contribute annually an amount which equals or exceeds the minimum required by applicable law. On December 31, 2001, the plan was frozen such that no new participants were allowed to enter the plan and existing participants were no longer eligible to earn service credits.</w:t>
      </w:r>
    </w:p>
    <w:p>
      <w:pPr>
        <w:spacing w:after="0" w:line="197" w:lineRule="exact"/>
        <w:rPr>
          <w:sz w:val="20"/>
          <w:szCs w:val="20"/>
          <w:color w:val="auto"/>
        </w:rPr>
      </w:pPr>
    </w:p>
    <w:p>
      <w:pPr>
        <w:ind w:left="60" w:right="119"/>
        <w:spacing w:after="0" w:line="289" w:lineRule="auto"/>
        <w:rPr>
          <w:sz w:val="20"/>
          <w:szCs w:val="20"/>
          <w:color w:val="auto"/>
        </w:rPr>
      </w:pPr>
      <w:r>
        <w:rPr>
          <w:rFonts w:ascii="Times New Roman" w:cs="Times New Roman" w:eastAsia="Times New Roman" w:hAnsi="Times New Roman"/>
          <w:sz w:val="17"/>
          <w:szCs w:val="17"/>
          <w:color w:val="auto"/>
        </w:rPr>
        <w:t>As a result of increased lump-sum distributions from the retirement plan during 2023, 2022 and 2021, net settlement losses of $1.3 million, $1.9 million and $1.4 million were recognized in 2023, 2022 and 2021, respectively. These settlement losses have been classified as other gains and (losses), net in the accompanying consolidated statements of operations.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funded status of the retirement plan at December 31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60,922</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76,680</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Actuarial gain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r>
      <w:tr>
        <w:trPr>
          <w:trHeight w:val="209"/>
        </w:trPr>
        <w:tc>
          <w:tcPr>
            <w:tcW w:w="20" w:type="dxa"/>
            <w:vAlign w:val="bottom"/>
          </w:tcPr>
          <w:p>
            <w:pPr>
              <w:spacing w:after="0"/>
              <w:rPr>
                <w:sz w:val="18"/>
                <w:szCs w:val="18"/>
                <w:color w:val="auto"/>
              </w:rPr>
            </w:pPr>
          </w:p>
        </w:tc>
        <w:tc>
          <w:tcPr>
            <w:tcW w:w="4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60,922</w:t>
            </w: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72,486</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(13,292)</w:t>
            </w:r>
          </w:p>
        </w:tc>
      </w:tr>
      <w:tr>
        <w:trPr>
          <w:trHeight w:val="216"/>
        </w:trPr>
        <w:tc>
          <w:tcPr>
            <w:tcW w:w="20" w:type="dxa"/>
            <w:vAlign w:val="bottom"/>
          </w:tcPr>
          <w:p>
            <w:pPr>
              <w:spacing w:after="0"/>
              <w:rPr>
                <w:sz w:val="18"/>
                <w:szCs w:val="18"/>
                <w:color w:val="auto"/>
              </w:rPr>
            </w:pPr>
          </w:p>
        </w:tc>
        <w:tc>
          <w:tcPr>
            <w:tcW w:w="4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(6,925)</w:t>
            </w: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52,269</w:t>
            </w:r>
          </w:p>
        </w:tc>
      </w:tr>
      <w:tr>
        <w:trPr>
          <w:trHeight w:val="209"/>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Funded status and accrued pension cost</w:t>
            </w:r>
          </w:p>
        </w:tc>
        <w:tc>
          <w:tcPr>
            <w:tcW w:w="10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19"/>
        <w:spacing w:after="0" w:line="312" w:lineRule="auto"/>
        <w:rPr>
          <w:sz w:val="20"/>
          <w:szCs w:val="20"/>
          <w:color w:val="auto"/>
        </w:rPr>
      </w:pPr>
      <w:r>
        <w:rPr>
          <w:rFonts w:ascii="Times New Roman" w:cs="Times New Roman" w:eastAsia="Times New Roman" w:hAnsi="Times New Roman"/>
          <w:sz w:val="17"/>
          <w:szCs w:val="17"/>
          <w:color w:val="auto"/>
        </w:rPr>
        <w:t>Net periodic pension (income) expense reflected in other gains and (losses), net in the accompanying consolidated statements of operations included the following components for the years ended December 31 (amounts in thousands):</w:t>
      </w:r>
    </w:p>
    <w:p>
      <w:pPr>
        <w:spacing w:after="0" w:line="147"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settlement loss</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periodic pension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assumptions used to determine the benefit obligation at December 31 are as follows: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4.66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0"/>
                <w:szCs w:val="20"/>
                <w:color w:val="auto"/>
              </w:rPr>
            </w:pPr>
          </w:p>
        </w:tc>
      </w:tr>
    </w:tbl>
    <w:p>
      <w:pPr>
        <w:spacing w:after="0" w:line="17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used to determine the net periodic pension expense for years ended December 31 are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5.02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rate of increase in future compensation levels was not applicable for any reported years due to the Company amending the plan to freeze the cash balance benefit as described above.</w:t>
      </w:r>
    </w:p>
    <w:p>
      <w:pPr>
        <w:spacing w:after="0" w:line="162"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The Company determines the overall expected long-term rate of return on plan assets based on its estimate of the return that plan assets will provide over the period that benefits are expected to be paid out. In preparing this estimate, the Company assesses the rates of return on each current allocation of plan assets, and advice from its third-party actuary and investment consultants. The expected return on plan assets is a long-term assumption and generally does not significantly change annually. While historical returns are considered, the rate of return assumption is primarily based on projections of expected returns based on fair value, using economic data and financial models to estimate the probability of returns. The probability distribution of annualized returns for the portfolio using current asset allocations is used to determine the expected range of returns for a ten-to-twenty-year horizon. While management believes that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assumptions used are appropriate, differences in actual experience or changes in assumptions may affect the Company’s pension obligations and expense.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227"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The plan’s overall strategy is to achieve a rate of return necessary to fund benefit payments by utilizing a variety of asset types, investment strategies and investment managers. The plan seeks to achieve a long-term rate of return over inflation resulting from income, capital gains, or both, which assists the plan in meeting its long-term objectives.</w:t>
      </w:r>
    </w:p>
    <w:p>
      <w:pPr>
        <w:spacing w:after="0" w:line="1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long-term target allocations for the plan’s assets are managed dynamically according to a sliding scale correlating with the funded status of the plan. As the plan’s funded status increases, allocations are moved away from equity securities toward fixed income securities. Equity securities primarily include large cap and mid cap companies. Fixed income securities primarily include corporate bonds of companies in diversified industries, mortgage-backed securities and U.S. Treasuries. Investments in hedge funds and private equity funds are not held by the plan.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allocation of the defined benefit pension plan’s assets at December 31 is as follows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51,254</w:t>
            </w: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52,269</w:t>
            </w: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59"/>
        <w:spacing w:after="0" w:line="289" w:lineRule="auto"/>
        <w:rPr>
          <w:sz w:val="20"/>
          <w:szCs w:val="20"/>
          <w:color w:val="auto"/>
        </w:rPr>
      </w:pPr>
      <w:r>
        <w:rPr>
          <w:rFonts w:ascii="Times New Roman" w:cs="Times New Roman" w:eastAsia="Times New Roman" w:hAnsi="Times New Roman"/>
          <w:sz w:val="17"/>
          <w:szCs w:val="17"/>
          <w:color w:val="auto"/>
        </w:rPr>
        <w:t>All of the assets held by the plan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58" w:lineRule="exact"/>
        <w:rPr>
          <w:sz w:val="20"/>
          <w:szCs w:val="20"/>
          <w:color w:val="auto"/>
        </w:rPr>
      </w:pPr>
    </w:p>
    <w:p>
      <w:pPr>
        <w:ind w:left="60" w:right="219"/>
        <w:spacing w:after="0" w:line="289" w:lineRule="auto"/>
        <w:rPr>
          <w:sz w:val="20"/>
          <w:szCs w:val="20"/>
          <w:color w:val="auto"/>
        </w:rPr>
      </w:pPr>
      <w:r>
        <w:rPr>
          <w:rFonts w:ascii="Times New Roman" w:cs="Times New Roman" w:eastAsia="Times New Roman" w:hAnsi="Times New Roman"/>
          <w:sz w:val="17"/>
          <w:szCs w:val="17"/>
          <w:color w:val="auto"/>
        </w:rPr>
        <w:t>Periodically, and based on market conditions, the entire account is rebalanced to maintain the desired allocation and the investment policy is reviewed. Within each asset class, plan assets are allocated to various investment styles. Professional managers manage all assets of the plan, and professional advisors assist the plan in the attainment of its objectives.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Expected Contributions and Benefit Payments</w:t>
      </w:r>
    </w:p>
    <w:p>
      <w:pPr>
        <w:spacing w:after="0" w:line="227"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 does not expect to be required to contribute to its defined benefit pension plan in 2024. Based on the Company’s assumptions discussed above, the Company expects to make the following estimated future benefit payments under the plan during the years ending December 31 (amounts in thousands):</w:t>
      </w: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7,924</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w:t>
            </w: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w:t>
            </w: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2029 - 2033</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20,841</w:t>
            </w: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Company also maintains non-qualified pension plans (the “Non-Qualified Plans”) to provide benefits to certain key employees. The Non-Qualified Plans are not funded, and the beneficiaries’ rights to receive distributions under these plans constitute unsecured claims to be paid from the Company’s general assets. At December 31, 2023, the Non-Qualified Plans’ projected benefit obligations and accumulated benefit obligations were $11.1 million.</w:t>
      </w:r>
    </w:p>
    <w:p>
      <w:pPr>
        <w:spacing w:after="0" w:line="180"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Company’s obligation related to its qualified and non-qualified pension plans of $16.2 million and $19.8 million at December 31, 2023 and 2022, respectively, is included in other liabilities in the accompanying consolidated balance sheets. The change in the deferred net loss related to the Company’s retirement plans during 2023, 2022 and 2021</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resulted in an increase (decrease) in equity of $5.3 million, $(0.6) million and $9.9 million, respectively. Each of these adjustments to equity due to the change in the minimum liability is included in other comprehensive loss in the accompanying consolidated statements of equity (deficit) and noncontrolling interest.</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combined net loss, amortization of net loss, and new prior service credit and amortization of prior service credit recognized in other comprehensive income (loss) for the years ended December 31, 2023, 2022 and 2021 was $5.3 million, $(0.6) million and $9.9 million, respectively, net of taxes of $1.6 million, $0 and $0, respectively. Included in accumulated other comprehensive loss at December 31, 2023 and 2022 are unrecognized actuarial losses of $21.5 million and $26.7 million ($16.3 million and $20.0 million net of tax), respectively, that have not yet been recognized in net periodic pension expense. Net losses are amortized into net periodic pension expense based on the life expectancy of plan participants expected to receive benefits, using a corridor approach based on the greater of projected benefit obligation or fair value of plan assets.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Offering</w:t>
      </w:r>
    </w:p>
    <w:p>
      <w:pPr>
        <w:spacing w:after="0" w:line="227" w:lineRule="exact"/>
        <w:rPr>
          <w:sz w:val="20"/>
          <w:szCs w:val="20"/>
          <w:color w:val="auto"/>
        </w:rPr>
      </w:pPr>
    </w:p>
    <w:p>
      <w:pPr>
        <w:jc w:val="both"/>
        <w:ind w:left="60" w:right="159"/>
        <w:spacing w:after="0" w:line="281" w:lineRule="auto"/>
        <w:rPr>
          <w:sz w:val="20"/>
          <w:szCs w:val="20"/>
          <w:color w:val="auto"/>
        </w:rPr>
      </w:pPr>
      <w:r>
        <w:rPr>
          <w:rFonts w:ascii="Times New Roman" w:cs="Times New Roman" w:eastAsia="Times New Roman" w:hAnsi="Times New Roman"/>
          <w:sz w:val="17"/>
          <w:szCs w:val="17"/>
          <w:color w:val="auto"/>
        </w:rPr>
        <w:t>In June 2023, the Company completed an underwritten public offering of approximately 4.4 million shares of its common stock, par value $0.01 per share, at a price to the public of $93.25 per share. Net proceeds to the Company, after deducting underwriting discounts and commissions and other expenses paid by the Company, were approximately $395 million. The Company used the proceeds to pay a portion of the purchase price for JW Marriott Hill Country discussed in Note 1.</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During 2023, the Company’s board of directors declared quarterly dividends and distributions totaling $3.85 per share of common stock/OP Unit for the full year, or an aggregate of $228.1 million in cash.</w:t>
      </w:r>
    </w:p>
    <w:p>
      <w:pPr>
        <w:spacing w:after="0" w:line="162"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During 2022, the Company’s board of directors declared total 2022 dividends and distributions in the amount of $0.35 per share of common stock/OP Unit, or an aggregate of $19.4 million in cash.</w:t>
      </w:r>
    </w:p>
    <w:p>
      <w:pPr>
        <w:spacing w:after="0" w:line="162"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To maintain its qualification as a REIT for federal income tax purposes, the Company must distribute at least 90% of its REIT taxable income each year. The Company’s dividend policy provides that the Company will make minimum dividends of 100% of REIT taxable income annually, subject to the Company’s board of directors’ future determinations as to the amount of any distributions and the timing thereof. The dividend policy may be altered at any time by the Company’s board of directors.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December 18, 2008, following approval by the Human Resources Committee and the Board of Directors, the Company and the Company’s Chairman of the Board of Directors and then-Chief Executive Officer (“Executive”) entered into an amendment to Executive’s employment agreement. The amendment provided Executive with the option of making an irrevocable election to invest his existing Supplemental Employee Retirement Plan (“SERP”) benefit in Company common stock, which election Executive subsequently made. The investment was made by a rabbi trust in which, during</w:t>
      </w:r>
    </w:p>
    <w:p>
      <w:pPr>
        <w:spacing w:after="0" w:line="3" w:lineRule="exact"/>
        <w:rPr>
          <w:sz w:val="20"/>
          <w:szCs w:val="20"/>
          <w:color w:val="auto"/>
        </w:rPr>
      </w:pPr>
    </w:p>
    <w:p>
      <w:pPr>
        <w:ind w:left="60" w:right="119"/>
        <w:spacing w:after="0" w:line="251" w:lineRule="auto"/>
        <w:rPr>
          <w:sz w:val="20"/>
          <w:szCs w:val="20"/>
          <w:color w:val="auto"/>
        </w:rPr>
      </w:pPr>
      <w:r>
        <w:rPr>
          <w:rFonts w:ascii="Times New Roman" w:cs="Times New Roman" w:eastAsia="Times New Roman" w:hAnsi="Times New Roman"/>
          <w:sz w:val="18"/>
          <w:szCs w:val="18"/>
          <w:color w:val="auto"/>
        </w:rPr>
        <w:t>January 2009, the independent trustee of the rabbi trust purchased shares of Company common stock in the open market in compliance with applicable law. Executive is only entitled to a distribution of the Company common stock held by the rabbi trust in satisfaction of his SERP benefit. As such, the Company believes that the ownership of shares of common stock by the rabbi trust and the distribution of those shares to Executive in satisfaction of his SERP benefit meets the requirements necessary so that the Company will not recognize any increase or decrease in expense as a result of subsequent changes in the value of the Company common stock, and the purchased shares are treated as treasury stock and the SERP benefit is included in additional paid-in capital in the Company’s accompanying consolidated financial statements. The increase in treasury stock for a particular year represents dividends received on shares of Company common stock held by the rabbi trust.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consisted of the following (amounts in thousands):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(26,623)</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(3,509)</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(27,819)</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(57,951)</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12,269</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16,602</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w:t>
            </w: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10,204</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18,456</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28,871</w:t>
            </w: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(16,419)</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(29,080)</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Gains (losses) arising during period</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14,579</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19,548</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18,157</w:t>
            </w: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(18,021)</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10,185</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(10,923)</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5,098</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(12,177)</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(12,276)</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(11,507)</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(8,464)</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(15,187)</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 has elected to be taxed as a REIT effective January 1, 2013, pursuant to the U.S. Internal Revenue Code of 1986, as amended. As a REIT, the Company generally will not be subject to federal corporate income taxes on ordinary taxable income and capital gains income from real estate investments that it distributes to its stockholders. The Company pays federal and state corporate income taxes on earnings of its taxable REIT subsidiaries (“TRSs”).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income tax (provision) benefit for continuing operations consists of the following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(21,936)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current provision</w:t>
            </w:r>
          </w:p>
        </w:tc>
        <w:tc>
          <w:tcPr>
            <w:tcW w:w="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09"/>
        </w:trPr>
        <w:tc>
          <w:tcPr>
            <w:tcW w:w="20" w:type="dxa"/>
            <w:vAlign w:val="bottom"/>
          </w:tcPr>
          <w:p>
            <w:pPr>
              <w:spacing w:after="0"/>
              <w:rPr>
                <w:sz w:val="18"/>
                <w:szCs w:val="18"/>
                <w:color w:val="auto"/>
              </w:rPr>
            </w:pPr>
          </w:p>
        </w:tc>
        <w:tc>
          <w:tcPr>
            <w:tcW w:w="3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95,825</w:t>
            </w:r>
          </w:p>
        </w:tc>
        <w:tc>
          <w:tcPr>
            <w:tcW w:w="1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w:t>
            </w: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93,702</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(38,775)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evaluates its deferred tax assets each reporting period to determine if it is more likely than not that those assets will be realized or if a valuation allowance is needed. In the fourth quarter of 2023, due to continued improvement in the Company’s financial results coming out of the COVID-19 pandemic and the projected future taxable income of its TRSs, the Company determined that the release of a significant portion of its federal and state valuation allowance was appropriate. This release of valuation allowance of $112.5 million was the primary factor in the income tax benefit for 2023.</w:t>
      </w:r>
    </w:p>
    <w:p>
      <w:pPr>
        <w:spacing w:after="0" w:line="187" w:lineRule="exact"/>
        <w:rPr>
          <w:sz w:val="20"/>
          <w:szCs w:val="20"/>
          <w:color w:val="auto"/>
        </w:rPr>
      </w:pPr>
    </w:p>
    <w:p>
      <w:pPr>
        <w:ind w:left="60" w:right="279"/>
        <w:spacing w:after="0" w:line="289" w:lineRule="auto"/>
        <w:rPr>
          <w:sz w:val="20"/>
          <w:szCs w:val="20"/>
          <w:color w:val="auto"/>
        </w:rPr>
      </w:pPr>
      <w:r>
        <w:rPr>
          <w:rFonts w:ascii="Times New Roman" w:cs="Times New Roman" w:eastAsia="Times New Roman" w:hAnsi="Times New Roman"/>
          <w:sz w:val="17"/>
          <w:szCs w:val="17"/>
          <w:color w:val="auto"/>
        </w:rPr>
        <w:t>The Company is required to distribute at least 90% of its annual taxable income, excluding net capital gains, to its stockholders in order to maintain its qualification as a REIT. The taxability of distributions to stockholders is determined by the Company’s earnings and profits, which differs from net income (loss) reported for financial reporting purposes.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made no cash distributions in 2021. The estimated taxability of cash distributions to common stockholders is shown in the table below (per common share) (unaudited).</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5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income</w:t>
            </w:r>
          </w:p>
        </w:tc>
        <w:tc>
          <w:tcPr>
            <w:tcW w:w="20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$ 3.75</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$ 0.28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Capital gains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capital</w:t>
            </w:r>
          </w:p>
        </w:tc>
        <w:tc>
          <w:tcPr>
            <w:tcW w:w="2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$ 3.85</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$ 0.35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312" w:lineRule="auto"/>
        <w:rPr>
          <w:sz w:val="20"/>
          <w:szCs w:val="20"/>
          <w:color w:val="auto"/>
        </w:rPr>
      </w:pPr>
      <w:r>
        <w:rPr>
          <w:rFonts w:ascii="Times New Roman" w:cs="Times New Roman" w:eastAsia="Times New Roman" w:hAnsi="Times New Roman"/>
          <w:sz w:val="17"/>
          <w:szCs w:val="17"/>
          <w:color w:val="auto"/>
        </w:rPr>
        <w:t>The differences between the income tax (provision) benefit calculated at the statutory U.S. federal income tax rate of 21% and the actual income tax (provision) benefit recorded for continuing operations are as follows (amounts in thousands):</w:t>
      </w:r>
    </w:p>
    <w:p>
      <w:pPr>
        <w:spacing w:after="0" w:line="14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(provision) benefit</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(52,101)</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(36,482)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39,868</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nontaxable income of the REIT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(16,379)</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noncontrolling interest in consolidated joint venture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State tax (provision) benefit (net of federal taxes)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share-based compensation adjustment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federal valuation allowance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(25,698)</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Change in state valuation allowance (net of federal taxes)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0"/>
        </w:trPr>
        <w:tc>
          <w:tcPr>
            <w:tcW w:w="5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93,702</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(38,775)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w:t>
            </w:r>
          </w:p>
        </w:tc>
      </w:tr>
      <w:tr>
        <w:trPr>
          <w:trHeight w:val="20"/>
        </w:trPr>
        <w:tc>
          <w:tcPr>
            <w:tcW w:w="5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at December 31 are as follows (amounts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reserves and accruals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23,095</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Pension plans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w:t>
            </w: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management rights proceeds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42,875</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97,832</w:t>
            </w: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credits and other carryforwards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r>
      <w:tr>
        <w:trPr>
          <w:trHeight w:val="210"/>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179,521</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(118,015)</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178,461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61,506</w:t>
            </w:r>
          </w:p>
        </w:tc>
      </w:tr>
      <w:tr>
        <w:trPr>
          <w:trHeight w:val="209"/>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67,744</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74,421</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TRS federal net operating loss carryforwards at December 31, 2023 totaled $399.7 million, resulting in a deferred tax asset of $83.9 million, and do not expire. All available federal operating loss carryforwards at the REIT were used to reduce taxable REIT income subject to distribution in 2022. The REIT has no federal net operating losses as of December 31, 2023. The use of certain federal net operating losses, credits and other deferred tax assets is limited to the Company’s future taxable earnings. As a result, a valuation allowance has been provided for certain federal deferred tax assets. The valuation allowance related to federal deferred tax assets increased (decreased) $(87.3) million, $(1.6) million and $23.0 million in 2023, 2022 and 2021,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State net operating loss carryforwards at December 31, 2023 totaled $546.8 million, resulting in a deferred tax benefit of $18.1 million, which will expire between 2024 and 2043. The use of certain state net operating losses, credits and other state deferred tax assets is limited to the future taxable earnings of separate legal entities. As a result, a valuation allowance has been provided for certain state deferred tax assets, including loss carryforwards. The valuation allowance related to state deferred tax assets increased (decreased) $(25.1) million, $(5.8) million and $4.7 million in 2023, 2022 and 2021, respectively.</w:t>
      </w:r>
    </w:p>
    <w:p>
      <w:pPr>
        <w:spacing w:after="0" w:line="18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has concluded IRS examinations of the TRS through the 2015 tax year. For federal income tax purposes and substantially all the states with which the Company has nexus, the statute of limitations has expired through 2019. However, the Company has federal and state net operating loss carryforwards from closed years, which could be adjusted upon audit. The Company is routinely subject to other various jurisdictional income tax audits; however, there were no outstanding state or local audits at December 31, 2023. In addition, the Company has evaluated the effects of the Inflation Reduction Act signed into law in 2022 and believes that it has no material effect on the Company’s financial statements.</w:t>
      </w:r>
    </w:p>
    <w:p>
      <w:pPr>
        <w:spacing w:after="0" w:line="18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At December 31, 2023 and 2022, the Company had no accruals for unrecognized tax benefits. The Company recognizes interest and penalties related to uncertain tax positions, if any, in income tax expense. At December 31, 2023 and 2022, the Company has accrued no interest or penalties related to uncertain tax positions.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In April 2019, a subsidiary of the Company acquired a 50% equity interest in Circle and has made capital contributions of $41.5 million through December 31, 2023. The Company accounted for its investment in this joint venture under the equity method of accounting. In September 2023, Company management determined to pivot from television network ownership in favor of a distribution approach. Therefore, the Company and its joint venture partner agreed to wind down the joint venture, with operations ceasing December 31, 2023. As a result, the Company incurred a loss related to Circle of approximately $10.5 million, which is included in loss from unconsolidated joint ventures in the accompanying consolidated statement of operations for 2023. Included in this loss is approximately $3.5 million, which is the Company’s portion of the remaining net obligations of the joint venture, which the Company has committed to fund.</w:t>
      </w:r>
    </w:p>
    <w:p>
      <w:pPr>
        <w:spacing w:after="0" w:line="19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 entered into a tax protection agreement in connection with the December 31, 2018 purchase of additional interests in the Gaylord Rockies joint venture, which will generally require the Company to, among other things, indemnify certain minority partners that were members of the Gaylord Rockies joint venture for 50% of any income taxes incurred by them as a result of a direct or indirect sale or other disposition of the Gaylord Rockies joint venture, within seven years of closing, and for 100% of any income taxes incurred by them as a result of the failure to comply with certain obligations related to nonrecourse liability allocations and debt guarantee opportunities for the purpose of protecting such parties’ tax bases.</w:t>
      </w:r>
    </w:p>
    <w:p>
      <w:pPr>
        <w:spacing w:after="0" w:line="189"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In connection with the purchase of Block 21, the Company provided (i) limited guarantees to the Block 21 lenders under the Block 21 CMBS Loan via a guaranty agreement, a guaranty of completion agreement and an environmental indemnity, and (ii) a letter of credit drawable by the Block 21 lenders in the event of a default of the Block 21 CMBS Loan.</w:t>
      </w:r>
    </w:p>
    <w:p>
      <w:pPr>
        <w:spacing w:after="0" w:line="15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is self-insured up to a stop loss for certain losses relating to workers’ compensation claims and general liability claims through September 30, 2012, and for certain losses related to employee medical benefits through December 31, 2012. The Company’s insurance program subsequently transitioned to a low or no deductible program. As of January 1, 2022, the Company again became self-insured for certain losses related to employee medical benefits. The Company has purchased stop-loss coverage in order to limit its exposure to any significant levels of claims relating to workers’ compensation, employee medical benefits and general liability for which it is self-insured.</w:t>
      </w:r>
    </w:p>
    <w:p>
      <w:pPr>
        <w:spacing w:after="0" w:line="187"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after a change of control.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 Company, in the ordinary course of business, is involved in certain legal actions and claims on a variety of other matters. It is the opinion of management that such legal actions will not have a material effect on the financial statements of the Company.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80"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The investments held by the Company in connection with its deferred compensation plan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83"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these valuation techniques in all periods presented and believes it has obtained the most accurate information available for the types of instruments it holds.</w:t>
      </w:r>
    </w:p>
    <w:p>
      <w:pPr>
        <w:spacing w:after="0" w:line="162"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that are required to be measured at fair value on a recurring basis at December 31, were as follows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 w:type="dxa"/>
            <w:vAlign w:val="bottom"/>
          </w:tcPr>
          <w:p>
            <w:pPr>
              <w:spacing w:after="0"/>
              <w:rPr>
                <w:sz w:val="18"/>
                <w:szCs w:val="18"/>
                <w:color w:val="auto"/>
              </w:rPr>
            </w:pPr>
          </w:p>
        </w:tc>
        <w:tc>
          <w:tcPr>
            <w:tcW w:w="2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40" w:type="dxa"/>
            <w:vAlign w:val="bottom"/>
            <w:gridSpan w:val="4"/>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1120" w:type="dxa"/>
            <w:vAlign w:val="bottom"/>
            <w:gridSpan w:val="5"/>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Pr>
          <w:p>
            <w:pPr>
              <w:spacing w:after="0"/>
              <w:rPr>
                <w:sz w:val="18"/>
                <w:szCs w:val="18"/>
                <w:color w:val="auto"/>
              </w:rPr>
            </w:pPr>
          </w:p>
        </w:tc>
        <w:tc>
          <w:tcPr>
            <w:tcW w:w="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40" w:type="dxa"/>
            <w:vAlign w:val="bottom"/>
          </w:tcPr>
          <w:p>
            <w:pPr>
              <w:spacing w:after="0"/>
              <w:rPr>
                <w:sz w:val="18"/>
                <w:szCs w:val="18"/>
                <w:color w:val="auto"/>
              </w:rPr>
            </w:pPr>
          </w:p>
        </w:tc>
        <w:tc>
          <w:tcPr>
            <w:tcW w:w="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 remainder of the assets and liabilities held by the Company at December 31, 2023 are not required to be measured at fair value, and financial assets and liabilities approximate fair value, except as described below.</w:t>
      </w:r>
    </w:p>
    <w:p>
      <w:pPr>
        <w:spacing w:after="0" w:line="162"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As discussed in Note 4, “Debt,” the Company has outstanding $400.0 million in aggregate principal amount of the $400 Million 7.25% Senior Notes. The carrying value of these notes at December 31, 2023 was $393.8 million, net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unamortized DFCs. The fair value of these notes, based upon quoted market prices (Level 1), was $417.8 million at December 31, 2023.</w:t>
      </w:r>
    </w:p>
    <w:p>
      <w:pPr>
        <w:spacing w:after="0" w:line="162"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As discussed in Note 4, “Debt,” the Company has outstanding $600.0 million in aggregate principal amount of the $600 Million 4.50% Senior Notes. The carrying value of these notes at December 31, 2023 was $593.0 million, net of unamortized DFCs. The fair value of these notes, based upon quoted market prices (Level 1), was $560.6 million at December 31, 2023.</w:t>
      </w:r>
    </w:p>
    <w:p>
      <w:pPr>
        <w:spacing w:after="0" w:line="180"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As discussed in Note 4, “Debt,” the Company has outstanding $700.0 million in aggregate principal amount of the $700 Million 4.75% Senior Notes. The carrying value of these notes at December 31, 2023 was $694.9 million, net of unamortized DFCs and premiums. The fair value of these notes, based upon quoted market prices (Level 1), was $680.0 million at December 31, 2023.</w:t>
      </w:r>
    </w:p>
    <w:p>
      <w:pPr>
        <w:spacing w:after="0" w:line="180"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See the “JW Marriott Hill Country Transaction” and the “Block 21 Transaction” sections of Note 1 for additional disclosures related to the fair value measurements used in accounting for the purchase of JW Marriott Hill Country and Block 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Financial Reporting By Business Segments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continuing operations are organized into the following principal business segments:</w:t>
      </w:r>
    </w:p>
    <w:p>
      <w:pPr>
        <w:spacing w:after="0" w:line="223" w:lineRule="exact"/>
        <w:rPr>
          <w:sz w:val="20"/>
          <w:szCs w:val="20"/>
          <w:color w:val="auto"/>
        </w:rPr>
      </w:pPr>
    </w:p>
    <w:p>
      <w:pPr>
        <w:ind w:left="720" w:right="319" w:hanging="319"/>
        <w:spacing w:after="0" w:line="284"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the Gaylord Hotels properties, JW Marriott Hill Country (effective June 30,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Inn at Opryland and the AC Hotel;</w:t>
      </w:r>
    </w:p>
    <w:p>
      <w:pPr>
        <w:spacing w:after="0" w:line="158" w:lineRule="exact"/>
        <w:rPr>
          <w:rFonts w:ascii="Times New Roman" w:cs="Times New Roman" w:eastAsia="Times New Roman" w:hAnsi="Times New Roman"/>
          <w:sz w:val="18"/>
          <w:szCs w:val="18"/>
          <w:color w:val="auto"/>
        </w:rPr>
      </w:pPr>
    </w:p>
    <w:p>
      <w:pPr>
        <w:ind w:left="720" w:right="539" w:hanging="319"/>
        <w:spacing w:after="0" w:line="267"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which includes the OEG business, specifically, the Grand Ole Opry, the Ryman Auditorium,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WSM-AM, Ole Red, Block 21, the Company’s investment in Circle, and the Company’s Nashville-based attractions; and</w:t>
      </w:r>
    </w:p>
    <w:p>
      <w:pPr>
        <w:spacing w:after="0" w:line="17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the Company’s corporate expenses.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following information (amounts in thousands) is derived directly from the segments’ internal financial reports used for corporate management purposes.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3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1,833,478</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1,537,974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2,158,136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1,805,969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186,749</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189,375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211,227</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421,264</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310,924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(43,803)</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Preopening costs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on sale of assets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(211,370)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(148,406)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from unconsolidated joint ventures (1)</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(10,967)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248,098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173,723</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(189,844)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 Loss from unconsolidated joint ventures relates to the Entertainment segment.</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6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$ 4,039,804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$ 3,314,444</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610,663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502,913</w:t>
            </w:r>
          </w:p>
        </w:tc>
      </w:tr>
      <w:tr>
        <w:trPr>
          <w:trHeight w:val="216"/>
        </w:trPr>
        <w:tc>
          <w:tcPr>
            <w:tcW w:w="20" w:type="dxa"/>
            <w:vAlign w:val="bottom"/>
          </w:tcPr>
          <w:p>
            <w:pPr>
              <w:spacing w:after="0"/>
              <w:rPr>
                <w:sz w:val="18"/>
                <w:szCs w:val="18"/>
                <w:color w:val="auto"/>
              </w:rPr>
            </w:pPr>
          </w:p>
        </w:tc>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538,070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223,266</w:t>
            </w:r>
          </w:p>
        </w:tc>
      </w:tr>
      <w:tr>
        <w:trPr>
          <w:trHeight w:val="209"/>
        </w:trPr>
        <w:tc>
          <w:tcPr>
            <w:tcW w:w="20" w:type="dxa"/>
            <w:vAlign w:val="bottom"/>
          </w:tcPr>
          <w:p>
            <w:pPr>
              <w:spacing w:after="0"/>
              <w:rPr>
                <w:sz w:val="18"/>
                <w:szCs w:val="18"/>
                <w:color w:val="auto"/>
              </w:rPr>
            </w:pPr>
          </w:p>
        </w:tc>
        <w:tc>
          <w:tcPr>
            <w:tcW w:w="33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$ 5,188,537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$ 4,040,623</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81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capital expenditures by segment for the years ended December 31 (amounts in thousands):</w:t>
      </w:r>
    </w:p>
    <w:p>
      <w:pPr>
        <w:spacing w:after="0" w:line="169"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20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7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33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$ 145,805</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$ 70,406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$ 73,199</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60,428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18,767</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3,560</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09"/>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3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$ 206,776</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$ 89,520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$ 77,426</w:t>
            </w:r>
          </w:p>
        </w:tc>
      </w:tr>
      <w:tr>
        <w:trPr>
          <w:trHeight w:val="20"/>
        </w:trPr>
        <w:tc>
          <w:tcPr>
            <w:tcW w:w="3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760"/>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SCHEDULE II – VALUATION AND QUALIFYING ACCOUNTS (Amounts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0" w:type="dxa"/>
            <w:vAlign w:val="bottom"/>
          </w:tcPr>
          <w:p>
            <w:pPr>
              <w:spacing w:after="0"/>
              <w:rPr>
                <w:sz w:val="13"/>
                <w:szCs w:val="13"/>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Additions Charged to</w:t>
            </w:r>
          </w:p>
        </w:tc>
        <w:tc>
          <w:tcPr>
            <w:tcW w:w="12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 (Deductions)</w:t>
            </w:r>
          </w:p>
        </w:tc>
        <w:tc>
          <w:tcPr>
            <w:tcW w:w="80" w:type="dxa"/>
            <w:vAlign w:val="bottom"/>
          </w:tcPr>
          <w:p>
            <w:pPr>
              <w:spacing w:after="0"/>
              <w:rPr>
                <w:sz w:val="13"/>
                <w:szCs w:val="13"/>
                <w:color w:val="auto"/>
              </w:rPr>
            </w:pPr>
          </w:p>
        </w:tc>
        <w:tc>
          <w:tcPr>
            <w:tcW w:w="82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Expenses/Other</w:t>
            </w:r>
          </w:p>
        </w:tc>
        <w:tc>
          <w:tcPr>
            <w:tcW w:w="12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8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4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80" w:type="dxa"/>
            <w:vAlign w:val="bottom"/>
          </w:tcPr>
          <w:p>
            <w:pPr>
              <w:spacing w:after="0"/>
              <w:rPr>
                <w:sz w:val="15"/>
                <w:szCs w:val="15"/>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w w:val="98"/>
              </w:rPr>
              <w:t>End of Year</w:t>
            </w:r>
          </w:p>
        </w:tc>
        <w:tc>
          <w:tcPr>
            <w:tcW w:w="0" w:type="dxa"/>
            <w:vAlign w:val="bottom"/>
          </w:tcPr>
          <w:p>
            <w:pPr>
              <w:spacing w:after="0"/>
              <w:rPr>
                <w:sz w:val="1"/>
                <w:szCs w:val="1"/>
                <w:color w:val="auto"/>
              </w:rPr>
            </w:pPr>
          </w:p>
        </w:tc>
      </w:tr>
      <w:tr>
        <w:trPr>
          <w:trHeight w:val="196"/>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loss reserve on notes receivable:</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0" w:type="dxa"/>
            <w:vAlign w:val="bottom"/>
          </w:tcPr>
          <w:p>
            <w:pPr>
              <w:spacing w:after="0"/>
              <w:rPr>
                <w:sz w:val="1"/>
                <w:szCs w:val="1"/>
                <w:color w:val="auto"/>
              </w:rPr>
            </w:pPr>
          </w:p>
        </w:tc>
      </w:tr>
      <w:tr>
        <w:trPr>
          <w:trHeight w:val="20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Year ended December 31, 2021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118,015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(112,458)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0" w:type="dxa"/>
            <w:vAlign w:val="bottom"/>
          </w:tcPr>
          <w:p>
            <w:pPr>
              <w:spacing w:after="0"/>
              <w:rPr>
                <w:sz w:val="1"/>
                <w:szCs w:val="1"/>
                <w:color w:val="auto"/>
              </w:rPr>
            </w:pPr>
          </w:p>
        </w:tc>
      </w:tr>
      <w:tr>
        <w:trPr>
          <w:trHeight w:val="20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125,387</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(7,372)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118,015</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2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III – REAL ESTATE AND ACCUMULATED DEPRECIATION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Costs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8"/>
              </w:rPr>
              <w:t>Initial Cost to Company</w:t>
            </w: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Capitalized</w:t>
            </w:r>
          </w:p>
        </w:tc>
        <w:tc>
          <w:tcPr>
            <w:tcW w:w="1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10"/>
          </w:tcPr>
          <w:p>
            <w:pPr>
              <w:jc w:val="right"/>
              <w:ind w:right="382"/>
              <w:spacing w:after="0"/>
              <w:rPr>
                <w:sz w:val="20"/>
                <w:szCs w:val="20"/>
                <w:color w:val="auto"/>
              </w:rPr>
            </w:pPr>
            <w:r>
              <w:rPr>
                <w:rFonts w:ascii="Times New Roman" w:cs="Times New Roman" w:eastAsia="Times New Roman" w:hAnsi="Times New Roman"/>
                <w:sz w:val="13"/>
                <w:szCs w:val="13"/>
                <w:b w:val="1"/>
                <w:bCs w:val="1"/>
                <w:color w:val="auto"/>
                <w:w w:val="94"/>
              </w:rPr>
              <w:t>Gross Amount at End of Year</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Date Acq/</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Depr Life</w:t>
            </w: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Encmbr</w:t>
            </w:r>
          </w:p>
        </w:tc>
        <w:tc>
          <w:tcPr>
            <w:tcW w:w="100" w:type="dxa"/>
            <w:vAlign w:val="bottom"/>
          </w:tcPr>
          <w:p>
            <w:pPr>
              <w:spacing w:after="0"/>
              <w:rPr>
                <w:sz w:val="11"/>
                <w:szCs w:val="11"/>
                <w:color w:val="auto"/>
              </w:rPr>
            </w:pPr>
          </w:p>
        </w:tc>
        <w:tc>
          <w:tcPr>
            <w:tcW w:w="70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Land</w:t>
            </w:r>
          </w:p>
        </w:tc>
        <w:tc>
          <w:tcPr>
            <w:tcW w:w="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Bldgs &amp; Impr</w:t>
            </w:r>
          </w:p>
        </w:tc>
        <w:tc>
          <w:tcPr>
            <w:tcW w:w="18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3"/>
              </w:rPr>
              <w:t>Subs to Acq</w:t>
            </w:r>
          </w:p>
        </w:tc>
        <w:tc>
          <w:tcPr>
            <w:tcW w:w="160" w:type="dxa"/>
            <w:vAlign w:val="bottom"/>
          </w:tcPr>
          <w:p>
            <w:pPr>
              <w:spacing w:after="0"/>
              <w:rPr>
                <w:sz w:val="11"/>
                <w:szCs w:val="11"/>
                <w:color w:val="auto"/>
              </w:rPr>
            </w:pPr>
          </w:p>
        </w:tc>
        <w:tc>
          <w:tcPr>
            <w:tcW w:w="640" w:type="dxa"/>
            <w:vAlign w:val="bottom"/>
            <w:gridSpan w:val="2"/>
          </w:tcPr>
          <w:p>
            <w:pPr>
              <w:jc w:val="right"/>
              <w:ind w:right="99"/>
              <w:spacing w:after="0" w:line="129" w:lineRule="exact"/>
              <w:rPr>
                <w:sz w:val="20"/>
                <w:szCs w:val="20"/>
                <w:color w:val="auto"/>
              </w:rPr>
            </w:pPr>
            <w:r>
              <w:rPr>
                <w:rFonts w:ascii="Times New Roman" w:cs="Times New Roman" w:eastAsia="Times New Roman" w:hAnsi="Times New Roman"/>
                <w:sz w:val="13"/>
                <w:szCs w:val="13"/>
                <w:b w:val="1"/>
                <w:bCs w:val="1"/>
                <w:color w:val="auto"/>
              </w:rPr>
              <w:t>Land</w:t>
            </w:r>
          </w:p>
        </w:tc>
        <w:tc>
          <w:tcPr>
            <w:tcW w:w="160" w:type="dxa"/>
            <w:vAlign w:val="bottom"/>
          </w:tcPr>
          <w:p>
            <w:pPr>
              <w:spacing w:after="0"/>
              <w:rPr>
                <w:sz w:val="11"/>
                <w:szCs w:val="11"/>
                <w:color w:val="auto"/>
              </w:rPr>
            </w:pPr>
          </w:p>
        </w:tc>
        <w:tc>
          <w:tcPr>
            <w:tcW w:w="1040" w:type="dxa"/>
            <w:vAlign w:val="bottom"/>
            <w:gridSpan w:val="7"/>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Bldgs &amp; Impr</w:t>
            </w:r>
          </w:p>
        </w:tc>
        <w:tc>
          <w:tcPr>
            <w:tcW w:w="660" w:type="dxa"/>
            <w:vAlign w:val="bottom"/>
          </w:tcPr>
          <w:p>
            <w:pPr>
              <w:jc w:val="right"/>
              <w:ind w:right="82"/>
              <w:spacing w:after="0" w:line="129" w:lineRule="exact"/>
              <w:rPr>
                <w:sz w:val="20"/>
                <w:szCs w:val="20"/>
                <w:color w:val="auto"/>
              </w:rPr>
            </w:pPr>
            <w:r>
              <w:rPr>
                <w:rFonts w:ascii="Times New Roman" w:cs="Times New Roman" w:eastAsia="Times New Roman" w:hAnsi="Times New Roman"/>
                <w:sz w:val="13"/>
                <w:szCs w:val="13"/>
                <w:b w:val="1"/>
                <w:bCs w:val="1"/>
                <w:color w:val="auto"/>
                <w:w w:val="99"/>
              </w:rPr>
              <w:t>Total (3)</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277"/>
              <w:spacing w:after="0" w:line="129" w:lineRule="exact"/>
              <w:rPr>
                <w:sz w:val="20"/>
                <w:szCs w:val="20"/>
                <w:color w:val="auto"/>
              </w:rPr>
            </w:pPr>
            <w:r>
              <w:rPr>
                <w:rFonts w:ascii="Times New Roman" w:cs="Times New Roman" w:eastAsia="Times New Roman" w:hAnsi="Times New Roman"/>
                <w:sz w:val="13"/>
                <w:szCs w:val="13"/>
                <w:b w:val="1"/>
                <w:bCs w:val="1"/>
                <w:color w:val="auto"/>
                <w:w w:val="95"/>
              </w:rPr>
              <w:t>Acc Depr</w:t>
            </w:r>
          </w:p>
        </w:tc>
        <w:tc>
          <w:tcPr>
            <w:tcW w:w="6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3"/>
              </w:rPr>
              <w:t>Constr</w:t>
            </w:r>
          </w:p>
        </w:tc>
        <w:tc>
          <w:tcPr>
            <w:tcW w:w="5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(yrs)</w:t>
            </w:r>
          </w:p>
        </w:tc>
        <w:tc>
          <w:tcPr>
            <w:tcW w:w="0" w:type="dxa"/>
            <w:vAlign w:val="bottom"/>
          </w:tcPr>
          <w:p>
            <w:pPr>
              <w:spacing w:after="0"/>
              <w:rPr>
                <w:sz w:val="1"/>
                <w:szCs w:val="1"/>
                <w:color w:val="auto"/>
              </w:rPr>
            </w:pPr>
          </w:p>
        </w:tc>
      </w:tr>
      <w:tr>
        <w:trPr>
          <w:trHeight w:val="142"/>
        </w:trPr>
        <w:tc>
          <w:tcPr>
            <w:tcW w:w="11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Gaylord Opryland</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11,482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77,125</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703,482</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72,677</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719,412</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792,089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455,602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1983</w:t>
            </w:r>
          </w:p>
        </w:tc>
        <w:tc>
          <w:tcPr>
            <w:tcW w:w="1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Gaylord Palms</w:t>
            </w:r>
          </w:p>
        </w:tc>
        <w:tc>
          <w:tcPr>
            <w:tcW w:w="7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21,564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314,661</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212,454</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39,341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509,338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548,679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228,937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2002</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48"/>
        </w:trPr>
        <w:tc>
          <w:tcPr>
            <w:tcW w:w="1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Gaylord Texan</w:t>
            </w:r>
          </w:p>
        </w:tc>
        <w:tc>
          <w:tcPr>
            <w:tcW w:w="7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21,235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388,030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191,935</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49,962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551,238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601,200</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249,361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2004</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Gaylord National</w:t>
            </w:r>
          </w:p>
        </w:tc>
        <w:tc>
          <w:tcPr>
            <w:tcW w:w="7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43,212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840,261</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70,194</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47,609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906,058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953,667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345,160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2008</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48"/>
        </w:trPr>
        <w:tc>
          <w:tcPr>
            <w:tcW w:w="1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Gaylord Rockies</w:t>
            </w:r>
          </w:p>
        </w:tc>
        <w:tc>
          <w:tcPr>
            <w:tcW w:w="7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53,374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760,898</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30,913</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68,858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776,327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845,185</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116,888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2018</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26"/>
        </w:trPr>
        <w:tc>
          <w:tcPr>
            <w:tcW w:w="1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JW Marriott Hill</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139,196</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558,584</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10,273</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149,469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558,584</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708,053</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8,145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60" w:type="dxa"/>
            <w:vAlign w:val="bottom"/>
          </w:tcPr>
          <w:p>
            <w:pPr>
              <w:spacing w:after="0"/>
              <w:rPr>
                <w:sz w:val="10"/>
                <w:szCs w:val="10"/>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Country</w:t>
            </w:r>
          </w:p>
        </w:tc>
        <w:tc>
          <w:tcPr>
            <w:tcW w:w="7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Inn at Opryland</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2,675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7,248</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21,324</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27,900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31,247</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1998</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 Hotel</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9,079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17,340</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4,877</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9,101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22,195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31,296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2014</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48"/>
        </w:trPr>
        <w:tc>
          <w:tcPr>
            <w:tcW w:w="1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Miscellaneous</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43,337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6,717</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8,585</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53,434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58,639</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345,154</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2,970,864</w:t>
            </w:r>
          </w:p>
        </w:tc>
        <w:tc>
          <w:tcPr>
            <w:tcW w:w="1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$ 1,254,037</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$ 493,798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4,076,257</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$ 4,570,055</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1,436,672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real estate: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gridSpan w:val="6"/>
          </w:tcPr>
          <w:p>
            <w:pPr>
              <w:jc w:val="right"/>
              <w:ind w:right="3"/>
              <w:spacing w:after="0"/>
              <w:rPr>
                <w:sz w:val="20"/>
                <w:szCs w:val="20"/>
                <w:color w:val="auto"/>
              </w:rPr>
            </w:pPr>
            <w:r>
              <w:rPr>
                <w:rFonts w:ascii="Times New Roman" w:cs="Times New Roman" w:eastAsia="Times New Roman" w:hAnsi="Times New Roman"/>
                <w:sz w:val="18"/>
                <w:szCs w:val="18"/>
                <w:color w:val="auto"/>
              </w:rPr>
              <w:t>$ 3,810,923</w:t>
            </w:r>
          </w:p>
        </w:tc>
        <w:tc>
          <w:tcPr>
            <w:tcW w:w="160" w:type="dxa"/>
            <w:vAlign w:val="bottom"/>
          </w:tcPr>
          <w:p>
            <w:pPr>
              <w:spacing w:after="0"/>
              <w:rPr>
                <w:sz w:val="18"/>
                <w:szCs w:val="18"/>
                <w:color w:val="auto"/>
              </w:rPr>
            </w:pPr>
          </w:p>
        </w:tc>
        <w:tc>
          <w:tcPr>
            <w:tcW w:w="960" w:type="dxa"/>
            <w:vAlign w:val="bottom"/>
            <w:gridSpan w:val="5"/>
          </w:tcPr>
          <w:p>
            <w:pPr>
              <w:jc w:val="right"/>
              <w:ind w:right="2"/>
              <w:spacing w:after="0"/>
              <w:rPr>
                <w:sz w:val="20"/>
                <w:szCs w:val="20"/>
                <w:color w:val="auto"/>
              </w:rPr>
            </w:pPr>
            <w:r>
              <w:rPr>
                <w:rFonts w:ascii="Times New Roman" w:cs="Times New Roman" w:eastAsia="Times New Roman" w:hAnsi="Times New Roman"/>
                <w:sz w:val="18"/>
                <w:szCs w:val="18"/>
                <w:color w:val="auto"/>
              </w:rPr>
              <w:t>$ 3,792,011</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3,642,007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acquisitions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697,780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Improvements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3"/>
              <w:spacing w:after="0"/>
              <w:rPr>
                <w:sz w:val="20"/>
                <w:szCs w:val="20"/>
                <w:color w:val="auto"/>
              </w:rPr>
            </w:pPr>
            <w:r>
              <w:rPr>
                <w:rFonts w:ascii="Times New Roman" w:cs="Times New Roman" w:eastAsia="Times New Roman" w:hAnsi="Times New Roman"/>
                <w:sz w:val="18"/>
                <w:szCs w:val="18"/>
                <w:color w:val="auto"/>
              </w:rPr>
              <w:t>61,440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23,034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146,030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Disposals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Other deductions (4)</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(16,195)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Borders>
              <w:top w:val="single" w:sz="8" w:color="CCEEFF"/>
              <w:bottom w:val="single" w:sz="8" w:color="CCEEFF"/>
            </w:tcBorders>
            <w:gridSpan w:val="8"/>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end of year</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4"/>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w w:val="98"/>
              </w:rPr>
              <w:t>$ 4,570,055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8"/>
              </w:rPr>
              <w:t>$ 3,810,923</w:t>
            </w:r>
          </w:p>
        </w:tc>
        <w:tc>
          <w:tcPr>
            <w:tcW w:w="20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3,792,011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2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gridSpan w:val="6"/>
          </w:tcPr>
          <w:p>
            <w:pPr>
              <w:jc w:val="right"/>
              <w:ind w:right="3"/>
              <w:spacing w:after="0"/>
              <w:rPr>
                <w:sz w:val="20"/>
                <w:szCs w:val="20"/>
                <w:color w:val="auto"/>
              </w:rPr>
            </w:pPr>
            <w:r>
              <w:rPr>
                <w:rFonts w:ascii="Times New Roman" w:cs="Times New Roman" w:eastAsia="Times New Roman" w:hAnsi="Times New Roman"/>
                <w:sz w:val="18"/>
                <w:szCs w:val="18"/>
                <w:color w:val="auto"/>
              </w:rPr>
              <w:t>$ 1,327,833</w:t>
            </w:r>
          </w:p>
        </w:tc>
        <w:tc>
          <w:tcPr>
            <w:tcW w:w="160" w:type="dxa"/>
            <w:vAlign w:val="bottom"/>
          </w:tcPr>
          <w:p>
            <w:pPr>
              <w:spacing w:after="0"/>
              <w:rPr>
                <w:sz w:val="18"/>
                <w:szCs w:val="18"/>
                <w:color w:val="auto"/>
              </w:rPr>
            </w:pPr>
          </w:p>
        </w:tc>
        <w:tc>
          <w:tcPr>
            <w:tcW w:w="960" w:type="dxa"/>
            <w:vAlign w:val="bottom"/>
            <w:gridSpan w:val="5"/>
          </w:tcPr>
          <w:p>
            <w:pPr>
              <w:jc w:val="right"/>
              <w:ind w:right="2"/>
              <w:spacing w:after="0"/>
              <w:rPr>
                <w:sz w:val="20"/>
                <w:szCs w:val="20"/>
                <w:color w:val="auto"/>
              </w:rPr>
            </w:pPr>
            <w:r>
              <w:rPr>
                <w:rFonts w:ascii="Times New Roman" w:cs="Times New Roman" w:eastAsia="Times New Roman" w:hAnsi="Times New Roman"/>
                <w:sz w:val="18"/>
                <w:szCs w:val="18"/>
                <w:color w:val="auto"/>
              </w:rPr>
              <w:t>$ 1,229,727</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1,140,564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108,846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99,533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Disposals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deductions (4)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Balance at end of year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940" w:type="dxa"/>
            <w:vAlign w:val="bottom"/>
            <w:tcBorders>
              <w:top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8"/>
                <w:szCs w:val="18"/>
                <w:color w:val="auto"/>
                <w:w w:val="98"/>
              </w:rPr>
              <w:t>$ 1,436,672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8"/>
                <w:szCs w:val="18"/>
                <w:color w:val="auto"/>
                <w:w w:val="98"/>
              </w:rPr>
              <w:t>$ 1,327,833</w:t>
            </w:r>
          </w:p>
        </w:tc>
        <w:tc>
          <w:tcPr>
            <w:tcW w:w="200" w:type="dxa"/>
            <w:vAlign w:val="bottom"/>
            <w:gridSpan w:val="3"/>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1,229,727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80" w:right="520" w:hanging="330"/>
        <w:spacing w:after="0" w:line="261" w:lineRule="auto"/>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as collateral under the Company’s credit facility. At December 31, 2023, $510.8 million in borrowings and letters of credit were outstanding under such facility.</w:t>
      </w:r>
    </w:p>
    <w:p>
      <w:pPr>
        <w:ind w:left="580" w:right="300" w:hanging="330"/>
        <w:spacing w:after="0" w:line="250" w:lineRule="auto"/>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as collateral under the Gaylord Rockies term loan. At December 31, 2023, $800.0 million in borrowings were outstanding under such loan.</w:t>
      </w:r>
    </w:p>
    <w:p>
      <w:pPr>
        <w:ind w:left="580" w:right="900" w:hanging="330"/>
        <w:spacing w:after="0" w:line="250" w:lineRule="auto"/>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cost of these assets for federal income tax purposes (unaudited) is approximately $3.5 billion at December 31, 2023.</w:t>
      </w:r>
    </w:p>
    <w:p>
      <w:pPr>
        <w:ind w:left="580" w:hanging="330"/>
        <w:spacing w:after="0"/>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deductions represents assets transferred as part of an internal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400"/>
          </w:cols>
          <w:pgMar w:left="1240" w:top="513" w:right="1259" w:bottom="1440" w:gutter="0" w:footer="0" w:header="0"/>
        </w:sectPr>
      </w:pPr>
    </w:p>
    <w:bookmarkStart w:id="120" w:name="page121"/>
    <w:bookmarkEnd w:id="120"/>
    <w:p>
      <w:pPr>
        <w:jc w:val="right"/>
        <w:ind w:right="219"/>
        <w:spacing w:after="0"/>
        <w:rPr>
          <w:sz w:val="20"/>
          <w:szCs w:val="20"/>
          <w:color w:val="auto"/>
        </w:rPr>
      </w:pPr>
      <w:r>
        <w:rPr>
          <w:rFonts w:ascii="Times New Roman" w:cs="Times New Roman" w:eastAsia="Times New Roman" w:hAnsi="Times New Roman"/>
          <w:sz w:val="22"/>
          <w:szCs w:val="22"/>
          <w:color w:val="auto"/>
        </w:rPr>
        <w:t>Exhibit 10.14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 TO THE</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SECOND AMENDED AND RESTATED</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LIMITED LIABILITY COMPANY AGREEMENT</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FOR</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OEG ATTRACTIONS HOLDINGS, LLC</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 Delaware Limited Liability Company</w:t>
      </w:r>
    </w:p>
    <w:p>
      <w:pPr>
        <w:spacing w:after="0" w:line="237"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This Amendment No. 1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Second Amended and Restated Limited Liability Company Agreement, dated as of June 16, 2022 (as amended from time to time, the “</w:t>
      </w:r>
      <w:r>
        <w:rPr>
          <w:rFonts w:ascii="Times New Roman" w:cs="Times New Roman" w:eastAsia="Times New Roman" w:hAnsi="Times New Roman"/>
          <w:sz w:val="22"/>
          <w:szCs w:val="22"/>
          <w:u w:val="single" w:color="auto"/>
          <w:color w:val="auto"/>
        </w:rPr>
        <w:t>LLC Agreement</w:t>
      </w:r>
      <w:r>
        <w:rPr>
          <w:rFonts w:ascii="Times New Roman" w:cs="Times New Roman" w:eastAsia="Times New Roman" w:hAnsi="Times New Roman"/>
          <w:sz w:val="22"/>
          <w:szCs w:val="22"/>
          <w:color w:val="auto"/>
        </w:rPr>
        <w:t>”) of OEG Attractions Holdings,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 entered into and effective as of January 12, 2024.</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left="200" w:right="219" w:firstLine="657"/>
        <w:spacing w:after="0" w:line="239" w:lineRule="auto"/>
        <w:tabs>
          <w:tab w:leader="none" w:pos="14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14.1 of the LLC Agreement, the LLC Agreement may be amended by the Company with the prior written consent of the Ryman Member and for so long as the Investor Member owns at least ten percent (10%) of the Outstanding Units, the Investor Member.</w:t>
      </w:r>
    </w:p>
    <w:p>
      <w:pPr>
        <w:spacing w:after="0" w:line="180"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desires to amend the Agreement to establish the terms and conditions applicable to the Class B Units pursuant to Section 4.6 of the LLC Agreement, and the Ryman Member and the Investor Member desire to evidence their consent thereto by execution of this Amendment.</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promises and the mutual covenants, representations, warranties and agreements hereinafter set forth, the parties hereto, intending to be legally bound, agree as follows:</w:t>
      </w:r>
    </w:p>
    <w:p>
      <w:pPr>
        <w:spacing w:after="0" w:line="169" w:lineRule="exact"/>
        <w:rPr>
          <w:sz w:val="20"/>
          <w:szCs w:val="20"/>
          <w:color w:val="auto"/>
        </w:rPr>
      </w:pPr>
    </w:p>
    <w:p>
      <w:pPr>
        <w:ind w:left="1500" w:hanging="643"/>
        <w:spacing w:after="0"/>
        <w:tabs>
          <w:tab w:leader="none" w:pos="15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Amendment. </w:t>
      </w:r>
      <w:r>
        <w:rPr>
          <w:rFonts w:ascii="Times New Roman" w:cs="Times New Roman" w:eastAsia="Times New Roman" w:hAnsi="Times New Roman"/>
          <w:sz w:val="22"/>
          <w:szCs w:val="22"/>
          <w:color w:val="auto"/>
        </w:rPr>
        <w:t>The LLC Agreement is hereby amended as follows:</w:t>
      </w:r>
    </w:p>
    <w:p>
      <w:pPr>
        <w:spacing w:after="0" w:line="210" w:lineRule="exact"/>
        <w:rPr>
          <w:rFonts w:ascii="Times New Roman" w:cs="Times New Roman" w:eastAsia="Times New Roman" w:hAnsi="Times New Roman"/>
          <w:sz w:val="22"/>
          <w:szCs w:val="22"/>
          <w:color w:val="auto"/>
        </w:rPr>
      </w:pPr>
    </w:p>
    <w:p>
      <w:pPr>
        <w:ind w:left="200" w:right="219" w:firstLine="129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New Definitions</w:t>
      </w:r>
      <w:r>
        <w:rPr>
          <w:rFonts w:ascii="Times New Roman" w:cs="Times New Roman" w:eastAsia="Times New Roman" w:hAnsi="Times New Roman"/>
          <w:sz w:val="22"/>
          <w:szCs w:val="22"/>
          <w:color w:val="auto"/>
        </w:rPr>
        <w:t>. The following new defined terms are hereby added to Section 1.1 of the LLC Agreement:</w:t>
      </w:r>
    </w:p>
    <w:p>
      <w:pPr>
        <w:spacing w:after="0" w:line="158" w:lineRule="exact"/>
        <w:rPr>
          <w:sz w:val="20"/>
          <w:szCs w:val="20"/>
          <w:color w:val="auto"/>
        </w:rPr>
      </w:pPr>
    </w:p>
    <w:p>
      <w:pPr>
        <w:jc w:val="both"/>
        <w:ind w:left="1500" w:right="87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2024 Unit Incentive Plan</w:t>
      </w:r>
      <w:r>
        <w:rPr>
          <w:rFonts w:ascii="Times New Roman" w:cs="Times New Roman" w:eastAsia="Times New Roman" w:hAnsi="Times New Roman"/>
          <w:sz w:val="22"/>
          <w:szCs w:val="22"/>
          <w:color w:val="auto"/>
        </w:rPr>
        <w:t>” means the Company’s 2024 Unit Incentive Plan, as such plan may be amended and/or restated from time to time.</w:t>
      </w:r>
    </w:p>
    <w:p>
      <w:pPr>
        <w:spacing w:after="0" w:line="173" w:lineRule="exact"/>
        <w:rPr>
          <w:sz w:val="20"/>
          <w:szCs w:val="20"/>
          <w:color w:val="auto"/>
        </w:rPr>
      </w:pPr>
    </w:p>
    <w:p>
      <w:pPr>
        <w:jc w:val="both"/>
        <w:ind w:left="1500" w:right="87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Holder</w:t>
      </w:r>
      <w:r>
        <w:rPr>
          <w:rFonts w:ascii="Times New Roman" w:cs="Times New Roman" w:eastAsia="Times New Roman" w:hAnsi="Times New Roman"/>
          <w:sz w:val="22"/>
          <w:szCs w:val="22"/>
          <w:color w:val="auto"/>
        </w:rPr>
        <w:t>” means a Holder of Class B Units, in such Holder’s capacity as such.</w:t>
      </w:r>
    </w:p>
    <w:p>
      <w:pPr>
        <w:spacing w:after="0" w:line="158" w:lineRule="exact"/>
        <w:rPr>
          <w:sz w:val="20"/>
          <w:szCs w:val="20"/>
          <w:color w:val="auto"/>
        </w:rPr>
      </w:pPr>
    </w:p>
    <w:p>
      <w:pPr>
        <w:jc w:val="both"/>
        <w:ind w:left="1500" w:right="87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Member</w:t>
      </w:r>
      <w:r>
        <w:rPr>
          <w:rFonts w:ascii="Times New Roman" w:cs="Times New Roman" w:eastAsia="Times New Roman" w:hAnsi="Times New Roman"/>
          <w:sz w:val="22"/>
          <w:szCs w:val="22"/>
          <w:color w:val="auto"/>
        </w:rPr>
        <w:t>” means a Member owning Class B Units, in such Member’s capacity as such.</w:t>
      </w:r>
    </w:p>
    <w:p>
      <w:pPr>
        <w:spacing w:after="0" w:line="158" w:lineRule="exact"/>
        <w:rPr>
          <w:sz w:val="20"/>
          <w:szCs w:val="20"/>
          <w:color w:val="auto"/>
        </w:rPr>
      </w:pPr>
    </w:p>
    <w:p>
      <w:pPr>
        <w:jc w:val="both"/>
        <w:ind w:left="1500" w:right="87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Unit Award Agreement</w:t>
      </w:r>
      <w:r>
        <w:rPr>
          <w:rFonts w:ascii="Times New Roman" w:cs="Times New Roman" w:eastAsia="Times New Roman" w:hAnsi="Times New Roman"/>
          <w:sz w:val="22"/>
          <w:szCs w:val="22"/>
          <w:color w:val="auto"/>
        </w:rPr>
        <w:t>” means an agreement made under the 2024 Unit Incentive Plan pursuant to which an existing or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545211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1" w:name="page122"/>
    <w:bookmarkEnd w:id="121"/>
    <w:p>
      <w:pPr>
        <w:jc w:val="both"/>
        <w:ind w:left="1500" w:right="879"/>
        <w:spacing w:after="0" w:line="244" w:lineRule="auto"/>
        <w:rPr>
          <w:sz w:val="20"/>
          <w:szCs w:val="20"/>
          <w:color w:val="auto"/>
        </w:rPr>
      </w:pPr>
      <w:r>
        <w:rPr>
          <w:rFonts w:ascii="Times New Roman" w:cs="Times New Roman" w:eastAsia="Times New Roman" w:hAnsi="Times New Roman"/>
          <w:sz w:val="22"/>
          <w:szCs w:val="22"/>
          <w:color w:val="auto"/>
        </w:rPr>
        <w:t>employee, officer, board member, consultant or other service provider of the Company or any of its Subsidiaries has been issued an option to acquire Class B Units.</w:t>
      </w:r>
    </w:p>
    <w:p>
      <w:pPr>
        <w:spacing w:after="0" w:line="173" w:lineRule="exact"/>
        <w:rPr>
          <w:sz w:val="20"/>
          <w:szCs w:val="20"/>
          <w:color w:val="auto"/>
        </w:rPr>
      </w:pPr>
    </w:p>
    <w:p>
      <w:pPr>
        <w:ind w:left="200" w:right="219" w:firstLine="1305"/>
        <w:spacing w:after="0" w:line="258" w:lineRule="auto"/>
        <w:tabs>
          <w:tab w:leader="none" w:pos="21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Class B Unit</w:t>
      </w:r>
      <w:r>
        <w:rPr>
          <w:rFonts w:ascii="Times New Roman" w:cs="Times New Roman" w:eastAsia="Times New Roman" w:hAnsi="Times New Roman"/>
          <w:sz w:val="22"/>
          <w:szCs w:val="22"/>
          <w:color w:val="auto"/>
        </w:rPr>
        <w:t>. The definition of “Class B Unit” in Section 1.1 of the LLC Agreement is hereby deleted in its entirety and replaced with the following:</w:t>
      </w:r>
    </w:p>
    <w:p>
      <w:pPr>
        <w:spacing w:after="0" w:line="158" w:lineRule="exact"/>
        <w:rPr>
          <w:sz w:val="20"/>
          <w:szCs w:val="20"/>
          <w:color w:val="auto"/>
        </w:rPr>
      </w:pPr>
    </w:p>
    <w:p>
      <w:pPr>
        <w:jc w:val="both"/>
        <w:ind w:left="1500" w:right="859"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Unit</w:t>
      </w:r>
      <w:r>
        <w:rPr>
          <w:rFonts w:ascii="Times New Roman" w:cs="Times New Roman" w:eastAsia="Times New Roman" w:hAnsi="Times New Roman"/>
          <w:sz w:val="22"/>
          <w:szCs w:val="22"/>
          <w:color w:val="auto"/>
        </w:rPr>
        <w:t xml:space="preserve">” means a Unit hereinafter designated as a “Class B Unit” and having the rights and obligations specified with respect to a “Class B Unit” in this Agreement and designated as such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hereto. Class B Units may be subject to additional terms and Company rights pursuant to a Class B Unit Award Agreement, the Company’s 2024 Unit Incentive Plan and/or a joinder to this Agreement.</w:t>
      </w:r>
    </w:p>
    <w:p>
      <w:pPr>
        <w:spacing w:after="0" w:line="181" w:lineRule="exact"/>
        <w:rPr>
          <w:sz w:val="20"/>
          <w:szCs w:val="20"/>
          <w:color w:val="auto"/>
        </w:rPr>
      </w:pPr>
    </w:p>
    <w:p>
      <w:pPr>
        <w:ind w:left="200" w:right="219" w:firstLine="1305"/>
        <w:spacing w:after="0" w:line="258" w:lineRule="auto"/>
        <w:tabs>
          <w:tab w:leader="none" w:pos="21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Voting Unit</w:t>
      </w:r>
      <w:r>
        <w:rPr>
          <w:rFonts w:ascii="Times New Roman" w:cs="Times New Roman" w:eastAsia="Times New Roman" w:hAnsi="Times New Roman"/>
          <w:sz w:val="22"/>
          <w:szCs w:val="22"/>
          <w:color w:val="auto"/>
        </w:rPr>
        <w:t>. The definition of “Voting Unit” in Section 1.1 of the LLC Agreement is hereby deleted in its entirety and replaced with the following:</w:t>
      </w:r>
    </w:p>
    <w:p>
      <w:pPr>
        <w:spacing w:after="0" w:line="158" w:lineRule="exact"/>
        <w:rPr>
          <w:sz w:val="20"/>
          <w:szCs w:val="20"/>
          <w:color w:val="auto"/>
        </w:rPr>
      </w:pPr>
    </w:p>
    <w:p>
      <w:pPr>
        <w:jc w:val="both"/>
        <w:ind w:left="1500" w:right="879"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Unit</w:t>
      </w:r>
      <w:r>
        <w:rPr>
          <w:rFonts w:ascii="Times New Roman" w:cs="Times New Roman" w:eastAsia="Times New Roman" w:hAnsi="Times New Roman"/>
          <w:sz w:val="22"/>
          <w:szCs w:val="22"/>
          <w:color w:val="auto"/>
        </w:rPr>
        <w:t>” means any Class A Unit and any other Unit designated to have voting rights under this Agreement. For the avoidance of doubt, notwithstanding anything to the contrary herein, (i) the Earnout Transactions shall not be deemed to affect the number or percentage of Voting Units held by the Investor Member, and (ii) no Class B Unit shall be deemed a Voting Unit.</w:t>
      </w:r>
    </w:p>
    <w:p>
      <w:pPr>
        <w:spacing w:after="0" w:line="181" w:lineRule="exact"/>
        <w:rPr>
          <w:sz w:val="20"/>
          <w:szCs w:val="20"/>
          <w:color w:val="auto"/>
        </w:rPr>
      </w:pPr>
    </w:p>
    <w:p>
      <w:pPr>
        <w:ind w:left="200" w:right="219" w:firstLine="1305"/>
        <w:spacing w:after="0" w:line="258" w:lineRule="auto"/>
        <w:tabs>
          <w:tab w:leader="none" w:pos="214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B Units</w:t>
      </w:r>
      <w:r>
        <w:rPr>
          <w:rFonts w:ascii="Times New Roman" w:cs="Times New Roman" w:eastAsia="Times New Roman" w:hAnsi="Times New Roman"/>
          <w:sz w:val="22"/>
          <w:szCs w:val="22"/>
          <w:color w:val="auto"/>
        </w:rPr>
        <w:t>. Section 4.6 of the LLC Agreement is hereby deleted in its entirety and replaced with the following:</w:t>
      </w:r>
    </w:p>
    <w:p>
      <w:pPr>
        <w:spacing w:after="0" w:line="158" w:lineRule="exact"/>
        <w:rPr>
          <w:sz w:val="20"/>
          <w:szCs w:val="20"/>
          <w:color w:val="auto"/>
        </w:rPr>
      </w:pPr>
    </w:p>
    <w:p>
      <w:pPr>
        <w:ind w:left="2160"/>
        <w:spacing w:after="0"/>
        <w:tabs>
          <w:tab w:leader="none" w:pos="3420" w:val="left"/>
        </w:tabs>
        <w:rPr>
          <w:sz w:val="20"/>
          <w:szCs w:val="20"/>
          <w:color w:val="auto"/>
        </w:rPr>
      </w:pPr>
      <w:r>
        <w:rPr>
          <w:rFonts w:ascii="Times New Roman" w:cs="Times New Roman" w:eastAsia="Times New Roman" w:hAnsi="Times New Roman"/>
          <w:sz w:val="22"/>
          <w:szCs w:val="22"/>
          <w:color w:val="auto"/>
        </w:rPr>
        <w:t>Section 4.6</w:t>
      </w:r>
      <w:r>
        <w:rPr>
          <w:sz w:val="20"/>
          <w:szCs w:val="20"/>
          <w:color w:val="auto"/>
        </w:rPr>
        <w:tab/>
      </w:r>
      <w:r>
        <w:rPr>
          <w:rFonts w:ascii="Times New Roman" w:cs="Times New Roman" w:eastAsia="Times New Roman" w:hAnsi="Times New Roman"/>
          <w:sz w:val="21"/>
          <w:szCs w:val="21"/>
          <w:u w:val="single" w:color="auto"/>
          <w:color w:val="auto"/>
        </w:rPr>
        <w:t>Class B Units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500" w:right="879" w:firstLine="653"/>
        <w:spacing w:after="0" w:line="245" w:lineRule="auto"/>
        <w:tabs>
          <w:tab w:leader="none" w:pos="2796"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from time to time cause the Company to issue options to acquire Class B Units to any existing or new employee, officer, director, consultant or other service provider of the Company or any of its Subsidiaries pursuant to Class B Unit Award Agreements approved by the Board and made under the Company’s 2024 Unit Incentive Plan (and to the extent such action constitutes a Major Decision, with the approval of the</w:t>
      </w:r>
    </w:p>
    <w:p>
      <w:pPr>
        <w:spacing w:after="0" w:line="3" w:lineRule="exact"/>
        <w:rPr>
          <w:sz w:val="20"/>
          <w:szCs w:val="20"/>
          <w:color w:val="auto"/>
        </w:rPr>
      </w:pPr>
    </w:p>
    <w:p>
      <w:pPr>
        <w:jc w:val="both"/>
        <w:ind w:left="1500" w:right="859"/>
        <w:spacing w:after="0" w:line="232" w:lineRule="auto"/>
        <w:rPr>
          <w:sz w:val="20"/>
          <w:szCs w:val="20"/>
          <w:color w:val="auto"/>
        </w:rPr>
      </w:pPr>
      <w:r>
        <w:rPr>
          <w:rFonts w:ascii="Times New Roman" w:cs="Times New Roman" w:eastAsia="Times New Roman" w:hAnsi="Times New Roman"/>
          <w:sz w:val="22"/>
          <w:szCs w:val="22"/>
          <w:color w:val="auto"/>
        </w:rPr>
        <w:t xml:space="preserve">Ryman Member and the Investor Member, subject to the provisions of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Any option to acquire a Class B Unit shall have a strike price per Class B Unit at least equal to the fair market value of a Class A Unit as determined by the Board. The Company may also sell to an employee Class B Units at a price equal to the fair market value of such Class B Units as determined by the Board.</w:t>
      </w:r>
    </w:p>
    <w:p>
      <w:pPr>
        <w:spacing w:after="0" w:line="183" w:lineRule="exact"/>
        <w:rPr>
          <w:sz w:val="20"/>
          <w:szCs w:val="20"/>
          <w:color w:val="auto"/>
        </w:rPr>
      </w:pPr>
    </w:p>
    <w:p>
      <w:pPr>
        <w:jc w:val="both"/>
        <w:ind w:left="1500" w:right="879" w:firstLine="653"/>
        <w:spacing w:after="0" w:line="239" w:lineRule="auto"/>
        <w:tabs>
          <w:tab w:leader="none" w:pos="27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the Class B Units shall not be entitled to any voting or approval rights and shall not have any rights to a separate class vote on any matter, under any circumstances.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2" w:name="page123"/>
    <w:bookmarkEnd w:id="122"/>
    <w:p>
      <w:pPr>
        <w:jc w:val="both"/>
        <w:ind w:left="1500" w:right="859" w:firstLine="653"/>
        <w:spacing w:after="0" w:line="246" w:lineRule="auto"/>
        <w:tabs>
          <w:tab w:leader="none" w:pos="2796"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Class B Holders shall be entitled to receive a distribution of cash or other property from the Company only as and if approved by the Board; provided that when the Board approves and the Company makes a distribution to the Holders of Class A Units in respect of such Class A Units, the Holders of issued and outstanding Class B Units (the purchase price of which, together with any remittances required to be paid to the Company to satisfy any withholding taxes in accordance with a Class B Unit Award Agreement, has been paid in full) shall be entitled to a distribution per Class B Unit equal to the distribution made per Class A Unit.</w:t>
      </w:r>
    </w:p>
    <w:p>
      <w:pPr>
        <w:spacing w:after="0" w:line="175" w:lineRule="exact"/>
        <w:rPr>
          <w:rFonts w:ascii="Times New Roman" w:cs="Times New Roman" w:eastAsia="Times New Roman" w:hAnsi="Times New Roman"/>
          <w:sz w:val="21"/>
          <w:szCs w:val="21"/>
          <w:color w:val="auto"/>
        </w:rPr>
      </w:pPr>
    </w:p>
    <w:p>
      <w:pPr>
        <w:jc w:val="both"/>
        <w:ind w:left="1500" w:right="879" w:firstLine="653"/>
        <w:spacing w:after="0" w:line="239" w:lineRule="auto"/>
        <w:tabs>
          <w:tab w:leader="none" w:pos="279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Class B Members and Class B Units shall not be entitled to any rights pursuant to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Section 13.19</w:t>
      </w:r>
      <w:r>
        <w:rPr>
          <w:rFonts w:ascii="Times New Roman" w:cs="Times New Roman" w:eastAsia="Times New Roman" w:hAnsi="Times New Roman"/>
          <w:sz w:val="22"/>
          <w:szCs w:val="22"/>
          <w:color w:val="auto"/>
        </w:rPr>
        <w:t xml:space="preserve"> but shall be subject to the obligations thereunder including dragalong and other provisions as Holders or Members, as applicable.</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Joinder</w:t>
      </w:r>
      <w:r>
        <w:rPr>
          <w:rFonts w:ascii="Times New Roman" w:cs="Times New Roman" w:eastAsia="Times New Roman" w:hAnsi="Times New Roman"/>
          <w:sz w:val="22"/>
          <w:szCs w:val="22"/>
          <w:color w:val="auto"/>
        </w:rPr>
        <w:t>. A new Section 4.7 is hereby added to the LLC Agreement and a new form of Joinder in the form attached as Exhibit A-1 is hereby added to the LLC Agreement as Exhibit A-1, as follows:</w:t>
      </w:r>
    </w:p>
    <w:p>
      <w:pPr>
        <w:spacing w:after="0" w:line="173" w:lineRule="exact"/>
        <w:rPr>
          <w:sz w:val="20"/>
          <w:szCs w:val="20"/>
          <w:color w:val="auto"/>
        </w:rPr>
      </w:pPr>
    </w:p>
    <w:p>
      <w:pPr>
        <w:jc w:val="both"/>
        <w:ind w:left="1500" w:right="87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Joinder</w:t>
      </w:r>
      <w:r>
        <w:rPr>
          <w:rFonts w:ascii="Times New Roman" w:cs="Times New Roman" w:eastAsia="Times New Roman" w:hAnsi="Times New Roman"/>
          <w:sz w:val="22"/>
          <w:szCs w:val="22"/>
          <w:color w:val="auto"/>
        </w:rPr>
        <w:t xml:space="preserve">. After the Board’s approval of an issuance of Class B Units (and to the extent such action constitutes a Major Decision, with the approval of the Ryman Member and the Investor Member, subject to the provisions of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xml:space="preserve">) and full payment for such Units, a Class B Member may join in this Agreement by executing and delivering to the Company a Class B Member Joinder in the form attached as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and such other or additional documents and deliveries as may be reasonably requested by the Board.</w:t>
      </w:r>
    </w:p>
    <w:p>
      <w:pPr>
        <w:spacing w:after="0" w:line="178" w:lineRule="exact"/>
        <w:rPr>
          <w:sz w:val="20"/>
          <w:szCs w:val="20"/>
          <w:color w:val="auto"/>
        </w:rPr>
      </w:pPr>
    </w:p>
    <w:p>
      <w:pPr>
        <w:ind w:left="200" w:right="219" w:firstLine="1305"/>
        <w:spacing w:after="0" w:line="258" w:lineRule="auto"/>
        <w:tabs>
          <w:tab w:leader="none" w:pos="21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 by the Members</w:t>
      </w:r>
      <w:r>
        <w:rPr>
          <w:rFonts w:ascii="Times New Roman" w:cs="Times New Roman" w:eastAsia="Times New Roman" w:hAnsi="Times New Roman"/>
          <w:sz w:val="22"/>
          <w:szCs w:val="22"/>
          <w:color w:val="auto"/>
        </w:rPr>
        <w:t>. A new Section 7.6(h) is hereby added to the LLC Agreement as follows:</w:t>
      </w:r>
    </w:p>
    <w:p>
      <w:pPr>
        <w:spacing w:after="0" w:line="158" w:lineRule="exact"/>
        <w:rPr>
          <w:sz w:val="20"/>
          <w:szCs w:val="20"/>
          <w:color w:val="auto"/>
        </w:rPr>
      </w:pPr>
    </w:p>
    <w:p>
      <w:pPr>
        <w:ind w:left="1500" w:right="859" w:firstLine="653"/>
        <w:spacing w:after="0" w:line="258" w:lineRule="auto"/>
        <w:tabs>
          <w:tab w:leader="none" w:pos="279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of Class B Units, including any Class B Members, shall not be entitled to vote on any matters presented to the Members.</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Right of Repurchase for Class B Units</w:t>
      </w:r>
      <w:r>
        <w:rPr>
          <w:rFonts w:ascii="Times New Roman" w:cs="Times New Roman" w:eastAsia="Times New Roman" w:hAnsi="Times New Roman"/>
          <w:sz w:val="22"/>
          <w:szCs w:val="22"/>
          <w:color w:val="auto"/>
        </w:rPr>
        <w:t>. A new Section 13.20 is hereby added to the LLC Agreement as follows: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13.20 </w:t>
      </w:r>
      <w:r>
        <w:rPr>
          <w:rFonts w:ascii="Times New Roman" w:cs="Times New Roman" w:eastAsia="Times New Roman" w:hAnsi="Times New Roman"/>
          <w:sz w:val="22"/>
          <w:szCs w:val="22"/>
          <w:u w:val="single" w:color="auto"/>
          <w:color w:val="auto"/>
        </w:rPr>
        <w:t>Company Right of Repurchase for Class B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Unless a Company repurchase right is provided in a Class B Unit Award Agreement (and in such case, it shall apply to all Class B Units owned by a Class B Holder), the following shall apply to a Class B Member and Class B Units:</w:t>
      </w:r>
    </w:p>
    <w:p>
      <w:pPr>
        <w:spacing w:after="0" w:line="200" w:lineRule="exact"/>
        <w:rPr>
          <w:sz w:val="20"/>
          <w:szCs w:val="20"/>
          <w:color w:val="auto"/>
        </w:rPr>
      </w:pPr>
    </w:p>
    <w:p>
      <w:pPr>
        <w:spacing w:after="0" w:line="216" w:lineRule="exact"/>
        <w:rPr>
          <w:sz w:val="20"/>
          <w:szCs w:val="20"/>
          <w:color w:val="auto"/>
        </w:rPr>
      </w:pPr>
    </w:p>
    <w:p>
      <w:pPr>
        <w:jc w:val="both"/>
        <w:ind w:left="1500" w:right="879" w:firstLine="653"/>
        <w:spacing w:after="0" w:line="255" w:lineRule="auto"/>
        <w:tabs>
          <w:tab w:leader="none" w:pos="279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other than for Cause</w:t>
      </w:r>
      <w:r>
        <w:rPr>
          <w:rFonts w:ascii="Times New Roman" w:cs="Times New Roman" w:eastAsia="Times New Roman" w:hAnsi="Times New Roman"/>
          <w:sz w:val="21"/>
          <w:szCs w:val="21"/>
          <w:color w:val="auto"/>
        </w:rPr>
        <w:t>. Upon a Termination of a Class B Member for any reason other than for Cause, the Company or its assigns shall have the right (but not the obligation) to repurchase from such Class B Member all or any portion of Class B Units acquired upon exercise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3" w:name="page124"/>
    <w:bookmarkEnd w:id="123"/>
    <w:p>
      <w:pPr>
        <w:jc w:val="both"/>
        <w:ind w:left="1500" w:right="879"/>
        <w:spacing w:after="0" w:line="244" w:lineRule="auto"/>
        <w:rPr>
          <w:sz w:val="20"/>
          <w:szCs w:val="20"/>
          <w:color w:val="auto"/>
        </w:rPr>
      </w:pPr>
      <w:r>
        <w:rPr>
          <w:rFonts w:ascii="Times New Roman" w:cs="Times New Roman" w:eastAsia="Times New Roman" w:hAnsi="Times New Roman"/>
          <w:sz w:val="22"/>
          <w:szCs w:val="22"/>
          <w:color w:val="auto"/>
        </w:rPr>
        <w:t>of a Class B Unit Award Agreement for a price per Unit equal to the Fair Market Value of such Unit as determined as of the Termination Date, less any applicable withholding taxes.</w:t>
      </w:r>
    </w:p>
    <w:p>
      <w:pPr>
        <w:spacing w:after="0" w:line="173" w:lineRule="exact"/>
        <w:rPr>
          <w:sz w:val="20"/>
          <w:szCs w:val="20"/>
          <w:color w:val="auto"/>
        </w:rPr>
      </w:pPr>
    </w:p>
    <w:p>
      <w:pPr>
        <w:jc w:val="both"/>
        <w:ind w:left="1500" w:right="879" w:firstLine="653"/>
        <w:spacing w:after="0" w:line="235" w:lineRule="auto"/>
        <w:tabs>
          <w:tab w:leader="none" w:pos="27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Upon a Termination of a Class B Member with Cause, the Company or its assigns shall have the right (but not the obligation) to repurchase from such Class B Member all or any portion of Class B Units held for a price per Unit equal to the lower of (i) Fair Market Value of such Unit as determined as of the Termination Date, and (ii) the original per Unit price paid by such Class B Member, in each case, less any applicable withholding taxes.</w:t>
      </w:r>
    </w:p>
    <w:p>
      <w:pPr>
        <w:spacing w:after="0" w:line="183" w:lineRule="exact"/>
        <w:rPr>
          <w:rFonts w:ascii="Times New Roman" w:cs="Times New Roman" w:eastAsia="Times New Roman" w:hAnsi="Times New Roman"/>
          <w:sz w:val="22"/>
          <w:szCs w:val="22"/>
          <w:color w:val="auto"/>
        </w:rPr>
      </w:pPr>
    </w:p>
    <w:p>
      <w:pPr>
        <w:jc w:val="both"/>
        <w:ind w:left="1500" w:right="859" w:firstLine="653"/>
        <w:spacing w:after="0" w:line="232" w:lineRule="auto"/>
        <w:tabs>
          <w:tab w:leader="none" w:pos="27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xml:space="preserve">. In the event the Company elects to repurchase a Class B Member’s Class B Units under this </w:t>
      </w:r>
      <w:r>
        <w:rPr>
          <w:rFonts w:ascii="Times New Roman" w:cs="Times New Roman" w:eastAsia="Times New Roman" w:hAnsi="Times New Roman"/>
          <w:sz w:val="22"/>
          <w:szCs w:val="22"/>
          <w:u w:val="single" w:color="auto"/>
          <w:color w:val="auto"/>
        </w:rPr>
        <w:t>Section 13.20</w:t>
      </w:r>
      <w:r>
        <w:rPr>
          <w:rFonts w:ascii="Times New Roman" w:cs="Times New Roman" w:eastAsia="Times New Roman" w:hAnsi="Times New Roman"/>
          <w:sz w:val="22"/>
          <w:szCs w:val="22"/>
          <w:color w:val="auto"/>
        </w:rPr>
        <w:t>, the Company shall deliver written notice to such Class B Member of such election at any time following the Termination Date. Upon such notification, the Class B Member shall promptly surrender to the Company, free and clear of any liens or encumbrances, any certificates representing the Units being purchased, for the transfer of such Units to the Company or the Company’s assignee or assignees. Upon the Company’s or its assignee’s receipt of the certificates (or acceptable evidence of assignment) from the Class B Member, the Company or its assignee or assignees shall deliver to him, her or them a check for the applicable repurchase price; provided, however, that the Company may instead pay the repurchase price by (i) offsetting and canceling any indebtedness then owed by the Class B Member to the Company, or (ii) by tendering fifteen percent (15%) of the repurchase price and paying the remainder on or prior to the date that is eighteen (18) months after the repurchase closing.</w:t>
      </w:r>
    </w:p>
    <w:p>
      <w:pPr>
        <w:spacing w:after="0" w:line="191"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160" w:right="859" w:firstLine="641"/>
        <w:spacing w:after="0" w:line="233" w:lineRule="auto"/>
        <w:tabs>
          <w:tab w:leader="none" w:pos="345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unless otherwise defined in an applicable Class B Unit Award Agreement or other contractual agreement between the Class B Member and the Company or its Subsidiaries or Affiliates, (1) the Class B Member’s dishonest statements or acts with respect to the Company or its Subsidiaries or Affiliates, or any current or prospective customers, suppliers, vendors or other third parties with which such entity does business,</w:t>
      </w:r>
    </w:p>
    <w:p>
      <w:pPr>
        <w:spacing w:after="0" w:line="5" w:lineRule="exact"/>
        <w:rPr>
          <w:rFonts w:ascii="Times New Roman" w:cs="Times New Roman" w:eastAsia="Times New Roman" w:hAnsi="Times New Roman"/>
          <w:sz w:val="22"/>
          <w:szCs w:val="22"/>
          <w:color w:val="auto"/>
        </w:rPr>
      </w:pPr>
    </w:p>
    <w:p>
      <w:pPr>
        <w:jc w:val="both"/>
        <w:ind w:left="2160" w:right="85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(2) the Class B Member’s commission of (A) a felony or (B) any misdemeanor involving moral turpitude, deceit, dishonesty or fraud,</w:t>
      </w:r>
    </w:p>
    <w:p>
      <w:pPr>
        <w:spacing w:after="0" w:line="1" w:lineRule="exact"/>
        <w:rPr>
          <w:rFonts w:ascii="Times New Roman" w:cs="Times New Roman" w:eastAsia="Times New Roman" w:hAnsi="Times New Roman"/>
          <w:sz w:val="22"/>
          <w:szCs w:val="22"/>
          <w:color w:val="auto"/>
        </w:rPr>
      </w:pPr>
    </w:p>
    <w:p>
      <w:pPr>
        <w:jc w:val="both"/>
        <w:ind w:left="2160" w:right="859"/>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the Class B Member’s failure to perform his or her assigned duties and responsibilities to the reasonable satisfaction of the Company which failure continues, in the reasonable judgment of the Company, after written notice given to the Class B Member by the Company, (4) the Class B Member’s gross negligence, willful misconduct or insubordination with respect to the Company or its Subsidiaries or Affiliates, or (5) the Class B Member’s violation of</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4" w:name="page125"/>
    <w:bookmarkEnd w:id="124"/>
    <w:p>
      <w:pPr>
        <w:jc w:val="both"/>
        <w:ind w:left="2160" w:right="859"/>
        <w:spacing w:after="0" w:line="235" w:lineRule="auto"/>
        <w:rPr>
          <w:sz w:val="20"/>
          <w:szCs w:val="20"/>
          <w:color w:val="auto"/>
        </w:rPr>
      </w:pPr>
      <w:r>
        <w:rPr>
          <w:rFonts w:ascii="Times New Roman" w:cs="Times New Roman" w:eastAsia="Times New Roman" w:hAnsi="Times New Roman"/>
          <w:sz w:val="22"/>
          <w:szCs w:val="22"/>
          <w:color w:val="auto"/>
        </w:rPr>
        <w:t>any provision of any agreement(s) between the Class B Member and the Company Group relating to noncompetition, nonsolicitation, nondisclosure and/or assignment of intellectual property and inventions. With regard to any agreement that defines “Cause” on the occurrence of or in connection with a Change in Control, such definition of “Cause” shall not apply until the Change in Control actually occurs.</w:t>
      </w:r>
    </w:p>
    <w:p>
      <w:pPr>
        <w:spacing w:after="0" w:line="183" w:lineRule="exact"/>
        <w:rPr>
          <w:sz w:val="20"/>
          <w:szCs w:val="20"/>
          <w:color w:val="auto"/>
        </w:rPr>
      </w:pPr>
    </w:p>
    <w:p>
      <w:pPr>
        <w:jc w:val="both"/>
        <w:ind w:left="2160" w:right="879" w:firstLine="641"/>
        <w:spacing w:after="0" w:line="244" w:lineRule="auto"/>
        <w:tabs>
          <w:tab w:leader="none" w:pos="345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Relationship</w:t>
      </w:r>
      <w:r>
        <w:rPr>
          <w:rFonts w:ascii="Times New Roman" w:cs="Times New Roman" w:eastAsia="Times New Roman" w:hAnsi="Times New Roman"/>
          <w:sz w:val="22"/>
          <w:szCs w:val="22"/>
          <w:color w:val="auto"/>
        </w:rPr>
        <w:t>” means any relationship as a full-time or part-time employee, director or consultant of the Company or its Subsidiaries or Affiliates or any successor entities.</w:t>
      </w:r>
    </w:p>
    <w:p>
      <w:pPr>
        <w:spacing w:after="0" w:line="173" w:lineRule="exact"/>
        <w:rPr>
          <w:rFonts w:ascii="Times New Roman" w:cs="Times New Roman" w:eastAsia="Times New Roman" w:hAnsi="Times New Roman"/>
          <w:sz w:val="22"/>
          <w:szCs w:val="22"/>
          <w:color w:val="auto"/>
        </w:rPr>
      </w:pPr>
    </w:p>
    <w:p>
      <w:pPr>
        <w:jc w:val="both"/>
        <w:ind w:left="2160" w:right="879" w:firstLine="641"/>
        <w:spacing w:after="0" w:line="238" w:lineRule="auto"/>
        <w:tabs>
          <w:tab w:leader="none" w:pos="346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means a Class B Member has for any reason ceased to maintain a continuous Service Relationship;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Class B Member will not be deemed to have ceased to maintain a Service Relationship while on a bona fide leave of absence approved by the Company in writing.</w:t>
      </w:r>
    </w:p>
    <w:p>
      <w:pPr>
        <w:spacing w:after="0" w:line="176" w:lineRule="exact"/>
        <w:rPr>
          <w:rFonts w:ascii="Times New Roman" w:cs="Times New Roman" w:eastAsia="Times New Roman" w:hAnsi="Times New Roman"/>
          <w:sz w:val="22"/>
          <w:szCs w:val="22"/>
          <w:color w:val="auto"/>
        </w:rPr>
      </w:pPr>
    </w:p>
    <w:p>
      <w:pPr>
        <w:ind w:left="2160" w:right="879" w:firstLine="641"/>
        <w:spacing w:after="0" w:line="258" w:lineRule="auto"/>
        <w:tabs>
          <w:tab w:leader="none" w:pos="325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the effective date of a Termination.</w:t>
      </w:r>
    </w:p>
    <w:p>
      <w:pPr>
        <w:spacing w:after="0" w:line="158" w:lineRule="exact"/>
        <w:rPr>
          <w:sz w:val="20"/>
          <w:szCs w:val="20"/>
          <w:color w:val="auto"/>
        </w:rPr>
      </w:pPr>
    </w:p>
    <w:p>
      <w:pPr>
        <w:ind w:left="200" w:right="219" w:firstLine="1305"/>
        <w:spacing w:after="0" w:line="258" w:lineRule="auto"/>
        <w:tabs>
          <w:tab w:leader="none" w:pos="214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B Tag-Along Right</w:t>
      </w:r>
      <w:r>
        <w:rPr>
          <w:rFonts w:ascii="Times New Roman" w:cs="Times New Roman" w:eastAsia="Times New Roman" w:hAnsi="Times New Roman"/>
          <w:sz w:val="22"/>
          <w:szCs w:val="22"/>
          <w:color w:val="auto"/>
        </w:rPr>
        <w:t>. A new Section 13.21 is hereby added to the LLC Agreement as follows:</w:t>
      </w:r>
    </w:p>
    <w:p>
      <w:pPr>
        <w:spacing w:after="0" w:line="15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 xml:space="preserve">Section 13.21 </w:t>
      </w:r>
      <w:r>
        <w:rPr>
          <w:rFonts w:ascii="Times New Roman" w:cs="Times New Roman" w:eastAsia="Times New Roman" w:hAnsi="Times New Roman"/>
          <w:sz w:val="22"/>
          <w:szCs w:val="22"/>
          <w:u w:val="single" w:color="auto"/>
          <w:color w:val="auto"/>
        </w:rPr>
        <w:t>Class B Tag-Along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500" w:right="219" w:firstLine="653"/>
        <w:spacing w:after="0" w:line="244" w:lineRule="auto"/>
        <w:tabs>
          <w:tab w:leader="none" w:pos="279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13.21</w:t>
      </w:r>
      <w:r>
        <w:rPr>
          <w:rFonts w:ascii="Times New Roman" w:cs="Times New Roman" w:eastAsia="Times New Roman" w:hAnsi="Times New Roman"/>
          <w:sz w:val="22"/>
          <w:szCs w:val="22"/>
          <w:color w:val="auto"/>
        </w:rPr>
        <w:t xml:space="preserve"> shall apply only in the event of a Sale of the Company. The provisions of </w:t>
      </w:r>
      <w:r>
        <w:rPr>
          <w:rFonts w:ascii="Times New Roman" w:cs="Times New Roman" w:eastAsia="Times New Roman" w:hAnsi="Times New Roman"/>
          <w:sz w:val="22"/>
          <w:szCs w:val="22"/>
          <w:u w:val="single" w:color="auto"/>
          <w:color w:val="auto"/>
        </w:rPr>
        <w:t>Section 13.7</w:t>
      </w:r>
      <w:r>
        <w:rPr>
          <w:rFonts w:ascii="Times New Roman" w:cs="Times New Roman" w:eastAsia="Times New Roman" w:hAnsi="Times New Roman"/>
          <w:sz w:val="22"/>
          <w:szCs w:val="22"/>
          <w:color w:val="auto"/>
        </w:rPr>
        <w:t xml:space="preserve"> (to the extent applicable) shall apply in advance of the provisions of this </w:t>
      </w:r>
      <w:r>
        <w:rPr>
          <w:rFonts w:ascii="Times New Roman" w:cs="Times New Roman" w:eastAsia="Times New Roman" w:hAnsi="Times New Roman"/>
          <w:sz w:val="22"/>
          <w:szCs w:val="22"/>
          <w:u w:val="single" w:color="auto"/>
          <w:color w:val="auto"/>
        </w:rPr>
        <w:t>Section 13.21</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1500" w:right="219" w:firstLine="653"/>
        <w:spacing w:after="0" w:line="244" w:lineRule="auto"/>
        <w:tabs>
          <w:tab w:leader="none" w:pos="279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 the Ryman Member or the Investor Member proposes to Transfer any Class A Units in a Sale of the Company and the Class B Units are not dragged pursuant to </w:t>
      </w:r>
      <w:r>
        <w:rPr>
          <w:rFonts w:ascii="Times New Roman" w:cs="Times New Roman" w:eastAsia="Times New Roman" w:hAnsi="Times New Roman"/>
          <w:sz w:val="21"/>
          <w:szCs w:val="21"/>
          <w:u w:val="single" w:color="auto"/>
          <w:color w:val="auto"/>
        </w:rPr>
        <w:t>Section 13.7</w:t>
      </w:r>
      <w:r>
        <w:rPr>
          <w:rFonts w:ascii="Times New Roman" w:cs="Times New Roman" w:eastAsia="Times New Roman" w:hAnsi="Times New Roman"/>
          <w:sz w:val="21"/>
          <w:szCs w:val="21"/>
          <w:color w:val="auto"/>
        </w:rPr>
        <w:t xml:space="preserve">, (ii) to the extent applicable, the Ryman Member and the Investor Member have complied with any other applicable terms of this Agreement, and (iii) the relevant provisions of Article X have been complied with in all respects with respect to a proposed Transfer, then the Ryman Member or the Investor Member as the case may be (a “Tag-Along Seller/Class B Tag”) may consummate a Transfer of all or any portion of such Units (the “Tag-Along Interest/Class B Tag”) to the applicable Third Party to the extent it complies with the provisions of this </w:t>
      </w:r>
      <w:r>
        <w:rPr>
          <w:rFonts w:ascii="Times New Roman" w:cs="Times New Roman" w:eastAsia="Times New Roman" w:hAnsi="Times New Roman"/>
          <w:sz w:val="21"/>
          <w:szCs w:val="21"/>
          <w:u w:val="single" w:color="auto"/>
          <w:color w:val="auto"/>
        </w:rPr>
        <w:t>Section 13.21</w:t>
      </w:r>
      <w:r>
        <w:rPr>
          <w:rFonts w:ascii="Times New Roman" w:cs="Times New Roman" w:eastAsia="Times New Roman" w:hAnsi="Times New Roman"/>
          <w:sz w:val="21"/>
          <w:szCs w:val="21"/>
          <w:color w:val="auto"/>
        </w:rPr>
        <w:t xml:space="preserve"> (a “Tag-Along Sale (Class B)”). In such event, the Class B Holders (each, an “Other Class B Eligible Member”) shall have the right to require the Third Party, subject to the provisions of this </w:t>
      </w:r>
      <w:r>
        <w:rPr>
          <w:rFonts w:ascii="Times New Roman" w:cs="Times New Roman" w:eastAsia="Times New Roman" w:hAnsi="Times New Roman"/>
          <w:sz w:val="21"/>
          <w:szCs w:val="21"/>
          <w:u w:val="single" w:color="auto"/>
          <w:color w:val="auto"/>
        </w:rPr>
        <w:t>Section 13.21</w:t>
      </w:r>
      <w:r>
        <w:rPr>
          <w:rFonts w:ascii="Times New Roman" w:cs="Times New Roman" w:eastAsia="Times New Roman" w:hAnsi="Times New Roman"/>
          <w:sz w:val="21"/>
          <w:szCs w:val="21"/>
          <w:color w:val="auto"/>
        </w:rPr>
        <w:t>, to purchase from such Other Class B Eligible Member up to that portion of its Eligible Class B Tag-Along Units (such Other Class B Eligible Member’s “Class B Maximum Amount”) (and the Tag-Along Seller/Class B Tag shall reduce the Tag-Along Interest/Class B Tag to be sold by it by a corresponding amount) that is equal to the product of (x) the Tag-Along Interest/Class B Tag to be purchased by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5" w:name="page126"/>
    <w:bookmarkEnd w:id="125"/>
    <w:p>
      <w:pPr>
        <w:jc w:val="both"/>
        <w:ind w:left="1500" w:right="219"/>
        <w:spacing w:after="0" w:line="235" w:lineRule="auto"/>
        <w:rPr>
          <w:sz w:val="20"/>
          <w:szCs w:val="20"/>
          <w:color w:val="auto"/>
        </w:rPr>
      </w:pPr>
      <w:r>
        <w:rPr>
          <w:rFonts w:ascii="Times New Roman" w:cs="Times New Roman" w:eastAsia="Times New Roman" w:hAnsi="Times New Roman"/>
          <w:sz w:val="22"/>
          <w:szCs w:val="22"/>
          <w:color w:val="auto"/>
        </w:rPr>
        <w:t>Third Party and (y) a fraction, the numerator of which is (A) the total number of Eligible Class B Tag-Along Units owned by such Other Class B Eligible Member and the denominator of which is (B) the total number of Class B Eligible Tag-Along Units owned by all of the Other Class B Eligible Members and the Units owned by the Tag-Along Sellers/Class B Tag immediately prior to the transaction. For purposes hereof, “Eligible Class B Tag-Along Units” means Class B Units for which any purchase price or related debt has been paid in full.</w:t>
      </w:r>
    </w:p>
    <w:p>
      <w:pPr>
        <w:spacing w:after="0" w:line="183" w:lineRule="exact"/>
        <w:rPr>
          <w:sz w:val="20"/>
          <w:szCs w:val="20"/>
          <w:color w:val="auto"/>
        </w:rPr>
      </w:pPr>
    </w:p>
    <w:p>
      <w:pPr>
        <w:jc w:val="both"/>
        <w:ind w:left="1500" w:right="219" w:firstLine="653"/>
        <w:spacing w:after="0" w:line="245" w:lineRule="auto"/>
        <w:tabs>
          <w:tab w:leader="none" w:pos="2796"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if practicable, notify the Other Eligible Members in writing of a proposed Transfer not less than twenty (20) days prior to the date of such proposed Transfer, but in no event fewer than 5 days (the “Transferor Tag-Along Notice/Class B Tag”). The Transferor Tag-Along Notice/Class B Tag shall include (i) the name and address of the Third Party, (ii) the Tag-Along Interest/Class B Tag to be Transferred, (iii) the Class B Maximum Amount for each Other Class B Eligible Member (which the Company shall confirm upon request of the Tag-Along Seller/Class B Tag prior to the delivery of such notice), (iv) the purchase price and terms and conditions of payment, (v) the other material terms and conditions of the transaction, and (vi) the proposed closing date of the transaction (collectively, the “Third Party Terms/Class B Tag”).</w:t>
      </w:r>
    </w:p>
    <w:p>
      <w:pPr>
        <w:spacing w:after="0" w:line="177" w:lineRule="exact"/>
        <w:rPr>
          <w:rFonts w:ascii="Times New Roman" w:cs="Times New Roman" w:eastAsia="Times New Roman" w:hAnsi="Times New Roman"/>
          <w:sz w:val="21"/>
          <w:szCs w:val="21"/>
          <w:color w:val="auto"/>
        </w:rPr>
      </w:pPr>
    </w:p>
    <w:p>
      <w:pPr>
        <w:jc w:val="both"/>
        <w:ind w:left="1500" w:right="219" w:firstLine="653"/>
        <w:spacing w:after="0" w:line="233" w:lineRule="auto"/>
        <w:tabs>
          <w:tab w:leader="none" w:pos="27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tag-along right provided for in this </w:t>
      </w:r>
      <w:r>
        <w:rPr>
          <w:rFonts w:ascii="Times New Roman" w:cs="Times New Roman" w:eastAsia="Times New Roman" w:hAnsi="Times New Roman"/>
          <w:sz w:val="22"/>
          <w:szCs w:val="22"/>
          <w:u w:val="single" w:color="auto"/>
          <w:color w:val="auto"/>
        </w:rPr>
        <w:t>Section 13.21</w:t>
      </w:r>
      <w:r>
        <w:rPr>
          <w:rFonts w:ascii="Times New Roman" w:cs="Times New Roman" w:eastAsia="Times New Roman" w:hAnsi="Times New Roman"/>
          <w:sz w:val="22"/>
          <w:szCs w:val="22"/>
          <w:color w:val="auto"/>
        </w:rPr>
        <w:t xml:space="preserve"> may be exercised by any Other Class B Eligible Member (each such exercising Other Class B Eligible Member, a “Class B Tagging Member”) by delivery of a written notice to the Company, the Tag-Along Seller(s)/Class B Tag and the Third Party (the “Class B Tag-Along Notice”) within five (5) days following receipt of the Transferor Tag-Along Notice/Class B Tag (the “Class B Tag-Along Period”). The Class B Tag-Along Notice shall state the Eligible Class B Tag-Along Units that such Class B Tagging Member wishes to include in such Transfer to the Third Party, which must equal the Class B Maximum Amount for such Member. The failure of an Other Class B Eligible Member to deliver a Class B Tag-Along Notice meeting the requirements of this </w:t>
      </w:r>
      <w:r>
        <w:rPr>
          <w:rFonts w:ascii="Times New Roman" w:cs="Times New Roman" w:eastAsia="Times New Roman" w:hAnsi="Times New Roman"/>
          <w:sz w:val="22"/>
          <w:szCs w:val="22"/>
          <w:u w:val="single" w:color="auto"/>
          <w:color w:val="auto"/>
        </w:rPr>
        <w:t>Section 13.21(d</w:t>
      </w:r>
      <w:r>
        <w:rPr>
          <w:rFonts w:ascii="Times New Roman" w:cs="Times New Roman" w:eastAsia="Times New Roman" w:hAnsi="Times New Roman"/>
          <w:sz w:val="22"/>
          <w:szCs w:val="22"/>
          <w:color w:val="auto"/>
        </w:rPr>
        <w:t>) within the Class B Tag-Along Period shall constitute a waiver of such Other Class B Eligible Member’s tag-along rights with respect to such proposed Transfer.</w:t>
      </w:r>
    </w:p>
    <w:p>
      <w:pPr>
        <w:spacing w:after="0" w:line="182" w:lineRule="exact"/>
        <w:rPr>
          <w:rFonts w:ascii="Times New Roman" w:cs="Times New Roman" w:eastAsia="Times New Roman" w:hAnsi="Times New Roman"/>
          <w:sz w:val="22"/>
          <w:szCs w:val="22"/>
          <w:color w:val="auto"/>
        </w:rPr>
      </w:pPr>
    </w:p>
    <w:p>
      <w:pPr>
        <w:jc w:val="both"/>
        <w:ind w:left="1500" w:right="219" w:firstLine="653"/>
        <w:spacing w:after="0" w:line="245" w:lineRule="auto"/>
        <w:tabs>
          <w:tab w:leader="none" w:pos="2796"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giving of its Class B Tag-Along Notice, a Class B Tagging Member shall be obligated to sell to the Third Party the number of its Eligible Class B Tag-Along Units set forth in its Class B Tag-Along Notice on the Third Party Terms/Class B Tag; provided, however, that neither the Tag-Along Seller/Class B Tag nor any Class B Tagging Member shall consummate the sale of any of their respective Eligible Tag-Along Units or Class B Eligible Tag-Along Units unless the Third Party purchases, on the Third Party Terms/Class B Tag, all of the Eligible Class B Tag-Along Units contained in the Class B Tag-Along Notices that the Class B Tagging Members are entitled to sell under the terms of this </w:t>
      </w:r>
      <w:r>
        <w:rPr>
          <w:rFonts w:ascii="Times New Roman" w:cs="Times New Roman" w:eastAsia="Times New Roman" w:hAnsi="Times New Roman"/>
          <w:sz w:val="21"/>
          <w:szCs w:val="21"/>
          <w:u w:val="single" w:color="auto"/>
          <w:color w:val="auto"/>
        </w:rPr>
        <w:t>Section 13.21</w:t>
      </w:r>
      <w:r>
        <w:rPr>
          <w:rFonts w:ascii="Times New Roman" w:cs="Times New Roman" w:eastAsia="Times New Roman" w:hAnsi="Times New Roman"/>
          <w:sz w:val="21"/>
          <w:szCs w:val="21"/>
          <w:color w:val="auto"/>
        </w:rPr>
        <w:t xml:space="preserve">. If the Third Party does not purchase Eligible Class B Tag-Along Units entitled to be sold by any Class B Tagging Member that has complied with the terms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13.21</w:t>
      </w:r>
      <w:r>
        <w:rPr>
          <w:rFonts w:ascii="Times New Roman" w:cs="Times New Roman" w:eastAsia="Times New Roman" w:hAnsi="Times New Roman"/>
          <w:sz w:val="21"/>
          <w:szCs w:val="21"/>
          <w:color w:val="auto"/>
        </w:rPr>
        <w:t>, then any Transfer by the Tag-Along Seller(s)/Class B Tag and any Other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6" w:name="page127"/>
    <w:bookmarkEnd w:id="126"/>
    <w:p>
      <w:pPr>
        <w:ind w:left="1500" w:right="239"/>
        <w:spacing w:after="0" w:line="258" w:lineRule="auto"/>
        <w:rPr>
          <w:sz w:val="20"/>
          <w:szCs w:val="20"/>
          <w:color w:val="auto"/>
        </w:rPr>
      </w:pPr>
      <w:r>
        <w:rPr>
          <w:rFonts w:ascii="Times New Roman" w:cs="Times New Roman" w:eastAsia="Times New Roman" w:hAnsi="Times New Roman"/>
          <w:sz w:val="22"/>
          <w:szCs w:val="22"/>
          <w:color w:val="auto"/>
        </w:rPr>
        <w:t>Class B Eligible Member to such Third Party shall be null and void and of no effect whatsoever.</w:t>
      </w:r>
    </w:p>
    <w:p>
      <w:pPr>
        <w:spacing w:after="0" w:line="158" w:lineRule="exact"/>
        <w:rPr>
          <w:sz w:val="20"/>
          <w:szCs w:val="20"/>
          <w:color w:val="auto"/>
        </w:rPr>
      </w:pPr>
    </w:p>
    <w:p>
      <w:pPr>
        <w:jc w:val="both"/>
        <w:ind w:left="1500" w:right="219" w:firstLine="653"/>
        <w:spacing w:after="0" w:line="239" w:lineRule="auto"/>
        <w:tabs>
          <w:tab w:leader="none" w:pos="27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Eligible Class B Tag-Along Units purchased from a Class B Tagging Member pursuant to this </w:t>
      </w:r>
      <w:r>
        <w:rPr>
          <w:rFonts w:ascii="Times New Roman" w:cs="Times New Roman" w:eastAsia="Times New Roman" w:hAnsi="Times New Roman"/>
          <w:sz w:val="22"/>
          <w:szCs w:val="22"/>
          <w:u w:val="single" w:color="auto"/>
          <w:color w:val="auto"/>
        </w:rPr>
        <w:t>Section 13.21</w:t>
      </w:r>
      <w:r>
        <w:rPr>
          <w:rFonts w:ascii="Times New Roman" w:cs="Times New Roman" w:eastAsia="Times New Roman" w:hAnsi="Times New Roman"/>
          <w:sz w:val="22"/>
          <w:szCs w:val="22"/>
          <w:color w:val="auto"/>
        </w:rPr>
        <w:t xml:space="preserve"> shall be purchased at the same price and same type of consideration and on the same terms and conditions as the Transfer by the Tag-Along Seller/Class B Tag.</w:t>
      </w:r>
    </w:p>
    <w:p>
      <w:pPr>
        <w:spacing w:after="0" w:line="180" w:lineRule="exact"/>
        <w:rPr>
          <w:rFonts w:ascii="Times New Roman" w:cs="Times New Roman" w:eastAsia="Times New Roman" w:hAnsi="Times New Roman"/>
          <w:sz w:val="22"/>
          <w:szCs w:val="22"/>
          <w:color w:val="auto"/>
        </w:rPr>
      </w:pPr>
    </w:p>
    <w:p>
      <w:pPr>
        <w:jc w:val="both"/>
        <w:ind w:left="1500" w:right="219" w:firstLine="653"/>
        <w:spacing w:after="0" w:line="243" w:lineRule="auto"/>
        <w:tabs>
          <w:tab w:leader="none" w:pos="279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Tag-Along Seller/Class B Tag delivers a Transferor Tag-Along Notice/Class B Tag in accordance with </w:t>
      </w:r>
      <w:r>
        <w:rPr>
          <w:rFonts w:ascii="Times New Roman" w:cs="Times New Roman" w:eastAsia="Times New Roman" w:hAnsi="Times New Roman"/>
          <w:sz w:val="21"/>
          <w:szCs w:val="21"/>
          <w:u w:val="single" w:color="auto"/>
          <w:color w:val="auto"/>
        </w:rPr>
        <w:t>Section 13.21(c)</w:t>
      </w:r>
      <w:r>
        <w:rPr>
          <w:rFonts w:ascii="Times New Roman" w:cs="Times New Roman" w:eastAsia="Times New Roman" w:hAnsi="Times New Roman"/>
          <w:sz w:val="21"/>
          <w:szCs w:val="21"/>
          <w:color w:val="auto"/>
        </w:rPr>
        <w:t xml:space="preserve"> and complies with the terms of </w:t>
      </w:r>
      <w:r>
        <w:rPr>
          <w:rFonts w:ascii="Times New Roman" w:cs="Times New Roman" w:eastAsia="Times New Roman" w:hAnsi="Times New Roman"/>
          <w:sz w:val="21"/>
          <w:szCs w:val="21"/>
          <w:u w:val="single" w:color="auto"/>
          <w:color w:val="auto"/>
        </w:rPr>
        <w:t>Section 13.21</w:t>
      </w:r>
      <w:r>
        <w:rPr>
          <w:rFonts w:ascii="Times New Roman" w:cs="Times New Roman" w:eastAsia="Times New Roman" w:hAnsi="Times New Roman"/>
          <w:sz w:val="21"/>
          <w:szCs w:val="21"/>
          <w:color w:val="auto"/>
        </w:rPr>
        <w:t xml:space="preserve">, the Tag-Along Seller/Class B Tag shall have the right to Transfer its Tag-Along Interest/Class B Tag to the Third Party at a price not more than the purchase price set forth in the Transferor Tag-Along Notice/Class B Tag and otherwise in all material respects on the terms, provisions and conditions set forth in the Transferor Tag-Along Notice/Class B Tag, so long as such Transfer takes place within one hundred eighty (180) days after the date on which the Transferor Tag-Along Notice/Class B Tag is delivered (as such period may be extended to the extent reasonably required pursuant to applicable law or regulation). In the event that such Transfer shall not have taken place within such one hundred eighty (180)-day period (provided, further, that, if the Transfer of the Tag-Along /Class B Tag is subject to any prior regulatory approval, the time period during which such Transfer may be consummated shall be extended until the expiration of five (5) Business Days after all such approvals shall have been received), the Tag-Along Seller/Class B Tag shall not be permitted to Transfer all or any portion of such Tag-Along Interest/Class B Tag without once again complying with the provisions of this </w:t>
      </w:r>
      <w:r>
        <w:rPr>
          <w:rFonts w:ascii="Times New Roman" w:cs="Times New Roman" w:eastAsia="Times New Roman" w:hAnsi="Times New Roman"/>
          <w:sz w:val="21"/>
          <w:szCs w:val="21"/>
          <w:u w:val="single" w:color="auto"/>
          <w:color w:val="auto"/>
        </w:rPr>
        <w:t>Section 13.21</w:t>
      </w:r>
      <w:r>
        <w:rPr>
          <w:rFonts w:ascii="Times New Roman" w:cs="Times New Roman" w:eastAsia="Times New Roman" w:hAnsi="Times New Roman"/>
          <w:sz w:val="21"/>
          <w:szCs w:val="21"/>
          <w:color w:val="auto"/>
        </w:rPr>
        <w:t xml:space="preserve">. If the terms of such proposed Transfer are different in any material respect from the terms, provisions and conditions set forth in the Transferor Tag-Along Notice/Class B Tag (in a manner that is beneficial to the Tag-Along Seller/Class B Tag), the Tag-Along Seller/Class B Tag shall deliver to the Other Class B Eligible Members a revised Transferor Tag-Along Notice/Class B Tag, and shall again comply with all of the requirements of this </w:t>
      </w:r>
      <w:r>
        <w:rPr>
          <w:rFonts w:ascii="Times New Roman" w:cs="Times New Roman" w:eastAsia="Times New Roman" w:hAnsi="Times New Roman"/>
          <w:sz w:val="21"/>
          <w:szCs w:val="21"/>
          <w:u w:val="single" w:color="auto"/>
          <w:color w:val="auto"/>
        </w:rPr>
        <w:t>Section 13.21</w:t>
      </w:r>
      <w:r>
        <w:rPr>
          <w:rFonts w:ascii="Times New Roman" w:cs="Times New Roman" w:eastAsia="Times New Roman" w:hAnsi="Times New Roman"/>
          <w:sz w:val="21"/>
          <w:szCs w:val="21"/>
          <w:color w:val="auto"/>
        </w:rPr>
        <w:t>.</w:t>
      </w:r>
    </w:p>
    <w:p>
      <w:pPr>
        <w:spacing w:after="0" w:line="181" w:lineRule="exact"/>
        <w:rPr>
          <w:rFonts w:ascii="Times New Roman" w:cs="Times New Roman" w:eastAsia="Times New Roman" w:hAnsi="Times New Roman"/>
          <w:sz w:val="21"/>
          <w:szCs w:val="21"/>
          <w:color w:val="auto"/>
        </w:rPr>
      </w:pPr>
    </w:p>
    <w:p>
      <w:pPr>
        <w:jc w:val="both"/>
        <w:ind w:left="1500" w:right="219" w:firstLine="653"/>
        <w:spacing w:after="0" w:line="234" w:lineRule="auto"/>
        <w:tabs>
          <w:tab w:leader="none" w:pos="27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reasonable attorney’s fees of one counsel designated by the Tag-Along Seller(s)/Class B Tag and the other reasonable costs and expenses incurred by the Tag-Along Seller(s)/Class B Tag), and the Company in connection with any proposed Transfer pursuant to this </w:t>
      </w:r>
      <w:r>
        <w:rPr>
          <w:rFonts w:ascii="Times New Roman" w:cs="Times New Roman" w:eastAsia="Times New Roman" w:hAnsi="Times New Roman"/>
          <w:sz w:val="22"/>
          <w:szCs w:val="22"/>
          <w:u w:val="single" w:color="auto"/>
          <w:color w:val="auto"/>
        </w:rPr>
        <w:t>Section 13.21</w:t>
      </w:r>
      <w:r>
        <w:rPr>
          <w:rFonts w:ascii="Times New Roman" w:cs="Times New Roman" w:eastAsia="Times New Roman" w:hAnsi="Times New Roman"/>
          <w:sz w:val="22"/>
          <w:szCs w:val="22"/>
          <w:color w:val="auto"/>
        </w:rPr>
        <w:t xml:space="preserve"> (whether or not consummated) (including accounting fees and charges and all finders, brokerage or investment banking fees, charges or commissions (but only if the Company engages such advisers)), will be paid by the Company. Any other costs and expenses incurred by or on behalf of any or all of the other Class B Tagging Members in connection with any proposed Transfer pursuant to this </w:t>
      </w:r>
      <w:r>
        <w:rPr>
          <w:rFonts w:ascii="Times New Roman" w:cs="Times New Roman" w:eastAsia="Times New Roman" w:hAnsi="Times New Roman"/>
          <w:sz w:val="22"/>
          <w:szCs w:val="22"/>
          <w:u w:val="single" w:color="auto"/>
          <w:color w:val="auto"/>
        </w:rPr>
        <w:t>Section 13.21</w:t>
      </w:r>
      <w:r>
        <w:rPr>
          <w:rFonts w:ascii="Times New Roman" w:cs="Times New Roman" w:eastAsia="Times New Roman" w:hAnsi="Times New Roman"/>
          <w:sz w:val="22"/>
          <w:szCs w:val="22"/>
          <w:color w:val="auto"/>
        </w:rPr>
        <w:t xml:space="preserve"> (whether or not consummated) will be borne by such Class B Tagging Members.</w:t>
      </w:r>
    </w:p>
    <w:p>
      <w:pPr>
        <w:spacing w:after="0" w:line="179" w:lineRule="exact"/>
        <w:rPr>
          <w:rFonts w:ascii="Times New Roman" w:cs="Times New Roman" w:eastAsia="Times New Roman" w:hAnsi="Times New Roman"/>
          <w:sz w:val="22"/>
          <w:szCs w:val="22"/>
          <w:color w:val="auto"/>
        </w:rPr>
      </w:pPr>
    </w:p>
    <w:p>
      <w:pPr>
        <w:jc w:val="both"/>
        <w:ind w:left="1500" w:right="219" w:firstLine="653"/>
        <w:spacing w:after="0" w:line="261" w:lineRule="auto"/>
        <w:tabs>
          <w:tab w:leader="none" w:pos="279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avoidance of doubt, the provisions of this </w:t>
      </w:r>
      <w:r>
        <w:rPr>
          <w:rFonts w:ascii="Times New Roman" w:cs="Times New Roman" w:eastAsia="Times New Roman" w:hAnsi="Times New Roman"/>
          <w:sz w:val="21"/>
          <w:szCs w:val="21"/>
          <w:u w:val="single" w:color="auto"/>
          <w:color w:val="auto"/>
        </w:rPr>
        <w:t>Section 13.21</w:t>
      </w:r>
      <w:r>
        <w:rPr>
          <w:rFonts w:ascii="Times New Roman" w:cs="Times New Roman" w:eastAsia="Times New Roman" w:hAnsi="Times New Roman"/>
          <w:sz w:val="21"/>
          <w:szCs w:val="21"/>
          <w:color w:val="auto"/>
        </w:rPr>
        <w:t xml:space="preserve"> shall not apply to any proposed Transfer of Units (A) pursuant to </w:t>
      </w:r>
      <w:r>
        <w:rPr>
          <w:rFonts w:ascii="Times New Roman" w:cs="Times New Roman" w:eastAsia="Times New Roman" w:hAnsi="Times New Roman"/>
          <w:sz w:val="21"/>
          <w:szCs w:val="21"/>
          <w:u w:val="single" w:color="auto"/>
          <w:color w:val="auto"/>
        </w:rPr>
        <w:t>Section 13.7</w:t>
      </w:r>
      <w:r>
        <w:rPr>
          <w:rFonts w:ascii="Times New Roman" w:cs="Times New Roman" w:eastAsia="Times New Roman" w:hAnsi="Times New Roman"/>
          <w:sz w:val="21"/>
          <w:szCs w:val="21"/>
          <w:color w:val="auto"/>
        </w:rPr>
        <w:t xml:space="preserve"> , (B) to a Permitted Transferee, (C) in a Qualified Spinoff, (D) in a Qualified IPO, (E)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7" w:name="page128"/>
    <w:bookmarkEnd w:id="127"/>
    <w:p>
      <w:pPr>
        <w:jc w:val="both"/>
        <w:ind w:left="1500" w:right="219"/>
        <w:spacing w:after="0" w:line="239" w:lineRule="auto"/>
        <w:rPr>
          <w:sz w:val="20"/>
          <w:szCs w:val="20"/>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(F) that is a REIT Compliance Transfer to the extent such provisions would reasonably be expected to prevent the Ryman Member from completing such REIT Compliance Transfer by the REIT Compliance Date or (G) to the Company or between the Ryman Member and the Investor Member.</w:t>
      </w:r>
    </w:p>
    <w:p>
      <w:pPr>
        <w:spacing w:after="0" w:line="180" w:lineRule="exact"/>
        <w:rPr>
          <w:sz w:val="20"/>
          <w:szCs w:val="20"/>
          <w:color w:val="auto"/>
        </w:rPr>
      </w:pPr>
    </w:p>
    <w:p>
      <w:pPr>
        <w:jc w:val="both"/>
        <w:ind w:left="1500" w:right="879" w:firstLine="653"/>
        <w:spacing w:after="0" w:line="238" w:lineRule="auto"/>
        <w:tabs>
          <w:tab w:leader="none" w:pos="279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Investor Member exercises rights pursuant to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followed by any exercise of rights under this section, the number of Units to be sold by both the Ryman Member and the Investor Member pursuant to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will be proportionally adjusted to account for any rights pursuant to this </w:t>
      </w:r>
      <w:r>
        <w:rPr>
          <w:rFonts w:ascii="Times New Roman" w:cs="Times New Roman" w:eastAsia="Times New Roman" w:hAnsi="Times New Roman"/>
          <w:sz w:val="22"/>
          <w:szCs w:val="22"/>
          <w:u w:val="single" w:color="auto"/>
          <w:color w:val="auto"/>
        </w:rPr>
        <w:t>Section 13.21</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left="200" w:right="219" w:firstLine="657"/>
        <w:spacing w:after="0" w:line="237" w:lineRule="auto"/>
        <w:tabs>
          <w:tab w:leader="none" w:pos="14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Miscellaneous. </w:t>
      </w:r>
      <w:r>
        <w:rPr>
          <w:rFonts w:ascii="Times New Roman" w:cs="Times New Roman" w:eastAsia="Times New Roman" w:hAnsi="Times New Roman"/>
          <w:sz w:val="22"/>
          <w:szCs w:val="22"/>
          <w:color w:val="auto"/>
        </w:rPr>
        <w:t>Capitalized terms not otherwise defined in this Amendment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the meaning set forth in the LLC Agreement. This Amendment shall be governed by and construed in accordance with the laws of the State of Delaware and may be executed in one or more counterparts, each of which shall be deemed an original and all of which shall constitute a complete document. Except as amended by this Amendment, the terms and provisions of the LLC Agreement remain unchanged and in full force and effect as in effect on the date hereof.</w:t>
      </w:r>
    </w:p>
    <w:p>
      <w:pPr>
        <w:spacing w:after="0" w:line="179" w:lineRule="exact"/>
        <w:rPr>
          <w:rFonts w:ascii="Times New Roman" w:cs="Times New Roman" w:eastAsia="Times New Roman" w:hAnsi="Times New Roman"/>
          <w:sz w:val="22"/>
          <w:szCs w:val="22"/>
          <w:color w:val="auto"/>
        </w:rPr>
      </w:pPr>
    </w:p>
    <w:p>
      <w:pPr>
        <w:ind w:left="3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8" w:name="page129"/>
    <w:bookmarkEnd w:id="128"/>
    <w:p>
      <w:pPr>
        <w:ind w:left="860"/>
        <w:spacing w:after="0"/>
        <w:rPr>
          <w:sz w:val="20"/>
          <w:szCs w:val="20"/>
          <w:color w:val="auto"/>
        </w:rPr>
      </w:pPr>
      <w:r>
        <w:rPr>
          <w:rFonts w:ascii="Times New Roman" w:cs="Times New Roman" w:eastAsia="Times New Roman" w:hAnsi="Times New Roman"/>
          <w:sz w:val="21"/>
          <w:szCs w:val="21"/>
          <w:color w:val="auto"/>
        </w:rPr>
        <w:t>IN WITNESS WHEREOF, this Amendment is executed as of the day first written above.</w:t>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0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OEG ATTRACTIONS HOLDINGS, LLC</w:t>
      </w: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Colin Reed</w:t>
      </w:r>
    </w:p>
    <w:p>
      <w:pPr>
        <w:spacing w:after="0" w:line="2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Colin Reed</w:t>
      </w:r>
    </w:p>
    <w:p>
      <w:pPr>
        <w:spacing w:after="0" w:line="233"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u w:val="single" w:color="auto"/>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645160</wp:posOffset>
            </wp:positionV>
            <wp:extent cx="545211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29" w:name="page130"/>
    <w:bookmarkEnd w:id="129"/>
    <w:p>
      <w:pPr>
        <w:ind w:left="860"/>
        <w:spacing w:after="0"/>
        <w:rPr>
          <w:sz w:val="20"/>
          <w:szCs w:val="20"/>
          <w:color w:val="auto"/>
        </w:rPr>
      </w:pPr>
      <w:r>
        <w:rPr>
          <w:rFonts w:ascii="Times New Roman" w:cs="Times New Roman" w:eastAsia="Times New Roman" w:hAnsi="Times New Roman"/>
          <w:sz w:val="21"/>
          <w:szCs w:val="21"/>
          <w:color w:val="auto"/>
        </w:rPr>
        <w:t>IN WITNESS WHEREOF, this Amendment is executed as of the day first written above.</w:t>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u w:val="single" w:color="auto"/>
          <w:color w:val="auto"/>
        </w:rPr>
        <w:t>RYMAN MEMBER</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RHP HOTELS, LLC</w:t>
      </w: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Mark Fioravanti</w:t>
      </w:r>
    </w:p>
    <w:p>
      <w:pPr>
        <w:spacing w:after="0" w:line="2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 xml:space="preserve">Name: </w:t>
      </w:r>
      <w:r>
        <w:rPr>
          <w:rFonts w:ascii="Times New Roman" w:cs="Times New Roman" w:eastAsia="Times New Roman" w:hAnsi="Times New Roman"/>
          <w:sz w:val="21"/>
          <w:szCs w:val="21"/>
          <w:u w:val="single" w:color="auto"/>
          <w:color w:val="auto"/>
        </w:rPr>
        <w:t>Mark Fioravanti</w:t>
      </w:r>
    </w:p>
    <w:p>
      <w:pPr>
        <w:spacing w:after="0" w:line="245"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u w:val="single" w:color="auto"/>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799465</wp:posOffset>
            </wp:positionV>
            <wp:extent cx="54521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30" w:name="page131"/>
    <w:bookmarkEnd w:id="130"/>
    <w:p>
      <w:pPr>
        <w:ind w:left="860"/>
        <w:spacing w:after="0"/>
        <w:rPr>
          <w:sz w:val="20"/>
          <w:szCs w:val="20"/>
          <w:color w:val="auto"/>
        </w:rPr>
      </w:pPr>
      <w:r>
        <w:rPr>
          <w:rFonts w:ascii="Times New Roman" w:cs="Times New Roman" w:eastAsia="Times New Roman" w:hAnsi="Times New Roman"/>
          <w:sz w:val="21"/>
          <w:szCs w:val="21"/>
          <w:color w:val="auto"/>
        </w:rPr>
        <w:t>IN WITNESS WHEREOF, this Amendment is executed as of the day first written above.</w:t>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u w:val="single" w:color="auto"/>
          <w:color w:val="auto"/>
        </w:rPr>
        <w:t>INVESTOR MEMBER</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b w:val="1"/>
          <w:bCs w:val="1"/>
          <w:color w:val="auto"/>
        </w:rPr>
        <w:t>A-OEG HOLDINGS, LLC</w:t>
      </w:r>
    </w:p>
    <w:p>
      <w:pPr>
        <w:spacing w:after="0" w:line="200" w:lineRule="exact"/>
        <w:rPr>
          <w:sz w:val="20"/>
          <w:szCs w:val="20"/>
          <w:color w:val="auto"/>
        </w:rPr>
      </w:pPr>
    </w:p>
    <w:p>
      <w:pPr>
        <w:spacing w:after="0" w:line="26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Alexander Evans</w:t>
      </w:r>
    </w:p>
    <w:p>
      <w:pPr>
        <w:spacing w:after="0" w:line="2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Alexander Evans</w:t>
      </w:r>
    </w:p>
    <w:p>
      <w:pPr>
        <w:spacing w:after="0" w:line="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 xml:space="preserve">Title:  </w:t>
      </w:r>
      <w:r>
        <w:rPr>
          <w:rFonts w:ascii="Times New Roman" w:cs="Times New Roman" w:eastAsia="Times New Roman" w:hAnsi="Times New Roman"/>
          <w:sz w:val="21"/>
          <w:szCs w:val="21"/>
          <w:u w:val="single" w:color="auto"/>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885825</wp:posOffset>
            </wp:positionV>
            <wp:extent cx="545211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31" w:name="page132"/>
    <w:bookmarkEnd w:id="131"/>
    <w:p>
      <w:pPr>
        <w:ind w:left="6040"/>
        <w:spacing w:after="0"/>
        <w:rPr>
          <w:sz w:val="20"/>
          <w:szCs w:val="20"/>
          <w:color w:val="auto"/>
        </w:rPr>
      </w:pPr>
      <w:r>
        <w:rPr>
          <w:rFonts w:ascii="Times New Roman" w:cs="Times New Roman" w:eastAsia="Times New Roman" w:hAnsi="Times New Roman"/>
          <w:sz w:val="22"/>
          <w:szCs w:val="22"/>
          <w:b w:val="1"/>
          <w:bCs w:val="1"/>
          <w:color w:val="auto"/>
        </w:rPr>
        <w:t>EXHIBIT A-1</w:t>
      </w:r>
    </w:p>
    <w:p>
      <w:pPr>
        <w:spacing w:after="0" w:line="20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OEG ATTRACTIONS HOLDINGS, LLC</w:t>
      </w:r>
    </w:p>
    <w:p>
      <w:pPr>
        <w:spacing w:after="0" w:line="20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JOINDER</w:t>
      </w:r>
    </w:p>
    <w:p>
      <w:pPr>
        <w:spacing w:after="0" w:line="210" w:lineRule="exact"/>
        <w:rPr>
          <w:sz w:val="20"/>
          <w:szCs w:val="20"/>
          <w:color w:val="auto"/>
        </w:rPr>
      </w:pPr>
    </w:p>
    <w:p>
      <w:pPr>
        <w:ind w:left="200" w:right="239" w:firstLine="648"/>
        <w:spacing w:after="0" w:line="248" w:lineRule="auto"/>
        <w:rPr>
          <w:sz w:val="20"/>
          <w:szCs w:val="20"/>
          <w:color w:val="auto"/>
        </w:rPr>
      </w:pPr>
      <w:r>
        <w:rPr>
          <w:rFonts w:ascii="Times New Roman" w:cs="Times New Roman" w:eastAsia="Times New Roman" w:hAnsi="Times New Roman"/>
          <w:sz w:val="21"/>
          <w:szCs w:val="21"/>
          <w:color w:val="auto"/>
        </w:rPr>
        <w:t>The undersigned is executing and delivering this Joinder Agreement pursuant to the Second Amended and Restated Limited Liability Company Agreement for OEG Attractions Holdings, LLC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dated as of June 16, 2022 (as amended by Amendment No. 1 to the Second Amended and Restated Limited Liability Company Agreement for the Company dated January 12, 2024, and as further amended, supplemented or otherwise modified in accordance with the terms thereof, the “</w:t>
      </w:r>
      <w:r>
        <w:rPr>
          <w:rFonts w:ascii="Times New Roman" w:cs="Times New Roman" w:eastAsia="Times New Roman" w:hAnsi="Times New Roman"/>
          <w:sz w:val="21"/>
          <w:szCs w:val="21"/>
          <w:u w:val="single" w:color="auto"/>
          <w:color w:val="auto"/>
        </w:rPr>
        <w:t>LLC Agreement</w:t>
      </w:r>
      <w:r>
        <w:rPr>
          <w:rFonts w:ascii="Times New Roman" w:cs="Times New Roman" w:eastAsia="Times New Roman" w:hAnsi="Times New Roman"/>
          <w:sz w:val="21"/>
          <w:szCs w:val="21"/>
          <w:color w:val="auto"/>
        </w:rPr>
        <w:t>”). Capitalized terms used but not defined in this Joinder Agreement shall have the respective meanings ascribed to them in the LLC Agreement.</w:t>
      </w:r>
    </w:p>
    <w:p>
      <w:pPr>
        <w:spacing w:after="0" w:line="170" w:lineRule="exact"/>
        <w:rPr>
          <w:sz w:val="20"/>
          <w:szCs w:val="20"/>
          <w:color w:val="auto"/>
        </w:rPr>
      </w:pPr>
    </w:p>
    <w:p>
      <w:pPr>
        <w:ind w:left="200" w:right="499" w:firstLine="648"/>
        <w:spacing w:after="0" w:line="282" w:lineRule="auto"/>
        <w:rPr>
          <w:sz w:val="20"/>
          <w:szCs w:val="20"/>
          <w:color w:val="auto"/>
        </w:rPr>
      </w:pPr>
      <w:r>
        <w:rPr>
          <w:rFonts w:ascii="Times New Roman" w:cs="Times New Roman" w:eastAsia="Times New Roman" w:hAnsi="Times New Roman"/>
          <w:sz w:val="21"/>
          <w:szCs w:val="21"/>
          <w:color w:val="auto"/>
        </w:rPr>
        <w:t>The undersigned acknowledges receipt of [] Class B Units of Membership Interest in the Company in consideration of [$] per Class B Unit paid to the Company by the undersigned.</w:t>
      </w:r>
    </w:p>
    <w:p>
      <w:pPr>
        <w:spacing w:after="0" w:line="135" w:lineRule="exact"/>
        <w:rPr>
          <w:sz w:val="20"/>
          <w:szCs w:val="20"/>
          <w:color w:val="auto"/>
        </w:rPr>
      </w:pPr>
    </w:p>
    <w:p>
      <w:pPr>
        <w:ind w:left="200" w:right="359" w:firstLine="648"/>
        <w:spacing w:after="0" w:line="235" w:lineRule="auto"/>
        <w:rPr>
          <w:sz w:val="20"/>
          <w:szCs w:val="20"/>
          <w:color w:val="auto"/>
        </w:rPr>
      </w:pPr>
      <w:r>
        <w:rPr>
          <w:rFonts w:ascii="Times New Roman" w:cs="Times New Roman" w:eastAsia="Times New Roman" w:hAnsi="Times New Roman"/>
          <w:sz w:val="22"/>
          <w:szCs w:val="22"/>
          <w:color w:val="auto"/>
        </w:rPr>
        <w:t>By executing and delivering this Joinder Agreement to the LLC Agreement, the undersigned hereby agrees to be admitted as a Class B Member of the Company with the rights and entitlements specific to the Class B Units, and to become a party to, to be bound by, and to comply with the provisions of the LLC Agreement in the same manner as if the undersigned were a direct signatory to such agreement as a Member holding Class B Units. The undersigned acknowledges and hereby makes the representations and warranties of a Member in the LLC Agreement, including those in Section 12.1 of the LLC Agreement, all of which are true and correct.</w:t>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Accordingly, the undersigned has executed and delivered this Joinder Agreement as of the</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 day of ____________, 20_.</w:t>
      </w:r>
    </w:p>
    <w:p>
      <w:pPr>
        <w:ind w:left="4100"/>
        <w:spacing w:after="0" w:line="230" w:lineRule="auto"/>
        <w:rPr>
          <w:sz w:val="20"/>
          <w:szCs w:val="20"/>
          <w:color w:val="auto"/>
        </w:rPr>
      </w:pPr>
      <w:r>
        <w:rPr>
          <w:rFonts w:ascii="Times New Roman" w:cs="Times New Roman" w:eastAsia="Times New Roman" w:hAnsi="Times New Roman"/>
          <w:sz w:val="22"/>
          <w:szCs w:val="22"/>
          <w:u w:val="single" w:color="auto"/>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wp:posOffset>
            </wp:positionV>
            <wp:extent cx="22282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2228215" cy="8890"/>
                    </a:xfrm>
                    <a:prstGeom prst="rect">
                      <a:avLst/>
                    </a:prstGeom>
                    <a:noFill/>
                  </pic:spPr>
                </pic:pic>
              </a:graphicData>
            </a:graphic>
          </wp:anchor>
        </w:drawing>
      </w:r>
    </w:p>
    <w:p>
      <w:pPr>
        <w:jc w:val="center"/>
        <w:ind w:right="259"/>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398780</wp:posOffset>
            </wp:positionV>
            <wp:extent cx="24676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2467610" cy="889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553085</wp:posOffset>
            </wp:positionV>
            <wp:extent cx="24676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2467610" cy="889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707390</wp:posOffset>
            </wp:positionV>
            <wp:extent cx="24676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2467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Address</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Accepted:</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OEG Attractions Holdings, LLC</w:t>
      </w: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By:_______________________­</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Name:_____________________</w:t>
      </w:r>
    </w:p>
    <w:p>
      <w:pPr>
        <w:ind w:left="200"/>
        <w:spacing w:after="0" w:line="227" w:lineRule="auto"/>
        <w:rPr>
          <w:sz w:val="20"/>
          <w:szCs w:val="20"/>
          <w:color w:val="auto"/>
        </w:rPr>
      </w:pPr>
      <w:r>
        <w:rPr>
          <w:rFonts w:ascii="Times New Roman" w:cs="Times New Roman" w:eastAsia="Times New Roman" w:hAnsi="Times New Roman"/>
          <w:sz w:val="22"/>
          <w:szCs w:val="22"/>
          <w:color w:val="auto"/>
        </w:rPr>
        <w:t>Its:________________________</w:t>
      </w:r>
    </w:p>
    <w:p>
      <w:pPr>
        <w:ind w:left="200"/>
        <w:spacing w:after="0"/>
        <w:rPr>
          <w:sz w:val="20"/>
          <w:szCs w:val="20"/>
          <w:color w:val="auto"/>
        </w:rPr>
      </w:pPr>
      <w:r>
        <w:rPr>
          <w:rFonts w:ascii="Times New Roman" w:cs="Times New Roman" w:eastAsia="Times New Roman" w:hAnsi="Times New Roman"/>
          <w:sz w:val="14"/>
          <w:szCs w:val="14"/>
          <w:color w:val="auto"/>
        </w:rPr>
        <w:t>35671203.9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476250</wp:posOffset>
            </wp:positionV>
            <wp:extent cx="545211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32" w:name="page133"/>
    <w:bookmarkEnd w:id="132"/>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10.34</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Ryman Hospitality Properties, Inc. (the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Summary of Director and Executive Officer Compensation</w:t>
      </w:r>
    </w:p>
    <w:p>
      <w:pPr>
        <w:spacing w:after="0" w:line="237" w:lineRule="exact"/>
        <w:rPr>
          <w:sz w:val="20"/>
          <w:szCs w:val="20"/>
          <w:color w:val="auto"/>
        </w:rPr>
      </w:pPr>
    </w:p>
    <w:p>
      <w:pPr>
        <w:jc w:val="both"/>
        <w:ind w:left="200" w:right="439" w:firstLine="9"/>
        <w:spacing w:after="0" w:line="263" w:lineRule="auto"/>
        <w:tabs>
          <w:tab w:leader="none" w:pos="848"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Director Compensation</w:t>
      </w:r>
      <w:r>
        <w:rPr>
          <w:rFonts w:ascii="Times New Roman" w:cs="Times New Roman" w:eastAsia="Times New Roman" w:hAnsi="Times New Roman"/>
          <w:sz w:val="20"/>
          <w:szCs w:val="20"/>
          <w:color w:val="auto"/>
        </w:rPr>
        <w:t>. Directors who are employees of the Company do not receive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for serving as directors of the Company. The following table sets forth current rates of cash compensation for the Company’s non-employee directors.</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Retainers</w:t>
            </w:r>
          </w:p>
        </w:tc>
        <w:tc>
          <w:tcPr>
            <w:tcW w:w="2480" w:type="dxa"/>
            <w:vAlign w:val="bottom"/>
            <w:gridSpan w:val="3"/>
          </w:tcPr>
          <w:p>
            <w:pPr>
              <w:jc w:val="center"/>
              <w:ind w:left="621"/>
              <w:spacing w:after="0"/>
              <w:rPr>
                <w:sz w:val="20"/>
                <w:szCs w:val="20"/>
                <w:color w:val="auto"/>
              </w:rPr>
            </w:pPr>
            <w:r>
              <w:rPr>
                <w:rFonts w:ascii="Times New Roman" w:cs="Times New Roman" w:eastAsia="Times New Roman" w:hAnsi="Times New Roman"/>
                <w:sz w:val="20"/>
                <w:szCs w:val="20"/>
                <w:b w:val="1"/>
                <w:bCs w:val="1"/>
                <w:color w:val="auto"/>
                <w:w w:val="99"/>
              </w:rPr>
              <w:t>2024</w:t>
            </w:r>
          </w:p>
        </w:tc>
      </w:tr>
      <w:tr>
        <w:trPr>
          <w:trHeight w:val="21"/>
        </w:trPr>
        <w:tc>
          <w:tcPr>
            <w:tcW w:w="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Board retainer</w:t>
            </w:r>
          </w:p>
        </w:tc>
        <w:tc>
          <w:tcPr>
            <w:tcW w:w="2480" w:type="dxa"/>
            <w:vAlign w:val="bottom"/>
            <w:gridSpan w:val="3"/>
            <w:shd w:val="clear" w:color="auto" w:fill="CCEEFF"/>
          </w:tcPr>
          <w:p>
            <w:pPr>
              <w:jc w:val="center"/>
              <w:ind w:left="641"/>
              <w:spacing w:after="0"/>
              <w:rPr>
                <w:sz w:val="20"/>
                <w:szCs w:val="20"/>
                <w:color w:val="auto"/>
              </w:rPr>
            </w:pPr>
            <w:r>
              <w:rPr>
                <w:rFonts w:ascii="Times New Roman" w:cs="Times New Roman" w:eastAsia="Times New Roman" w:hAnsi="Times New Roman"/>
                <w:sz w:val="20"/>
                <w:szCs w:val="20"/>
                <w:color w:val="auto"/>
                <w:w w:val="99"/>
              </w:rPr>
              <w:t>$ 65,000</w:t>
            </w:r>
          </w:p>
        </w:tc>
      </w:tr>
      <w:tr>
        <w:trPr>
          <w:trHeight w:val="230"/>
        </w:trPr>
        <w:tc>
          <w:tcPr>
            <w:tcW w:w="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Lead Non-Management Director retainer</w:t>
            </w:r>
          </w:p>
        </w:tc>
        <w:tc>
          <w:tcPr>
            <w:tcW w:w="248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9"/>
              </w:rPr>
              <w:t>$ 30,000</w:t>
            </w:r>
          </w:p>
        </w:tc>
      </w:tr>
      <w:tr>
        <w:trPr>
          <w:trHeight w:val="229"/>
        </w:trPr>
        <w:tc>
          <w:tcPr>
            <w:tcW w:w="8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Audit chair retainer</w:t>
            </w:r>
          </w:p>
        </w:tc>
        <w:tc>
          <w:tcPr>
            <w:tcW w:w="2480" w:type="dxa"/>
            <w:vAlign w:val="bottom"/>
            <w:gridSpan w:val="3"/>
            <w:shd w:val="clear" w:color="auto" w:fill="CCEEFF"/>
          </w:tcPr>
          <w:p>
            <w:pPr>
              <w:jc w:val="center"/>
              <w:ind w:left="641"/>
              <w:spacing w:after="0"/>
              <w:rPr>
                <w:sz w:val="20"/>
                <w:szCs w:val="20"/>
                <w:color w:val="auto"/>
              </w:rPr>
            </w:pPr>
            <w:r>
              <w:rPr>
                <w:rFonts w:ascii="Times New Roman" w:cs="Times New Roman" w:eastAsia="Times New Roman" w:hAnsi="Times New Roman"/>
                <w:sz w:val="20"/>
                <w:szCs w:val="20"/>
                <w:color w:val="auto"/>
                <w:w w:val="99"/>
              </w:rPr>
              <w:t>$ 25,000</w:t>
            </w:r>
          </w:p>
        </w:tc>
      </w:tr>
      <w:tr>
        <w:trPr>
          <w:trHeight w:val="229"/>
        </w:trPr>
        <w:tc>
          <w:tcPr>
            <w:tcW w:w="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Human Resources chair retainer</w:t>
            </w:r>
          </w:p>
        </w:tc>
        <w:tc>
          <w:tcPr>
            <w:tcW w:w="248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9"/>
              </w:rPr>
              <w:t>$ 20,000</w:t>
            </w:r>
          </w:p>
        </w:tc>
      </w:tr>
      <w:tr>
        <w:trPr>
          <w:trHeight w:val="230"/>
        </w:trPr>
        <w:tc>
          <w:tcPr>
            <w:tcW w:w="8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Nominating and Corporate Governance chair retainer</w:t>
            </w:r>
          </w:p>
        </w:tc>
        <w:tc>
          <w:tcPr>
            <w:tcW w:w="2480" w:type="dxa"/>
            <w:vAlign w:val="bottom"/>
            <w:gridSpan w:val="3"/>
            <w:shd w:val="clear" w:color="auto" w:fill="CCEEFF"/>
          </w:tcPr>
          <w:p>
            <w:pPr>
              <w:jc w:val="center"/>
              <w:ind w:left="641"/>
              <w:spacing w:after="0"/>
              <w:rPr>
                <w:sz w:val="20"/>
                <w:szCs w:val="20"/>
                <w:color w:val="auto"/>
              </w:rPr>
            </w:pPr>
            <w:r>
              <w:rPr>
                <w:rFonts w:ascii="Times New Roman" w:cs="Times New Roman" w:eastAsia="Times New Roman" w:hAnsi="Times New Roman"/>
                <w:sz w:val="20"/>
                <w:szCs w:val="20"/>
                <w:color w:val="auto"/>
                <w:w w:val="99"/>
              </w:rPr>
              <w:t>$ 15,000</w:t>
            </w:r>
          </w:p>
        </w:tc>
      </w:tr>
      <w:tr>
        <w:trPr>
          <w:trHeight w:val="229"/>
        </w:trPr>
        <w:tc>
          <w:tcPr>
            <w:tcW w:w="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Audit member retainer</w:t>
            </w:r>
          </w:p>
        </w:tc>
        <w:tc>
          <w:tcPr>
            <w:tcW w:w="248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9"/>
              </w:rPr>
              <w:t>$ 10,000</w:t>
            </w:r>
          </w:p>
        </w:tc>
      </w:tr>
      <w:tr>
        <w:trPr>
          <w:trHeight w:val="230"/>
        </w:trPr>
        <w:tc>
          <w:tcPr>
            <w:tcW w:w="8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Human Resources member retainer</w:t>
            </w:r>
          </w:p>
        </w:tc>
        <w:tc>
          <w:tcPr>
            <w:tcW w:w="2480" w:type="dxa"/>
            <w:vAlign w:val="bottom"/>
            <w:gridSpan w:val="3"/>
            <w:shd w:val="clear" w:color="auto" w:fill="CCEEFF"/>
          </w:tcPr>
          <w:p>
            <w:pPr>
              <w:jc w:val="center"/>
              <w:ind w:left="641"/>
              <w:spacing w:after="0"/>
              <w:rPr>
                <w:sz w:val="20"/>
                <w:szCs w:val="20"/>
                <w:color w:val="auto"/>
              </w:rPr>
            </w:pPr>
            <w:r>
              <w:rPr>
                <w:rFonts w:ascii="Times New Roman" w:cs="Times New Roman" w:eastAsia="Times New Roman" w:hAnsi="Times New Roman"/>
                <w:sz w:val="20"/>
                <w:szCs w:val="20"/>
                <w:color w:val="auto"/>
                <w:w w:val="99"/>
              </w:rPr>
              <w:t>$ 10,000</w:t>
            </w:r>
          </w:p>
        </w:tc>
      </w:tr>
      <w:tr>
        <w:trPr>
          <w:trHeight w:val="258"/>
        </w:trPr>
        <w:tc>
          <w:tcPr>
            <w:tcW w:w="80" w:type="dxa"/>
            <w:vAlign w:val="bottom"/>
          </w:tcPr>
          <w:p>
            <w:pPr>
              <w:spacing w:after="0"/>
              <w:rPr>
                <w:sz w:val="22"/>
                <w:szCs w:val="22"/>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Nominating and Corporate Governance member retainer</w:t>
            </w:r>
          </w:p>
        </w:tc>
        <w:tc>
          <w:tcPr>
            <w:tcW w:w="248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6"/>
              </w:rPr>
              <w:t>$ 7,500</w:t>
            </w:r>
          </w:p>
        </w:tc>
      </w:tr>
    </w:tbl>
    <w:p>
      <w:pPr>
        <w:spacing w:after="0" w:line="205" w:lineRule="exact"/>
        <w:rPr>
          <w:sz w:val="20"/>
          <w:szCs w:val="20"/>
          <w:color w:val="auto"/>
        </w:rPr>
      </w:pPr>
    </w:p>
    <w:p>
      <w:pPr>
        <w:ind w:left="200" w:right="279"/>
        <w:spacing w:after="0" w:line="253" w:lineRule="auto"/>
        <w:rPr>
          <w:sz w:val="20"/>
          <w:szCs w:val="20"/>
          <w:color w:val="auto"/>
        </w:rPr>
      </w:pPr>
      <w:r>
        <w:rPr>
          <w:rFonts w:ascii="Times New Roman" w:cs="Times New Roman" w:eastAsia="Times New Roman" w:hAnsi="Times New Roman"/>
          <w:sz w:val="20"/>
          <w:szCs w:val="20"/>
          <w:color w:val="auto"/>
        </w:rPr>
        <w:t>Non-employee directors may elect payments in cash or defer a portion of their cash compensation and receive restricted stock units pursuant to the Company’s 2016 Omnibus Incentive Plan with a value equal to the fees, based on the fair market value of the Company’s common stock on the date of issuance. Such restricted stock units will be deferred until a specified date or the end of the director’s service on the Board of Directors. All directors are reimbursed for expenses incurred in attending meetings.</w:t>
      </w:r>
    </w:p>
    <w:p>
      <w:pPr>
        <w:spacing w:after="0" w:line="219" w:lineRule="exact"/>
        <w:rPr>
          <w:sz w:val="20"/>
          <w:szCs w:val="20"/>
          <w:color w:val="auto"/>
        </w:rPr>
      </w:pPr>
    </w:p>
    <w:p>
      <w:pPr>
        <w:jc w:val="both"/>
        <w:ind w:left="200" w:right="379"/>
        <w:spacing w:after="0" w:line="251" w:lineRule="auto"/>
        <w:rPr>
          <w:sz w:val="20"/>
          <w:szCs w:val="20"/>
          <w:color w:val="auto"/>
        </w:rPr>
      </w:pPr>
      <w:r>
        <w:rPr>
          <w:rFonts w:ascii="Times New Roman" w:cs="Times New Roman" w:eastAsia="Times New Roman" w:hAnsi="Times New Roman"/>
          <w:sz w:val="20"/>
          <w:szCs w:val="20"/>
          <w:color w:val="auto"/>
        </w:rPr>
        <w:t>In addition, each non-employee director receives, as of the date of our board meeting following our annual meeting of stockholders, an annual grant of restricted stock units having a dollar value of $120,000, based upon the fair market value of the Company’s common stock on the date of grant. The restricted stock units vest fully on the first anniversary of the date of grant, pursuant to the Company’s 2016 Omnibus Incentive Plan, unless deferred by the director until a specified date or the end of the director’s service on the Board of Directors. Directors do not receive fees for attending meetings.</w:t>
      </w:r>
    </w:p>
    <w:p>
      <w:pPr>
        <w:spacing w:after="0" w:line="213" w:lineRule="exact"/>
        <w:rPr>
          <w:sz w:val="20"/>
          <w:szCs w:val="20"/>
          <w:color w:val="auto"/>
        </w:rPr>
      </w:pPr>
    </w:p>
    <w:p>
      <w:pPr>
        <w:ind w:left="200" w:right="279" w:firstLine="9"/>
        <w:spacing w:after="0" w:line="254" w:lineRule="auto"/>
        <w:tabs>
          <w:tab w:leader="none" w:pos="848"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Executive Officer Compensation</w:t>
      </w:r>
      <w:r>
        <w:rPr>
          <w:rFonts w:ascii="Times New Roman" w:cs="Times New Roman" w:eastAsia="Times New Roman" w:hAnsi="Times New Roman"/>
          <w:sz w:val="20"/>
          <w:szCs w:val="20"/>
          <w:color w:val="auto"/>
        </w:rPr>
        <w:t>. The following table sets forth the 2024 annual base salaries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fiscal 2023 short-term incentive compensation provided to the Company’s Chief Executive Officer, Chief Financial Officer and the three other most highly compensated executive officers to be named in the Company’s proxy statement to be filed in connection with the 2024 annual meeting of stockholders (the “Named Executive Officers”).</w:t>
      </w:r>
    </w:p>
    <w:p>
      <w:pPr>
        <w:spacing w:after="0" w:line="119"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40" w:type="dxa"/>
            <w:vAlign w:val="bottom"/>
            <w:gridSpan w:val="2"/>
          </w:tcPr>
          <w:p>
            <w:pPr>
              <w:jc w:val="center"/>
              <w:ind w:right="1340"/>
              <w:spacing w:after="0"/>
              <w:rPr>
                <w:sz w:val="20"/>
                <w:szCs w:val="20"/>
                <w:color w:val="auto"/>
              </w:rPr>
            </w:pPr>
            <w:r>
              <w:rPr>
                <w:rFonts w:ascii="Times New Roman" w:cs="Times New Roman" w:eastAsia="Times New Roman" w:hAnsi="Times New Roman"/>
                <w:sz w:val="20"/>
                <w:szCs w:val="20"/>
                <w:b w:val="1"/>
                <w:bCs w:val="1"/>
                <w:color w:val="auto"/>
                <w:w w:val="99"/>
              </w:rPr>
              <w:t>Fiscal</w:t>
            </w:r>
          </w:p>
        </w:tc>
      </w:tr>
      <w:tr>
        <w:trPr>
          <w:trHeight w:val="243"/>
        </w:trPr>
        <w:tc>
          <w:tcPr>
            <w:tcW w:w="3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1340" w:type="dxa"/>
            <w:vAlign w:val="bottom"/>
          </w:tcPr>
          <w:p>
            <w:pPr>
              <w:spacing w:after="0"/>
              <w:rPr>
                <w:sz w:val="21"/>
                <w:szCs w:val="21"/>
                <w:color w:val="auto"/>
              </w:rPr>
            </w:pPr>
          </w:p>
        </w:tc>
      </w:tr>
      <w:tr>
        <w:trPr>
          <w:trHeight w:val="230"/>
        </w:trPr>
        <w:tc>
          <w:tcPr>
            <w:tcW w:w="3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460" w:type="dxa"/>
            <w:vAlign w:val="bottom"/>
          </w:tcPr>
          <w:p>
            <w:pPr>
              <w:spacing w:after="0"/>
              <w:rPr>
                <w:sz w:val="19"/>
                <w:szCs w:val="19"/>
                <w:color w:val="auto"/>
              </w:rPr>
            </w:pPr>
          </w:p>
        </w:tc>
        <w:tc>
          <w:tcPr>
            <w:tcW w:w="2440" w:type="dxa"/>
            <w:vAlign w:val="bottom"/>
            <w:gridSpan w:val="2"/>
          </w:tcPr>
          <w:p>
            <w:pPr>
              <w:jc w:val="center"/>
              <w:ind w:right="1360"/>
              <w:spacing w:after="0"/>
              <w:rPr>
                <w:sz w:val="20"/>
                <w:szCs w:val="20"/>
                <w:color w:val="auto"/>
              </w:rPr>
            </w:pPr>
            <w:r>
              <w:rPr>
                <w:rFonts w:ascii="Times New Roman" w:cs="Times New Roman" w:eastAsia="Times New Roman" w:hAnsi="Times New Roman"/>
                <w:sz w:val="20"/>
                <w:szCs w:val="20"/>
                <w:b w:val="1"/>
                <w:bCs w:val="1"/>
                <w:color w:val="auto"/>
                <w:w w:val="97"/>
              </w:rPr>
              <w:t>Bonus</w:t>
            </w:r>
          </w:p>
        </w:tc>
      </w:tr>
      <w:tr>
        <w:trPr>
          <w:trHeight w:val="270"/>
        </w:trPr>
        <w:tc>
          <w:tcPr>
            <w:tcW w:w="468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Executive Officer</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Salary</w:t>
            </w:r>
          </w:p>
        </w:tc>
        <w:tc>
          <w:tcPr>
            <w:tcW w:w="2440" w:type="dxa"/>
            <w:vAlign w:val="bottom"/>
            <w:gridSpan w:val="2"/>
          </w:tcPr>
          <w:p>
            <w:pPr>
              <w:jc w:val="center"/>
              <w:ind w:right="1340"/>
              <w:spacing w:after="0"/>
              <w:rPr>
                <w:sz w:val="20"/>
                <w:szCs w:val="20"/>
                <w:color w:val="auto"/>
              </w:rPr>
            </w:pPr>
            <w:r>
              <w:rPr>
                <w:rFonts w:ascii="Times New Roman" w:cs="Times New Roman" w:eastAsia="Times New Roman" w:hAnsi="Times New Roman"/>
                <w:sz w:val="20"/>
                <w:szCs w:val="20"/>
                <w:b w:val="1"/>
                <w:bCs w:val="1"/>
                <w:color w:val="auto"/>
                <w:w w:val="99"/>
              </w:rPr>
              <w:t>Amount</w:t>
            </w:r>
          </w:p>
        </w:tc>
      </w:tr>
      <w:tr>
        <w:trPr>
          <w:trHeight w:val="223"/>
        </w:trPr>
        <w:tc>
          <w:tcPr>
            <w:tcW w:w="3980" w:type="dxa"/>
            <w:vAlign w:val="bottom"/>
            <w:tcBorders>
              <w:top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Mark Fioravanti</w:t>
            </w:r>
          </w:p>
        </w:tc>
        <w:tc>
          <w:tcPr>
            <w:tcW w:w="7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rPr>
              <w:t>$900,000</w:t>
            </w:r>
          </w:p>
        </w:tc>
        <w:tc>
          <w:tcPr>
            <w:tcW w:w="4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$2,250,000</w:t>
            </w:r>
          </w:p>
        </w:tc>
        <w:tc>
          <w:tcPr>
            <w:tcW w:w="1340" w:type="dxa"/>
            <w:vAlign w:val="bottom"/>
          </w:tcPr>
          <w:p>
            <w:pPr>
              <w:spacing w:after="0"/>
              <w:rPr>
                <w:sz w:val="19"/>
                <w:szCs w:val="19"/>
                <w:color w:val="auto"/>
              </w:rPr>
            </w:pPr>
          </w:p>
        </w:tc>
      </w:tr>
      <w:tr>
        <w:trPr>
          <w:trHeight w:val="230"/>
        </w:trPr>
        <w:tc>
          <w:tcPr>
            <w:tcW w:w="4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Colin Reed</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$500,000</w:t>
            </w:r>
          </w:p>
        </w:tc>
        <w:tc>
          <w:tcPr>
            <w:tcW w:w="4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$1,250,000</w:t>
            </w:r>
          </w:p>
        </w:tc>
        <w:tc>
          <w:tcPr>
            <w:tcW w:w="1340" w:type="dxa"/>
            <w:vAlign w:val="bottom"/>
          </w:tcPr>
          <w:p>
            <w:pPr>
              <w:spacing w:after="0"/>
              <w:rPr>
                <w:sz w:val="19"/>
                <w:szCs w:val="19"/>
                <w:color w:val="auto"/>
              </w:rPr>
            </w:pPr>
          </w:p>
        </w:tc>
      </w:tr>
      <w:tr>
        <w:trPr>
          <w:trHeight w:val="229"/>
        </w:trPr>
        <w:tc>
          <w:tcPr>
            <w:tcW w:w="4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Jennifer Hutcheson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$525,000</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$989,016</w:t>
            </w:r>
          </w:p>
        </w:tc>
        <w:tc>
          <w:tcPr>
            <w:tcW w:w="1340" w:type="dxa"/>
            <w:vAlign w:val="bottom"/>
          </w:tcPr>
          <w:p>
            <w:pPr>
              <w:spacing w:after="0"/>
              <w:rPr>
                <w:sz w:val="19"/>
                <w:szCs w:val="19"/>
                <w:color w:val="auto"/>
              </w:rPr>
            </w:pPr>
          </w:p>
        </w:tc>
      </w:tr>
      <w:tr>
        <w:trPr>
          <w:trHeight w:val="230"/>
        </w:trPr>
        <w:tc>
          <w:tcPr>
            <w:tcW w:w="4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Patrick Chaffin</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$575,000</w:t>
            </w:r>
          </w:p>
        </w:tc>
        <w:tc>
          <w:tcPr>
            <w:tcW w:w="4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$950,000</w:t>
            </w:r>
          </w:p>
        </w:tc>
        <w:tc>
          <w:tcPr>
            <w:tcW w:w="1340" w:type="dxa"/>
            <w:vAlign w:val="bottom"/>
          </w:tcPr>
          <w:p>
            <w:pPr>
              <w:spacing w:after="0"/>
              <w:rPr>
                <w:sz w:val="19"/>
                <w:szCs w:val="19"/>
                <w:color w:val="auto"/>
              </w:rPr>
            </w:pPr>
          </w:p>
        </w:tc>
      </w:tr>
      <w:tr>
        <w:trPr>
          <w:trHeight w:val="230"/>
        </w:trPr>
        <w:tc>
          <w:tcPr>
            <w:tcW w:w="4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Scott Lynn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$485,001</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$750,000</w:t>
            </w:r>
          </w:p>
        </w:tc>
        <w:tc>
          <w:tcPr>
            <w:tcW w:w="1340" w:type="dxa"/>
            <w:vAlign w:val="bottom"/>
          </w:tcPr>
          <w:p>
            <w:pPr>
              <w:spacing w:after="0"/>
              <w:rPr>
                <w:sz w:val="19"/>
                <w:szCs w:val="19"/>
                <w:color w:val="auto"/>
              </w:rPr>
            </w:pPr>
          </w:p>
        </w:tc>
      </w:tr>
      <w:tr>
        <w:trPr>
          <w:trHeight w:val="1411"/>
        </w:trPr>
        <w:tc>
          <w:tcPr>
            <w:tcW w:w="39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133" w:name="page134"/>
    <w:bookmarkEnd w:id="133"/>
    <w:p>
      <w:pPr>
        <w:ind w:left="200"/>
        <w:spacing w:after="0"/>
        <w:rPr>
          <w:sz w:val="20"/>
          <w:szCs w:val="20"/>
          <w:color w:val="auto"/>
        </w:rPr>
      </w:pPr>
      <w:r>
        <w:rPr>
          <w:rFonts w:ascii="Times New Roman" w:cs="Times New Roman" w:eastAsia="Times New Roman" w:hAnsi="Times New Roman"/>
          <w:sz w:val="20"/>
          <w:szCs w:val="20"/>
          <w:color w:val="auto"/>
        </w:rPr>
        <w:t>The following table sets forth the fiscal 2024 bonus targets as a percentage of 2024 base salary set for the</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Company’s Named Executive Officers:</w:t>
      </w:r>
    </w:p>
    <w:p>
      <w:pPr>
        <w:spacing w:after="0" w:line="271"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44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Executive Officer</w:t>
            </w: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7"/>
              </w:rPr>
              <w:t>Threshold</w:t>
            </w: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6"/>
              </w:rPr>
              <w:t>Target</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Maximum</w:t>
            </w:r>
          </w:p>
        </w:tc>
      </w:tr>
      <w:tr>
        <w:trPr>
          <w:trHeight w:val="223"/>
        </w:trPr>
        <w:tc>
          <w:tcPr>
            <w:tcW w:w="3960" w:type="dxa"/>
            <w:vAlign w:val="bottom"/>
            <w:tcBorders>
              <w:top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Mark Fioravanti</w:t>
            </w:r>
          </w:p>
        </w:tc>
        <w:tc>
          <w:tcPr>
            <w:tcW w:w="4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87.5%</w:t>
            </w:r>
          </w:p>
        </w:tc>
        <w:tc>
          <w:tcPr>
            <w:tcW w:w="46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175%</w:t>
            </w:r>
          </w:p>
        </w:tc>
        <w:tc>
          <w:tcPr>
            <w:tcW w:w="4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350%</w:t>
            </w:r>
          </w:p>
        </w:tc>
      </w:tr>
      <w:tr>
        <w:trPr>
          <w:trHeight w:val="230"/>
        </w:trPr>
        <w:tc>
          <w:tcPr>
            <w:tcW w:w="44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Colin Reed</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87.5%</w:t>
            </w:r>
          </w:p>
        </w:tc>
        <w:tc>
          <w:tcPr>
            <w:tcW w:w="4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175%</w:t>
            </w:r>
          </w:p>
        </w:tc>
        <w:tc>
          <w:tcPr>
            <w:tcW w:w="4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350%</w:t>
            </w:r>
          </w:p>
        </w:tc>
      </w:tr>
      <w:tr>
        <w:trPr>
          <w:trHeight w:val="229"/>
        </w:trPr>
        <w:tc>
          <w:tcPr>
            <w:tcW w:w="4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Jennifer Hutcheson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6"/>
              </w:rPr>
              <w:t>62.5%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125%</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250%</w:t>
            </w:r>
          </w:p>
        </w:tc>
      </w:tr>
      <w:tr>
        <w:trPr>
          <w:trHeight w:val="230"/>
        </w:trPr>
        <w:tc>
          <w:tcPr>
            <w:tcW w:w="44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Patrick Chaffin</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62.5%</w:t>
            </w:r>
          </w:p>
        </w:tc>
        <w:tc>
          <w:tcPr>
            <w:tcW w:w="4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125%</w:t>
            </w:r>
          </w:p>
        </w:tc>
        <w:tc>
          <w:tcPr>
            <w:tcW w:w="4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250%</w:t>
            </w:r>
          </w:p>
        </w:tc>
      </w:tr>
      <w:tr>
        <w:trPr>
          <w:trHeight w:val="229"/>
        </w:trPr>
        <w:tc>
          <w:tcPr>
            <w:tcW w:w="4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Scott Lynn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6"/>
              </w:rPr>
              <w:t>62.5%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125%</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250%</w:t>
            </w:r>
          </w:p>
        </w:tc>
      </w:tr>
    </w:tbl>
    <w:p>
      <w:pPr>
        <w:spacing w:after="0" w:line="220" w:lineRule="exact"/>
        <w:rPr>
          <w:sz w:val="20"/>
          <w:szCs w:val="20"/>
          <w:color w:val="auto"/>
        </w:rPr>
      </w:pPr>
    </w:p>
    <w:p>
      <w:pPr>
        <w:ind w:left="200" w:right="279"/>
        <w:spacing w:after="0" w:line="261" w:lineRule="auto"/>
        <w:rPr>
          <w:sz w:val="20"/>
          <w:szCs w:val="20"/>
          <w:color w:val="auto"/>
        </w:rPr>
      </w:pPr>
      <w:r>
        <w:rPr>
          <w:rFonts w:ascii="Times New Roman" w:cs="Times New Roman" w:eastAsia="Times New Roman" w:hAnsi="Times New Roman"/>
          <w:sz w:val="20"/>
          <w:szCs w:val="20"/>
          <w:color w:val="auto"/>
        </w:rPr>
        <w:t>The fiscal 2024 bonuses will be determined based upon the achievement of certain financial goals, and, if earned, will be paid pursuant to the Company’s cash incentive compensation program under the Company’s 2016 Omnibus Incentive Plan.</w:t>
      </w:r>
    </w:p>
    <w:p>
      <w:pPr>
        <w:spacing w:after="0" w:line="208" w:lineRule="exact"/>
        <w:rPr>
          <w:sz w:val="20"/>
          <w:szCs w:val="20"/>
          <w:color w:val="auto"/>
        </w:rPr>
      </w:pPr>
    </w:p>
    <w:p>
      <w:pPr>
        <w:ind w:left="200" w:right="319"/>
        <w:spacing w:after="0" w:line="261" w:lineRule="auto"/>
        <w:rPr>
          <w:sz w:val="20"/>
          <w:szCs w:val="20"/>
          <w:color w:val="auto"/>
        </w:rPr>
      </w:pPr>
      <w:r>
        <w:rPr>
          <w:rFonts w:ascii="Times New Roman" w:cs="Times New Roman" w:eastAsia="Times New Roman" w:hAnsi="Times New Roman"/>
          <w:sz w:val="20"/>
          <w:szCs w:val="20"/>
          <w:color w:val="auto"/>
        </w:rPr>
        <w:t>On February 22, 2024, as part of an annual grant to designated management-level employees, including the Named Executive Officers, the Named Executive Officers received the following long-term incentive awards pursuant to the Company’s 2016 Omnibus Incentive Plan:</w:t>
      </w:r>
    </w:p>
    <w:p>
      <w:pPr>
        <w:spacing w:after="0" w:line="222" w:lineRule="exact"/>
        <w:rPr>
          <w:sz w:val="20"/>
          <w:szCs w:val="20"/>
          <w:color w:val="auto"/>
        </w:rPr>
      </w:pPr>
    </w:p>
    <w:p>
      <w:pPr>
        <w:ind w:left="880" w:right="719" w:hanging="347"/>
        <w:spacing w:after="0" w:line="254" w:lineRule="auto"/>
        <w:tabs>
          <w:tab w:leader="none" w:pos="8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of performance-based restricted stock units for the 2024-2026 performance period, as listed in the table below, of which up to 150% will vest on March 15, 2027 based on the achievement of Total Stockholder Return (“TSR”) against a designated peer group (the “Performance-Based RSUs”).</w:t>
      </w:r>
    </w:p>
    <w:p>
      <w:pPr>
        <w:spacing w:after="0" w:line="227" w:lineRule="exact"/>
        <w:rPr>
          <w:rFonts w:ascii="Times New Roman" w:cs="Times New Roman" w:eastAsia="Times New Roman" w:hAnsi="Times New Roman"/>
          <w:sz w:val="20"/>
          <w:szCs w:val="20"/>
          <w:color w:val="auto"/>
        </w:rPr>
      </w:pPr>
    </w:p>
    <w:p>
      <w:pPr>
        <w:ind w:left="880" w:right="479" w:hanging="347"/>
        <w:spacing w:after="0" w:line="269" w:lineRule="auto"/>
        <w:tabs>
          <w:tab w:leader="none" w:pos="8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of time-based restricted stock units, as listed in the table below, vesting ratably over four years beginning on March 15, 2025 (the “Time-Based RSUs”).</w:t>
      </w: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long-term incentive awards to each Named Executive Officer were as follows:</w:t>
      </w:r>
    </w:p>
    <w:p>
      <w:pPr>
        <w:spacing w:after="0" w:line="279" w:lineRule="exact"/>
        <w:rPr>
          <w:sz w:val="20"/>
          <w:szCs w:val="20"/>
          <w:color w:val="auto"/>
        </w:rPr>
      </w:pPr>
    </w:p>
    <w:tbl>
      <w:tblPr>
        <w:tblLayout w:type="fixed"/>
        <w:tblInd w:w="220" w:type="dxa"/>
        <w:tblCellMar>
          <w:top w:w="0" w:type="dxa"/>
          <w:left w:w="0" w:type="dxa"/>
          <w:bottom w:w="0" w:type="dxa"/>
          <w:right w:w="0" w:type="dxa"/>
        </w:tblCellMar>
      </w:tblPr>
      <w:tr>
        <w:trPr>
          <w:trHeight w:val="243"/>
        </w:trPr>
        <w:tc>
          <w:tcPr>
            <w:tcW w:w="2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w w:val="97"/>
              </w:rPr>
              <w:t>Time-Based</w:t>
            </w:r>
          </w:p>
        </w:tc>
        <w:tc>
          <w:tcPr>
            <w:tcW w:w="254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w w:val="98"/>
              </w:rPr>
              <w:t>Performance-Based</w:t>
            </w:r>
          </w:p>
        </w:tc>
      </w:tr>
      <w:tr>
        <w:trPr>
          <w:trHeight w:val="270"/>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Executive Officer</w:t>
            </w:r>
          </w:p>
        </w:tc>
        <w:tc>
          <w:tcPr>
            <w:tcW w:w="240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rPr>
              <w:t>RSUs</w:t>
            </w:r>
          </w:p>
        </w:tc>
        <w:tc>
          <w:tcPr>
            <w:tcW w:w="254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w w:val="96"/>
              </w:rPr>
              <w:t>RSUs</w:t>
            </w:r>
          </w:p>
        </w:tc>
      </w:tr>
      <w:tr>
        <w:trPr>
          <w:trHeight w:val="223"/>
        </w:trPr>
        <w:tc>
          <w:tcPr>
            <w:tcW w:w="2980" w:type="dxa"/>
            <w:vAlign w:val="bottom"/>
            <w:tcBorders>
              <w:top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Mark Fioravanti</w:t>
            </w:r>
          </w:p>
        </w:tc>
        <w:tc>
          <w:tcPr>
            <w:tcW w:w="5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13,244</w:t>
            </w:r>
          </w:p>
        </w:tc>
        <w:tc>
          <w:tcPr>
            <w:tcW w:w="5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12,119</w:t>
            </w:r>
          </w:p>
        </w:tc>
        <w:tc>
          <w:tcPr>
            <w:tcW w:w="520" w:type="dxa"/>
            <w:vAlign w:val="bottom"/>
            <w:tcBorders>
              <w:top w:val="single" w:sz="8" w:color="CCEEFF"/>
            </w:tcBorders>
            <w:shd w:val="clear" w:color="auto" w:fill="CCEEFF"/>
          </w:tcPr>
          <w:p>
            <w:pPr>
              <w:spacing w:after="0"/>
              <w:rPr>
                <w:sz w:val="19"/>
                <w:szCs w:val="19"/>
                <w:color w:val="auto"/>
              </w:rPr>
            </w:pPr>
          </w:p>
        </w:tc>
      </w:tr>
      <w:tr>
        <w:trPr>
          <w:trHeight w:val="230"/>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Colin Reed</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6,308</w:t>
            </w:r>
          </w:p>
        </w:tc>
        <w:tc>
          <w:tcPr>
            <w:tcW w:w="5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5,771</w:t>
            </w:r>
          </w:p>
        </w:tc>
        <w:tc>
          <w:tcPr>
            <w:tcW w:w="520" w:type="dxa"/>
            <w:vAlign w:val="bottom"/>
          </w:tcPr>
          <w:p>
            <w:pPr>
              <w:spacing w:after="0"/>
              <w:rPr>
                <w:sz w:val="19"/>
                <w:szCs w:val="19"/>
                <w:color w:val="auto"/>
              </w:rPr>
            </w:pPr>
          </w:p>
        </w:tc>
      </w:tr>
      <w:tr>
        <w:trPr>
          <w:trHeight w:val="230"/>
        </w:trPr>
        <w:tc>
          <w:tcPr>
            <w:tcW w:w="3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Jennifer Hutcheson</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3,312</w:t>
            </w:r>
          </w:p>
        </w:tc>
        <w:tc>
          <w:tcPr>
            <w:tcW w:w="52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3,030</w:t>
            </w:r>
          </w:p>
        </w:tc>
        <w:tc>
          <w:tcPr>
            <w:tcW w:w="520" w:type="dxa"/>
            <w:vAlign w:val="bottom"/>
            <w:shd w:val="clear" w:color="auto" w:fill="CCEEFF"/>
          </w:tcPr>
          <w:p>
            <w:pPr>
              <w:spacing w:after="0"/>
              <w:rPr>
                <w:sz w:val="19"/>
                <w:szCs w:val="19"/>
                <w:color w:val="auto"/>
              </w:rPr>
            </w:pPr>
          </w:p>
        </w:tc>
      </w:tr>
      <w:tr>
        <w:trPr>
          <w:trHeight w:val="230"/>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Patrick Chaffin</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3,024</w:t>
            </w:r>
          </w:p>
        </w:tc>
        <w:tc>
          <w:tcPr>
            <w:tcW w:w="5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2,765</w:t>
            </w:r>
          </w:p>
        </w:tc>
        <w:tc>
          <w:tcPr>
            <w:tcW w:w="520" w:type="dxa"/>
            <w:vAlign w:val="bottom"/>
          </w:tcPr>
          <w:p>
            <w:pPr>
              <w:spacing w:after="0"/>
              <w:rPr>
                <w:sz w:val="19"/>
                <w:szCs w:val="19"/>
                <w:color w:val="auto"/>
              </w:rPr>
            </w:pPr>
          </w:p>
        </w:tc>
      </w:tr>
      <w:tr>
        <w:trPr>
          <w:trHeight w:val="230"/>
        </w:trPr>
        <w:tc>
          <w:tcPr>
            <w:tcW w:w="3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Scott Lynn</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2,548</w:t>
            </w:r>
          </w:p>
        </w:tc>
        <w:tc>
          <w:tcPr>
            <w:tcW w:w="52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2,332</w:t>
            </w:r>
          </w:p>
        </w:tc>
        <w:tc>
          <w:tcPr>
            <w:tcW w:w="520" w:type="dxa"/>
            <w:vAlign w:val="bottom"/>
            <w:shd w:val="clear" w:color="auto" w:fill="CCEEFF"/>
          </w:tcPr>
          <w:p>
            <w:pPr>
              <w:spacing w:after="0"/>
              <w:rPr>
                <w:sz w:val="19"/>
                <w:szCs w:val="19"/>
                <w:color w:val="auto"/>
              </w:rPr>
            </w:pPr>
          </w:p>
        </w:tc>
      </w:tr>
    </w:tbl>
    <w:p>
      <w:pPr>
        <w:spacing w:after="0" w:line="234" w:lineRule="exact"/>
        <w:rPr>
          <w:sz w:val="20"/>
          <w:szCs w:val="20"/>
          <w:color w:val="auto"/>
        </w:rPr>
      </w:pPr>
    </w:p>
    <w:p>
      <w:pPr>
        <w:jc w:val="both"/>
        <w:ind w:left="200" w:right="299"/>
        <w:spacing w:after="0" w:line="281" w:lineRule="auto"/>
        <w:rPr>
          <w:sz w:val="20"/>
          <w:szCs w:val="20"/>
          <w:color w:val="auto"/>
        </w:rPr>
      </w:pPr>
      <w:r>
        <w:rPr>
          <w:rFonts w:ascii="Times New Roman" w:cs="Times New Roman" w:eastAsia="Times New Roman" w:hAnsi="Times New Roman"/>
          <w:sz w:val="19"/>
          <w:szCs w:val="19"/>
          <w:color w:val="auto"/>
        </w:rPr>
        <w:t>Certain performance-based restricted stock unit awards under the Company’s 2016 Omnibus Incentive Plan previously granted to the Named Executive Officers, with respect to performance periods ended December 31, 2023, will vest on March 15, 2024 as will be reflected in Form 4 filings to be made with the SEC.</w:t>
      </w:r>
    </w:p>
    <w:p>
      <w:pPr>
        <w:spacing w:after="0" w:line="187" w:lineRule="exact"/>
        <w:rPr>
          <w:sz w:val="20"/>
          <w:szCs w:val="20"/>
          <w:color w:val="auto"/>
        </w:rPr>
      </w:pPr>
    </w:p>
    <w:p>
      <w:pPr>
        <w:jc w:val="both"/>
        <w:ind w:left="200" w:right="319" w:firstLine="9"/>
        <w:spacing w:after="0" w:line="260" w:lineRule="auto"/>
        <w:tabs>
          <w:tab w:leader="none" w:pos="848"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Information</w:t>
      </w:r>
      <w:r>
        <w:rPr>
          <w:rFonts w:ascii="Times New Roman" w:cs="Times New Roman" w:eastAsia="Times New Roman" w:hAnsi="Times New Roman"/>
          <w:sz w:val="20"/>
          <w:szCs w:val="20"/>
          <w:color w:val="auto"/>
        </w:rPr>
        <w:t>. The foregoing information is summary in nature. Additional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regarding the compensation of directors and Named Executive Officers will be provided in the Company’s filings with the SEC, including the proxy statement to be filed in connection with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327025</wp:posOffset>
            </wp:positionV>
            <wp:extent cx="54521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4" w:name="page135"/>
    <w:bookmarkEnd w:id="134"/>
    <w:p>
      <w:pPr>
        <w:ind w:left="7880"/>
        <w:spacing w:after="0"/>
        <w:rPr>
          <w:sz w:val="20"/>
          <w:szCs w:val="20"/>
          <w:color w:val="auto"/>
        </w:rPr>
      </w:pPr>
      <w:r>
        <w:rPr>
          <w:rFonts w:ascii="Times New Roman" w:cs="Times New Roman" w:eastAsia="Times New Roman" w:hAnsi="Times New Roman"/>
          <w:sz w:val="16"/>
          <w:szCs w:val="16"/>
          <w:color w:val="auto"/>
        </w:rPr>
        <w:t>Exhibit 21</w:t>
      </w:r>
    </w:p>
    <w:p>
      <w:pPr>
        <w:spacing w:after="0" w:line="282" w:lineRule="exact"/>
        <w:rPr>
          <w:sz w:val="20"/>
          <w:szCs w:val="20"/>
          <w:color w:val="auto"/>
        </w:rPr>
      </w:pPr>
    </w:p>
    <w:tbl>
      <w:tblPr>
        <w:tblLayout w:type="fixed"/>
        <w:tblInd w:w="260" w:type="dxa"/>
        <w:tblCellMar>
          <w:top w:w="0" w:type="dxa"/>
          <w:left w:w="0" w:type="dxa"/>
          <w:bottom w:w="0" w:type="dxa"/>
          <w:right w:w="0" w:type="dxa"/>
        </w:tblCellMar>
      </w:tblPr>
      <w:tr>
        <w:trPr>
          <w:trHeight w:val="155"/>
        </w:trPr>
        <w:tc>
          <w:tcPr>
            <w:tcW w:w="180" w:type="dxa"/>
            <w:vAlign w:val="bottom"/>
          </w:tcPr>
          <w:p>
            <w:pPr>
              <w:spacing w:after="0"/>
              <w:rPr>
                <w:sz w:val="13"/>
                <w:szCs w:val="13"/>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Subsidiary Name</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Jurisdiction of Organization</w:t>
            </w:r>
          </w:p>
        </w:tc>
      </w:tr>
      <w:tr>
        <w:trPr>
          <w:trHeight w:val="142"/>
        </w:trPr>
        <w:tc>
          <w:tcPr>
            <w:tcW w:w="180" w:type="dxa"/>
            <w:vAlign w:val="bottom"/>
          </w:tcPr>
          <w:p>
            <w:pPr>
              <w:spacing w:after="0"/>
              <w:rPr>
                <w:sz w:val="12"/>
                <w:szCs w:val="12"/>
                <w:color w:val="auto"/>
              </w:rPr>
            </w:pPr>
          </w:p>
        </w:tc>
        <w:tc>
          <w:tcPr>
            <w:tcW w:w="40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2644 McGavock, LLC</w:t>
            </w:r>
          </w:p>
        </w:tc>
        <w:tc>
          <w:tcPr>
            <w:tcW w:w="428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300 Broadway,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300 Broadway Holdings,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300 Broadway MidCo,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300 Broadway Operations, Inc.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Attractions IP,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Aurora 10,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Aurora Convention Center Hotel,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Aurora Convention Center Hotel Investors,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Aurora Convention Center Hotel Lessee,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Aurora Convention Center Hotel Lessee HoldCo,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Block 21 Service Company,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Texas</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Country Music Television International,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Cumberland Depot,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GN Bond Holdings,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GOO Broadway,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GOOSPK 1604 Broadway,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New York</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GPSI, Inc.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Grand Ole Opry,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Grand Ole Opry IP,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GSD River North,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GSD River South,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Block 21,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Block 21 Holdings,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Corporate Properties,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Creative Group,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Finance Corporation</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High Point Land,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Hotel Properties, LP</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Hotels,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DC,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GP,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GT,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Inn at Opryland,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NH,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OH,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SA,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Partner,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DC,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GP, LP</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Florida</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GT, LP</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GT,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NH,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Maryland</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SA,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 Sub Holdings,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RHPA Management,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RHPAHP,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RHPAHO,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2"/>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Ryman Corporate Properties,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Ryman Hotel Operations HoldCo,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OEG Attractions Holdings,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OEG Borrower,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OEG Finance,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OEG HoldCo,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Ole Red Gatlinburg, LLC</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Tennessee</w:t>
            </w:r>
          </w:p>
        </w:tc>
      </w:tr>
      <w:tr>
        <w:trPr>
          <w:trHeight w:val="506"/>
        </w:trPr>
        <w:tc>
          <w:tcPr>
            <w:tcW w:w="18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783"/>
        </w:trPr>
        <w:tc>
          <w:tcPr>
            <w:tcW w:w="1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 w:right="1440" w:bottom="1440" w:gutter="0" w:footer="0" w:header="0"/>
        </w:sectPr>
      </w:pPr>
    </w:p>
    <w:bookmarkStart w:id="135" w:name="page136"/>
    <w:bookmarkEnd w:id="135"/>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Ole Red Holdings, Inc.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Ole Red Las Vegas,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Ole Red Nashville Airport,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Ole Red Orlando,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OLH,GP</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Tennessee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OLH Holdings,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Opry Attractions HoldCo,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Opry Entertainment Group Holdings,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2"/>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Opryland Attractions,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Opryland Hospitality,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Tennessee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Park Holdings,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Springhouse Golf,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Wildhorse Saloon Entertainment Ventures,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Tennessee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WR Invesco,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1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WSM-AM,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1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NCV Holdings,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735"/>
        </w:trPr>
        <w:tc>
          <w:tcPr>
            <w:tcW w:w="18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783"/>
        </w:trPr>
        <w:tc>
          <w:tcPr>
            <w:tcW w:w="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 w:right="1440"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right="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S-4 No. 333-238530-09) pertaining to the $700,000,000 4.75% Senior Notes Due 2027 of Ryman Hospitality Properties, Inc.,</w:t>
      </w:r>
    </w:p>
    <w:p>
      <w:pPr>
        <w:spacing w:after="0" w:line="16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333-211214) pertaining to the Ryman Hospitality Properties, Inc. 2016 Omnibus Incentive Plan,</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333-37051) pertaining to the Amended and Restated Gaylord Entertainment Company 401(K) Savings Plan, and</w:t>
      </w:r>
    </w:p>
    <w:p>
      <w:pPr>
        <w:spacing w:after="0" w:line="161"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333-272429) pertaining to the offering of common stock of Ryman Hospitality Properties, Inc.</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of our reports dated February 23, 2024 with respect to the consolidated financial statements and schedules of Ryman Hospitality Properties, Inc. and subsidiaries and the effectiveness of internal control over financial reporting of Ryman Hospitality Properties, Inc. and subsidiaries, included in this Annual Report (Form 10-K) of Ryman Hospitality Properties, Inc. for the year ended December 31, 2023.</w:t>
      </w:r>
    </w:p>
    <w:p>
      <w:pPr>
        <w:spacing w:after="0" w:line="19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Fioravanti, certify that:</w:t>
      </w:r>
    </w:p>
    <w:p>
      <w:pPr>
        <w:spacing w:after="0" w:line="207" w:lineRule="exact"/>
        <w:rPr>
          <w:sz w:val="20"/>
          <w:szCs w:val="20"/>
          <w:color w:val="auto"/>
        </w:rPr>
      </w:pPr>
    </w:p>
    <w:p>
      <w:pPr>
        <w:ind w:left="820" w:hanging="488"/>
        <w:spacing w:after="0"/>
        <w:tabs>
          <w:tab w:leader="none" w:pos="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Ryman Hospitality Properties, Inc.;</w:t>
      </w:r>
    </w:p>
    <w:p>
      <w:pPr>
        <w:spacing w:after="0" w:line="225" w:lineRule="exact"/>
        <w:rPr>
          <w:rFonts w:ascii="Times New Roman" w:cs="Times New Roman" w:eastAsia="Times New Roman" w:hAnsi="Times New Roman"/>
          <w:sz w:val="18"/>
          <w:szCs w:val="18"/>
          <w:color w:val="auto"/>
        </w:rPr>
      </w:pPr>
    </w:p>
    <w:p>
      <w:pPr>
        <w:ind w:left="820" w:right="40" w:hanging="488"/>
        <w:spacing w:after="0" w:line="266" w:lineRule="auto"/>
        <w:tabs>
          <w:tab w:leader="none" w:pos="82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20" w:hanging="488"/>
        <w:spacing w:after="0" w:line="266" w:lineRule="auto"/>
        <w:tabs>
          <w:tab w:leader="none" w:pos="82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820" w:right="460" w:hanging="488"/>
        <w:spacing w:after="0" w:line="266" w:lineRule="auto"/>
        <w:tabs>
          <w:tab w:leader="none" w:pos="8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40" w:right="40" w:hanging="356"/>
        <w:spacing w:after="0" w:line="261" w:lineRule="auto"/>
        <w:tabs>
          <w:tab w:leader="none" w:pos="144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right="80" w:hanging="356"/>
        <w:spacing w:after="0" w:line="261" w:lineRule="auto"/>
        <w:tabs>
          <w:tab w:leader="none" w:pos="145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440" w:right="120" w:hanging="356"/>
        <w:spacing w:after="0" w:line="266" w:lineRule="auto"/>
        <w:tabs>
          <w:tab w:leader="none" w:pos="144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20" w:hanging="356"/>
        <w:spacing w:after="0" w:line="261" w:lineRule="auto"/>
        <w:tabs>
          <w:tab w:leader="none" w:pos="145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820" w:right="200" w:hanging="488"/>
        <w:spacing w:after="0" w:line="266" w:lineRule="auto"/>
        <w:tabs>
          <w:tab w:leader="none" w:pos="8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40" w:right="300" w:hanging="356"/>
        <w:spacing w:after="0" w:line="266" w:lineRule="auto"/>
        <w:tabs>
          <w:tab w:leader="none" w:pos="143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40" w:right="160" w:hanging="356"/>
        <w:spacing w:after="0" w:line="282" w:lineRule="auto"/>
        <w:tabs>
          <w:tab w:leader="none" w:pos="139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Mark Fioravanti</w:t>
            </w:r>
          </w:p>
        </w:tc>
      </w:tr>
      <w:tr>
        <w:trPr>
          <w:trHeight w:val="191"/>
        </w:trPr>
        <w:tc>
          <w:tcPr>
            <w:tcW w:w="3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3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776"/>
        </w:trPr>
        <w:tc>
          <w:tcPr>
            <w:tcW w:w="3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Hutcheson, certify that:</w:t>
      </w:r>
    </w:p>
    <w:p>
      <w:pPr>
        <w:spacing w:after="0" w:line="207" w:lineRule="exact"/>
        <w:rPr>
          <w:sz w:val="20"/>
          <w:szCs w:val="20"/>
          <w:color w:val="auto"/>
        </w:rPr>
      </w:pPr>
    </w:p>
    <w:p>
      <w:pPr>
        <w:ind w:left="820" w:hanging="488"/>
        <w:spacing w:after="0"/>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Ryman Hospitality Properties, Inc.;</w:t>
      </w:r>
    </w:p>
    <w:p>
      <w:pPr>
        <w:spacing w:after="0" w:line="225" w:lineRule="exact"/>
        <w:rPr>
          <w:rFonts w:ascii="Times New Roman" w:cs="Times New Roman" w:eastAsia="Times New Roman" w:hAnsi="Times New Roman"/>
          <w:sz w:val="18"/>
          <w:szCs w:val="18"/>
          <w:color w:val="auto"/>
        </w:rPr>
      </w:pPr>
    </w:p>
    <w:p>
      <w:pPr>
        <w:ind w:left="820" w:right="40" w:hanging="488"/>
        <w:spacing w:after="0" w:line="266" w:lineRule="auto"/>
        <w:tabs>
          <w:tab w:leader="none" w:pos="82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20" w:hanging="488"/>
        <w:spacing w:after="0" w:line="266" w:lineRule="auto"/>
        <w:tabs>
          <w:tab w:leader="none" w:pos="82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820" w:right="460" w:hanging="488"/>
        <w:spacing w:after="0" w:line="266" w:lineRule="auto"/>
        <w:tabs>
          <w:tab w:leader="none" w:pos="8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40" w:right="40" w:hanging="356"/>
        <w:spacing w:after="0" w:line="261" w:lineRule="auto"/>
        <w:tabs>
          <w:tab w:leader="none" w:pos="144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right="80" w:hanging="356"/>
        <w:spacing w:after="0" w:line="261" w:lineRule="auto"/>
        <w:tabs>
          <w:tab w:leader="none" w:pos="145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440" w:right="120" w:hanging="356"/>
        <w:spacing w:after="0" w:line="266" w:lineRule="auto"/>
        <w:tabs>
          <w:tab w:leader="none" w:pos="144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20" w:hanging="356"/>
        <w:spacing w:after="0" w:line="261" w:lineRule="auto"/>
        <w:tabs>
          <w:tab w:leader="none" w:pos="145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820" w:right="200" w:hanging="488"/>
        <w:spacing w:after="0" w:line="266" w:lineRule="auto"/>
        <w:tabs>
          <w:tab w:leader="none" w:pos="8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40" w:right="300" w:hanging="356"/>
        <w:spacing w:after="0" w:line="266" w:lineRule="auto"/>
        <w:tabs>
          <w:tab w:leader="none" w:pos="143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40" w:right="160" w:hanging="356"/>
        <w:spacing w:after="0" w:line="282" w:lineRule="auto"/>
        <w:tabs>
          <w:tab w:leader="none" w:pos="139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Jennifer Hutcheson</w:t>
            </w:r>
          </w:p>
        </w:tc>
      </w:tr>
      <w:tr>
        <w:trPr>
          <w:trHeight w:val="191"/>
        </w:trPr>
        <w:tc>
          <w:tcPr>
            <w:tcW w:w="3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r>
      <w:tr>
        <w:trPr>
          <w:trHeight w:val="216"/>
        </w:trPr>
        <w:tc>
          <w:tcPr>
            <w:tcW w:w="3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3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and Chief Accounting Officer</w:t>
            </w:r>
          </w:p>
        </w:tc>
      </w:tr>
      <w:tr>
        <w:trPr>
          <w:trHeight w:val="776"/>
        </w:trPr>
        <w:tc>
          <w:tcPr>
            <w:tcW w:w="3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Ryman Hospitality Properties, Inc. (the "Company") on Form 10-K for the period ended December 31, 2023, as filed with the Securities and Exchange Commission on the date hereof (the "Report"), I, Mark Fioravanti, President and Chief Executive Officer of the Company, certify, pursuant to 18 U.S.C. Section 1350, as adopted pursuant to Section 906 of the Sarbanes-Oxley Act of 2002, to the best of my knowledge, that:</w:t>
      </w:r>
    </w:p>
    <w:p>
      <w:pPr>
        <w:spacing w:after="0" w:line="180" w:lineRule="exact"/>
        <w:rPr>
          <w:sz w:val="20"/>
          <w:szCs w:val="20"/>
          <w:color w:val="auto"/>
        </w:rPr>
      </w:pPr>
    </w:p>
    <w:p>
      <w:pPr>
        <w:ind w:left="860" w:hanging="528"/>
        <w:spacing w:after="0"/>
        <w:tabs>
          <w:tab w:leader="none" w:pos="8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660" w:hanging="548"/>
        <w:spacing w:after="0" w:line="282" w:lineRule="auto"/>
        <w:tabs>
          <w:tab w:leader="none" w:pos="85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Fioravanti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Ryman Hospitality Properties, Inc. (the "Company") on Form 10-K for the period ended December 31, 2023, as filed with the Securities and Exchange Commission on the date hereof (the "Report"), I, Jennifer Hutcheson, Executive Vice President, Chief Financial Officer and Chief Accounting Officer of the Company, certify, pursuant to 18 U.S.C. Section 1350, as adopted pursuant to Section 906 of the Sarbanes-Oxley Act of 2002, to the best of my knowledge, that:</w:t>
      </w:r>
    </w:p>
    <w:p>
      <w:pPr>
        <w:spacing w:after="0" w:line="180" w:lineRule="exact"/>
        <w:rPr>
          <w:sz w:val="20"/>
          <w:szCs w:val="20"/>
          <w:color w:val="auto"/>
        </w:rPr>
      </w:pPr>
    </w:p>
    <w:p>
      <w:pPr>
        <w:ind w:left="860" w:hanging="528"/>
        <w:spacing w:after="0"/>
        <w:tabs>
          <w:tab w:leader="none" w:pos="8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660" w:hanging="548"/>
        <w:spacing w:after="0" w:line="282" w:lineRule="auto"/>
        <w:tabs>
          <w:tab w:leader="none" w:pos="85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Hutcheson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1" w:name="page142"/>
    <w:bookmarkEnd w:id="141"/>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Ryman Hospitality Properties,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NYSE Executive Compensation Recoupment Policy</w:t>
      </w:r>
    </w:p>
    <w:p>
      <w:pPr>
        <w:spacing w:after="0" w:line="232" w:lineRule="exact"/>
        <w:rPr>
          <w:sz w:val="20"/>
          <w:szCs w:val="20"/>
          <w:color w:val="auto"/>
        </w:rPr>
      </w:pPr>
    </w:p>
    <w:p>
      <w:pPr>
        <w:ind w:left="200" w:right="379" w:firstLine="657"/>
        <w:spacing w:after="0" w:line="258" w:lineRule="auto"/>
        <w:tabs>
          <w:tab w:leader="none" w:pos="1496" w:val="left"/>
        </w:tabs>
        <w:numPr>
          <w:ilvl w:val="0"/>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Purpose. </w:t>
      </w:r>
      <w:r>
        <w:rPr>
          <w:rFonts w:ascii="Times New Roman" w:cs="Times New Roman" w:eastAsia="Times New Roman" w:hAnsi="Times New Roman"/>
          <w:sz w:val="21"/>
          <w:szCs w:val="21"/>
          <w:color w:val="auto"/>
        </w:rPr>
        <w:t>The purpose of this NYSE Executive Compensation Recoupment Policy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Company (as amended from time to time,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dated as of August 10, 2023 is to describe the circumstances in which current and former Executive Officers will be required to repay or return Erroneously Awarded Compensation to members of the Company Group. The Company has adopted this Policy to comply with Section 954 of the Dodd-Frank Wall Street Reform and Consumer Protection Act of 2010, as codified by Section 10D of the Exchange Act, Exchange Act Rule 10D-1 promulgated thereunder, and the rules and requirements of the NYSE (including Section 303A.14 of the NYSE Listed Company Manual) (such legal requirements, and rules and requirements of the NYSE, collectively, the “</w:t>
      </w:r>
      <w:r>
        <w:rPr>
          <w:rFonts w:ascii="Times New Roman" w:cs="Times New Roman" w:eastAsia="Times New Roman" w:hAnsi="Times New Roman"/>
          <w:sz w:val="21"/>
          <w:szCs w:val="21"/>
          <w:u w:val="single" w:color="auto"/>
          <w:color w:val="auto"/>
        </w:rPr>
        <w:t>SEC/NYSE Clawback Rules</w:t>
      </w:r>
      <w:r>
        <w:rPr>
          <w:rFonts w:ascii="Times New Roman" w:cs="Times New Roman" w:eastAsia="Times New Roman" w:hAnsi="Times New Roman"/>
          <w:sz w:val="21"/>
          <w:szCs w:val="21"/>
          <w:color w:val="auto"/>
        </w:rPr>
        <w:t xml:space="preserve">”). Each Executive Officer shall be required to sign and return to the Company the form of acknowledgment to this Policy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pursuant to which such Executive Officer will agree to be bound by the terms and comply with this Policy.</w:t>
      </w:r>
    </w:p>
    <w:p>
      <w:pPr>
        <w:spacing w:after="0" w:line="232" w:lineRule="exact"/>
        <w:rPr>
          <w:rFonts w:ascii="Times New Roman" w:cs="Times New Roman" w:eastAsia="Times New Roman" w:hAnsi="Times New Roman"/>
          <w:sz w:val="21"/>
          <w:szCs w:val="21"/>
          <w:b w:val="1"/>
          <w:bCs w:val="1"/>
          <w:color w:val="auto"/>
        </w:rPr>
      </w:pPr>
    </w:p>
    <w:p>
      <w:pPr>
        <w:ind w:left="200" w:right="539" w:firstLine="657"/>
        <w:spacing w:after="0" w:line="247" w:lineRule="auto"/>
        <w:tabs>
          <w:tab w:leader="none" w:pos="1496"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Administration. </w:t>
      </w:r>
      <w:r>
        <w:rPr>
          <w:rFonts w:ascii="Times New Roman" w:cs="Times New Roman" w:eastAsia="Times New Roman" w:hAnsi="Times New Roman"/>
          <w:sz w:val="22"/>
          <w:szCs w:val="22"/>
          <w:color w:val="auto"/>
        </w:rPr>
        <w:t>This Policy shall be administered by the Committee.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is authorized to interpret and construe this Policy and to make all determinations necessary, appropriate, or advisable for the administration of this Policy, and any such determinations made by the Committee shall be in the Committee’s sole discretion, and shall be final and binding on all affected individuals. Except as otherwise required by applicable legal requirements or the rules and requirements of the NYSE, any determinations of the Committee hereunder need not be uniform with respect to one or more Executive Officers (whether current and/or former).</w:t>
      </w:r>
    </w:p>
    <w:p>
      <w:pPr>
        <w:spacing w:after="0" w:line="225" w:lineRule="exact"/>
        <w:rPr>
          <w:rFonts w:ascii="Times New Roman" w:cs="Times New Roman" w:eastAsia="Times New Roman" w:hAnsi="Times New Roman"/>
          <w:sz w:val="22"/>
          <w:szCs w:val="22"/>
          <w:b w:val="1"/>
          <w:bCs w:val="1"/>
          <w:color w:val="auto"/>
        </w:rPr>
      </w:pPr>
    </w:p>
    <w:p>
      <w:pPr>
        <w:ind w:left="200" w:right="379" w:firstLine="657"/>
        <w:spacing w:after="0" w:line="275" w:lineRule="auto"/>
        <w:tabs>
          <w:tab w:leader="none" w:pos="1496"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For purposes of this Policy, the following capitalized terms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meanings set forth below:</w:t>
      </w:r>
    </w:p>
    <w:p>
      <w:pPr>
        <w:spacing w:after="0" w:line="194" w:lineRule="exact"/>
        <w:rPr>
          <w:sz w:val="20"/>
          <w:szCs w:val="20"/>
          <w:color w:val="auto"/>
        </w:rPr>
      </w:pPr>
    </w:p>
    <w:p>
      <w:pPr>
        <w:jc w:val="both"/>
        <w:ind w:left="200" w:right="239" w:firstLine="657"/>
        <w:spacing w:after="0" w:line="260" w:lineRule="auto"/>
        <w:tabs>
          <w:tab w:leader="none" w:pos="1496"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Accounting Restatement</w:t>
      </w:r>
      <w:r>
        <w:rPr>
          <w:rFonts w:ascii="Times New Roman" w:cs="Times New Roman" w:eastAsia="Times New Roman" w:hAnsi="Times New Roman"/>
          <w:sz w:val="21"/>
          <w:szCs w:val="21"/>
          <w:color w:val="auto"/>
        </w:rPr>
        <w:t>” shall mean an accounting restatement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(a “Big R” restatement), or</w:t>
      </w:r>
    </w:p>
    <w:p>
      <w:pPr>
        <w:spacing w:after="0" w:line="3" w:lineRule="exact"/>
        <w:rPr>
          <w:rFonts w:ascii="Times New Roman" w:cs="Times New Roman" w:eastAsia="Times New Roman" w:hAnsi="Times New Roman"/>
          <w:sz w:val="21"/>
          <w:szCs w:val="21"/>
          <w:color w:val="auto"/>
        </w:rPr>
      </w:pPr>
    </w:p>
    <w:p>
      <w:pPr>
        <w:ind w:left="200" w:right="359" w:firstLine="9"/>
        <w:spacing w:after="0" w:line="248" w:lineRule="auto"/>
        <w:tabs>
          <w:tab w:leader="none" w:pos="51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would result in a material misstatement if the error were corrected in the current period or left uncorrected in the current period (a “little r” restatement).</w:t>
      </w:r>
    </w:p>
    <w:p>
      <w:pPr>
        <w:spacing w:after="0" w:line="222"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60" w:lineRule="exact"/>
        <w:rPr>
          <w:rFonts w:ascii="Times New Roman" w:cs="Times New Roman" w:eastAsia="Times New Roman" w:hAnsi="Times New Roman"/>
          <w:sz w:val="22"/>
          <w:szCs w:val="22"/>
          <w:color w:val="auto"/>
        </w:rPr>
      </w:pPr>
    </w:p>
    <w:p>
      <w:pPr>
        <w:ind w:left="200" w:right="859" w:firstLine="657"/>
        <w:spacing w:after="0" w:line="257" w:lineRule="auto"/>
        <w:tabs>
          <w:tab w:leader="none" w:pos="149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Clawback Eligible Incentive Compensation</w:t>
      </w:r>
      <w:r>
        <w:rPr>
          <w:rFonts w:ascii="Times New Roman" w:cs="Times New Roman" w:eastAsia="Times New Roman" w:hAnsi="Times New Roman"/>
          <w:sz w:val="22"/>
          <w:szCs w:val="22"/>
          <w:color w:val="auto"/>
        </w:rPr>
        <w:t>” shall mean all Incentive-Based Compensation Received by any current or former Executive Officer on or after the NYSE Effective Date, provided that:</w:t>
      </w:r>
    </w:p>
    <w:p>
      <w:pPr>
        <w:spacing w:after="0" w:line="213" w:lineRule="exact"/>
        <w:rPr>
          <w:rFonts w:ascii="Times New Roman" w:cs="Times New Roman" w:eastAsia="Times New Roman" w:hAnsi="Times New Roman"/>
          <w:sz w:val="22"/>
          <w:szCs w:val="22"/>
          <w:color w:val="auto"/>
        </w:rPr>
      </w:pPr>
    </w:p>
    <w:p>
      <w:pPr>
        <w:ind w:left="860" w:right="259" w:firstLine="645"/>
        <w:spacing w:after="0" w:line="271" w:lineRule="auto"/>
        <w:tabs>
          <w:tab w:leader="none" w:pos="2156"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Incentive-Based Compensation is Received after such individual began serving as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614680</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2" w:name="page143"/>
    <w:bookmarkEnd w:id="142"/>
    <w:p>
      <w:pPr>
        <w:ind w:left="860" w:right="899" w:firstLine="645"/>
        <w:spacing w:after="0" w:line="271" w:lineRule="auto"/>
        <w:tabs>
          <w:tab w:leader="none" w:pos="215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individual served as an Executive Officer at any time during the performance period for such Incentive-Based Compensation;</w:t>
      </w:r>
    </w:p>
    <w:p>
      <w:pPr>
        <w:spacing w:after="0" w:line="198" w:lineRule="exact"/>
        <w:rPr>
          <w:rFonts w:ascii="Times New Roman" w:cs="Times New Roman" w:eastAsia="Times New Roman" w:hAnsi="Times New Roman"/>
          <w:sz w:val="22"/>
          <w:szCs w:val="22"/>
          <w:color w:val="auto"/>
        </w:rPr>
      </w:pPr>
    </w:p>
    <w:p>
      <w:pPr>
        <w:ind w:left="860" w:right="419" w:firstLine="645"/>
        <w:spacing w:after="0" w:line="271" w:lineRule="auto"/>
        <w:tabs>
          <w:tab w:leader="none" w:pos="215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Incentive-Based Compensation is Received while the Company has a class of securities listed on the NYSE; and</w:t>
      </w:r>
    </w:p>
    <w:p>
      <w:pPr>
        <w:spacing w:after="0" w:line="198" w:lineRule="exact"/>
        <w:rPr>
          <w:rFonts w:ascii="Times New Roman" w:cs="Times New Roman" w:eastAsia="Times New Roman" w:hAnsi="Times New Roman"/>
          <w:sz w:val="22"/>
          <w:szCs w:val="22"/>
          <w:color w:val="auto"/>
        </w:rPr>
      </w:pPr>
    </w:p>
    <w:p>
      <w:pPr>
        <w:ind w:left="860" w:right="779" w:firstLine="645"/>
        <w:spacing w:after="0" w:line="271" w:lineRule="auto"/>
        <w:tabs>
          <w:tab w:leader="none" w:pos="215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Incentive-Based Compensation is Received during the applicable Clawback Period.</w:t>
      </w:r>
    </w:p>
    <w:p>
      <w:pPr>
        <w:spacing w:after="0" w:line="198" w:lineRule="exact"/>
        <w:rPr>
          <w:rFonts w:ascii="Times New Roman" w:cs="Times New Roman" w:eastAsia="Times New Roman" w:hAnsi="Times New Roman"/>
          <w:sz w:val="22"/>
          <w:szCs w:val="22"/>
          <w:color w:val="auto"/>
        </w:rPr>
      </w:pPr>
    </w:p>
    <w:p>
      <w:pPr>
        <w:ind w:left="200" w:right="279" w:firstLine="657"/>
        <w:spacing w:after="0" w:line="252" w:lineRule="auto"/>
        <w:tabs>
          <w:tab w:leader="none" w:pos="149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Clawback Period</w:t>
      </w:r>
      <w:r>
        <w:rPr>
          <w:rFonts w:ascii="Times New Roman" w:cs="Times New Roman" w:eastAsia="Times New Roman" w:hAnsi="Times New Roman"/>
          <w:sz w:val="22"/>
          <w:szCs w:val="22"/>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219"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the Human Resources Committee of the Board.</w:t>
      </w:r>
    </w:p>
    <w:p>
      <w:pPr>
        <w:spacing w:after="0" w:line="260"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shall mean the common stock, par value $.01 per share, of the</w:t>
      </w:r>
    </w:p>
    <w:p>
      <w:pPr>
        <w:spacing w:after="0" w:line="27"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23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mean Ryman Hospitality Properties, Inc., a Delaware corporation.</w:t>
      </w:r>
    </w:p>
    <w:p>
      <w:pPr>
        <w:spacing w:after="0" w:line="285" w:lineRule="exact"/>
        <w:rPr>
          <w:rFonts w:ascii="Times New Roman" w:cs="Times New Roman" w:eastAsia="Times New Roman" w:hAnsi="Times New Roman"/>
          <w:sz w:val="21"/>
          <w:szCs w:val="21"/>
          <w:color w:val="auto"/>
        </w:rPr>
      </w:pPr>
    </w:p>
    <w:p>
      <w:pPr>
        <w:ind w:left="200" w:right="579" w:firstLine="657"/>
        <w:spacing w:after="0" w:line="271" w:lineRule="auto"/>
        <w:tabs>
          <w:tab w:leader="none" w:pos="149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shall mean the Company, together with each of its direct and indirect subsidiaries.</w:t>
      </w:r>
    </w:p>
    <w:p>
      <w:pPr>
        <w:spacing w:after="0" w:line="198" w:lineRule="exact"/>
        <w:rPr>
          <w:rFonts w:ascii="Times New Roman" w:cs="Times New Roman" w:eastAsia="Times New Roman" w:hAnsi="Times New Roman"/>
          <w:sz w:val="22"/>
          <w:szCs w:val="22"/>
          <w:color w:val="auto"/>
        </w:rPr>
      </w:pPr>
    </w:p>
    <w:p>
      <w:pPr>
        <w:ind w:left="200" w:right="279" w:firstLine="657"/>
        <w:spacing w:after="0" w:line="248" w:lineRule="auto"/>
        <w:tabs>
          <w:tab w:leader="none" w:pos="149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shall mean, with respect to any current or former Executive Officer in connection with any Accounting Restatement, the amount of Clawback Eligible Incentive Compensation Received by such current or former Executive Officer that exceeds the amount of Clawback Eligible Incentive Compensation that otherwise would have been Received by such current or former Executive Officer had such Clawback Eligible Incentive Compensation been determined based on the restated amounts as reflected in connection with such Accounting Restatement, computed without regard to any taxes paid.</w:t>
      </w:r>
    </w:p>
    <w:p>
      <w:pPr>
        <w:spacing w:after="0" w:line="222"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60" w:lineRule="exact"/>
        <w:rPr>
          <w:rFonts w:ascii="Times New Roman" w:cs="Times New Roman" w:eastAsia="Times New Roman" w:hAnsi="Times New Roman"/>
          <w:sz w:val="22"/>
          <w:szCs w:val="22"/>
          <w:color w:val="auto"/>
        </w:rPr>
      </w:pPr>
    </w:p>
    <w:p>
      <w:pPr>
        <w:ind w:left="200" w:right="659" w:firstLine="657"/>
        <w:spacing w:after="0" w:line="271" w:lineRule="auto"/>
        <w:tabs>
          <w:tab w:leader="none" w:pos="149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shall mean any officer as defined in Rule 10D-1(d) (or any successor provision thereof) under the Exchange Act.</w:t>
      </w:r>
    </w:p>
    <w:p>
      <w:pPr>
        <w:spacing w:after="0" w:line="198" w:lineRule="exact"/>
        <w:rPr>
          <w:rFonts w:ascii="Times New Roman" w:cs="Times New Roman" w:eastAsia="Times New Roman" w:hAnsi="Times New Roman"/>
          <w:sz w:val="22"/>
          <w:szCs w:val="22"/>
          <w:color w:val="auto"/>
        </w:rPr>
      </w:pPr>
    </w:p>
    <w:p>
      <w:pPr>
        <w:ind w:left="200" w:right="359" w:firstLine="657"/>
        <w:spacing w:after="0" w:line="261" w:lineRule="auto"/>
        <w:tabs>
          <w:tab w:leader="none" w:pos="1496"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Reporting Measures</w:t>
      </w:r>
      <w:r>
        <w:rPr>
          <w:rFonts w:ascii="Times New Roman" w:cs="Times New Roman" w:eastAsia="Times New Roman" w:hAnsi="Times New Roman"/>
          <w:sz w:val="21"/>
          <w:szCs w:val="21"/>
          <w:color w:val="auto"/>
        </w:rPr>
        <w:t>” shall mean measures that are determined and presented in accordance with the accounting principles used in preparing the Company’s financial statements, and any other measures that are derived wholly or in part from such measures. Financial Reporting Measures may include “non-GAAP financial measures” as well as other measures, metrics and ratios that are not GAAP measures. For purposes of this Policy, stock price and total shareholder return (and any measures that are derived wholly or in part from stock price or total shareholder return) shall be considered Financial Reporting Measures. For the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43" w:name="page144"/>
    <w:bookmarkEnd w:id="143"/>
    <w:p>
      <w:pPr>
        <w:ind w:left="200" w:right="479"/>
        <w:spacing w:after="0" w:line="271" w:lineRule="auto"/>
        <w:rPr>
          <w:sz w:val="20"/>
          <w:szCs w:val="20"/>
          <w:color w:val="auto"/>
        </w:rPr>
      </w:pPr>
      <w:r>
        <w:rPr>
          <w:rFonts w:ascii="Times New Roman" w:cs="Times New Roman" w:eastAsia="Times New Roman" w:hAnsi="Times New Roman"/>
          <w:sz w:val="22"/>
          <w:szCs w:val="22"/>
          <w:color w:val="auto"/>
        </w:rPr>
        <w:t>avoidance of doubt, a Financial Reporting Measure need not be presented within the Company’s financial statements or included in a filing with the SEC.</w:t>
      </w:r>
    </w:p>
    <w:p>
      <w:pPr>
        <w:spacing w:after="0" w:line="198" w:lineRule="exact"/>
        <w:rPr>
          <w:sz w:val="20"/>
          <w:szCs w:val="20"/>
          <w:color w:val="auto"/>
        </w:rPr>
      </w:pPr>
    </w:p>
    <w:p>
      <w:pPr>
        <w:ind w:left="200" w:right="579" w:firstLine="657"/>
        <w:spacing w:after="0" w:line="257" w:lineRule="auto"/>
        <w:tabs>
          <w:tab w:leader="none" w:pos="149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shall mean any compensation that is granted, earned or vested (including any compensation deferred with respect thereto) based wholly or in part upon the attainment of a Financial Reporting Measure.</w:t>
      </w:r>
    </w:p>
    <w:p>
      <w:pPr>
        <w:spacing w:after="0" w:line="213"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NYSE</w:t>
      </w:r>
      <w:r>
        <w:rPr>
          <w:rFonts w:ascii="Times New Roman" w:cs="Times New Roman" w:eastAsia="Times New Roman" w:hAnsi="Times New Roman"/>
          <w:sz w:val="22"/>
          <w:szCs w:val="22"/>
          <w:color w:val="auto"/>
        </w:rPr>
        <w:t>” shall mean the New York Stock Exchange.</w:t>
      </w:r>
    </w:p>
    <w:p>
      <w:pPr>
        <w:spacing w:after="0" w:line="260" w:lineRule="exact"/>
        <w:rPr>
          <w:rFonts w:ascii="Times New Roman" w:cs="Times New Roman" w:eastAsia="Times New Roman" w:hAnsi="Times New Roman"/>
          <w:sz w:val="22"/>
          <w:szCs w:val="22"/>
          <w:color w:val="auto"/>
        </w:rPr>
      </w:pPr>
    </w:p>
    <w:p>
      <w:pPr>
        <w:ind w:left="200" w:right="399" w:firstLine="657"/>
        <w:spacing w:after="0" w:line="271" w:lineRule="auto"/>
        <w:tabs>
          <w:tab w:leader="none" w:pos="149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NYSE Effective Date</w:t>
      </w:r>
      <w:r>
        <w:rPr>
          <w:rFonts w:ascii="Times New Roman" w:cs="Times New Roman" w:eastAsia="Times New Roman" w:hAnsi="Times New Roman"/>
          <w:sz w:val="22"/>
          <w:szCs w:val="22"/>
          <w:color w:val="auto"/>
        </w:rPr>
        <w:t>” shall mean October 2, 2023 (which is the effective date of the final NYSE listing standards).</w:t>
      </w:r>
    </w:p>
    <w:p>
      <w:pPr>
        <w:spacing w:after="0" w:line="198" w:lineRule="exact"/>
        <w:rPr>
          <w:rFonts w:ascii="Times New Roman" w:cs="Times New Roman" w:eastAsia="Times New Roman" w:hAnsi="Times New Roman"/>
          <w:sz w:val="22"/>
          <w:szCs w:val="22"/>
          <w:color w:val="auto"/>
        </w:rPr>
      </w:pPr>
    </w:p>
    <w:p>
      <w:pPr>
        <w:ind w:left="200" w:right="219" w:firstLine="657"/>
        <w:spacing w:after="0" w:line="250" w:lineRule="auto"/>
        <w:tabs>
          <w:tab w:leader="none" w:pos="149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Received</w:t>
      </w:r>
      <w:r>
        <w:rPr>
          <w:rFonts w:ascii="Times New Roman" w:cs="Times New Roman" w:eastAsia="Times New Roman" w:hAnsi="Times New Roman"/>
          <w:sz w:val="22"/>
          <w:szCs w:val="22"/>
          <w:color w:val="auto"/>
        </w:rPr>
        <w:t>” shall mean when Incentive-Based Compensation is received,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221" w:lineRule="exact"/>
        <w:rPr>
          <w:rFonts w:ascii="Times New Roman" w:cs="Times New Roman" w:eastAsia="Times New Roman" w:hAnsi="Times New Roman"/>
          <w:sz w:val="22"/>
          <w:szCs w:val="22"/>
          <w:color w:val="auto"/>
        </w:rPr>
      </w:pPr>
    </w:p>
    <w:p>
      <w:pPr>
        <w:ind w:left="200" w:right="479" w:firstLine="711"/>
        <w:spacing w:after="0" w:line="253" w:lineRule="auto"/>
        <w:tabs>
          <w:tab w:leader="none" w:pos="149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219" w:lineRule="exact"/>
        <w:rPr>
          <w:sz w:val="20"/>
          <w:szCs w:val="20"/>
          <w:color w:val="auto"/>
        </w:rPr>
      </w:pPr>
    </w:p>
    <w:p>
      <w:pPr>
        <w:ind w:left="1500" w:hanging="643"/>
        <w:spacing w:after="0"/>
        <w:tabs>
          <w:tab w:leader="none" w:pos="15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shall mean the U.S. Securities and Exchange Commission.</w:t>
      </w:r>
    </w:p>
    <w:p>
      <w:pPr>
        <w:spacing w:after="0" w:line="256" w:lineRule="exact"/>
        <w:rPr>
          <w:sz w:val="20"/>
          <w:szCs w:val="20"/>
          <w:color w:val="auto"/>
        </w:rPr>
      </w:pPr>
    </w:p>
    <w:p>
      <w:pPr>
        <w:ind w:left="1500" w:hanging="643"/>
        <w:spacing w:after="0"/>
        <w:tabs>
          <w:tab w:leader="none" w:pos="150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Recoupment of Erroneously Awarded Compensation.</w:t>
      </w:r>
    </w:p>
    <w:p>
      <w:pPr>
        <w:spacing w:after="0" w:line="264" w:lineRule="exact"/>
        <w:rPr>
          <w:sz w:val="20"/>
          <w:szCs w:val="20"/>
          <w:color w:val="auto"/>
        </w:rPr>
      </w:pPr>
    </w:p>
    <w:p>
      <w:pPr>
        <w:ind w:left="200" w:right="239" w:firstLine="657"/>
        <w:spacing w:after="0" w:line="246" w:lineRule="auto"/>
        <w:tabs>
          <w:tab w:leader="none" w:pos="149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is required to prepare an Accounting Restatement, (i) the Committee shall determine the amount of any Erroneously Awarded Compensation for each applicable current or former Executive Officer (whether or not such individual is serving as an Executive Officer at such time) (the “</w:t>
      </w:r>
      <w:r>
        <w:rPr>
          <w:rFonts w:ascii="Times New Roman" w:cs="Times New Roman" w:eastAsia="Times New Roman" w:hAnsi="Times New Roman"/>
          <w:sz w:val="22"/>
          <w:szCs w:val="22"/>
          <w:u w:val="single" w:color="auto"/>
          <w:color w:val="auto"/>
        </w:rPr>
        <w:t>Applicable Executives</w:t>
      </w:r>
      <w:r>
        <w:rPr>
          <w:rFonts w:ascii="Times New Roman" w:cs="Times New Roman" w:eastAsia="Times New Roman" w:hAnsi="Times New Roman"/>
          <w:sz w:val="22"/>
          <w:szCs w:val="22"/>
          <w:color w:val="auto"/>
        </w:rPr>
        <w:t>”) in connection with such Accounting Restatement, and (ii) the Company will reasonably promptly require the recoupment of such Erroneously Awarded Compensation from any such Applicable Executive, and any such Applicable Executive shall surrender such Erroneously Awarded Compensation to the Company, at such time(s), and via such method(s), as determined by the Committee in accordance with the terms of this Policy.</w:t>
      </w:r>
    </w:p>
    <w:p>
      <w:pPr>
        <w:spacing w:after="0" w:line="231" w:lineRule="exact"/>
        <w:rPr>
          <w:rFonts w:ascii="Times New Roman" w:cs="Times New Roman" w:eastAsia="Times New Roman" w:hAnsi="Times New Roman"/>
          <w:sz w:val="22"/>
          <w:szCs w:val="22"/>
          <w:color w:val="auto"/>
        </w:rPr>
      </w:pPr>
    </w:p>
    <w:p>
      <w:pPr>
        <w:ind w:left="200" w:right="259" w:firstLine="657"/>
        <w:spacing w:after="0" w:line="247" w:lineRule="auto"/>
        <w:tabs>
          <w:tab w:leader="none" w:pos="149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Incentive-Based Compensation based on (or derived from) stock price or total shareholder return where the amount of Erroneously Awarded Compensation is not subject to mathematical recalculation directly from the information in the applicable Accounting Restatement, (i) such amount shall be determined by the Committee based on a reasonable estimate of the effect of the Accounting Restatement on the stock price or total shareholder return upon which the Incentive-Based Compensation was Received, and (ii) the Company will maintain documentation of the determination of that reasonable estimate and provide such documentation to the NYSE.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44" w:name="page145"/>
    <w:bookmarkEnd w:id="144"/>
    <w:p>
      <w:pPr>
        <w:jc w:val="both"/>
        <w:ind w:left="200" w:right="379" w:firstLine="657"/>
        <w:spacing w:after="0" w:line="257" w:lineRule="auto"/>
        <w:tabs>
          <w:tab w:leader="none" w:pos="14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determine, in its sole discretion, the method(s) for recouping any Erroneously Awarded Compensation from any Applicable Executive, which may include one or more of the following:</w:t>
      </w:r>
    </w:p>
    <w:p>
      <w:pPr>
        <w:spacing w:after="0" w:line="213" w:lineRule="exact"/>
        <w:rPr>
          <w:rFonts w:ascii="Times New Roman" w:cs="Times New Roman" w:eastAsia="Times New Roman" w:hAnsi="Times New Roman"/>
          <w:sz w:val="22"/>
          <w:szCs w:val="22"/>
          <w:color w:val="auto"/>
        </w:rPr>
      </w:pPr>
    </w:p>
    <w:p>
      <w:pPr>
        <w:ind w:left="860" w:right="299" w:firstLine="645"/>
        <w:spacing w:after="0" w:line="275" w:lineRule="auto"/>
        <w:tabs>
          <w:tab w:leader="none" w:pos="2156"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one or more cash payments to the Company Group from such Applicable Executive, including, but not limited to, the repayment of cash Incentive-Based Compensation previously paid by the Company Group to such Applicable Executive;</w:t>
      </w:r>
    </w:p>
    <w:p>
      <w:pPr>
        <w:spacing w:after="0" w:line="195" w:lineRule="exact"/>
        <w:rPr>
          <w:rFonts w:ascii="Times New Roman" w:cs="Times New Roman" w:eastAsia="Times New Roman" w:hAnsi="Times New Roman"/>
          <w:sz w:val="21"/>
          <w:szCs w:val="21"/>
          <w:color w:val="auto"/>
        </w:rPr>
      </w:pPr>
    </w:p>
    <w:p>
      <w:pPr>
        <w:ind w:left="860" w:right="359" w:firstLine="645"/>
        <w:spacing w:after="0" w:line="250" w:lineRule="auto"/>
        <w:tabs>
          <w:tab w:leader="none" w:pos="215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 previously made by the Company to such Applicable Executive and/or, subject to applicable legal requirements, otherwise requiring the delivery to the Company of shares of Common Stock held by such Applicable Executive;</w:t>
      </w:r>
    </w:p>
    <w:p>
      <w:pPr>
        <w:spacing w:after="0" w:line="221" w:lineRule="exact"/>
        <w:rPr>
          <w:rFonts w:ascii="Times New Roman" w:cs="Times New Roman" w:eastAsia="Times New Roman" w:hAnsi="Times New Roman"/>
          <w:sz w:val="22"/>
          <w:szCs w:val="22"/>
          <w:color w:val="auto"/>
        </w:rPr>
      </w:pPr>
    </w:p>
    <w:p>
      <w:pPr>
        <w:ind w:left="860" w:right="339" w:firstLine="645"/>
        <w:spacing w:after="0" w:line="257" w:lineRule="auto"/>
        <w:tabs>
          <w:tab w:leader="none" w:pos="215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reducing or eliminating future cash compensation (including cash incentive payments), future equity awards and/or other benefits or amounts otherwise to be paid or awarded by the Company Group to such Applicable Executive;</w:t>
      </w:r>
    </w:p>
    <w:p>
      <w:pPr>
        <w:spacing w:after="0" w:line="213" w:lineRule="exact"/>
        <w:rPr>
          <w:rFonts w:ascii="Times New Roman" w:cs="Times New Roman" w:eastAsia="Times New Roman" w:hAnsi="Times New Roman"/>
          <w:sz w:val="22"/>
          <w:szCs w:val="22"/>
          <w:color w:val="auto"/>
        </w:rPr>
      </w:pPr>
    </w:p>
    <w:p>
      <w:pPr>
        <w:ind w:left="860" w:right="359" w:firstLine="645"/>
        <w:spacing w:after="0" w:line="272" w:lineRule="auto"/>
        <w:tabs>
          <w:tab w:leader="none" w:pos="2156"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offsetting amounts against compensation or other amounts otherwise payable by the Company Group to any Applicable Executive, including without limitation forfeiture of deferred compensation, to the extent consistent with Section 409A of the Internal Revenue Code of 1986, as amended, and the regulations thereunder;</w:t>
      </w:r>
    </w:p>
    <w:p>
      <w:pPr>
        <w:spacing w:after="0" w:line="200" w:lineRule="exact"/>
        <w:rPr>
          <w:rFonts w:ascii="Times New Roman" w:cs="Times New Roman" w:eastAsia="Times New Roman" w:hAnsi="Times New Roman"/>
          <w:sz w:val="21"/>
          <w:szCs w:val="21"/>
          <w:color w:val="auto"/>
        </w:rPr>
      </w:pPr>
    </w:p>
    <w:p>
      <w:pPr>
        <w:spacing w:after="0" w:line="257" w:lineRule="exact"/>
        <w:rPr>
          <w:rFonts w:ascii="Times New Roman" w:cs="Times New Roman" w:eastAsia="Times New Roman" w:hAnsi="Times New Roman"/>
          <w:sz w:val="21"/>
          <w:szCs w:val="21"/>
          <w:color w:val="auto"/>
        </w:rPr>
      </w:pPr>
    </w:p>
    <w:p>
      <w:pPr>
        <w:ind w:left="860" w:right="279" w:firstLine="645"/>
        <w:spacing w:after="0" w:line="295" w:lineRule="auto"/>
        <w:tabs>
          <w:tab w:leader="none" w:pos="2156"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adjusting or offsetting against some or all outstanding vested or unvested cash or equity awards of the Company held by such Applicable Executive; and/or</w:t>
      </w:r>
    </w:p>
    <w:p>
      <w:pPr>
        <w:spacing w:after="0" w:line="175" w:lineRule="exact"/>
        <w:rPr>
          <w:rFonts w:ascii="Times New Roman" w:cs="Times New Roman" w:eastAsia="Times New Roman" w:hAnsi="Times New Roman"/>
          <w:sz w:val="21"/>
          <w:szCs w:val="21"/>
          <w:color w:val="auto"/>
        </w:rPr>
      </w:pPr>
    </w:p>
    <w:p>
      <w:pPr>
        <w:jc w:val="both"/>
        <w:ind w:left="860" w:right="1019" w:firstLine="645"/>
        <w:spacing w:after="0" w:line="257" w:lineRule="auto"/>
        <w:tabs>
          <w:tab w:leader="none" w:pos="215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any other remedial and recovery actions with respect to such Applicable Executive permitted by applicable legal requirements and the rules and regulations of the NYSE, as determined by the Committee.</w:t>
      </w:r>
    </w:p>
    <w:p>
      <w:pPr>
        <w:spacing w:after="0" w:line="213" w:lineRule="exact"/>
        <w:rPr>
          <w:rFonts w:ascii="Times New Roman" w:cs="Times New Roman" w:eastAsia="Times New Roman" w:hAnsi="Times New Roman"/>
          <w:sz w:val="22"/>
          <w:szCs w:val="22"/>
          <w:color w:val="auto"/>
        </w:rPr>
      </w:pPr>
    </w:p>
    <w:p>
      <w:pPr>
        <w:ind w:left="200" w:right="279" w:firstLine="657"/>
        <w:spacing w:after="0" w:line="252" w:lineRule="auto"/>
        <w:tabs>
          <w:tab w:leader="none" w:pos="14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Company shall not be required to recover Erroneously Awarded Compensation from any Applicable Executive pursuant to the terms of this Policy if (1) the Committee determines that such recovery would be impracticable, and (2) any of the following conditions is met:</w:t>
      </w:r>
    </w:p>
    <w:p>
      <w:pPr>
        <w:spacing w:after="0" w:line="219" w:lineRule="exact"/>
        <w:rPr>
          <w:rFonts w:ascii="Times New Roman" w:cs="Times New Roman" w:eastAsia="Times New Roman" w:hAnsi="Times New Roman"/>
          <w:sz w:val="22"/>
          <w:szCs w:val="22"/>
          <w:color w:val="auto"/>
        </w:rPr>
      </w:pPr>
    </w:p>
    <w:p>
      <w:pPr>
        <w:ind w:left="860" w:right="239" w:firstLine="645"/>
        <w:spacing w:after="0" w:line="248" w:lineRule="auto"/>
        <w:tabs>
          <w:tab w:leader="none" w:pos="215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expenses paid to a third party to assist in enforcing the Policy would exceed the amount to be recovered, provided that, before concluding that it would be impracticable to recover any amount of Erroneously Awarded Compensation based on expense of enforcement pursuant to this clause (i), the Company has (x) made a reasonable attempt to recover such Erroneously Awarded Compensation, (y) documented such reasonable attempt(s) to recover, and (z) provided such documentation to the NYSE;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145" w:name="page146"/>
    <w:bookmarkEnd w:id="145"/>
    <w:p>
      <w:pPr>
        <w:ind w:left="860" w:right="319" w:firstLine="645"/>
        <w:spacing w:after="0" w:line="248" w:lineRule="auto"/>
        <w:tabs>
          <w:tab w:leader="none" w:pos="215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the NYSE, that recovery would result in such a violation, has provided copy of the opinion is provided to the NYSE; or</w:t>
      </w:r>
    </w:p>
    <w:p>
      <w:pPr>
        <w:spacing w:after="0" w:line="227" w:lineRule="exact"/>
        <w:rPr>
          <w:rFonts w:ascii="Times New Roman" w:cs="Times New Roman" w:eastAsia="Times New Roman" w:hAnsi="Times New Roman"/>
          <w:sz w:val="22"/>
          <w:szCs w:val="22"/>
          <w:color w:val="auto"/>
        </w:rPr>
      </w:pPr>
    </w:p>
    <w:p>
      <w:pPr>
        <w:ind w:left="860" w:right="399" w:firstLine="645"/>
        <w:spacing w:after="0" w:line="252" w:lineRule="auto"/>
        <w:tabs>
          <w:tab w:leader="none" w:pos="215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215" w:lineRule="exact"/>
        <w:rPr>
          <w:rFonts w:ascii="Times New Roman" w:cs="Times New Roman" w:eastAsia="Times New Roman" w:hAnsi="Times New Roman"/>
          <w:sz w:val="22"/>
          <w:szCs w:val="22"/>
          <w:color w:val="auto"/>
        </w:rPr>
      </w:pPr>
    </w:p>
    <w:p>
      <w:pPr>
        <w:jc w:val="both"/>
        <w:ind w:left="200" w:right="279" w:firstLine="657"/>
        <w:spacing w:after="0" w:line="266" w:lineRule="auto"/>
        <w:tabs>
          <w:tab w:leader="none" w:pos="1496"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 Indemnification, Etc. </w:t>
      </w:r>
      <w:r>
        <w:rPr>
          <w:rFonts w:ascii="Times New Roman" w:cs="Times New Roman" w:eastAsia="Times New Roman" w:hAnsi="Times New Roman"/>
          <w:sz w:val="21"/>
          <w:szCs w:val="21"/>
          <w:color w:val="auto"/>
        </w:rPr>
        <w:t>The Company Group shall not (x) indemnify any current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former Executive Officer against (i) the loss of any Erroneously Awarded Compensation that is repaid, returned or recovered pursuant to the terms of this Policy, or (ii) any claims relating to the Company Group’s enforcement of its rights under this Policy, or (y) pay or reimburse any current or former Executive Officers for insurance premiums to recover losses incurred under this Policy.</w:t>
      </w:r>
    </w:p>
    <w:p>
      <w:pPr>
        <w:spacing w:after="0" w:line="200" w:lineRule="exact"/>
        <w:rPr>
          <w:rFonts w:ascii="Times New Roman" w:cs="Times New Roman" w:eastAsia="Times New Roman" w:hAnsi="Times New Roman"/>
          <w:sz w:val="21"/>
          <w:szCs w:val="21"/>
          <w:b w:val="1"/>
          <w:bCs w:val="1"/>
          <w:color w:val="auto"/>
        </w:rPr>
      </w:pPr>
    </w:p>
    <w:p>
      <w:pPr>
        <w:ind w:left="200" w:right="279" w:firstLine="657"/>
        <w:spacing w:after="0" w:line="249" w:lineRule="auto"/>
        <w:tabs>
          <w:tab w:leader="none" w:pos="1496"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Supersedure. </w:t>
      </w:r>
      <w:r>
        <w:rPr>
          <w:rFonts w:ascii="Times New Roman" w:cs="Times New Roman" w:eastAsia="Times New Roman" w:hAnsi="Times New Roman"/>
          <w:sz w:val="22"/>
          <w:szCs w:val="22"/>
          <w:color w:val="auto"/>
        </w:rPr>
        <w:t>This Policy will supersede any provisions in (x) any agreement,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other arrangement applicable to any member of the Company Group, and (y) any organizational documents of any entity that is part of Company Group that, in any such case, (a) exempt any Incentive-Based Compensation from the application of this Policy, (b) waive or otherwise prohibit or restricts the Company Group’s right to recover any Erroneously Awarded Compensation, including, without limitation, in connection with exercising any right of setoff as provided herein, and/or (c) require or provide for indemnification to the extent that such indemnification is prohibited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above.</w:t>
      </w:r>
    </w:p>
    <w:p>
      <w:pPr>
        <w:spacing w:after="0" w:line="222" w:lineRule="exact"/>
        <w:rPr>
          <w:rFonts w:ascii="Times New Roman" w:cs="Times New Roman" w:eastAsia="Times New Roman" w:hAnsi="Times New Roman"/>
          <w:sz w:val="22"/>
          <w:szCs w:val="22"/>
          <w:b w:val="1"/>
          <w:bCs w:val="1"/>
          <w:color w:val="auto"/>
        </w:rPr>
      </w:pPr>
    </w:p>
    <w:p>
      <w:pPr>
        <w:jc w:val="both"/>
        <w:ind w:left="200" w:right="419" w:firstLine="657"/>
        <w:spacing w:after="0" w:line="253" w:lineRule="auto"/>
        <w:tabs>
          <w:tab w:leader="none" w:pos="1496"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Termination; Interpretation. </w:t>
      </w:r>
      <w:r>
        <w:rPr>
          <w:rFonts w:ascii="Times New Roman" w:cs="Times New Roman" w:eastAsia="Times New Roman" w:hAnsi="Times New Roman"/>
          <w:sz w:val="22"/>
          <w:szCs w:val="22"/>
          <w:color w:val="auto"/>
        </w:rPr>
        <w:t>The Board may amend or terminate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at any time, subject to compliance with all applicable legal requirements and the rules and requirements of the NYSE. It is intended that this Policy be interpreted in a manner that is consistent with the SEC/NYSE Clawback Rules.</w:t>
      </w:r>
    </w:p>
    <w:p>
      <w:pPr>
        <w:spacing w:after="0" w:line="215"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Recoupment Rights; No Additional Payments.</w:t>
      </w:r>
    </w:p>
    <w:p>
      <w:pPr>
        <w:spacing w:after="0" w:line="264" w:lineRule="exact"/>
        <w:rPr>
          <w:sz w:val="20"/>
          <w:szCs w:val="20"/>
          <w:color w:val="auto"/>
        </w:rPr>
      </w:pPr>
    </w:p>
    <w:p>
      <w:pPr>
        <w:ind w:left="200" w:right="359" w:firstLine="657"/>
        <w:spacing w:after="0" w:line="263" w:lineRule="auto"/>
        <w:tabs>
          <w:tab w:leader="none" w:pos="1496"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8(b)</w:t>
      </w:r>
      <w:r>
        <w:rPr>
          <w:rFonts w:ascii="Times New Roman" w:cs="Times New Roman" w:eastAsia="Times New Roman" w:hAnsi="Times New Roman"/>
          <w:sz w:val="21"/>
          <w:szCs w:val="21"/>
          <w:color w:val="auto"/>
        </w:rPr>
        <w:t xml:space="preserve"> of this Policy below, any right of recoupment under this Policy is in addition to, and not in lieu of, any other remedies or rights of recoupment that may be available to the Company Group pursuant to (i) the terms of any recoupment provisions in any employment agreement, incentive or equity compensation plan or award or other agreement, (ii) any other legal requirements, including, but not limited to, Section 304 of Sarbanes-Oxley Act of 2002, and (iii) any other legal rights or remedies available to the Company.</w:t>
      </w:r>
    </w:p>
    <w:p>
      <w:pPr>
        <w:spacing w:after="0" w:line="207" w:lineRule="exact"/>
        <w:rPr>
          <w:rFonts w:ascii="Times New Roman" w:cs="Times New Roman" w:eastAsia="Times New Roman" w:hAnsi="Times New Roman"/>
          <w:sz w:val="21"/>
          <w:szCs w:val="21"/>
          <w:color w:val="auto"/>
        </w:rPr>
      </w:pPr>
    </w:p>
    <w:p>
      <w:pPr>
        <w:ind w:left="1500" w:hanging="643"/>
        <w:spacing w:after="0"/>
        <w:tabs>
          <w:tab w:leader="none" w:pos="15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to prevent duplicative recovery:</w:t>
      </w:r>
    </w:p>
    <w:p>
      <w:pPr>
        <w:spacing w:after="0" w:line="260" w:lineRule="exact"/>
        <w:rPr>
          <w:rFonts w:ascii="Times New Roman" w:cs="Times New Roman" w:eastAsia="Times New Roman" w:hAnsi="Times New Roman"/>
          <w:sz w:val="22"/>
          <w:szCs w:val="22"/>
          <w:color w:val="auto"/>
        </w:rPr>
      </w:pPr>
    </w:p>
    <w:p>
      <w:pPr>
        <w:ind w:left="860" w:right="359" w:firstLine="645"/>
        <w:spacing w:after="0" w:line="271" w:lineRule="auto"/>
        <w:tabs>
          <w:tab w:leader="none" w:pos="2156"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amount of any Erroneously Awarded Compensation is recovered from any current or former Executive Officers under this Policy, the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46" w:name="page147"/>
    <w:bookmarkEnd w:id="146"/>
    <w:p>
      <w:pPr>
        <w:ind w:left="860" w:right="1359"/>
        <w:spacing w:after="0" w:line="271" w:lineRule="auto"/>
        <w:rPr>
          <w:sz w:val="20"/>
          <w:szCs w:val="20"/>
          <w:color w:val="auto"/>
        </w:rPr>
      </w:pPr>
      <w:r>
        <w:rPr>
          <w:rFonts w:ascii="Times New Roman" w:cs="Times New Roman" w:eastAsia="Times New Roman" w:hAnsi="Times New Roman"/>
          <w:sz w:val="22"/>
          <w:szCs w:val="22"/>
          <w:color w:val="auto"/>
        </w:rPr>
        <w:t>Company will not be entitled to recover any such amounts under the Voluntary Recoupment Policy; and</w:t>
      </w:r>
    </w:p>
    <w:p>
      <w:pPr>
        <w:spacing w:after="0" w:line="198" w:lineRule="exact"/>
        <w:rPr>
          <w:sz w:val="20"/>
          <w:szCs w:val="20"/>
          <w:color w:val="auto"/>
        </w:rPr>
      </w:pPr>
    </w:p>
    <w:p>
      <w:pPr>
        <w:ind w:left="860" w:right="279" w:firstLine="645"/>
        <w:spacing w:after="0" w:line="263" w:lineRule="auto"/>
        <w:tabs>
          <w:tab w:leader="none" w:pos="2156"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Erroneously Awarded Compensation includes any amounts that have been actually reimbursed to the Company Group from any Applicable Executive pursuant to Section 304 of the Sarbanes-Oxley Act (any such amounts that have been reimbursed to the Company Group, the “</w:t>
      </w:r>
      <w:r>
        <w:rPr>
          <w:rFonts w:ascii="Times New Roman" w:cs="Times New Roman" w:eastAsia="Times New Roman" w:hAnsi="Times New Roman"/>
          <w:sz w:val="21"/>
          <w:szCs w:val="21"/>
          <w:u w:val="single" w:color="auto"/>
          <w:color w:val="auto"/>
        </w:rPr>
        <w:t>Applicable SOX Recoupment Amount</w:t>
      </w:r>
      <w:r>
        <w:rPr>
          <w:rFonts w:ascii="Times New Roman" w:cs="Times New Roman" w:eastAsia="Times New Roman" w:hAnsi="Times New Roman"/>
          <w:sz w:val="21"/>
          <w:szCs w:val="21"/>
          <w:color w:val="auto"/>
        </w:rPr>
        <w:t>”), the amount of any Erroneously Awarded Compensation to be recovered from any such Applicable Executive shall be reduced by the Applicable SOX Recoupment Amount.</w:t>
      </w:r>
    </w:p>
    <w:p>
      <w:pPr>
        <w:spacing w:after="0" w:line="203" w:lineRule="exact"/>
        <w:rPr>
          <w:rFonts w:ascii="Times New Roman" w:cs="Times New Roman" w:eastAsia="Times New Roman" w:hAnsi="Times New Roman"/>
          <w:sz w:val="21"/>
          <w:szCs w:val="21"/>
          <w:color w:val="auto"/>
        </w:rPr>
      </w:pPr>
    </w:p>
    <w:p>
      <w:pPr>
        <w:ind w:left="200" w:right="339" w:firstLine="657"/>
        <w:spacing w:after="0" w:line="253" w:lineRule="auto"/>
        <w:tabs>
          <w:tab w:leader="none" w:pos="1496"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Successors. </w:t>
      </w:r>
      <w:r>
        <w:rPr>
          <w:rFonts w:ascii="Times New Roman" w:cs="Times New Roman" w:eastAsia="Times New Roman" w:hAnsi="Times New Roman"/>
          <w:sz w:val="22"/>
          <w:szCs w:val="22"/>
          <w:color w:val="auto"/>
        </w:rPr>
        <w:t>This Policy shall be binding and enforceable against all current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former Executive Officers and, to the extent required by applicable law or guidance from the SEC or NYSE as determined by the Committee, their beneficiaries, heirs, executors, administrators or other legal representatives.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Acknowledgment</w:t>
      </w:r>
    </w:p>
    <w:p>
      <w:pPr>
        <w:spacing w:after="0" w:line="264" w:lineRule="exact"/>
        <w:rPr>
          <w:sz w:val="20"/>
          <w:szCs w:val="20"/>
          <w:color w:val="auto"/>
        </w:rPr>
      </w:pPr>
    </w:p>
    <w:p>
      <w:pPr>
        <w:ind w:left="200" w:right="339" w:firstLine="648"/>
        <w:spacing w:after="0" w:line="250" w:lineRule="auto"/>
        <w:rPr>
          <w:sz w:val="20"/>
          <w:szCs w:val="20"/>
          <w:color w:val="auto"/>
        </w:rPr>
      </w:pPr>
      <w:r>
        <w:rPr>
          <w:rFonts w:ascii="Times New Roman" w:cs="Times New Roman" w:eastAsia="Times New Roman" w:hAnsi="Times New Roman"/>
          <w:sz w:val="22"/>
          <w:szCs w:val="22"/>
          <w:color w:val="auto"/>
        </w:rPr>
        <w:t>By signing below, the undersigned acknowledges and confirms that the undersigned has received and reviewed a copy of the Ryman Hospitality Properties, Inc. NYSE Executive Compensation Recoupment Policy (such policy, as amended from time to time,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Capitalized terms used but not otherwise defined in this acknowledgment shall have the meanings ascribed to such terms in the Policy.</w:t>
      </w:r>
    </w:p>
    <w:p>
      <w:pPr>
        <w:spacing w:after="0" w:line="221" w:lineRule="exact"/>
        <w:rPr>
          <w:sz w:val="20"/>
          <w:szCs w:val="20"/>
          <w:color w:val="auto"/>
        </w:rPr>
      </w:pPr>
    </w:p>
    <w:p>
      <w:pPr>
        <w:ind w:left="200" w:right="419" w:firstLine="648"/>
        <w:spacing w:after="0" w:line="248" w:lineRule="auto"/>
        <w:rPr>
          <w:sz w:val="20"/>
          <w:szCs w:val="20"/>
          <w:color w:val="auto"/>
        </w:rPr>
      </w:pPr>
      <w:r>
        <w:rPr>
          <w:rFonts w:ascii="Times New Roman" w:cs="Times New Roman" w:eastAsia="Times New Roman" w:hAnsi="Times New Roman"/>
          <w:sz w:val="22"/>
          <w:szCs w:val="22"/>
          <w:color w:val="auto"/>
        </w:rPr>
        <w:t>By signing this acknowledgment, the undersigned acknowledges and agrees that the undersigned is and will continue to be subject to the Policy and that the Policy will apply both during and after the undersigned’s employment with the Company Group. Further, by signing below, the undersigned agrees to the terms of the Policy, including, without limitation, any withholding of, or offset against, future compensation as determined to be appropriate by the Committee, and agrees to abide by those terms, including by returning any Erroneously Awarded Compensation to the Company Group to the extent required by the Policy.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9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Print Name</w:t>
      </w:r>
    </w:p>
    <w:p>
      <w:pPr>
        <w:spacing w:after="0" w:line="200" w:lineRule="exact"/>
        <w:rPr>
          <w:sz w:val="20"/>
          <w:szCs w:val="20"/>
          <w:color w:val="auto"/>
        </w:rPr>
      </w:pPr>
    </w:p>
    <w:p>
      <w:pPr>
        <w:spacing w:after="0" w:line="29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28" w:lineRule="exact"/>
        <w:rPr>
          <w:sz w:val="20"/>
          <w:szCs w:val="20"/>
          <w:color w:val="auto"/>
        </w:rPr>
      </w:pPr>
    </w:p>
    <w:p>
      <w:pPr>
        <w:jc w:val="right"/>
        <w:ind w:right="4519"/>
        <w:spacing w:after="0"/>
        <w:rPr>
          <w:sz w:val="20"/>
          <w:szCs w:val="20"/>
          <w:color w:val="auto"/>
        </w:rPr>
      </w:pPr>
      <w:r>
        <w:rPr>
          <w:rFonts w:ascii="Times New Roman" w:cs="Times New Roman" w:eastAsia="Times New Roman" w:hAnsi="Times New Roman"/>
          <w:sz w:val="22"/>
          <w:szCs w:val="22"/>
          <w:color w:val="auto"/>
        </w:rPr>
        <w:t>Date</w:t>
      </w:r>
    </w:p>
    <w:p>
      <w:pPr>
        <w:spacing w:after="0" w:line="15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8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1)"/>
      <w:numFmt w:val="decimal"/>
      <w:start w:val="1"/>
    </w:lvl>
  </w:abstractNum>
  <w:abstractNum w:abstractNumId="27">
    <w:nsid w:val="D34B6A8"/>
    <w:multiLevelType w:val="hybridMultilevel"/>
    <w:lvl w:ilvl="0">
      <w:lvlJc w:val="left"/>
      <w:lvlText w:val="(%1)"/>
      <w:numFmt w:val="decimal"/>
      <w:start w:val="1"/>
    </w:lvl>
  </w:abstractNum>
  <w:abstractNum w:abstractNumId="28">
    <w:nsid w:val="10233C99"/>
    <w:multiLevelType w:val="hybridMultilevel"/>
    <w:lvl w:ilvl="0">
      <w:lvlJc w:val="left"/>
      <w:lvlText w:val="(%1)"/>
      <w:numFmt w:val="decimal"/>
      <w:start w:val="1"/>
    </w:lvl>
  </w:abstractNum>
  <w:abstractNum w:abstractNumId="29">
    <w:nsid w:val="3F6AB60F"/>
    <w:multiLevelType w:val="hybridMultilevel"/>
    <w:lvl w:ilvl="0">
      <w:lvlJc w:val="left"/>
      <w:lvlText w:val="(%1)"/>
      <w:numFmt w:val="decimal"/>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1)"/>
      <w:numFmt w:val="decimal"/>
      <w:start w:val="1"/>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1"/>
      <w:numFmt w:val="decimal"/>
      <w:start w:val="22"/>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1."/>
      <w:numFmt w:val="decimal"/>
      <w:start w:val="21"/>
    </w:lvl>
  </w:abstractNum>
  <w:abstractNum w:abstractNumId="44">
    <w:nsid w:val="6590700B"/>
    <w:multiLevelType w:val="hybridMultilevel"/>
    <w:lvl w:ilvl="0">
      <w:lvlJc w:val="left"/>
      <w:lvlText w:val="(%1)"/>
      <w:numFmt w:val="decimal"/>
      <w:start w:val="1"/>
    </w:lvl>
  </w:abstractNum>
  <w:abstractNum w:abstractNumId="45">
    <w:nsid w:val="15014ACB"/>
    <w:multiLevelType w:val="hybridMultilevel"/>
    <w:lvl w:ilvl="0">
      <w:lvlJc w:val="left"/>
      <w:lvlText w:val="(%1)"/>
      <w:numFmt w:val="lowerRoman"/>
      <w:start w:val="2"/>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1)"/>
      <w:numFmt w:val="decimal"/>
      <w:start w:val="1"/>
    </w:lvl>
  </w:abstractNum>
  <w:abstractNum w:abstractNumId="48">
    <w:nsid w:val="799D0247"/>
    <w:multiLevelType w:val="hybridMultilevel"/>
    <w:lvl w:ilvl="0">
      <w:lvlJc w:val="left"/>
      <w:lvlText w:val="%1."/>
      <w:numFmt w:val="upperLetter"/>
      <w:start w:val="1"/>
    </w:lvl>
  </w:abstractNum>
  <w:abstractNum w:abstractNumId="49">
    <w:nsid w:val="6B94764"/>
    <w:multiLevelType w:val="hybridMultilevel"/>
    <w:lvl w:ilvl="0">
      <w:lvlJc w:val="left"/>
      <w:lvlText w:val="%1."/>
      <w:numFmt w:val="decimal"/>
      <w:start w:val="1"/>
    </w:lvl>
    <w:lvl w:ilvl="1">
      <w:lvlJc w:val="left"/>
      <w:lvlText w:val="%2"/>
      <w:numFmt w:val="lowerLetter"/>
      <w:start w:val="1"/>
    </w:lvl>
  </w:abstractNum>
  <w:abstractNum w:abstractNumId="50">
    <w:nsid w:val="42C296BD"/>
    <w:multiLevelType w:val="hybridMultilevel"/>
    <w:lvl w:ilvl="0">
      <w:lvlJc w:val="left"/>
      <w:lvlText w:val="%1."/>
      <w:numFmt w:val="lowerLetter"/>
      <w:start w:val="2"/>
    </w:lvl>
  </w:abstractNum>
  <w:abstractNum w:abstractNumId="51">
    <w:nsid w:val="168E121F"/>
    <w:multiLevelType w:val="hybridMultilevel"/>
    <w:lvl w:ilvl="0">
      <w:lvlJc w:val="left"/>
      <w:lvlText w:val="%1."/>
      <w:numFmt w:val="lowerLetter"/>
      <w:start w:val="3"/>
    </w:lvl>
  </w:abstractNum>
  <w:abstractNum w:abstractNumId="52">
    <w:nsid w:val="1EBA5D23"/>
    <w:multiLevelType w:val="hybridMultilevel"/>
    <w:lvl w:ilvl="0">
      <w:lvlJc w:val="left"/>
      <w:lvlText w:val="%1."/>
      <w:numFmt w:val="lowerLetter"/>
      <w:start w:val="4"/>
    </w:lvl>
  </w:abstractNum>
  <w:abstractNum w:abstractNumId="53">
    <w:nsid w:val="661E3F1E"/>
    <w:multiLevelType w:val="hybridMultilevel"/>
    <w:lvl w:ilvl="0">
      <w:lvlJc w:val="left"/>
      <w:lvlText w:val="(%1)"/>
      <w:numFmt w:val="lowerLetter"/>
      <w:start w:val="1"/>
    </w:lvl>
  </w:abstractNum>
  <w:abstractNum w:abstractNumId="54">
    <w:nsid w:val="5DC79EA8"/>
    <w:multiLevelType w:val="hybridMultilevel"/>
    <w:lvl w:ilvl="0">
      <w:lvlJc w:val="left"/>
      <w:lvlText w:val="(%1)"/>
      <w:numFmt w:val="lowerLetter"/>
      <w:start w:val="2"/>
    </w:lvl>
  </w:abstractNum>
  <w:abstractNum w:abstractNumId="55">
    <w:nsid w:val="540A471C"/>
    <w:multiLevelType w:val="hybridMultilevel"/>
    <w:lvl w:ilvl="0">
      <w:lvlJc w:val="left"/>
      <w:lvlText w:val="%1"/>
      <w:numFmt w:val="lowerLetter"/>
      <w:start w:val="1"/>
    </w:lvl>
    <w:lvl w:ilvl="1">
      <w:lvlJc w:val="left"/>
      <w:lvlText w:val="(%2)"/>
      <w:numFmt w:val="lowerLetter"/>
      <w:start w:val="3"/>
    </w:lvl>
  </w:abstractNum>
  <w:abstractNum w:abstractNumId="56">
    <w:nsid w:val="7BD3EE7B"/>
    <w:multiLevelType w:val="hybridMultilevel"/>
    <w:lvl w:ilvl="0">
      <w:lvlJc w:val="left"/>
      <w:lvlText w:val="%1."/>
      <w:numFmt w:val="lowerLetter"/>
      <w:start w:val="5"/>
    </w:lvl>
    <w:lvl w:ilvl="1">
      <w:lvlJc w:val="left"/>
      <w:lvlText w:val="%2"/>
      <w:numFmt w:val="lowerLetter"/>
      <w:start w:val="1"/>
    </w:lvl>
  </w:abstractNum>
  <w:abstractNum w:abstractNumId="57">
    <w:nsid w:val="51D9C564"/>
    <w:multiLevelType w:val="hybridMultilevel"/>
    <w:lvl w:ilvl="0">
      <w:lvlJc w:val="left"/>
      <w:lvlText w:val="%1."/>
      <w:numFmt w:val="lowerLetter"/>
      <w:start w:val="6"/>
    </w:lvl>
  </w:abstractNum>
  <w:abstractNum w:abstractNumId="58">
    <w:nsid w:val="613EFDC5"/>
    <w:multiLevelType w:val="hybridMultilevel"/>
    <w:lvl w:ilvl="0">
      <w:lvlJc w:val="left"/>
      <w:lvlText w:val="%1"/>
      <w:numFmt w:val="lowerLetter"/>
      <w:start w:val="1"/>
    </w:lvl>
    <w:lvl w:ilvl="1">
      <w:lvlJc w:val="left"/>
      <w:lvlText w:val="(%2)"/>
      <w:numFmt w:val="lowerLetter"/>
      <w:start w:val="8"/>
    </w:lvl>
  </w:abstractNum>
  <w:abstractNum w:abstractNumId="59">
    <w:nsid w:val="BF72B14"/>
    <w:multiLevelType w:val="hybridMultilevel"/>
    <w:lvl w:ilvl="0">
      <w:lvlJc w:val="left"/>
      <w:lvlText w:val="%1."/>
      <w:numFmt w:val="lowerLetter"/>
      <w:start w:val="7"/>
    </w:lvl>
    <w:lvl w:ilvl="1">
      <w:lvlJc w:val="left"/>
      <w:lvlText w:val="%2"/>
      <w:numFmt w:val="lowerLetter"/>
      <w:start w:val="1"/>
    </w:lvl>
  </w:abstractNum>
  <w:abstractNum w:abstractNumId="60">
    <w:nsid w:val="11447B73"/>
    <w:multiLevelType w:val="hybridMultilevel"/>
    <w:lvl w:ilvl="0">
      <w:lvlJc w:val="left"/>
      <w:lvlText w:val="(%1)"/>
      <w:numFmt w:val="lowerLetter"/>
      <w:start w:val="1"/>
    </w:lvl>
  </w:abstractNum>
  <w:abstractNum w:abstractNumId="61">
    <w:nsid w:val="42963E5A"/>
    <w:multiLevelType w:val="hybridMultilevel"/>
    <w:lvl w:ilvl="0">
      <w:lvlJc w:val="left"/>
      <w:lvlText w:val="(%1)"/>
      <w:numFmt w:val="lowerLetter"/>
      <w:start w:val="2"/>
    </w:lvl>
    <w:lvl w:ilvl="1">
      <w:lvlJc w:val="left"/>
      <w:lvlText w:val="(%2)"/>
      <w:numFmt w:val="lowerLetter"/>
      <w:start w:val="9"/>
    </w:lvl>
  </w:abstractNum>
  <w:abstractNum w:abstractNumId="62">
    <w:nsid w:val="A0382C5"/>
    <w:multiLevelType w:val="hybridMultilevel"/>
    <w:lvl w:ilvl="0">
      <w:lvlJc w:val="left"/>
      <w:lvlText w:val="(%1)"/>
      <w:numFmt w:val="lowerRoman"/>
      <w:start w:val="2"/>
    </w:lvl>
  </w:abstractNum>
  <w:abstractNum w:abstractNumId="63">
    <w:nsid w:val="8F2B15E"/>
    <w:multiLevelType w:val="hybridMultilevel"/>
    <w:lvl w:ilvl="0">
      <w:lvlJc w:val="left"/>
      <w:lvlText w:val="%1."/>
      <w:numFmt w:val="lowerLetter"/>
      <w:start w:val="8"/>
    </w:lvl>
  </w:abstractNum>
  <w:abstractNum w:abstractNumId="64">
    <w:nsid w:val="1A32234B"/>
    <w:multiLevelType w:val="hybridMultilevel"/>
    <w:lvl w:ilvl="0">
      <w:lvlJc w:val="left"/>
      <w:lvlText w:val="(%1)"/>
      <w:numFmt w:val="lowerLetter"/>
      <w:start w:val="1"/>
    </w:lvl>
  </w:abstractNum>
  <w:abstractNum w:abstractNumId="65">
    <w:nsid w:val="3B0FD379"/>
    <w:multiLevelType w:val="hybridMultilevel"/>
    <w:lvl w:ilvl="0">
      <w:lvlJc w:val="left"/>
      <w:lvlText w:val="(%1)"/>
      <w:numFmt w:val="lowerLetter"/>
      <w:start w:val="3"/>
    </w:lvl>
  </w:abstractNum>
  <w:abstractNum w:abstractNumId="66">
    <w:nsid w:val="68EB2F63"/>
    <w:multiLevelType w:val="hybridMultilevel"/>
    <w:lvl w:ilvl="0">
      <w:lvlJc w:val="left"/>
      <w:lvlText w:val="(%1)"/>
      <w:numFmt w:val="lowerLetter"/>
      <w:start w:val="6"/>
    </w:lvl>
  </w:abstractNum>
  <w:abstractNum w:abstractNumId="67">
    <w:nsid w:val="4962813B"/>
    <w:multiLevelType w:val="hybridMultilevel"/>
    <w:lvl w:ilvl="0">
      <w:lvlJc w:val="left"/>
      <w:lvlText w:val="%1"/>
      <w:numFmt w:val="decimal"/>
      <w:start w:val="1"/>
    </w:lvl>
    <w:lvl w:ilvl="1">
      <w:lvlJc w:val="left"/>
      <w:lvlText w:val="(%2)"/>
      <w:numFmt w:val="lowerLetter"/>
      <w:start w:val="10"/>
    </w:lvl>
    <w:lvl w:ilvl="2">
      <w:lvlJc w:val="left"/>
      <w:lvlText w:val="*"/>
      <w:numFmt w:val="bullet"/>
      <w:start w:val="1"/>
    </w:lvl>
  </w:abstractNum>
  <w:abstractNum w:abstractNumId="68">
    <w:nsid w:val="60B6DF70"/>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69">
    <w:nsid w:val="6A5EE64"/>
    <w:multiLevelType w:val="hybridMultilevel"/>
    <w:lvl w:ilvl="0">
      <w:lvlJc w:val="left"/>
      <w:lvlText w:val="%1."/>
      <w:numFmt w:val="upperLetter"/>
      <w:start w:val="9"/>
    </w:lvl>
  </w:abstractNum>
  <w:abstractNum w:abstractNumId="70">
    <w:nsid w:val="14330624"/>
    <w:multiLevelType w:val="hybridMultilevel"/>
    <w:lvl w:ilvl="0">
      <w:lvlJc w:val="left"/>
      <w:lvlText w:val="%1."/>
      <w:numFmt w:val="upperLetter"/>
      <w:start w:val="35"/>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1."/>
      <w:numFmt w:val="upperLetter"/>
      <w:start w:val="61"/>
    </w:lvl>
  </w:abstractNum>
  <w:abstractNum w:abstractNumId="73">
    <w:nsid w:val="71EA1109"/>
    <w:multiLevelType w:val="hybridMultilevel"/>
    <w:lvl w:ilvl="0">
      <w:lvlJc w:val="left"/>
      <w:lvlText w:val="(%1)"/>
      <w:numFmt w:val="decimal"/>
      <w:start w:val="1"/>
    </w:lvl>
  </w:abstractNum>
  <w:abstractNum w:abstractNumId="74">
    <w:nsid w:val="100F59DC"/>
    <w:multiLevelType w:val="hybridMultilevel"/>
    <w:lvl w:ilvl="0">
      <w:lvlJc w:val="left"/>
      <w:lvlText w:val="%1."/>
      <w:numFmt w:val="decimal"/>
      <w:start w:val="1"/>
    </w:lvl>
    <w:lvl w:ilvl="1">
      <w:lvlJc w:val="left"/>
      <w:lvlText w:val="%2)"/>
      <w:numFmt w:val="lowerLetter"/>
      <w:start w:val="1"/>
    </w:lvl>
  </w:abstractNum>
  <w:abstractNum w:abstractNumId="75">
    <w:nsid w:val="7FB7E0AA"/>
    <w:multiLevelType w:val="hybridMultilevel"/>
    <w:lvl w:ilvl="0">
      <w:lvlJc w:val="left"/>
      <w:lvlText w:val="%1."/>
      <w:numFmt w:val="decimal"/>
      <w:start w:val="1"/>
    </w:lvl>
    <w:lvl w:ilvl="1">
      <w:lvlJc w:val="left"/>
      <w:lvlText w:val="%2)"/>
      <w:numFmt w:val="lowerLetter"/>
      <w:start w:val="1"/>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1)"/>
      <w:numFmt w:val="decimal"/>
      <w:start w:val="1"/>
    </w:lvl>
  </w:abstractNum>
  <w:abstractNum w:abstractNumId="78">
    <w:nsid w:val="94211F2"/>
    <w:multiLevelType w:val="hybridMultilevel"/>
    <w:lvl w:ilvl="0">
      <w:lvlJc w:val="left"/>
      <w:lvlText w:val="%1."/>
      <w:numFmt w:val="decimal"/>
      <w:start w:val="1"/>
    </w:lvl>
  </w:abstractNum>
  <w:abstractNum w:abstractNumId="79">
    <w:nsid w:val="885E1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80">
    <w:nsid w:val="76272110"/>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81">
    <w:nsid w:val="4C04A8AF"/>
    <w:multiLevelType w:val="hybridMultilevel"/>
    <w:lvl w:ilvl="0">
      <w:lvlJc w:val="left"/>
      <w:lvlText w:val="%1"/>
      <w:numFmt w:val="lowerLetter"/>
      <w:start w:val="1"/>
    </w:lvl>
    <w:lvl w:ilvl="1">
      <w:lvlJc w:val="left"/>
      <w:lvlText w:val="(%2)"/>
      <w:numFmt w:val="lowerRoman"/>
      <w:start w:val="2"/>
    </w:lvl>
  </w:abstractNum>
  <w:abstractNum w:abstractNumId="82">
    <w:nsid w:val="1716703B"/>
    <w:multiLevelType w:val="hybridMultilevel"/>
    <w:lvl w:ilvl="0">
      <w:lvlJc w:val="left"/>
      <w:lvlText w:val="(%1)"/>
      <w:numFmt w:val="lowerLetter"/>
      <w:start w:val="4"/>
    </w:lvl>
    <w:lvl w:ilvl="1">
      <w:lvlJc w:val="left"/>
      <w:lvlText w:val="%2"/>
      <w:numFmt w:val="lowerRoman"/>
      <w:start w:val="1"/>
    </w:lvl>
  </w:abstractNum>
  <w:abstractNum w:abstractNumId="83">
    <w:nsid w:val="14E17E33"/>
    <w:multiLevelType w:val="hybridMultilevel"/>
    <w:lvl w:ilvl="0">
      <w:lvlJc w:val="left"/>
      <w:lvlText w:val="(%1)"/>
      <w:numFmt w:val="lowerLetter"/>
      <w:start w:val="13"/>
    </w:lvl>
    <w:lvl w:ilvl="1">
      <w:lvlJc w:val="left"/>
      <w:lvlText w:val="(%2)"/>
      <w:numFmt w:val="lowerLetter"/>
      <w:start w:val="17"/>
    </w:lvl>
  </w:abstractNum>
  <w:abstractNum w:abstractNumId="84">
    <w:nsid w:val="3222E7CD"/>
    <w:multiLevelType w:val="hybridMultilevel"/>
    <w:lvl w:ilvl="0">
      <w:lvlJc w:val="left"/>
      <w:lvlText w:val="(%1)"/>
      <w:numFmt w:val="lowerLetter"/>
      <w:start w:val="18"/>
    </w:lvl>
  </w:abstractNum>
  <w:abstractNum w:abstractNumId="85">
    <w:nsid w:val="74DE0EE3"/>
    <w:multiLevelType w:val="hybridMultilevel"/>
    <w:lvl w:ilvl="0">
      <w:lvlJc w:val="left"/>
      <w:lvlText w:val="%1."/>
      <w:numFmt w:val="decimal"/>
      <w:start w:val="4"/>
    </w:lvl>
  </w:abstractNum>
  <w:abstractNum w:abstractNumId="86">
    <w:nsid w:val="68EBC550"/>
    <w:multiLevelType w:val="hybridMultilevel"/>
    <w:lvl w:ilvl="0">
      <w:lvlJc w:val="left"/>
      <w:lvlText w:val="(%1)"/>
      <w:numFmt w:val="lowerLetter"/>
      <w:start w:val="1"/>
    </w:lvl>
  </w:abstractNum>
  <w:abstractNum w:abstractNumId="87">
    <w:nsid w:val="2DF6D648"/>
    <w:multiLevelType w:val="hybridMultilevel"/>
    <w:lvl w:ilvl="0">
      <w:lvlJc w:val="left"/>
      <w:lvlText w:val="(%1)"/>
      <w:numFmt w:val="lowerLetter"/>
      <w:start w:val="3"/>
    </w:lvl>
    <w:lvl w:ilvl="1">
      <w:lvlJc w:val="left"/>
      <w:lvlText w:val="(%2)"/>
      <w:numFmt w:val="lowerRoman"/>
      <w:start w:val="1"/>
    </w:lvl>
  </w:abstractNum>
  <w:abstractNum w:abstractNumId="88">
    <w:nsid w:val="46B7D447"/>
    <w:multiLevelType w:val="hybridMultilevel"/>
    <w:lvl w:ilvl="0">
      <w:lvlJc w:val="left"/>
      <w:lvlText w:val="%1"/>
      <w:numFmt w:val="decimal"/>
      <w:start w:val="1"/>
    </w:lvl>
    <w:lvl w:ilvl="1">
      <w:lvlJc w:val="left"/>
      <w:lvlText w:val="(%2)"/>
      <w:numFmt w:val="lowerRoman"/>
      <w:start w:val="2"/>
    </w:lvl>
  </w:abstractNum>
  <w:abstractNum w:abstractNumId="89">
    <w:nsid w:val="4A2AC315"/>
    <w:multiLevelType w:val="hybridMultilevel"/>
    <w:lvl w:ilvl="0">
      <w:lvlJc w:val="left"/>
      <w:lvlText w:val="%1."/>
      <w:numFmt w:val="decimal"/>
      <w:start w:val="5"/>
    </w:lvl>
    <w:lvl w:ilvl="1">
      <w:lvlJc w:val="left"/>
      <w:lvlText w:val="%2"/>
      <w:numFmt w:val="lowerRoman"/>
      <w:start w:val="1"/>
    </w:lvl>
  </w:abstractNum>
  <w:abstractNum w:abstractNumId="90">
    <w:nsid w:val="39EE015C"/>
    <w:multiLevelType w:val="hybridMultilevel"/>
    <w:lvl w:ilvl="0">
      <w:lvlJc w:val="left"/>
      <w:lvlText w:val="(%1)"/>
      <w:numFmt w:val="lowerLetter"/>
      <w:start w:val="1"/>
    </w:lvl>
    <w:lvl w:ilvl="1">
      <w:lvlJc w:val="left"/>
      <w:lvlText w:val="(%2)"/>
      <w:numFmt w:val="lowerLetter"/>
      <w:start w:val="9"/>
    </w:lvl>
  </w:abstractNum>
  <w:abstractNum w:abstractNumId="91">
    <w:nsid w:val="57FC4FBB"/>
    <w:multiLevelType w:val="hybridMultilevel"/>
    <w:lvl w:ilvl="0">
      <w:lvlJc w:val="left"/>
      <w:lvlText w:val="%1"/>
      <w:numFmt w:val="decimal"/>
      <w:start w:val="1"/>
    </w:lvl>
    <w:lvl w:ilvl="1">
      <w:lvlJc w:val="left"/>
      <w:lvlText w:val="(%2)"/>
      <w:numFmt w:val="lowerRoman"/>
      <w:start w:val="2"/>
    </w:lvl>
  </w:abstractNum>
  <w:abstractNum w:abstractNumId="92">
    <w:nsid w:val="CC1016F"/>
    <w:multiLevelType w:val="hybridMultilevel"/>
    <w:lvl w:ilvl="0">
      <w:lvlJc w:val="left"/>
      <w:lvlText w:val="%1."/>
      <w:numFmt w:val="decimal"/>
      <w:start w:val="9"/>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2" Type="http://schemas.openxmlformats.org/officeDocument/2006/relationships/image" Target="media/image79.png"/><Relationship Id="rId133" Type="http://schemas.openxmlformats.org/officeDocument/2006/relationships/image" Target="media/image80.png"/><Relationship Id="rId139" Type="http://schemas.openxmlformats.org/officeDocument/2006/relationships/image" Target="media/image81.png"/><Relationship Id="rId140" Type="http://schemas.openxmlformats.org/officeDocument/2006/relationships/image" Target="media/image82.png"/><Relationship Id="rId141" Type="http://schemas.openxmlformats.org/officeDocument/2006/relationships/image" Target="media/image83.png"/><Relationship Id="rId142" Type="http://schemas.openxmlformats.org/officeDocument/2006/relationships/image" Target="media/image84.png"/><Relationship Id="rId143" Type="http://schemas.openxmlformats.org/officeDocument/2006/relationships/image" Target="media/image85.png"/><Relationship Id="rId144" Type="http://schemas.openxmlformats.org/officeDocument/2006/relationships/image" Target="media/image86.png"/><Relationship Id="rId145" Type="http://schemas.openxmlformats.org/officeDocument/2006/relationships/image" Target="media/image87.png"/><Relationship Id="rId146" Type="http://schemas.openxmlformats.org/officeDocument/2006/relationships/image" Target="media/image88.png"/><Relationship Id="rId147" Type="http://schemas.openxmlformats.org/officeDocument/2006/relationships/image" Target="media/image89.png"/><Relationship Id="rId148" Type="http://schemas.openxmlformats.org/officeDocument/2006/relationships/image" Target="media/image90.png"/><Relationship Id="rId149" Type="http://schemas.openxmlformats.org/officeDocument/2006/relationships/image" Target="media/image91.png"/><Relationship Id="rId150" Type="http://schemas.openxmlformats.org/officeDocument/2006/relationships/image" Target="media/image92.png"/><Relationship Id="rId151" Type="http://schemas.openxmlformats.org/officeDocument/2006/relationships/image" Target="media/image93.png"/><Relationship Id="rId152" Type="http://schemas.openxmlformats.org/officeDocument/2006/relationships/image" Target="media/image94.png"/><Relationship Id="rId153" Type="http://schemas.openxmlformats.org/officeDocument/2006/relationships/image" Target="media/image95.png"/><Relationship Id="rId154" Type="http://schemas.openxmlformats.org/officeDocument/2006/relationships/image" Target="media/image96.png"/><Relationship Id="rId155" Type="http://schemas.openxmlformats.org/officeDocument/2006/relationships/image" Target="media/image97.png"/><Relationship Id="rId156" Type="http://schemas.openxmlformats.org/officeDocument/2006/relationships/image" Target="media/image98.png"/><Relationship Id="rId157" Type="http://schemas.openxmlformats.org/officeDocument/2006/relationships/image" Target="media/image99.png"/><Relationship Id="rId158" Type="http://schemas.openxmlformats.org/officeDocument/2006/relationships/image" Target="media/image100.png"/><Relationship Id="rId159" Type="http://schemas.openxmlformats.org/officeDocument/2006/relationships/image" Target="media/image101.png"/><Relationship Id="rId160" Type="http://schemas.openxmlformats.org/officeDocument/2006/relationships/image" Target="media/image102.png"/><Relationship Id="rId161" Type="http://schemas.openxmlformats.org/officeDocument/2006/relationships/image" Target="media/image103.png"/><Relationship Id="rId162" Type="http://schemas.openxmlformats.org/officeDocument/2006/relationships/image" Target="media/image104.png"/><Relationship Id="rId163" Type="http://schemas.openxmlformats.org/officeDocument/2006/relationships/image" Target="media/image105.png"/><Relationship Id="rId164" Type="http://schemas.openxmlformats.org/officeDocument/2006/relationships/image" Target="media/image106.png"/><Relationship Id="rId165" Type="http://schemas.openxmlformats.org/officeDocument/2006/relationships/image" Target="media/image107.png"/><Relationship Id="rId166"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69" Type="http://schemas.openxmlformats.org/officeDocument/2006/relationships/image" Target="media/image111.png"/><Relationship Id="rId170" Type="http://schemas.openxmlformats.org/officeDocument/2006/relationships/image" Target="media/image112.png"/><Relationship Id="rId171" Type="http://schemas.openxmlformats.org/officeDocument/2006/relationships/image" Target="media/image113.png"/><Relationship Id="rId172" Type="http://schemas.openxmlformats.org/officeDocument/2006/relationships/image" Target="media/image114.png"/><Relationship Id="rId173" Type="http://schemas.openxmlformats.org/officeDocument/2006/relationships/image" Target="media/image115.png"/><Relationship Id="rId174" Type="http://schemas.openxmlformats.org/officeDocument/2006/relationships/image" Target="media/image116.png"/><Relationship Id="rId175"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86" Type="http://schemas.openxmlformats.org/officeDocument/2006/relationships/hyperlink" Target="http://www.sec.gov/Archives/edgar/data/1040829/000119312512410191/d419132dex31.htm" TargetMode="External"/><Relationship Id="rId87" Type="http://schemas.openxmlformats.org/officeDocument/2006/relationships/hyperlink" Target="https://www.sec.gov/Archives/edgar/data/1040829/000155837023002012/rhp-20221231xex3d2.htm" TargetMode="External"/><Relationship Id="rId88" Type="http://schemas.openxmlformats.org/officeDocument/2006/relationships/hyperlink" Target="http://www.sec.gov/Archives/edgar/data/1040829/000119312512401709/d415216dex41.htm" TargetMode="External"/><Relationship Id="rId89" Type="http://schemas.openxmlformats.org/officeDocument/2006/relationships/hyperlink" Target="https://www.sec.gov/Archives/edgar/data/1040829/000155837020001342/ex-4d3.htm" TargetMode="External"/><Relationship Id="rId90" Type="http://schemas.openxmlformats.org/officeDocument/2006/relationships/hyperlink" Target="http://www.sec.gov/Archives/edgar/data/1040829/000141057819001323/tv529738_ex4-1.htm" TargetMode="External"/><Relationship Id="rId91" Type="http://schemas.openxmlformats.org/officeDocument/2006/relationships/hyperlink" Target="http://www.sec.gov/Archives/edgar/data/1040829/000141057819001570/tv530763_ex4-3.htm" TargetMode="External"/><Relationship Id="rId92" Type="http://schemas.openxmlformats.org/officeDocument/2006/relationships/hyperlink" Target="https://www.sec.gov/Archives/edgar/data/1040829/000114036121005258/nt10019727x5_ex4-1.htm" TargetMode="External"/><Relationship Id="rId93" Type="http://schemas.openxmlformats.org/officeDocument/2006/relationships/hyperlink" Target="https://www.sec.gov/Archives/edgar/data/1040829/000114036123030947/brhc20054708_ex4-1.htm" TargetMode="External"/><Relationship Id="rId94" Type="http://schemas.openxmlformats.org/officeDocument/2006/relationships/hyperlink" Target="https://www.sec.gov/Archives/edgar/data/1040829/000110465923062700/tm2316305d1_ex10-1.htm" TargetMode="External"/><Relationship Id="rId95" Type="http://schemas.openxmlformats.org/officeDocument/2006/relationships/hyperlink" Target="http://www.sec.gov/Archives/edgar/data/1040829/0000950144-00-004089-index.html" TargetMode="External"/><Relationship Id="rId96" Type="http://schemas.openxmlformats.org/officeDocument/2006/relationships/hyperlink" Target="http://www.sec.gov/Archives/edgar/data/1040829/000095014403004173/g81512exv10w21.txt" TargetMode="External"/><Relationship Id="rId97" Type="http://schemas.openxmlformats.org/officeDocument/2006/relationships/hyperlink" Target="http://www.sec.gov/Archives/edgar/data/1040829/000095014403004173/g81512exv10w22.txt" TargetMode="External"/><Relationship Id="rId98" Type="http://schemas.openxmlformats.org/officeDocument/2006/relationships/hyperlink" Target="http://www.sec.gov/Archives/edgar/data/1040829/000119312519003774/d682468dex101.htm" TargetMode="External"/><Relationship Id="rId99" Type="http://schemas.openxmlformats.org/officeDocument/2006/relationships/hyperlink" Target="http://www.sec.gov/Archives/edgar/data/1040829/000119312519189493/d758656dex101.htm" TargetMode="External"/><Relationship Id="rId100" Type="http://schemas.openxmlformats.org/officeDocument/2006/relationships/hyperlink" Target="https://www.sec.gov/Archives/edgar/data/1040829/000155837020009570/rhp-20200630xex10d2.htm" TargetMode="External"/><Relationship Id="rId101" Type="http://schemas.openxmlformats.org/officeDocument/2006/relationships/hyperlink" Target="https://www.sec.gov/Archives/edgar/data/1040829/000155837021009927/rhp-20210630xex10d2.htm" TargetMode="External"/><Relationship Id="rId103" Type="http://schemas.openxmlformats.org/officeDocument/2006/relationships/hyperlink" Target="https://www.sec.gov/Archives/edgar/data/1040829/000155837023013380/rhp-20230630xex10d1.htm" TargetMode="External"/><Relationship Id="rId104" Type="http://schemas.openxmlformats.org/officeDocument/2006/relationships/hyperlink" Target="https://www.sec.gov/Archives/edgar/data/1040829/000110465922042464/tm2211530d1_ex10-1.htm" TargetMode="External"/><Relationship Id="rId105" Type="http://schemas.openxmlformats.org/officeDocument/2006/relationships/hyperlink" Target="https://www.sec.gov/Archives/edgar/data/1040829/000155837022011603/rhp-20220630xex10d2.htm" TargetMode="External"/><Relationship Id="rId106" Type="http://schemas.openxmlformats.org/officeDocument/2006/relationships/hyperlink" Target="https://www.sec.gov/Archives/edgar/data/1040829/000155837022011603/rhp-20220630xex10d3.htm" TargetMode="External"/><Relationship Id="rId107" Type="http://schemas.openxmlformats.org/officeDocument/2006/relationships/hyperlink" Target="https://www.sec.gov/Archives/edgar/data/1040829/000110465922071928/tm2218606d1_ex10-1.htm" TargetMode="External"/><Relationship Id="rId108" Type="http://schemas.openxmlformats.org/officeDocument/2006/relationships/hyperlink" Target="http://www.sec.gov/Archives/edgar/data/1040829/000095014401004631/g68099ex10-19.txt" TargetMode="External"/><Relationship Id="rId109" Type="http://schemas.openxmlformats.org/officeDocument/2006/relationships/hyperlink" Target="http://www.sec.gov/Archives/edgar/data/1040829/000095014408001431/g11970exv10w1.htm" TargetMode="External"/><Relationship Id="rId110" Type="http://schemas.openxmlformats.org/officeDocument/2006/relationships/hyperlink" Target="http://www.sec.gov/Archives/edgar/data/1040829/000095014408009526/g17124exv10w3.htm" TargetMode="External"/><Relationship Id="rId111" Type="http://schemas.openxmlformats.org/officeDocument/2006/relationships/hyperlink" Target="http://www.sec.gov/Archives/edgar/data/1040829/000095012310101559/g25095exv10w2.htm" TargetMode="External"/><Relationship Id="rId112" Type="http://schemas.openxmlformats.org/officeDocument/2006/relationships/hyperlink" Target="http://www.sec.gov/Archives/edgar/data/1040829/000119312512456947/d412761dex105.htm" TargetMode="External"/><Relationship Id="rId113" Type="http://schemas.openxmlformats.org/officeDocument/2006/relationships/hyperlink" Target="https://www.sec.gov/Archives/edgar/data/1040829/000155837021001956/rhp-20201231xex10d17.htm" TargetMode="External"/><Relationship Id="rId114" Type="http://schemas.openxmlformats.org/officeDocument/2006/relationships/hyperlink" Target="https://www.sec.gov/Archives/edgar/data/1040829/000110465922107763/tm2227868d1_ex10-1.htm" TargetMode="External"/><Relationship Id="rId115" Type="http://schemas.openxmlformats.org/officeDocument/2006/relationships/hyperlink" Target="http://www.sec.gov/Archives/edgar/data/1040829/000095014402003186/g74977ex10-30.txt" TargetMode="External"/><Relationship Id="rId116" Type="http://schemas.openxmlformats.org/officeDocument/2006/relationships/hyperlink" Target="http://www.sec.gov/Archives/edgar/data/1040829/000095014408001431/g11970exv10w3.htm" TargetMode="External"/><Relationship Id="rId117" Type="http://schemas.openxmlformats.org/officeDocument/2006/relationships/hyperlink" Target="http://www.sec.gov/Archives/edgar/data/1040829/000095012310017849/g22218exv10w38.htm" TargetMode="External"/><Relationship Id="rId118" Type="http://schemas.openxmlformats.org/officeDocument/2006/relationships/hyperlink" Target="http://www.sec.gov/Archives/edgar/data/1040829/000095012310101559/g25095exv10w5.htm" TargetMode="External"/><Relationship Id="rId119" Type="http://schemas.openxmlformats.org/officeDocument/2006/relationships/hyperlink" Target="http://www.sec.gov/Archives/edgar/data/1040829/000119312512456947/d412761dex106.htm" TargetMode="External"/><Relationship Id="rId120" Type="http://schemas.openxmlformats.org/officeDocument/2006/relationships/hyperlink" Target="https://www.sec.gov/Archives/edgar/data/1040829/000110465922028770/tm227976d1_ex10-1.htm" TargetMode="External"/><Relationship Id="rId121" Type="http://schemas.openxmlformats.org/officeDocument/2006/relationships/hyperlink" Target="https://www.sec.gov/Archives/edgar/data/1040829/000110465922107763/tm2227868d1_ex10-2.htm" TargetMode="External"/><Relationship Id="rId122" Type="http://schemas.openxmlformats.org/officeDocument/2006/relationships/hyperlink" Target="https://www.sec.gov/Archives/edgar/data/1040829/000119312518060772/d503192dex1021.htm" TargetMode="External"/><Relationship Id="rId123" Type="http://schemas.openxmlformats.org/officeDocument/2006/relationships/hyperlink" Target="http://www.sec.gov/Archives/edgar/data/1040829/000119312518060772/d503192dex1022.htm" TargetMode="External"/><Relationship Id="rId124" Type="http://schemas.openxmlformats.org/officeDocument/2006/relationships/hyperlink" Target="https://www.sec.gov/Archives/edgar/data/1040829/000110465922028770/tm227976d1_ex10-2.htm" TargetMode="External"/><Relationship Id="rId125" Type="http://schemas.openxmlformats.org/officeDocument/2006/relationships/hyperlink" Target="http://www.sec.gov/Archives/edgar/data/1040829/000095014403004173/g81512exv10w36.txt" TargetMode="External"/><Relationship Id="rId126" Type="http://schemas.openxmlformats.org/officeDocument/2006/relationships/hyperlink" Target="http://www.sec.gov/Archives/edgar/data/1040829/000119312516582078/d92622dex101.htm" TargetMode="External"/><Relationship Id="rId127" Type="http://schemas.openxmlformats.org/officeDocument/2006/relationships/hyperlink" Target="http://www.sec.gov/Archives/edgar/data/1040829/000119312517061161/d285683dex1043.htm" TargetMode="External"/><Relationship Id="rId128" Type="http://schemas.openxmlformats.org/officeDocument/2006/relationships/hyperlink" Target="http://www.sec.gov/Archives/edgar/data/1040829/000119312516671549/d199388dex101.htm" TargetMode="External"/><Relationship Id="rId129" Type="http://schemas.openxmlformats.org/officeDocument/2006/relationships/hyperlink" Target="http://www.sec.gov/Archives/edgar/data/1040829/000119312516671549/d199388dex102.htm" TargetMode="External"/><Relationship Id="rId130" Type="http://schemas.openxmlformats.org/officeDocument/2006/relationships/hyperlink" Target="http://www.sec.gov/Archives/edgar/data/1040829/000119312516671549/d199388dex103.htm" TargetMode="External"/><Relationship Id="rId131" Type="http://schemas.openxmlformats.org/officeDocument/2006/relationships/hyperlink" Target="https://www.sec.gov/Archives/edgar/data/1040829/000155837021001956/rhp-20201231xex10d46.htm" TargetMode="External"/><Relationship Id="rId132" Type="http://schemas.openxmlformats.org/officeDocument/2006/relationships/hyperlink" Target="https://www.sec.gov/Archives/edgar/data/1040829/000155837023008034/rhp-20230331xex10d1.htm" TargetMode="External"/><Relationship Id="rId134" Type="http://schemas.openxmlformats.org/officeDocument/2006/relationships/hyperlink" Target="https://www.sec.gov/Archives/edgar/data/1040829/000155837023008034/rhp-20230331xex10d2.htm" TargetMode="External"/><Relationship Id="rId135" Type="http://schemas.openxmlformats.org/officeDocument/2006/relationships/hyperlink" Target="https://www.sec.gov/Archives/edgar/data/1040829/000114036123028377/ny20009346x4_ex10-1.htm" TargetMode="External"/><Relationship Id="rId136" Type="http://schemas.openxmlformats.org/officeDocument/2006/relationships/hyperlink" Target="https://www.sec.gov/Archives/edgar/data/1040829/000155837023013380/rhp-20230630xex10d4.htm" TargetMode="External"/><Relationship Id="rId137" Type="http://schemas.openxmlformats.org/officeDocument/2006/relationships/hyperlink" Target="https://www.sec.gov/Archives/edgar/data/1040829/000155837023017957/rhp-20230930xex22.htm" TargetMode="External"/><Relationship Id="rId138" Type="http://schemas.openxmlformats.org/officeDocument/2006/relationships/hyperlink" Target="https://www.sec.gov/Archives/edgar/data/1040829/000110465922071928/tm2218606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2024-02-23T14:25:54Z</dcterms:created>
  <dcterms:modified xsi:type="dcterms:W3CDTF">2024-02-23T14:25:54Z</dcterms:modified>
</cp:coreProperties>
</file>