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 PROSPECTUS SUPPLEMENT</w:t>
        </w:r>
      </w:hyperlink>
    </w:p>
    <w:p>
      <w:pPr>
        <w:spacing w:after="0"/>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333-235419</w:t>
      </w:r>
    </w:p>
    <w:p>
      <w:pPr>
        <w:spacing w:after="0" w:line="219"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EF505F"/>
        </w:rPr>
        <w:t>The information in this preliminary prospectus supplement and the accompanying prospectus is not complete and may be changed. This preliminary prospectus supplement and the accompanying prospectus are not an offer to sell these securities, and we are not soliciting offers to buy these securities in any jurisdiction where the offer or sale is not permitted.</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EF505F"/>
        </w:rPr>
        <w:t>Subject to Completion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EF505F"/>
        </w:rPr>
        <w:t>Preliminary Prospectus Supplement Dated December 9, 2019</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December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144145</wp:posOffset>
            </wp:positionV>
            <wp:extent cx="21355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55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3,000,000 Shares of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80" w:firstLine="611"/>
        <w:spacing w:after="0" w:line="268" w:lineRule="auto"/>
        <w:rPr>
          <w:sz w:val="20"/>
          <w:szCs w:val="20"/>
          <w:color w:val="auto"/>
        </w:rPr>
      </w:pPr>
      <w:r>
        <w:rPr>
          <w:rFonts w:ascii="Arial" w:cs="Arial" w:eastAsia="Arial" w:hAnsi="Arial"/>
          <w:sz w:val="18"/>
          <w:szCs w:val="18"/>
          <w:color w:val="auto"/>
        </w:rPr>
        <w:t>We are offering 3,000,000 shares of our common stock, $0.01 par value per share, which we refer to as common stock, by this prospectus supplement and the accompanying prospectus.</w:t>
      </w:r>
    </w:p>
    <w:p>
      <w:pPr>
        <w:spacing w:after="0" w:line="186" w:lineRule="exact"/>
        <w:rPr>
          <w:sz w:val="24"/>
          <w:szCs w:val="24"/>
          <w:color w:val="auto"/>
        </w:rPr>
      </w:pPr>
    </w:p>
    <w:p>
      <w:pPr>
        <w:ind w:right="80" w:firstLine="615"/>
        <w:spacing w:after="0" w:line="268" w:lineRule="auto"/>
        <w:rPr>
          <w:sz w:val="20"/>
          <w:szCs w:val="20"/>
          <w:color w:val="auto"/>
        </w:rPr>
      </w:pPr>
      <w:r>
        <w:rPr>
          <w:rFonts w:ascii="Arial" w:cs="Arial" w:eastAsia="Arial" w:hAnsi="Arial"/>
          <w:sz w:val="18"/>
          <w:szCs w:val="18"/>
          <w:color w:val="auto"/>
        </w:rPr>
        <w:t>Our common stock is listed on the New York Stock Exchange, or NYSE, under the symbol "RHP." On December 6, 2019, the last reported sale price for our common stock on the NYSE was $89.91 per share.</w:t>
      </w:r>
    </w:p>
    <w:p>
      <w:pPr>
        <w:spacing w:after="0" w:line="186" w:lineRule="exact"/>
        <w:rPr>
          <w:sz w:val="24"/>
          <w:szCs w:val="24"/>
          <w:color w:val="auto"/>
        </w:rPr>
      </w:pPr>
    </w:p>
    <w:p>
      <w:pPr>
        <w:ind w:right="280" w:firstLine="611"/>
        <w:spacing w:after="0" w:line="256" w:lineRule="auto"/>
        <w:rPr>
          <w:sz w:val="20"/>
          <w:szCs w:val="20"/>
          <w:color w:val="auto"/>
        </w:rPr>
      </w:pPr>
      <w:r>
        <w:rPr>
          <w:rFonts w:ascii="Arial" w:cs="Arial" w:eastAsia="Arial" w:hAnsi="Arial"/>
          <w:sz w:val="18"/>
          <w:szCs w:val="18"/>
          <w:color w:val="auto"/>
        </w:rPr>
        <w:t>We are organized and conduct our operations to qualify as a real estate investment trust, or REIT, for U.S. federal income tax purposes. To assist us in complying with certain U.S. federal income tax requirements applicable to REITs, our Amended and Restated Certificate of Incorporation, or our Charter, generally restricts any person from acquiring beneficial ownership, either directly or indirectly, of more than 9.8%, in value or number of shares, whichever is more restrictive, of our issued and outstanding common stock.</w:t>
      </w:r>
    </w:p>
    <w:p>
      <w:pPr>
        <w:spacing w:after="0" w:line="178" w:lineRule="exact"/>
        <w:rPr>
          <w:sz w:val="24"/>
          <w:szCs w:val="24"/>
          <w:color w:val="auto"/>
        </w:rPr>
      </w:pPr>
    </w:p>
    <w:p>
      <w:pPr>
        <w:ind w:right="100" w:firstLine="615"/>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"Risk Factors" beginning on page S-13 of this prospectus supplement and on page 12 of our </w:t>
      </w:r>
      <w:hyperlink r:id="rId10">
        <w:r>
          <w:rPr>
            <w:rFonts w:ascii="Arial" w:cs="Arial" w:eastAsia="Arial" w:hAnsi="Arial"/>
            <w:sz w:val="22"/>
            <w:szCs w:val="22"/>
            <w:b w:val="1"/>
            <w:bCs w:val="1"/>
            <w:u w:val="single" w:color="auto"/>
            <w:color w:val="0000EE"/>
          </w:rPr>
          <w:t>Annual Report on Form 10-K for the fiscal year ended December 31, 2018</w:t>
        </w:r>
      </w:hyperlink>
      <w:r>
        <w:rPr>
          <w:rFonts w:ascii="Arial" w:cs="Arial" w:eastAsia="Arial" w:hAnsi="Arial"/>
          <w:sz w:val="22"/>
          <w:szCs w:val="22"/>
          <w:b w:val="1"/>
          <w:bCs w:val="1"/>
          <w:color w:val="auto"/>
        </w:rPr>
        <w:t>, as well as the updated reports and documents we file with the Securities and Exchange Commission that are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132080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gridSpan w:val="3"/>
          </w:tcPr>
          <w:p>
            <w:pPr>
              <w:ind w:left="1120"/>
              <w:spacing w:after="0"/>
              <w:rPr>
                <w:sz w:val="20"/>
                <w:szCs w:val="20"/>
                <w:color w:val="auto"/>
              </w:rPr>
            </w:pPr>
            <w:r>
              <w:rPr>
                <w:rFonts w:ascii="Arial" w:cs="Arial" w:eastAsia="Arial" w:hAnsi="Arial"/>
                <w:sz w:val="14"/>
                <w:szCs w:val="14"/>
                <w:b w:val="1"/>
                <w:bCs w:val="1"/>
                <w:color w:val="auto"/>
                <w:w w:val="83"/>
              </w:rPr>
              <w:t>Total</w:t>
            </w: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Public offering price</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3" w:lineRule="exact"/>
        <w:rPr>
          <w:sz w:val="24"/>
          <w:szCs w:val="24"/>
          <w:color w:val="auto"/>
        </w:rPr>
      </w:pPr>
    </w:p>
    <w:p>
      <w:pPr>
        <w:ind w:left="2260" w:hanging="540"/>
        <w:spacing w:after="0"/>
        <w:tabs>
          <w:tab w:leader="none" w:pos="2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225" w:lineRule="exact"/>
        <w:rPr>
          <w:sz w:val="24"/>
          <w:szCs w:val="24"/>
          <w:color w:val="auto"/>
        </w:rPr>
      </w:pPr>
    </w:p>
    <w:p>
      <w:pPr>
        <w:ind w:right="20" w:firstLine="611"/>
        <w:spacing w:after="0" w:line="268" w:lineRule="auto"/>
        <w:rPr>
          <w:sz w:val="20"/>
          <w:szCs w:val="20"/>
          <w:color w:val="auto"/>
        </w:rPr>
      </w:pPr>
      <w:r>
        <w:rPr>
          <w:rFonts w:ascii="Arial" w:cs="Arial" w:eastAsia="Arial" w:hAnsi="Arial"/>
          <w:sz w:val="18"/>
          <w:szCs w:val="18"/>
          <w:color w:val="auto"/>
        </w:rPr>
        <w:t>The underwriters may also exercise their option to purchase up to an additional 450,000 shares of our common stock from us, at the public offering price, less underwriting discounts and commissions, for 30 days after the date of this prospectus supplement.</w:t>
      </w:r>
    </w:p>
    <w:p>
      <w:pPr>
        <w:spacing w:after="0" w:line="180" w:lineRule="exact"/>
        <w:rPr>
          <w:sz w:val="24"/>
          <w:szCs w:val="24"/>
          <w:color w:val="auto"/>
        </w:rPr>
      </w:pPr>
    </w:p>
    <w:p>
      <w:pPr>
        <w:ind w:right="180" w:firstLine="615"/>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passed upon the adequacy or accuracy of this prospectus supplement or the accompanying prospectus. Any representation to the contrary is a criminal offense.</w:t>
      </w:r>
    </w:p>
    <w:p>
      <w:pPr>
        <w:spacing w:after="0" w:line="192" w:lineRule="exact"/>
        <w:rPr>
          <w:sz w:val="24"/>
          <w:szCs w:val="24"/>
          <w:color w:val="auto"/>
        </w:rPr>
      </w:pPr>
    </w:p>
    <w:p>
      <w:pPr>
        <w:ind w:left="620"/>
        <w:spacing w:after="0"/>
        <w:tabs>
          <w:tab w:leader="none" w:pos="7120" w:val="left"/>
        </w:tabs>
        <w:rPr>
          <w:sz w:val="20"/>
          <w:szCs w:val="20"/>
          <w:color w:val="auto"/>
        </w:rPr>
      </w:pPr>
      <w:r>
        <w:rPr>
          <w:rFonts w:ascii="Arial" w:cs="Arial" w:eastAsia="Arial" w:hAnsi="Arial"/>
          <w:sz w:val="16"/>
          <w:szCs w:val="16"/>
          <w:color w:val="auto"/>
        </w:rPr>
        <w:t>The underwriters expect to deliver the shares of our common stock on or about December</w:t>
        <w:tab/>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163195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685" w:right="239" w:bottom="8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1140"/>
        <w:spacing w:after="0"/>
        <w:tabs>
          <w:tab w:leader="none" w:pos="4560" w:val="left"/>
          <w:tab w:leader="none" w:pos="7900" w:val="left"/>
        </w:tabs>
        <w:rPr>
          <w:sz w:val="20"/>
          <w:szCs w:val="20"/>
          <w:color w:val="auto"/>
        </w:rPr>
      </w:pPr>
      <w:r>
        <w:rPr>
          <w:rFonts w:ascii="Arial" w:cs="Arial" w:eastAsia="Arial" w:hAnsi="Arial"/>
          <w:sz w:val="24"/>
          <w:szCs w:val="24"/>
          <w:b w:val="1"/>
          <w:bCs w:val="1"/>
          <w:color w:val="auto"/>
        </w:rPr>
        <w:t>BofA Securities</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1"/>
          <w:szCs w:val="21"/>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685" w:right="239" w:bottom="85" w:gutter="0" w:footer="0" w:header="0"/>
          <w:type w:val="continuous"/>
        </w:sectPr>
      </w:pPr>
    </w:p>
    <w:bookmarkStart w:id="1" w:name="page2"/>
    <w:bookmarkEnd w:id="1"/>
    <w:p>
      <w:pPr>
        <w:jc w:val="center"/>
        <w:spacing w:after="0"/>
        <w:tabs>
          <w:tab w:leader="none" w:pos="200" w:val="left"/>
        </w:tabs>
        <w:rPr>
          <w:sz w:val="20"/>
          <w:szCs w:val="20"/>
          <w:color w:val="auto"/>
        </w:rPr>
      </w:pPr>
      <w:r>
        <w:rPr>
          <w:rFonts w:ascii="Arial" w:cs="Arial" w:eastAsia="Arial" w:hAnsi="Arial"/>
          <w:sz w:val="18"/>
          <w:szCs w:val="18"/>
          <w:color w:val="auto"/>
        </w:rPr>
        <w:t>Prospectus Supplement dated December</w:t>
      </w:r>
      <w:r>
        <w:rPr>
          <w:sz w:val="20"/>
          <w:szCs w:val="20"/>
          <w:color w:val="auto"/>
        </w:rPr>
        <w:tab/>
      </w: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5"/>
              </w:rPr>
              <w:t>PROSPECTUS SUPPLEMENT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ABOUT THIS PROSPECTUS SUPPLEMENT</w:t>
              </w:r>
            </w:hyperlink>
          </w:p>
        </w:tc>
        <w:tc>
          <w:tcPr>
            <w:tcW w:w="40" w:type="dxa"/>
            <w:vAlign w:val="bottom"/>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S-ii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SPECIAL NOTE REGARDING FORWARD-LOOKING STATEMENTS</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S-iv</w:t>
              </w:r>
            </w:hyperlink>
          </w:p>
        </w:tc>
      </w:tr>
      <w:tr>
        <w:trPr>
          <w:trHeight w:val="196"/>
        </w:trPr>
        <w:tc>
          <w:tcPr>
            <w:tcW w:w="1140" w:type="dxa"/>
            <w:vAlign w:val="bottom"/>
          </w:tcPr>
          <w:p>
            <w:pPr>
              <w:spacing w:after="0"/>
              <w:rPr>
                <w:sz w:val="17"/>
                <w:szCs w:val="17"/>
                <w:color w:val="auto"/>
              </w:rPr>
            </w:pPr>
          </w:p>
        </w:tc>
        <w:tc>
          <w:tcPr>
            <w:tcW w:w="5520" w:type="dxa"/>
            <w:vAlign w:val="bottom"/>
            <w:tcBorders>
              <w:top w:val="single" w:sz="8" w:color="0000EE"/>
            </w:tcBorders>
            <w:gridSpan w:val="25"/>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PROSPECTUS SUPPLEMENT SUMMARY</w:t>
              </w:r>
            </w:hyperlink>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4"/>
                <w:szCs w:val="14"/>
                <w:b w:val="1"/>
                <w:bCs w:val="1"/>
                <w:color w:val="0000EE"/>
                <w:w w:val="73"/>
              </w:rPr>
            </w:pPr>
            <w:hyperlink w:anchor="page8">
              <w:r>
                <w:rPr>
                  <w:rFonts w:ascii="Arial" w:cs="Arial" w:eastAsia="Arial" w:hAnsi="Arial"/>
                  <w:sz w:val="14"/>
                  <w:szCs w:val="14"/>
                  <w:b w:val="1"/>
                  <w:bCs w:val="1"/>
                  <w:color w:val="0000EE"/>
                  <w:w w:val="73"/>
                </w:rPr>
                <w:t>S-1</w:t>
              </w:r>
            </w:hyperlink>
          </w:p>
        </w:tc>
      </w:tr>
      <w:tr>
        <w:trPr>
          <w:trHeight w:val="196"/>
        </w:trPr>
        <w:tc>
          <w:tcPr>
            <w:tcW w:w="11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THE OFFERING</w:t>
              </w:r>
            </w:hyperlink>
          </w:p>
        </w:tc>
        <w:tc>
          <w:tcPr>
            <w:tcW w:w="2020" w:type="dxa"/>
            <w:vAlign w:val="bottom"/>
            <w:tcBorders>
              <w:top w:val="single" w:sz="8" w:color="0000EE"/>
            </w:tcBorders>
            <w:gridSpan w:val="10"/>
          </w:tcPr>
          <w:p>
            <w:pPr>
              <w:spacing w:after="0"/>
              <w:rPr>
                <w:sz w:val="17"/>
                <w:szCs w:val="17"/>
                <w:color w:val="auto"/>
              </w:rPr>
            </w:pPr>
          </w:p>
        </w:tc>
        <w:tc>
          <w:tcPr>
            <w:tcW w:w="526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4"/>
                <w:szCs w:val="14"/>
                <w:b w:val="1"/>
                <w:bCs w:val="1"/>
                <w:color w:val="0000EE"/>
                <w:w w:val="73"/>
              </w:rPr>
            </w:pPr>
            <w:hyperlink w:anchor="page15">
              <w:r>
                <w:rPr>
                  <w:rFonts w:ascii="Arial" w:cs="Arial" w:eastAsia="Arial" w:hAnsi="Arial"/>
                  <w:sz w:val="14"/>
                  <w:szCs w:val="14"/>
                  <w:b w:val="1"/>
                  <w:bCs w:val="1"/>
                  <w:color w:val="0000EE"/>
                  <w:w w:val="73"/>
                </w:rPr>
                <w:t>S-8</w:t>
              </w:r>
            </w:hyperlink>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SUMMARY HISTORICAL CONSOLIDATED FINANCIAL DATA</w:t>
              </w:r>
            </w:hyperlink>
          </w:p>
        </w:tc>
        <w:tc>
          <w:tcPr>
            <w:tcW w:w="3520" w:type="dxa"/>
            <w:vAlign w:val="bottom"/>
            <w:gridSpan w:val="4"/>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84"/>
              </w:rPr>
            </w:pPr>
            <w:hyperlink w:anchor="page17">
              <w:r>
                <w:rPr>
                  <w:rFonts w:ascii="Arial" w:cs="Arial" w:eastAsia="Arial" w:hAnsi="Arial"/>
                  <w:sz w:val="18"/>
                  <w:szCs w:val="18"/>
                  <w:b w:val="1"/>
                  <w:bCs w:val="1"/>
                  <w:color w:val="0000EE"/>
                  <w:w w:val="84"/>
                </w:rPr>
                <w:t>S-10</w:t>
              </w:r>
            </w:hyperlink>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RISK FACTORS</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84"/>
              </w:rPr>
            </w:pPr>
            <w:hyperlink w:anchor="page20">
              <w:r>
                <w:rPr>
                  <w:rFonts w:ascii="Arial" w:cs="Arial" w:eastAsia="Arial" w:hAnsi="Arial"/>
                  <w:sz w:val="18"/>
                  <w:szCs w:val="18"/>
                  <w:b w:val="1"/>
                  <w:bCs w:val="1"/>
                  <w:color w:val="0000EE"/>
                  <w:w w:val="84"/>
                </w:rPr>
                <w:t>S-13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3"/>
              </w:rPr>
            </w:pPr>
            <w:hyperlink w:anchor="page23">
              <w:r>
                <w:rPr>
                  <w:rFonts w:ascii="Arial" w:cs="Arial" w:eastAsia="Arial" w:hAnsi="Arial"/>
                  <w:sz w:val="18"/>
                  <w:szCs w:val="18"/>
                  <w:b w:val="1"/>
                  <w:bCs w:val="1"/>
                  <w:color w:val="0000EE"/>
                  <w:w w:val="93"/>
                </w:rPr>
                <w:t>USE OF PROCEEDS</w:t>
              </w:r>
            </w:hyperlink>
          </w:p>
        </w:tc>
        <w:tc>
          <w:tcPr>
            <w:tcW w:w="7000" w:type="dxa"/>
            <w:vAlign w:val="bottom"/>
            <w:gridSpan w:val="15"/>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84"/>
              </w:rPr>
            </w:pPr>
            <w:hyperlink w:anchor="page23">
              <w:r>
                <w:rPr>
                  <w:rFonts w:ascii="Arial" w:cs="Arial" w:eastAsia="Arial" w:hAnsi="Arial"/>
                  <w:sz w:val="18"/>
                  <w:szCs w:val="18"/>
                  <w:b w:val="1"/>
                  <w:bCs w:val="1"/>
                  <w:color w:val="0000EE"/>
                  <w:w w:val="84"/>
                </w:rPr>
                <w:t>S-16</w:t>
              </w:r>
            </w:hyperlink>
          </w:p>
        </w:tc>
      </w:tr>
      <w:tr>
        <w:trPr>
          <w:trHeight w:val="196"/>
        </w:trPr>
        <w:tc>
          <w:tcPr>
            <w:tcW w:w="114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CAPITALIZATION</w:t>
              </w:r>
            </w:hyperlink>
          </w:p>
        </w:tc>
        <w:tc>
          <w:tcPr>
            <w:tcW w:w="7100" w:type="dxa"/>
            <w:vAlign w:val="bottom"/>
            <w:gridSpan w:val="17"/>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84"/>
              </w:rPr>
            </w:pPr>
            <w:hyperlink w:anchor="page24">
              <w:r>
                <w:rPr>
                  <w:rFonts w:ascii="Arial" w:cs="Arial" w:eastAsia="Arial" w:hAnsi="Arial"/>
                  <w:sz w:val="18"/>
                  <w:szCs w:val="18"/>
                  <w:b w:val="1"/>
                  <w:bCs w:val="1"/>
                  <w:color w:val="0000EE"/>
                  <w:w w:val="84"/>
                </w:rPr>
                <w:t>S-17</w:t>
              </w:r>
            </w:hyperlink>
          </w:p>
        </w:tc>
      </w:tr>
      <w:tr>
        <w:trPr>
          <w:trHeight w:val="196"/>
        </w:trPr>
        <w:tc>
          <w:tcPr>
            <w:tcW w:w="1140" w:type="dxa"/>
            <w:vAlign w:val="bottom"/>
          </w:tcPr>
          <w:p>
            <w:pPr>
              <w:spacing w:after="0"/>
              <w:rPr>
                <w:sz w:val="17"/>
                <w:szCs w:val="17"/>
                <w:color w:val="auto"/>
              </w:rPr>
            </w:pPr>
          </w:p>
        </w:tc>
        <w:tc>
          <w:tcPr>
            <w:tcW w:w="308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DIVIDENDS AND DIVIDEND POLICY</w:t>
              </w:r>
            </w:hyperlink>
          </w:p>
        </w:tc>
        <w:tc>
          <w:tcPr>
            <w:tcW w:w="5560" w:type="dxa"/>
            <w:vAlign w:val="bottom"/>
            <w:gridSpan w:val="11"/>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84"/>
              </w:rPr>
            </w:pPr>
            <w:hyperlink w:anchor="page26">
              <w:r>
                <w:rPr>
                  <w:rFonts w:ascii="Arial" w:cs="Arial" w:eastAsia="Arial" w:hAnsi="Arial"/>
                  <w:sz w:val="18"/>
                  <w:szCs w:val="18"/>
                  <w:b w:val="1"/>
                  <w:bCs w:val="1"/>
                  <w:color w:val="0000EE"/>
                  <w:w w:val="84"/>
                </w:rPr>
                <w:t>S-19</w:t>
              </w:r>
            </w:hyperlink>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UNDERWRITING</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84"/>
              </w:rPr>
            </w:pPr>
            <w:hyperlink w:anchor="page27">
              <w:r>
                <w:rPr>
                  <w:rFonts w:ascii="Arial" w:cs="Arial" w:eastAsia="Arial" w:hAnsi="Arial"/>
                  <w:sz w:val="18"/>
                  <w:szCs w:val="18"/>
                  <w:b w:val="1"/>
                  <w:bCs w:val="1"/>
                  <w:color w:val="0000EE"/>
                  <w:w w:val="84"/>
                </w:rPr>
                <w:t>S-20</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LEGAL MATTERS</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S-27</w:t>
              </w:r>
            </w:hyperlink>
          </w:p>
        </w:tc>
      </w:tr>
      <w:tr>
        <w:trPr>
          <w:trHeight w:val="196"/>
        </w:trPr>
        <w:tc>
          <w:tcPr>
            <w:tcW w:w="11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5"/>
              </w:rPr>
            </w:pPr>
            <w:hyperlink w:anchor="page34">
              <w:r>
                <w:rPr>
                  <w:rFonts w:ascii="Arial" w:cs="Arial" w:eastAsia="Arial" w:hAnsi="Arial"/>
                  <w:sz w:val="18"/>
                  <w:szCs w:val="18"/>
                  <w:b w:val="1"/>
                  <w:bCs w:val="1"/>
                  <w:color w:val="0000EE"/>
                  <w:w w:val="95"/>
                </w:rPr>
                <w:t>EXPERTS</w:t>
              </w:r>
            </w:hyperlink>
          </w:p>
        </w:tc>
        <w:tc>
          <w:tcPr>
            <w:tcW w:w="700" w:type="dxa"/>
            <w:vAlign w:val="bottom"/>
            <w:tcBorders>
              <w:top w:val="single" w:sz="8" w:color="0000EE"/>
            </w:tcBorders>
            <w:gridSpan w:val="5"/>
          </w:tcPr>
          <w:p>
            <w:pPr>
              <w:spacing w:after="0"/>
              <w:rPr>
                <w:sz w:val="17"/>
                <w:szCs w:val="17"/>
                <w:color w:val="auto"/>
              </w:rPr>
            </w:pPr>
          </w:p>
        </w:tc>
        <w:tc>
          <w:tcPr>
            <w:tcW w:w="7120" w:type="dxa"/>
            <w:vAlign w:val="bottom"/>
            <w:gridSpan w:val="18"/>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S-27</w:t>
              </w:r>
            </w:hyperlink>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WHERE YOU CAN FIND MORE INFORMATION</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S-27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INCORPORATION OF CERTAIN INFORMATION BY REFERENCE</w:t>
              </w:r>
            </w:hyperlink>
          </w:p>
        </w:tc>
        <w:tc>
          <w:tcPr>
            <w:tcW w:w="340" w:type="dxa"/>
            <w:vAlign w:val="bottom"/>
            <w:gridSpan w:val="4"/>
          </w:tcPr>
          <w:p>
            <w:pPr>
              <w:jc w:val="right"/>
              <w:spacing w:after="0" w:line="196" w:lineRule="exact"/>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S-27</w:t>
              </w:r>
            </w:hyperlink>
          </w:p>
        </w:tc>
      </w:tr>
      <w:tr>
        <w:trPr>
          <w:trHeight w:val="667"/>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gridSpan w:val="5"/>
          </w:tcPr>
          <w:p>
            <w:pPr>
              <w:jc w:val="center"/>
              <w:ind w:right="220"/>
              <w:spacing w:after="0"/>
              <w:rPr>
                <w:sz w:val="20"/>
                <w:szCs w:val="20"/>
                <w:color w:val="auto"/>
              </w:rPr>
            </w:pPr>
            <w:r>
              <w:rPr>
                <w:rFonts w:ascii="Arial" w:cs="Arial" w:eastAsia="Arial" w:hAnsi="Arial"/>
                <w:sz w:val="18"/>
                <w:szCs w:val="18"/>
                <w:b w:val="1"/>
                <w:bCs w:val="1"/>
                <w:color w:val="auto"/>
                <w:w w:val="93"/>
              </w:rPr>
              <w:t>PROSPECTUS</w:t>
            </w:r>
          </w:p>
        </w:tc>
        <w:tc>
          <w:tcPr>
            <w:tcW w:w="3240" w:type="dxa"/>
            <w:vAlign w:val="bottom"/>
            <w:gridSpan w:val="2"/>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34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SPECIAL NOTE REGARDING FORWARD-LOOKING STATEMENTS</w:t>
              </w:r>
            </w:hyperlink>
          </w:p>
        </w:tc>
        <w:tc>
          <w:tcPr>
            <w:tcW w:w="3420" w:type="dxa"/>
            <w:vAlign w:val="bottom"/>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24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INFORMATION BY REFERENCE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5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OUR COMPANY</w:t>
              </w:r>
            </w:hyperlink>
          </w:p>
        </w:tc>
        <w:tc>
          <w:tcPr>
            <w:tcW w:w="3580" w:type="dxa"/>
            <w:vAlign w:val="bottom"/>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RISK FACTORS</w:t>
              </w:r>
            </w:hyperlink>
          </w:p>
        </w:tc>
        <w:tc>
          <w:tcPr>
            <w:tcW w:w="7340" w:type="dxa"/>
            <w:vAlign w:val="bottom"/>
            <w:gridSpan w:val="21"/>
          </w:tcPr>
          <w:p>
            <w:pPr>
              <w:spacing w:after="0"/>
              <w:rPr>
                <w:sz w:val="17"/>
                <w:szCs w:val="17"/>
                <w:color w:val="auto"/>
              </w:rPr>
            </w:pPr>
          </w:p>
        </w:tc>
        <w:tc>
          <w:tcPr>
            <w:tcW w:w="24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USE OF PROCEEDS</w:t>
              </w:r>
            </w:hyperlink>
          </w:p>
        </w:tc>
        <w:tc>
          <w:tcPr>
            <w:tcW w:w="7080" w:type="dxa"/>
            <w:vAlign w:val="bottom"/>
            <w:gridSpan w:val="16"/>
          </w:tcPr>
          <w:p>
            <w:pPr>
              <w:spacing w:after="0"/>
              <w:rPr>
                <w:sz w:val="17"/>
                <w:szCs w:val="17"/>
                <w:color w:val="auto"/>
              </w:rPr>
            </w:pPr>
          </w:p>
        </w:tc>
        <w:tc>
          <w:tcPr>
            <w:tcW w:w="24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7</w:t>
              </w:r>
            </w:hyperlink>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 FEDERAL INCOME TAX CONSIDERATIONS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16</w:t>
              </w:r>
            </w:hyperlink>
          </w:p>
        </w:tc>
      </w:tr>
      <w:tr>
        <w:trPr>
          <w:trHeight w:val="196"/>
        </w:trPr>
        <w:tc>
          <w:tcPr>
            <w:tcW w:w="1140" w:type="dxa"/>
            <w:vAlign w:val="bottom"/>
          </w:tcPr>
          <w:p>
            <w:pPr>
              <w:spacing w:after="0"/>
              <w:rPr>
                <w:sz w:val="17"/>
                <w:szCs w:val="17"/>
                <w:color w:val="auto"/>
              </w:rPr>
            </w:pPr>
          </w:p>
        </w:tc>
        <w:tc>
          <w:tcPr>
            <w:tcW w:w="3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4820" w:type="dxa"/>
            <w:vAlign w:val="bottom"/>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33</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664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35</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EXPERTS</w:t>
              </w:r>
            </w:hyperlink>
          </w:p>
        </w:tc>
        <w:tc>
          <w:tcPr>
            <w:tcW w:w="680" w:type="dxa"/>
            <w:vAlign w:val="bottom"/>
            <w:tcBorders>
              <w:top w:val="single" w:sz="8" w:color="0000EE"/>
            </w:tcBorders>
            <w:gridSpan w:val="5"/>
          </w:tcPr>
          <w:p>
            <w:pPr>
              <w:spacing w:after="0"/>
              <w:rPr>
                <w:sz w:val="17"/>
                <w:szCs w:val="17"/>
                <w:color w:val="auto"/>
              </w:rPr>
            </w:pPr>
          </w:p>
        </w:tc>
        <w:tc>
          <w:tcPr>
            <w:tcW w:w="7200" w:type="dxa"/>
            <w:vAlign w:val="bottom"/>
            <w:gridSpan w:val="1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35</w:t>
              </w:r>
            </w:hyperlink>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0" w:firstLine="611"/>
        <w:spacing w:after="0" w:line="288" w:lineRule="auto"/>
        <w:rPr>
          <w:sz w:val="20"/>
          <w:szCs w:val="20"/>
          <w:color w:val="auto"/>
        </w:rPr>
      </w:pPr>
      <w:r>
        <w:rPr>
          <w:rFonts w:ascii="Arial" w:cs="Arial" w:eastAsia="Arial" w:hAnsi="Arial"/>
          <w:sz w:val="16"/>
          <w:szCs w:val="16"/>
          <w:color w:val="auto"/>
        </w:rPr>
        <w:t>This document consists of two parts. The first part consists of this prospectus supplement, which provides you with specific information about this offering. The second part is the accompanying prospectus, which gives more general information about us and the common stock we may offer from time to time,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dated prior to the date of this prospectus supplement and incorporated by reference herein or therein, the statements made in this prospectus supplement will be deemed to modify or supersede those made in the accompanying prospectus and such documents incorporated by reference herein and therein. The accompanying prospectus is part of a registration statement on Form S-3 that we filed with the U.S. Securities Exchange Commission, or SEC, using the "shelf" registration process as a "well-known seasoned issuer," as defined in Rule 405 under the Securities Act of 1933, as amended, or the Securities Act. Under the shelf registration rules, we may from time to time sell our common stock in one or more offerings.</w:t>
      </w:r>
    </w:p>
    <w:p>
      <w:pPr>
        <w:spacing w:after="0" w:line="168" w:lineRule="exact"/>
        <w:rPr>
          <w:sz w:val="20"/>
          <w:szCs w:val="20"/>
          <w:color w:val="auto"/>
        </w:rPr>
      </w:pPr>
    </w:p>
    <w:p>
      <w:pPr>
        <w:ind w:right="300" w:firstLine="615"/>
        <w:spacing w:after="0" w:line="258" w:lineRule="auto"/>
        <w:rPr>
          <w:sz w:val="20"/>
          <w:szCs w:val="20"/>
          <w:color w:val="auto"/>
        </w:rPr>
      </w:pPr>
      <w:r>
        <w:rPr>
          <w:rFonts w:ascii="Arial" w:cs="Arial" w:eastAsia="Arial" w:hAnsi="Arial"/>
          <w:sz w:val="18"/>
          <w:szCs w:val="18"/>
          <w:b w:val="1"/>
          <w:bCs w:val="1"/>
          <w:color w:val="auto"/>
        </w:rPr>
        <w:t>This prospectus supplement and the accompanying prospectus do not contain all of the information that is important to your investment decision. You should read this prospectus supplement and the accompanying prospectus as well as the additional information described under the sections entitled "Where You Can Find More Information" and "Incorporation of Certain Information by Reference" of this prospectus supplement before investing in our common stock.</w:t>
      </w:r>
    </w:p>
    <w:p>
      <w:pPr>
        <w:spacing w:after="0" w:line="190"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or any related free writing prospectus that we file with the SEC and any information about the terms of our common stock offered or conveyed to you by us, our underwriters or agents. Neither we nor the underwriters have authorized anyone to provide you with additional or different information. If anyone else provides you with additional or different information, you should not rely on it. You should assume that the information in this prospectus supplement, the accompanying prospectus, any free writing prospectus, or any documents that are incorporated herein or therein by reference is accurate only as of the date of those respective documents. Our business, financial condition, results of operation and prospects may have changed since that date. Before making an investment decision, you should read this prospectus supplement, the accompanying prospectus, the documents incorporated by reference in this prospectus supplement and the accompanying prospectus, any free writing prospectus and as described under the heading "Incorporation of Certain Information by Reference."</w:t>
      </w:r>
    </w:p>
    <w:p>
      <w:pPr>
        <w:spacing w:after="0" w:line="173"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This prospectus supplement and the accompanying prospectus are an offer to sell only the shares of our common stock offered hereby, but only under circumstances and in jurisdictions where it is lawful to do so.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2"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References in this prospectus supplement to "we," "us," "our" and the "Company" refer to Ryman Hospitality Properties, Inc., a Delaware corporation, together with its consolidated subsidiaries, including RHP Hotel Properties, LP, our operating partnership, or the Operating Partnership. The term "you" refers to a prospective investor in our common stock offered by this prospectus supplement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accompanying prospectus. Terms used, but not defined, in this prospectus supplement shall have the meanings ascribed to them in the accompanying prospectus.</w:t>
      </w:r>
    </w:p>
    <w:p>
      <w:pPr>
        <w:spacing w:after="0" w:line="186"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All brand and trade names, logos or trademarks contained, or referred to, in this prospectus supplement and the accompanying prospectus, as well as any document incorporated by reference into this prospectus supplement and the accompanying prospectus, are the properties of their respective owners. Other than the Company with respect to its owned marks, none of the owners of these trademarks, their affiliates or any of their respective officers, directors, agents or employees, has or will have any responsibility or liability for any information contained in this prospectus supplement or the accompanying prospectus.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611"/>
        <w:spacing w:after="0" w:line="282" w:lineRule="auto"/>
        <w:rPr>
          <w:sz w:val="20"/>
          <w:szCs w:val="20"/>
          <w:color w:val="auto"/>
        </w:rPr>
      </w:pPr>
      <w:r>
        <w:rPr>
          <w:rFonts w:ascii="Arial" w:cs="Arial" w:eastAsia="Arial" w:hAnsi="Arial"/>
          <w:sz w:val="16"/>
          <w:szCs w:val="16"/>
          <w:color w:val="auto"/>
        </w:rPr>
        <w:t>This prospectus supplement and the accompanying prospectus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U.S. federal income tax purposes; (ii) the holding of our non-qualifying REIT assets in one or more taxable REIT subsidiaries, or TRSs; (iii) our announced dividend policy, including the frequency and amount of any dividend we may pay;</w:t>
      </w:r>
    </w:p>
    <w:p>
      <w:pPr>
        <w:spacing w:after="0" w:line="5" w:lineRule="exact"/>
        <w:rPr>
          <w:sz w:val="20"/>
          <w:szCs w:val="20"/>
          <w:color w:val="auto"/>
        </w:rPr>
      </w:pPr>
    </w:p>
    <w:p>
      <w:pPr>
        <w:ind w:right="260" w:firstLine="8"/>
        <w:spacing w:after="0" w:line="281" w:lineRule="auto"/>
        <w:tabs>
          <w:tab w:leader="none" w:pos="297" w:val="left"/>
        </w:tabs>
        <w:numPr>
          <w:ilvl w:val="0"/>
          <w:numId w:val="2"/>
        </w:numPr>
        <w:rPr>
          <w:rFonts w:ascii="Arial" w:cs="Arial" w:eastAsia="Arial" w:hAnsi="Arial"/>
          <w:sz w:val="16"/>
          <w:szCs w:val="16"/>
          <w:color w:val="auto"/>
        </w:rPr>
      </w:pPr>
      <w:r>
        <w:rPr>
          <w:rFonts w:ascii="Arial" w:cs="Arial" w:eastAsia="Arial" w:hAnsi="Arial"/>
          <w:sz w:val="16"/>
          <w:szCs w:val="16"/>
          <w:color w:val="auto"/>
        </w:rPr>
        <w:t>potential growth opportunities, including future expansion of the geographic diversity of our existing asset portfolio through acquisitions, including the pending Block 21 Acquisition as described herein; (v) Marriott International, Inc.'s, or Marriott's, ability to effectively manage our hotels and other properties;</w:t>
      </w:r>
    </w:p>
    <w:p>
      <w:pPr>
        <w:spacing w:after="0" w:line="1" w:lineRule="exact"/>
        <w:rPr>
          <w:rFonts w:ascii="Arial" w:cs="Arial" w:eastAsia="Arial" w:hAnsi="Arial"/>
          <w:sz w:val="16"/>
          <w:szCs w:val="16"/>
          <w:color w:val="auto"/>
        </w:rPr>
      </w:pPr>
    </w:p>
    <w:p>
      <w:pPr>
        <w:ind w:firstLine="8"/>
        <w:spacing w:after="0" w:line="302" w:lineRule="auto"/>
        <w:tabs>
          <w:tab w:leader="none" w:pos="297"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163"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caution the reader that forward-looking statements involve risks and uncertainties that cannot be predicted or quantified, and, consequently, actual results may differ materially from those expressed or implied by such forward-looking statements. Although we believe that the plans, objectives, expectations and prospects reflected in or suggested by our forward-looking statements are reasonable, those statements involve uncertainties and risks, and we cannot assure you that our plans, objectives, expectations and prospects will be achieved. Important factors that could cause actual results to differ materially from those in the forward-looking statements include, but are not limited to, the risks and uncertainties associated with economic conditions affecting the hospitality business generally, the geographic concentration of our hotel properties, business levels at our hotels, the effect of our election to be taxed as a REIT for U.S. federal income tax purposes, commencing with the year ended December 31, 2013, our ability to remain qualified as a REIT, our ability to execute our strategic goals as a REIT, the success of new investments in our hotels for expansions, amenities and our investments in other projects, including the pending Block 21 Acquisition, our ability to generate cash flows to support dividends, future board determinations regarding the timing and amount of dividends and changes to our dividend policy, our ability to borrow funds pursuant to our credit agreements and to refinance indebtedness, changes in interest rates, including future changes from LIBOR to a different base rate, and those factors described in the section entitled "Risk Factors" in this prospectus supplement and under Item 1A, "Risk Factors", in our Annual Report on Form 10-K for the fiscal year ended December 31, 2018, or our 2018 Form 10-K, or described from time to time in our other reports filed with the SEC.</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05"/>
        <w:spacing w:after="0" w:line="294" w:lineRule="auto"/>
        <w:rPr>
          <w:sz w:val="20"/>
          <w:szCs w:val="20"/>
          <w:color w:val="auto"/>
        </w:rPr>
      </w:pPr>
      <w:r>
        <w:rPr>
          <w:rFonts w:ascii="Arial" w:cs="Arial" w:eastAsia="Arial" w:hAnsi="Arial"/>
          <w:sz w:val="16"/>
          <w:szCs w:val="16"/>
          <w:color w:val="auto"/>
        </w:rPr>
        <w:t>Any forward-looking statement made in this prospectus supplement, the accompanying prospectus and the documents incorporated by reference into this prospectus supplement and the accompanying prospectus,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supplement, the accompanying prospectus and the documents incorporated by reference into this prospectus supplement and the accompanying prospectus, except as may be required by law.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615"/>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in, or incorporated by reference into, this prospectus supplement and the accompanying prospectus and does not contain all of the information that you should consider in making your investment decision. You should read this summary together with the more detailed information appearing elsewhere in this prospectus supplement, as well as the information in the accompanying prospectus and in the documents incorporated by reference into this prospectus supplement or the accompanying prospectus. You should carefully consider, among other things, the matters discussed in the section entitled "Risk Factors" in this prospectus supplement and in our periodic filings with the SEC incorporated herein by reference, and the financial statements and related notes incorporated by reference herein.</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615"/>
        <w:spacing w:after="0" w:line="288" w:lineRule="auto"/>
        <w:rPr>
          <w:sz w:val="20"/>
          <w:szCs w:val="20"/>
          <w:color w:val="auto"/>
        </w:rPr>
      </w:pPr>
      <w:r>
        <w:rPr>
          <w:rFonts w:ascii="Arial" w:cs="Arial" w:eastAsia="Arial" w:hAnsi="Arial"/>
          <w:sz w:val="16"/>
          <w:szCs w:val="16"/>
          <w:color w:val="auto"/>
        </w:rPr>
        <w:t>Based in Nashville, Tennessee, Ryman Hospitality Properties, Inc. is a REIT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or Gaylord Opryland, the Gaylord Palms Resort &amp; Convention Center near Orlando, Florida, or Gaylord Palms, the Gaylord Texan Resort &amp; Convention Center near Dallas, Texas, or Gaylord Texan, and the Gaylord National Resort &amp; Convention Center near Washington D.C., or Gaylord National. Our other owned hotel assets managed by Marriott include the Inn at Opryland, a 303-room overflow hotel adjacent to Gaylord Opryland, and the AC Hotel at National Harbor, Washington D.C., or AC Hotel, a 192-room overflow hotel adjacent to Gaylord National. We also own a 62.1% interest in the joint venture, or the Gaylord Rockies joint venture, that owns the Gaylord Rockies Resort &amp; Convention Center in Aurora, Colorado, or Gaylord Rockies, which opened in December 2018 and is managed by Marriott.</w:t>
      </w:r>
    </w:p>
    <w:p>
      <w:pPr>
        <w:spacing w:after="0" w:line="174" w:lineRule="exact"/>
        <w:rPr>
          <w:sz w:val="20"/>
          <w:szCs w:val="20"/>
          <w:color w:val="auto"/>
        </w:rPr>
      </w:pPr>
    </w:p>
    <w:p>
      <w:pPr>
        <w:ind w:left="240" w:right="120" w:firstLine="611"/>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Marriott—Gaylord Springs Golf Links, the Wildhorse Saloon, and the General Jackson Showboat.</w:t>
      </w:r>
    </w:p>
    <w:p>
      <w:pPr>
        <w:spacing w:after="0" w:line="197" w:lineRule="exact"/>
        <w:rPr>
          <w:sz w:val="20"/>
          <w:szCs w:val="20"/>
          <w:color w:val="auto"/>
        </w:rPr>
      </w:pPr>
    </w:p>
    <w:p>
      <w:pPr>
        <w:ind w:left="240" w:right="80" w:firstLine="615"/>
        <w:spacing w:after="0" w:line="256"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97" w:lineRule="exact"/>
        <w:rPr>
          <w:sz w:val="20"/>
          <w:szCs w:val="20"/>
          <w:color w:val="auto"/>
        </w:rPr>
      </w:pPr>
    </w:p>
    <w:p>
      <w:pPr>
        <w:ind w:left="240" w:firstLine="615"/>
        <w:spacing w:after="0" w:line="256" w:lineRule="auto"/>
        <w:rPr>
          <w:sz w:val="20"/>
          <w:szCs w:val="20"/>
          <w:color w:val="auto"/>
        </w:rPr>
      </w:pPr>
      <w:r>
        <w:rPr>
          <w:rFonts w:ascii="Arial" w:cs="Arial" w:eastAsia="Arial" w:hAnsi="Arial"/>
          <w:sz w:val="18"/>
          <w:szCs w:val="18"/>
          <w:color w:val="auto"/>
        </w:rPr>
        <w:t>Our operations are organized into three principal business segments: (i) Hospitality, consisting of our Gaylord Hotels properties, the Inn at Opryland, the AC Hotel, and our investment in the Gaylord Rockies joint venture; (ii) Entertainment, consisting of the Grand Ole Opry, the Ryman Auditorium, WSM-AM, Ole Red, our equity investment in New Country Ventures, and our other Nashville-based attractions; and (iii) Corporate and Other, consisting of our corporate expenses.</w:t>
      </w:r>
    </w:p>
    <w:p>
      <w:pPr>
        <w:spacing w:after="0" w:line="197" w:lineRule="exact"/>
        <w:rPr>
          <w:sz w:val="20"/>
          <w:szCs w:val="20"/>
          <w:color w:val="auto"/>
        </w:rPr>
      </w:pPr>
    </w:p>
    <w:p>
      <w:pPr>
        <w:ind w:left="240" w:right="40" w:firstLine="605"/>
        <w:spacing w:after="0" w:line="256" w:lineRule="auto"/>
        <w:rPr>
          <w:sz w:val="20"/>
          <w:szCs w:val="20"/>
          <w:color w:val="auto"/>
        </w:rPr>
      </w:pPr>
      <w:r>
        <w:rPr>
          <w:rFonts w:ascii="Arial" w:cs="Arial" w:eastAsia="Arial" w:hAnsi="Arial"/>
          <w:sz w:val="18"/>
          <w:szCs w:val="18"/>
          <w:color w:val="auto"/>
        </w:rPr>
        <w:t>All of our assets are held by, and the Company conducts substantially all of our activities through, the Operating Partnership and its wholly-owned subsidiaries. As of the date of this prospectus supplement, Ryman Hospitality Properties, Inc., as the sole limited partner in the Operating Partnership, owns 99.5% of the outstanding partnership units of the Operating Partnership, and RHP Partner, LLC, as the sole general partner of the Operating Partnership, owns the remaining 0.5%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color w:val="auto"/>
        </w:rPr>
        <w:t>outstanding partnership units of the Operating Partnership. Ryman Hospitality Properties, Inc. has no material assets, other than its investment in the Operating Partnership.</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goal is to be the nation's premier hospitality REIT for group-oriented meeting hotel assets in urban and resort markets.</w:t>
      </w:r>
    </w:p>
    <w:p>
      <w:pPr>
        <w:spacing w:after="0" w:line="225" w:lineRule="exact"/>
        <w:rPr>
          <w:sz w:val="20"/>
          <w:szCs w:val="20"/>
          <w:color w:val="auto"/>
        </w:rPr>
      </w:pPr>
    </w:p>
    <w:p>
      <w:pPr>
        <w:ind w:left="240" w:right="220" w:firstLine="615"/>
        <w:spacing w:after="0" w:line="298" w:lineRule="auto"/>
        <w:rPr>
          <w:sz w:val="20"/>
          <w:szCs w:val="20"/>
          <w:color w:val="auto"/>
        </w:rPr>
      </w:pPr>
      <w:r>
        <w:rPr>
          <w:rFonts w:ascii="Arial" w:cs="Arial" w:eastAsia="Arial" w:hAnsi="Arial"/>
          <w:sz w:val="16"/>
          <w:szCs w:val="16"/>
          <w:i w:val="1"/>
          <w:iCs w:val="1"/>
          <w:color w:val="auto"/>
        </w:rPr>
        <w:t xml:space="preserve">Existing Hotel Property Design. </w:t>
      </w:r>
      <w:r>
        <w:rPr>
          <w:rFonts w:ascii="Arial" w:cs="Arial" w:eastAsia="Arial" w:hAnsi="Arial"/>
          <w:sz w:val="16"/>
          <w:szCs w:val="16"/>
          <w:color w:val="auto"/>
        </w:rPr>
        <w:t>Our Gaylord Hotels properties focus on the large group meetings market in the United States and incorporate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67" w:lineRule="exact"/>
        <w:rPr>
          <w:sz w:val="20"/>
          <w:szCs w:val="20"/>
          <w:color w:val="auto"/>
        </w:rPr>
      </w:pPr>
    </w:p>
    <w:p>
      <w:pPr>
        <w:ind w:left="240" w:right="60" w:firstLine="615"/>
        <w:spacing w:after="0" w:line="288" w:lineRule="auto"/>
        <w:rPr>
          <w:sz w:val="20"/>
          <w:szCs w:val="20"/>
          <w:color w:val="auto"/>
        </w:rPr>
      </w:pPr>
      <w:r>
        <w:rPr>
          <w:rFonts w:ascii="Arial" w:cs="Arial" w:eastAsia="Arial" w:hAnsi="Arial"/>
          <w:sz w:val="16"/>
          <w:szCs w:val="16"/>
          <w:i w:val="1"/>
          <w:iCs w:val="1"/>
          <w:color w:val="auto"/>
        </w:rPr>
        <w:t xml:space="preserve">Expansion of Hotel Asset Portfolio. </w:t>
      </w:r>
      <w:r>
        <w:rPr>
          <w:rFonts w:ascii="Arial" w:cs="Arial" w:eastAsia="Arial" w:hAnsi="Arial"/>
          <w:sz w:val="16"/>
          <w:szCs w:val="16"/>
          <w:color w:val="auto"/>
        </w:rPr>
        <w:t>While our short-term capital allocation strategy has focused on returning capital to stockholders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To this end, we recently increased our investment in the Gaylord Rockies joint venture from 61.2% to 62.1%. As a REIT, we do not view independent, large-scale development of resort and convention hotels as a part of our long-term growth strategy.</w:t>
      </w:r>
    </w:p>
    <w:p>
      <w:pPr>
        <w:spacing w:after="0" w:line="174" w:lineRule="exact"/>
        <w:rPr>
          <w:sz w:val="20"/>
          <w:szCs w:val="20"/>
          <w:color w:val="auto"/>
        </w:rPr>
      </w:pPr>
    </w:p>
    <w:p>
      <w:pPr>
        <w:ind w:left="240" w:firstLine="615"/>
        <w:spacing w:after="0" w:line="290" w:lineRule="auto"/>
        <w:rPr>
          <w:sz w:val="20"/>
          <w:szCs w:val="20"/>
          <w:color w:val="auto"/>
        </w:rPr>
      </w:pPr>
      <w:r>
        <w:rPr>
          <w:rFonts w:ascii="Arial" w:cs="Arial" w:eastAsia="Arial" w:hAnsi="Arial"/>
          <w:sz w:val="16"/>
          <w:szCs w:val="16"/>
          <w:i w:val="1"/>
          <w:iCs w:val="1"/>
          <w:color w:val="auto"/>
        </w:rPr>
        <w:t xml:space="preserve">Leverage Brand Name Awareness. </w:t>
      </w:r>
      <w:r>
        <w:rPr>
          <w:rFonts w:ascii="Arial" w:cs="Arial" w:eastAsia="Arial" w:hAnsi="Arial"/>
          <w:sz w:val="16"/>
          <w:szCs w:val="16"/>
          <w:color w:val="auto"/>
        </w:rPr>
        <w:t>We believe the Grand Ole Opry is one of the most recognized entertainment brands in the United States. We</w:t>
      </w:r>
      <w:r>
        <w:rPr>
          <w:rFonts w:ascii="Arial" w:cs="Arial" w:eastAsia="Arial" w:hAnsi="Arial"/>
          <w:sz w:val="16"/>
          <w:szCs w:val="16"/>
          <w:i w:val="1"/>
          <w:iCs w:val="1"/>
          <w:color w:val="auto"/>
        </w:rPr>
        <w:t xml:space="preserve"> </w:t>
      </w:r>
      <w:r>
        <w:rPr>
          <w:rFonts w:ascii="Arial" w:cs="Arial" w:eastAsia="Arial" w:hAnsi="Arial"/>
          <w:sz w:val="16"/>
          <w:szCs w:val="16"/>
          <w:color w:val="auto"/>
        </w:rPr>
        <w:t>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Hotel Portfolio</w:t>
      </w:r>
    </w:p>
    <w:p>
      <w:pPr>
        <w:spacing w:after="0" w:line="231" w:lineRule="exact"/>
        <w:rPr>
          <w:sz w:val="20"/>
          <w:szCs w:val="20"/>
          <w:color w:val="auto"/>
        </w:rPr>
      </w:pPr>
    </w:p>
    <w:p>
      <w:pPr>
        <w:ind w:left="240" w:right="160" w:firstLine="615"/>
        <w:spacing w:after="0" w:line="259" w:lineRule="auto"/>
        <w:rPr>
          <w:sz w:val="20"/>
          <w:szCs w:val="20"/>
          <w:color w:val="auto"/>
        </w:rPr>
      </w:pPr>
      <w:r>
        <w:rPr>
          <w:rFonts w:ascii="Arial" w:cs="Arial" w:eastAsia="Arial" w:hAnsi="Arial"/>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w:t>
      </w:r>
    </w:p>
    <w:p>
      <w:pPr>
        <w:spacing w:after="0" w:line="194" w:lineRule="exact"/>
        <w:rPr>
          <w:sz w:val="20"/>
          <w:szCs w:val="20"/>
          <w:color w:val="auto"/>
        </w:rPr>
      </w:pPr>
    </w:p>
    <w:p>
      <w:pPr>
        <w:ind w:left="240" w:right="120" w:firstLine="615"/>
        <w:spacing w:after="0" w:line="259" w:lineRule="auto"/>
        <w:rPr>
          <w:sz w:val="20"/>
          <w:szCs w:val="20"/>
          <w:color w:val="auto"/>
        </w:rPr>
      </w:pPr>
      <w:r>
        <w:rPr>
          <w:rFonts w:ascii="Arial" w:cs="Arial" w:eastAsia="Arial" w:hAnsi="Arial"/>
          <w:sz w:val="18"/>
          <w:szCs w:val="18"/>
          <w:color w:val="auto"/>
        </w:rPr>
        <w:t>Marriott is responsible for the day-to-day management of our Gaylord Hotels, Gaylord Rockies, the Inn at Opryland, and the AC Hotel. We believe that our Gaylord Hotels properties have benefitted and will continue to benefit from Marriott's expansive sales force and popular frequent traveler program, as well as their ability to manage group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15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firstLine="615"/>
        <w:spacing w:after="0" w:line="332" w:lineRule="auto"/>
        <w:rPr>
          <w:sz w:val="20"/>
          <w:szCs w:val="20"/>
          <w:color w:val="auto"/>
        </w:rPr>
      </w:pPr>
      <w:r>
        <w:rPr>
          <w:rFonts w:ascii="Arial" w:cs="Arial" w:eastAsia="Arial" w:hAnsi="Arial"/>
          <w:sz w:val="16"/>
          <w:szCs w:val="16"/>
          <w:color w:val="auto"/>
        </w:rPr>
        <w:t>Based on our information, publicly-available information and information and data obtained from Smith Travel Research, the top 10 hotels within the United States with the highest square footage of self-contained exhibit and meeting space as of January 2019 are as follows:</w:t>
      </w:r>
    </w:p>
    <w:p>
      <w:pPr>
        <w:spacing w:after="0" w:line="12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Total Meeting and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Hotel</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Exhibit Space</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Facility(1)</w:t>
            </w:r>
          </w:p>
        </w:tc>
        <w:tc>
          <w:tcPr>
            <w:tcW w:w="16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Rooms</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 ft.)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180" w:type="dxa"/>
            <w:vAlign w:val="bottom"/>
            <w:gridSpan w:val="2"/>
            <w:shd w:val="clear" w:color="auto" w:fill="CCEEFF"/>
          </w:tcPr>
          <w:p>
            <w:pPr>
              <w:spacing w:after="0" w:line="20" w:lineRule="exact"/>
              <w:rPr>
                <w:sz w:val="1"/>
                <w:szCs w:val="1"/>
                <w:color w:val="auto"/>
              </w:rPr>
            </w:pPr>
          </w:p>
        </w:tc>
        <w:tc>
          <w:tcPr>
            <w:tcW w:w="1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Las Vegas, NV</w:t>
            </w:r>
          </w:p>
        </w:tc>
        <w:tc>
          <w:tcPr>
            <w:tcW w:w="8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4,028</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line="20" w:lineRule="exact"/>
              <w:rPr>
                <w:sz w:val="1"/>
                <w:szCs w:val="1"/>
                <w:color w:val="auto"/>
              </w:rPr>
            </w:pPr>
          </w:p>
        </w:tc>
      </w:tr>
      <w:tr>
        <w:trPr>
          <w:trHeight w:val="190"/>
        </w:trPr>
        <w:tc>
          <w:tcPr>
            <w:tcW w:w="4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The Venetian Resort &amp; Casino</w:t>
            </w:r>
          </w:p>
        </w:tc>
        <w:tc>
          <w:tcPr>
            <w:tcW w:w="1680" w:type="dxa"/>
            <w:vAlign w:val="bottom"/>
            <w:vMerge w:val="continue"/>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Mandalay Bay Resort &amp; Casino</w:t>
            </w:r>
          </w:p>
        </w:tc>
        <w:tc>
          <w:tcPr>
            <w:tcW w:w="1680" w:type="dxa"/>
            <w:vAlign w:val="bottom"/>
          </w:tcPr>
          <w:p>
            <w:pPr>
              <w:spacing w:after="0"/>
              <w:rPr>
                <w:sz w:val="20"/>
                <w:szCs w:val="20"/>
                <w:color w:val="auto"/>
              </w:rPr>
            </w:pPr>
            <w:r>
              <w:rPr>
                <w:rFonts w:ascii="Arial" w:cs="Arial" w:eastAsia="Arial" w:hAnsi="Arial"/>
                <w:sz w:val="18"/>
                <w:szCs w:val="18"/>
                <w:color w:val="auto"/>
              </w:rPr>
              <w:t>Las Vegas, NV</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3,209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Gaylord Opryland Resort &amp; Convention Center</w:t>
            </w: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Nashville, TN</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MGM Grand Hotel &amp; Casino</w:t>
            </w:r>
          </w:p>
        </w:tc>
        <w:tc>
          <w:tcPr>
            <w:tcW w:w="1680" w:type="dxa"/>
            <w:vAlign w:val="bottom"/>
          </w:tcPr>
          <w:p>
            <w:pPr>
              <w:spacing w:after="0"/>
              <w:rPr>
                <w:sz w:val="20"/>
                <w:szCs w:val="20"/>
                <w:color w:val="auto"/>
              </w:rPr>
            </w:pPr>
            <w:r>
              <w:rPr>
                <w:rFonts w:ascii="Arial" w:cs="Arial" w:eastAsia="Arial" w:hAnsi="Arial"/>
                <w:sz w:val="18"/>
                <w:szCs w:val="18"/>
                <w:color w:val="auto"/>
              </w:rPr>
              <w:t>Las Vegas, NV</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5,044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Gaylord National Resort &amp; Convention Center</w:t>
            </w: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National Harbor, MD</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Gaylord Texan Resort &amp; Convention Center</w:t>
            </w:r>
          </w:p>
        </w:tc>
        <w:tc>
          <w:tcPr>
            <w:tcW w:w="1680" w:type="dxa"/>
            <w:vAlign w:val="bottom"/>
          </w:tcPr>
          <w:p>
            <w:pPr>
              <w:spacing w:after="0"/>
              <w:rPr>
                <w:sz w:val="20"/>
                <w:szCs w:val="20"/>
                <w:color w:val="auto"/>
              </w:rPr>
            </w:pPr>
            <w:r>
              <w:rPr>
                <w:rFonts w:ascii="Arial" w:cs="Arial" w:eastAsia="Arial" w:hAnsi="Arial"/>
                <w:sz w:val="18"/>
                <w:szCs w:val="18"/>
                <w:b w:val="1"/>
                <w:bCs w:val="1"/>
                <w:color w:val="auto"/>
              </w:rPr>
              <w:t>Grapevine, TX</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1,814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Marriott Orlando World Center Resort</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Orlando, FL</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Rosen Shingle Creek Resort</w:t>
            </w:r>
          </w:p>
        </w:tc>
        <w:tc>
          <w:tcPr>
            <w:tcW w:w="1680" w:type="dxa"/>
            <w:vAlign w:val="bottom"/>
          </w:tcPr>
          <w:p>
            <w:pPr>
              <w:spacing w:after="0"/>
              <w:rPr>
                <w:sz w:val="20"/>
                <w:szCs w:val="20"/>
                <w:color w:val="auto"/>
              </w:rPr>
            </w:pPr>
            <w:r>
              <w:rPr>
                <w:rFonts w:ascii="Arial" w:cs="Arial" w:eastAsia="Arial" w:hAnsi="Arial"/>
                <w:sz w:val="18"/>
                <w:szCs w:val="18"/>
                <w:color w:val="auto"/>
              </w:rPr>
              <w:t>Orlando, FL</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1,501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Gaylord Rockies Resort &amp; Convention Center(2)</w:t>
            </w: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Aurora, CO</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409,000</w:t>
            </w:r>
          </w:p>
        </w:tc>
        <w:tc>
          <w:tcPr>
            <w:tcW w:w="0" w:type="dxa"/>
            <w:vAlign w:val="bottom"/>
          </w:tcPr>
          <w:p>
            <w:pPr>
              <w:spacing w:after="0"/>
              <w:rPr>
                <w:sz w:val="1"/>
                <w:szCs w:val="1"/>
                <w:color w:val="auto"/>
              </w:rPr>
            </w:pPr>
          </w:p>
        </w:tc>
      </w:tr>
      <w:tr>
        <w:trPr>
          <w:trHeight w:val="228"/>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Gaylord Palms Resort &amp; Convention Center</w:t>
            </w:r>
          </w:p>
        </w:tc>
        <w:tc>
          <w:tcPr>
            <w:tcW w:w="1680" w:type="dxa"/>
            <w:vAlign w:val="bottom"/>
          </w:tcPr>
          <w:p>
            <w:pPr>
              <w:spacing w:after="0"/>
              <w:rPr>
                <w:sz w:val="20"/>
                <w:szCs w:val="20"/>
                <w:color w:val="auto"/>
              </w:rPr>
            </w:pPr>
            <w:r>
              <w:rPr>
                <w:rFonts w:ascii="Arial" w:cs="Arial" w:eastAsia="Arial" w:hAnsi="Arial"/>
                <w:sz w:val="18"/>
                <w:szCs w:val="18"/>
                <w:b w:val="1"/>
                <w:bCs w:val="1"/>
                <w:color w:val="auto"/>
              </w:rPr>
              <w:t>Kissimmee, FL</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1,416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400,000</w:t>
            </w:r>
          </w:p>
        </w:tc>
        <w:tc>
          <w:tcPr>
            <w:tcW w:w="0" w:type="dxa"/>
            <w:vAlign w:val="bottom"/>
          </w:tcPr>
          <w:p>
            <w:pPr>
              <w:spacing w:after="0"/>
              <w:rPr>
                <w:sz w:val="1"/>
                <w:szCs w:val="1"/>
                <w:color w:val="auto"/>
              </w:rPr>
            </w:pPr>
          </w:p>
        </w:tc>
      </w:tr>
      <w:tr>
        <w:trPr>
          <w:trHeight w:val="96"/>
        </w:trPr>
        <w:tc>
          <w:tcPr>
            <w:tcW w:w="58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Bolded facilities are owned by the Company.</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owns a 62.1 percent interest through the Gaylord Rockies joint venture.</w:t>
      </w:r>
    </w:p>
    <w:p>
      <w:pPr>
        <w:spacing w:after="0" w:line="225" w:lineRule="exact"/>
        <w:rPr>
          <w:sz w:val="20"/>
          <w:szCs w:val="20"/>
          <w:color w:val="auto"/>
        </w:rPr>
      </w:pPr>
    </w:p>
    <w:p>
      <w:pPr>
        <w:ind w:left="240" w:firstLine="615"/>
        <w:spacing w:after="0" w:line="286" w:lineRule="auto"/>
        <w:rPr>
          <w:sz w:val="20"/>
          <w:szCs w:val="20"/>
          <w:color w:val="auto"/>
        </w:rPr>
      </w:pPr>
      <w:r>
        <w:rPr>
          <w:rFonts w:ascii="Arial" w:cs="Arial" w:eastAsia="Arial" w:hAnsi="Arial"/>
          <w:sz w:val="16"/>
          <w:szCs w:val="16"/>
          <w:i w:val="1"/>
          <w:iCs w:val="1"/>
          <w:color w:val="auto"/>
        </w:rPr>
        <w:t xml:space="preserve">Gaylord Opryland Resort and Convention Center—Nashville, Tennessee. </w:t>
      </w:r>
      <w:r>
        <w:rPr>
          <w:rFonts w:ascii="Arial" w:cs="Arial" w:eastAsia="Arial" w:hAnsi="Arial"/>
          <w:sz w:val="16"/>
          <w:szCs w:val="16"/>
          <w:color w:val="auto"/>
        </w:rPr>
        <w:t>Gaylord Opryland is one of the leading convention destinations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 and total meeting, exhibit and pre-function space of approximately 640,000 square feet. Gaylord Opryland is routinely recognized by many industry and commercial publications, including being awarded a 2019 STELLA Award Silver Winner for best conference center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 2019 Award of Excellence Recipient from </w:t>
      </w:r>
      <w:r>
        <w:rPr>
          <w:rFonts w:ascii="Arial" w:cs="Arial" w:eastAsia="Arial" w:hAnsi="Arial"/>
          <w:sz w:val="16"/>
          <w:szCs w:val="16"/>
          <w:i w:val="1"/>
          <w:iCs w:val="1"/>
          <w:color w:val="auto"/>
        </w:rPr>
        <w:t>Corporate &amp; Incentive Travel</w:t>
      </w:r>
      <w:r>
        <w:rPr>
          <w:rFonts w:ascii="Arial" w:cs="Arial" w:eastAsia="Arial" w:hAnsi="Arial"/>
          <w:sz w:val="16"/>
          <w:szCs w:val="16"/>
          <w:color w:val="auto"/>
        </w:rPr>
        <w:t xml:space="preserve"> magazine, 2018 Best of the South Award Winner from Meetings Today, and recognition as a member of Meeting &amp; Conventions Hall of Fame. We opened the indoor sections of SoundWaves, a $90 million luxury indoor/outdoor waterpark with over 200,000 square feet of water attractions and amenities adjacent to Gaylord Opryland in December 2018, and the outdoor portion in May 2019.</w:t>
      </w:r>
    </w:p>
    <w:p>
      <w:pPr>
        <w:spacing w:after="0" w:line="181" w:lineRule="exact"/>
        <w:rPr>
          <w:sz w:val="20"/>
          <w:szCs w:val="20"/>
          <w:color w:val="auto"/>
        </w:rPr>
      </w:pPr>
    </w:p>
    <w:p>
      <w:pPr>
        <w:ind w:left="240" w:right="60" w:firstLine="615"/>
        <w:spacing w:after="0" w:line="288" w:lineRule="auto"/>
        <w:rPr>
          <w:sz w:val="20"/>
          <w:szCs w:val="20"/>
          <w:color w:val="auto"/>
        </w:rPr>
      </w:pPr>
      <w:r>
        <w:rPr>
          <w:rFonts w:ascii="Arial" w:cs="Arial" w:eastAsia="Arial" w:hAnsi="Arial"/>
          <w:sz w:val="16"/>
          <w:szCs w:val="16"/>
          <w:i w:val="1"/>
          <w:iCs w:val="1"/>
          <w:color w:val="auto"/>
        </w:rPr>
        <w:t xml:space="preserve">Gaylord Palms Resort and Convention Center—Kissimmee, Florida. </w:t>
      </w:r>
      <w:r>
        <w:rPr>
          <w:rFonts w:ascii="Arial" w:cs="Arial" w:eastAsia="Arial" w:hAnsi="Arial"/>
          <w:sz w:val="16"/>
          <w:szCs w:val="16"/>
          <w:color w:val="auto"/>
        </w:rPr>
        <w:t>Gaylord Palms has 1,416 signature guest rooms, three ballrooms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76,000 square feet, 76 banquet/meeting rooms, and total meeting, exhibit and pre-function space of approximately 400,000 square feet. The resort is situated on a 65-acre site in Osceola County, Florida, which we have leased pursuant to a 75-year ground lease with a 24-year renewal option. The resort is approximately a five-minute drive from the main gate of the Walt Disney World® Resort complex. Gaylord Palms has a number of themed restaurants, retail outlets, a new resort pool, and a full-service spa with 20,000 square feet of dedicated space. Hotel guests also have golf privileges at Celebration Golf Club, located approximately two miles from the property. Gaylord Palms is rated as a AAA Four-Diamond Hotel and is routinely recognized by many industry and commercial publications, including being awarded a 2019 STELLA Award Bronze Winner for best conference center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 2019 Award of Excellence Recipient from </w:t>
      </w:r>
      <w:r>
        <w:rPr>
          <w:rFonts w:ascii="Arial" w:cs="Arial" w:eastAsia="Arial" w:hAnsi="Arial"/>
          <w:sz w:val="16"/>
          <w:szCs w:val="16"/>
          <w:i w:val="1"/>
          <w:iCs w:val="1"/>
          <w:color w:val="auto"/>
        </w:rPr>
        <w:t>Corporate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 Travel </w:t>
      </w:r>
      <w:r>
        <w:rPr>
          <w:rFonts w:ascii="Arial" w:cs="Arial" w:eastAsia="Arial" w:hAnsi="Arial"/>
          <w:sz w:val="16"/>
          <w:szCs w:val="16"/>
          <w:color w:val="auto"/>
        </w:rPr>
        <w:t>magazine, 2018 Best of the South Award Winner from</w:t>
      </w:r>
      <w:r>
        <w:rPr>
          <w:rFonts w:ascii="Arial" w:cs="Arial" w:eastAsia="Arial" w:hAnsi="Arial"/>
          <w:sz w:val="16"/>
          <w:szCs w:val="16"/>
          <w:i w:val="1"/>
          <w:iCs w:val="1"/>
          <w:color w:val="auto"/>
        </w:rPr>
        <w:t xml:space="preserve"> Meetings Today</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18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color w:val="auto"/>
        </w:rPr>
        <w:t xml:space="preserve">recognition as a member of </w:t>
      </w:r>
      <w:r>
        <w:rPr>
          <w:rFonts w:ascii="Arial" w:cs="Arial" w:eastAsia="Arial" w:hAnsi="Arial"/>
          <w:sz w:val="18"/>
          <w:szCs w:val="18"/>
          <w:i w:val="1"/>
          <w:iCs w:val="1"/>
          <w:color w:val="auto"/>
        </w:rPr>
        <w:t>Meeting &amp; Conventions'</w:t>
      </w:r>
      <w:r>
        <w:rPr>
          <w:rFonts w:ascii="Arial" w:cs="Arial" w:eastAsia="Arial" w:hAnsi="Arial"/>
          <w:sz w:val="18"/>
          <w:szCs w:val="18"/>
          <w:color w:val="auto"/>
        </w:rPr>
        <w:t xml:space="preserve"> Hall of Fame. 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94" w:lineRule="exact"/>
        <w:rPr>
          <w:sz w:val="20"/>
          <w:szCs w:val="20"/>
          <w:color w:val="auto"/>
        </w:rPr>
      </w:pPr>
    </w:p>
    <w:p>
      <w:pPr>
        <w:ind w:left="240" w:firstLine="615"/>
        <w:spacing w:after="0" w:line="286" w:lineRule="auto"/>
        <w:rPr>
          <w:sz w:val="20"/>
          <w:szCs w:val="20"/>
          <w:color w:val="auto"/>
        </w:rPr>
      </w:pPr>
      <w:r>
        <w:rPr>
          <w:rFonts w:ascii="Arial" w:cs="Arial" w:eastAsia="Arial" w:hAnsi="Arial"/>
          <w:sz w:val="16"/>
          <w:szCs w:val="16"/>
          <w:i w:val="1"/>
          <w:iCs w:val="1"/>
          <w:color w:val="auto"/>
        </w:rPr>
        <w:t xml:space="preserve">Gaylord Texan Resort and Convention Center—Grapevine, Texas. </w:t>
      </w:r>
      <w:r>
        <w:rPr>
          <w:rFonts w:ascii="Arial" w:cs="Arial" w:eastAsia="Arial" w:hAnsi="Arial"/>
          <w:sz w:val="16"/>
          <w:szCs w:val="16"/>
          <w:color w:val="auto"/>
        </w:rPr>
        <w:t>Gaylord Texan is situated on approximately 85 acres and is located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recently expanded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The Gaylord Texan is rated as a AAA Four-Diamond Hotel and is routinely recognized by many industry and commercial publications, including being awarded a 2019 STELLA Award Gold Winner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Successful Meetings </w:t>
      </w:r>
      <w:r>
        <w:rPr>
          <w:rFonts w:ascii="Arial" w:cs="Arial" w:eastAsia="Arial" w:hAnsi="Arial"/>
          <w:sz w:val="16"/>
          <w:szCs w:val="16"/>
          <w:color w:val="auto"/>
        </w:rPr>
        <w:t>magazines, a 2019 Award of Excellence Recipient from</w:t>
      </w:r>
      <w:r>
        <w:rPr>
          <w:rFonts w:ascii="Arial" w:cs="Arial" w:eastAsia="Arial" w:hAnsi="Arial"/>
          <w:sz w:val="16"/>
          <w:szCs w:val="16"/>
          <w:i w:val="1"/>
          <w:iCs w:val="1"/>
          <w:color w:val="auto"/>
        </w:rPr>
        <w:t xml:space="preserve"> Corporate &amp; Incentive Travel </w:t>
      </w:r>
      <w:r>
        <w:rPr>
          <w:rFonts w:ascii="Arial" w:cs="Arial" w:eastAsia="Arial" w:hAnsi="Arial"/>
          <w:sz w:val="16"/>
          <w:szCs w:val="16"/>
          <w:color w:val="auto"/>
        </w:rPr>
        <w:t>magazine, and 2018 Best of the South Award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In 2018, we completed construction of a $110 million expansion of Gaylord Texan that included an additional 303 guest rooms and 88,000 square feet of meeting space.</w:t>
      </w:r>
    </w:p>
    <w:p>
      <w:pPr>
        <w:spacing w:after="0" w:line="181" w:lineRule="exact"/>
        <w:rPr>
          <w:sz w:val="20"/>
          <w:szCs w:val="20"/>
          <w:color w:val="auto"/>
        </w:rPr>
      </w:pPr>
    </w:p>
    <w:p>
      <w:pPr>
        <w:ind w:left="240" w:right="40" w:firstLine="615"/>
        <w:spacing w:after="0" w:line="288" w:lineRule="auto"/>
        <w:rPr>
          <w:sz w:val="20"/>
          <w:szCs w:val="20"/>
          <w:color w:val="auto"/>
        </w:rPr>
      </w:pPr>
      <w:r>
        <w:rPr>
          <w:rFonts w:ascii="Arial" w:cs="Arial" w:eastAsia="Arial" w:hAnsi="Arial"/>
          <w:sz w:val="16"/>
          <w:szCs w:val="16"/>
          <w:i w:val="1"/>
          <w:iCs w:val="1"/>
          <w:color w:val="auto"/>
        </w:rPr>
        <w:t xml:space="preserve">Gaylord National Resort and Convention Center—National Harbor, Maryland. </w:t>
      </w:r>
      <w:r>
        <w:rPr>
          <w:rFonts w:ascii="Arial" w:cs="Arial" w:eastAsia="Arial" w:hAnsi="Arial"/>
          <w:sz w:val="16"/>
          <w:szCs w:val="16"/>
          <w:color w:val="auto"/>
        </w:rPr>
        <w:t>Gaylord National is situated on approximately 42 acres of land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500,000 square feet. The hotel complex includes an 18-story glass atrium, a 20,000 square foot spa and fitness center, a freestanding 24,000-square foot ballroom building offering 16,000 square feet of meeting space on the banks of the Potomac River that opened in May 2017, and entertainment options such as restaurants, shops, and a two-story rooftop nightclub. The Gaylord National is rated as a AAA Four-Diamond Hotel and is routinely recognized by many industry and commercial publications, including being awarded a 2019 STELLA Award Gold Winner by Northstar Meetings Group and </w:t>
      </w:r>
      <w:r>
        <w:rPr>
          <w:rFonts w:ascii="Arial" w:cs="Arial" w:eastAsia="Arial" w:hAnsi="Arial"/>
          <w:sz w:val="16"/>
          <w:szCs w:val="16"/>
          <w:i w:val="1"/>
          <w:iCs w:val="1"/>
          <w:color w:val="auto"/>
        </w:rPr>
        <w:t>Meetings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Conventions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Successful Meetings </w:t>
      </w:r>
      <w:r>
        <w:rPr>
          <w:rFonts w:ascii="Arial" w:cs="Arial" w:eastAsia="Arial" w:hAnsi="Arial"/>
          <w:sz w:val="16"/>
          <w:szCs w:val="16"/>
          <w:color w:val="auto"/>
        </w:rPr>
        <w:t>magazines, a 2019 Award of Excellence Recipient from</w:t>
      </w:r>
      <w:r>
        <w:rPr>
          <w:rFonts w:ascii="Arial" w:cs="Arial" w:eastAsia="Arial" w:hAnsi="Arial"/>
          <w:sz w:val="16"/>
          <w:szCs w:val="16"/>
          <w:i w:val="1"/>
          <w:iCs w:val="1"/>
          <w:color w:val="auto"/>
        </w:rPr>
        <w:t xml:space="preserve"> Corporate &amp; Incentive Travel </w:t>
      </w:r>
      <w:r>
        <w:rPr>
          <w:rFonts w:ascii="Arial" w:cs="Arial" w:eastAsia="Arial" w:hAnsi="Arial"/>
          <w:sz w:val="16"/>
          <w:szCs w:val="16"/>
          <w:color w:val="auto"/>
        </w:rPr>
        <w:t>magazine, and 2018 Best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East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w:t>
      </w:r>
    </w:p>
    <w:p>
      <w:pPr>
        <w:spacing w:after="0" w:line="174" w:lineRule="exact"/>
        <w:rPr>
          <w:sz w:val="20"/>
          <w:szCs w:val="20"/>
          <w:color w:val="auto"/>
        </w:rPr>
      </w:pPr>
    </w:p>
    <w:p>
      <w:pPr>
        <w:ind w:left="240" w:firstLine="615"/>
        <w:spacing w:after="0" w:line="287" w:lineRule="auto"/>
        <w:rPr>
          <w:sz w:val="20"/>
          <w:szCs w:val="20"/>
          <w:color w:val="auto"/>
        </w:rPr>
      </w:pPr>
      <w:r>
        <w:rPr>
          <w:rFonts w:ascii="Arial" w:cs="Arial" w:eastAsia="Arial" w:hAnsi="Arial"/>
          <w:sz w:val="16"/>
          <w:szCs w:val="16"/>
          <w:i w:val="1"/>
          <w:iCs w:val="1"/>
          <w:color w:val="auto"/>
        </w:rPr>
        <w:t xml:space="preserve">Gaylord Rockies Resort and Convention Center—Aurora, Colorado. </w:t>
      </w:r>
      <w:r>
        <w:rPr>
          <w:rFonts w:ascii="Arial" w:cs="Arial" w:eastAsia="Arial" w:hAnsi="Arial"/>
          <w:sz w:val="16"/>
          <w:szCs w:val="16"/>
          <w:color w:val="auto"/>
        </w:rPr>
        <w:t>As further discussed in "Note 4—Investment in Gaylord Rockies Joint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Venture" to our consolidated financial statements included in our 2018 Form 10-K, we owned a 61.2% interest in the Gaylord Rockies joint venture (which subsequently increased to 62.1% on July 31, 2019), and we are the managing member of the Gaylord Rockies joint venture. Gaylord Rockies is situated on approximately 85 acres and is located approximately 10 minutes from Denver International Airport. The hotel features a lavish and expansive atrium, 1,501 signature guest rooms, including 114 suites, four ballrooms with approximately 60,000 square feet,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Like our Gaylord Hotels properties, the day-to-day operations of Gaylord Rockies are managed by Marriott. Gaylord Rockies was awarded a 2019 STELLA Award Silver Winner for best conference center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20" w:firstLine="615"/>
        <w:spacing w:after="0" w:line="268" w:lineRule="auto"/>
        <w:rPr>
          <w:sz w:val="20"/>
          <w:szCs w:val="20"/>
          <w:color w:val="auto"/>
        </w:rPr>
      </w:pPr>
      <w:r>
        <w:rPr>
          <w:rFonts w:ascii="Arial" w:cs="Arial" w:eastAsia="Arial" w:hAnsi="Arial"/>
          <w:sz w:val="18"/>
          <w:szCs w:val="18"/>
          <w:i w:val="1"/>
          <w:iCs w:val="1"/>
          <w:color w:val="auto"/>
        </w:rPr>
        <w:t xml:space="preserve">Inn at Opryland. </w:t>
      </w:r>
      <w:r>
        <w:rPr>
          <w:rFonts w:ascii="Arial" w:cs="Arial" w:eastAsia="Arial" w:hAnsi="Arial"/>
          <w:sz w:val="18"/>
          <w:szCs w:val="18"/>
          <w:color w:val="auto"/>
        </w:rPr>
        <w:t>We also own the Inn at Opryland, which is located across the street from Gaylord Opryland. The hotel has 303 rooms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14,000 square feet of meeting space.</w:t>
      </w:r>
    </w:p>
    <w:p>
      <w:pPr>
        <w:spacing w:after="0" w:line="186" w:lineRule="exact"/>
        <w:rPr>
          <w:sz w:val="20"/>
          <w:szCs w:val="20"/>
          <w:color w:val="auto"/>
        </w:rPr>
      </w:pPr>
    </w:p>
    <w:p>
      <w:pPr>
        <w:ind w:left="240" w:right="80" w:firstLine="611"/>
        <w:spacing w:after="0" w:line="268" w:lineRule="auto"/>
        <w:rPr>
          <w:sz w:val="20"/>
          <w:szCs w:val="20"/>
          <w:color w:val="auto"/>
        </w:rPr>
      </w:pPr>
      <w:r>
        <w:rPr>
          <w:rFonts w:ascii="Arial" w:cs="Arial" w:eastAsia="Arial" w:hAnsi="Arial"/>
          <w:sz w:val="18"/>
          <w:szCs w:val="18"/>
          <w:i w:val="1"/>
          <w:iCs w:val="1"/>
          <w:color w:val="auto"/>
        </w:rPr>
        <w:t xml:space="preserve">AC Hotel. </w:t>
      </w:r>
      <w:r>
        <w:rPr>
          <w:rFonts w:ascii="Arial" w:cs="Arial" w:eastAsia="Arial" w:hAnsi="Arial"/>
          <w:sz w:val="18"/>
          <w:szCs w:val="18"/>
          <w:color w:val="auto"/>
        </w:rPr>
        <w:t>We also own the AC Hotel, which is located near Gaylord National. The hotel has 192 rooms and approximately 3,700 square feet of</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space.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Entertainment Portfolio</w:t>
      </w:r>
    </w:p>
    <w:p>
      <w:pPr>
        <w:spacing w:after="0" w:line="231" w:lineRule="exact"/>
        <w:rPr>
          <w:sz w:val="20"/>
          <w:szCs w:val="20"/>
          <w:color w:val="auto"/>
        </w:rPr>
      </w:pPr>
    </w:p>
    <w:p>
      <w:pPr>
        <w:ind w:left="240" w:right="40" w:firstLine="615"/>
        <w:spacing w:after="0" w:line="287" w:lineRule="auto"/>
        <w:rPr>
          <w:sz w:val="20"/>
          <w:szCs w:val="20"/>
          <w:color w:val="auto"/>
        </w:rPr>
      </w:pPr>
      <w:r>
        <w:rPr>
          <w:rFonts w:ascii="Arial" w:cs="Arial" w:eastAsia="Arial" w:hAnsi="Arial"/>
          <w:sz w:val="16"/>
          <w:szCs w:val="16"/>
          <w:i w:val="1"/>
          <w:iCs w:val="1"/>
          <w:color w:val="auto"/>
        </w:rPr>
        <w:t xml:space="preserve">The Grand Ole Opry. </w:t>
      </w:r>
      <w:r>
        <w:rPr>
          <w:rFonts w:ascii="Arial" w:cs="Arial" w:eastAsia="Arial" w:hAnsi="Arial"/>
          <w:sz w:val="16"/>
          <w:szCs w:val="16"/>
          <w:color w:val="auto"/>
        </w:rPr>
        <w:t>The Grand Ole Opry, which celebrated its 94th anniversary in 2019, is one of the most widely known platforms for</w:t>
      </w:r>
      <w:r>
        <w:rPr>
          <w:rFonts w:ascii="Arial" w:cs="Arial" w:eastAsia="Arial" w:hAnsi="Arial"/>
          <w:sz w:val="16"/>
          <w:szCs w:val="16"/>
          <w:i w:val="1"/>
          <w:iCs w:val="1"/>
          <w:color w:val="auto"/>
        </w:rPr>
        <w:t xml:space="preserve"> </w:t>
      </w:r>
      <w:r>
        <w:rPr>
          <w:rFonts w:ascii="Arial" w:cs="Arial" w:eastAsia="Arial" w:hAnsi="Arial"/>
          <w:sz w:val="16"/>
          <w:szCs w:val="16"/>
          <w:color w:val="auto"/>
        </w:rPr>
        <w:t>country music in the world. The Opry features a live country music show with performances every Friday and Saturday night, as well as additional weekly performances on a seasonal basis. The Grand Ole Opry House, home of the Grand Ole Opry, seats approximately 4,400, is located in the Opryland complex, and was named the Venue of the Year by the Academy of Country Music in 2014.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We recently completed construction of an approximately $20 million expansion to the Grand Ole Opry House, which includes a larger retail space, additional food and beverage options, a redesigned box office, VIP lounge area with a backstage tour theater, and additional parking.</w:t>
      </w:r>
    </w:p>
    <w:p>
      <w:pPr>
        <w:spacing w:after="0" w:line="177" w:lineRule="exact"/>
        <w:rPr>
          <w:sz w:val="20"/>
          <w:szCs w:val="20"/>
          <w:color w:val="auto"/>
        </w:rPr>
      </w:pPr>
    </w:p>
    <w:p>
      <w:pPr>
        <w:ind w:left="240" w:firstLine="615"/>
        <w:spacing w:after="0" w:line="291" w:lineRule="auto"/>
        <w:rPr>
          <w:sz w:val="20"/>
          <w:szCs w:val="20"/>
          <w:color w:val="auto"/>
        </w:rPr>
      </w:pPr>
      <w:r>
        <w:rPr>
          <w:rFonts w:ascii="Arial" w:cs="Arial" w:eastAsia="Arial" w:hAnsi="Arial"/>
          <w:sz w:val="16"/>
          <w:szCs w:val="16"/>
          <w:i w:val="1"/>
          <w:iCs w:val="1"/>
          <w:color w:val="auto"/>
        </w:rPr>
        <w:t xml:space="preserve">Ryman Auditorium. </w:t>
      </w:r>
      <w:r>
        <w:rPr>
          <w:rFonts w:ascii="Arial" w:cs="Arial" w:eastAsia="Arial" w:hAnsi="Arial"/>
          <w:sz w:val="16"/>
          <w:szCs w:val="16"/>
          <w:color w:val="auto"/>
        </w:rPr>
        <w:t>The Ryman Auditorium, which was built in 1892 and seats approximately 2,300, is designated as a National Historic</w:t>
      </w:r>
      <w:r>
        <w:rPr>
          <w:rFonts w:ascii="Arial" w:cs="Arial" w:eastAsia="Arial" w:hAnsi="Arial"/>
          <w:sz w:val="16"/>
          <w:szCs w:val="16"/>
          <w:i w:val="1"/>
          <w:iCs w:val="1"/>
          <w:color w:val="auto"/>
        </w:rPr>
        <w:t xml:space="preserve"> </w:t>
      </w:r>
      <w:r>
        <w:rPr>
          <w:rFonts w:ascii="Arial" w:cs="Arial" w:eastAsia="Arial" w:hAnsi="Arial"/>
          <w:sz w:val="16"/>
          <w:szCs w:val="16"/>
          <w:color w:val="auto"/>
        </w:rPr>
        <w:t>Landmark. The former home of the Grand Ole Opry, the Ryman Auditorium was renovated and re-opened in 1994 for concerts and musical productions. In June 2015, the Ryman completed a $14 million expansion, including updated museum exhibits, a new museum theatre and a new café. The Grand Ole Opry returns to the Ryman Auditorium periodically, most recently from November 2018 to January 2019. The Ryman Auditorium has been nominated for "Theatre of the Year" by Pollstar Concert Industry Awards every year since 2003, winning the award every year since 2010, and was named the Venue of the Year by the Academy of Country Music in 2009, 2011, 2013, 2015 and 2017.</w:t>
      </w:r>
    </w:p>
    <w:p>
      <w:pPr>
        <w:spacing w:after="0" w:line="174" w:lineRule="exact"/>
        <w:rPr>
          <w:sz w:val="20"/>
          <w:szCs w:val="20"/>
          <w:color w:val="auto"/>
        </w:rPr>
      </w:pPr>
    </w:p>
    <w:p>
      <w:pPr>
        <w:ind w:left="240" w:firstLine="615"/>
        <w:spacing w:after="0" w:line="294" w:lineRule="auto"/>
        <w:rPr>
          <w:sz w:val="20"/>
          <w:szCs w:val="20"/>
          <w:color w:val="auto"/>
        </w:rPr>
      </w:pPr>
      <w:r>
        <w:rPr>
          <w:rFonts w:ascii="Arial" w:cs="Arial" w:eastAsia="Arial" w:hAnsi="Arial"/>
          <w:sz w:val="16"/>
          <w:szCs w:val="16"/>
          <w:i w:val="1"/>
          <w:iCs w:val="1"/>
          <w:color w:val="auto"/>
        </w:rPr>
        <w:t xml:space="preserve">WSM-AM. </w:t>
      </w:r>
      <w:r>
        <w:rPr>
          <w:rFonts w:ascii="Arial" w:cs="Arial" w:eastAsia="Arial" w:hAnsi="Arial"/>
          <w:sz w:val="16"/>
          <w:szCs w:val="16"/>
          <w:color w:val="auto"/>
        </w:rPr>
        <w:t>WSM-AM commenced broadcasting in 1925. The involvement of Ryman's predecessors with country music dates back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70" w:lineRule="exact"/>
        <w:rPr>
          <w:sz w:val="20"/>
          <w:szCs w:val="20"/>
          <w:color w:val="auto"/>
        </w:rPr>
      </w:pPr>
    </w:p>
    <w:p>
      <w:pPr>
        <w:ind w:left="240" w:right="40" w:firstLine="615"/>
        <w:spacing w:after="0" w:line="256" w:lineRule="auto"/>
        <w:rPr>
          <w:sz w:val="20"/>
          <w:szCs w:val="20"/>
          <w:color w:val="auto"/>
        </w:rPr>
      </w:pPr>
      <w:r>
        <w:rPr>
          <w:rFonts w:ascii="Arial" w:cs="Arial" w:eastAsia="Arial" w:hAnsi="Arial"/>
          <w:sz w:val="18"/>
          <w:szCs w:val="18"/>
          <w:i w:val="1"/>
          <w:iCs w:val="1"/>
          <w:color w:val="auto"/>
        </w:rPr>
        <w:t xml:space="preserve">Ole Red. </w:t>
      </w:r>
      <w:r>
        <w:rPr>
          <w:rFonts w:ascii="Arial" w:cs="Arial" w:eastAsia="Arial" w:hAnsi="Arial"/>
          <w:sz w:val="18"/>
          <w:szCs w:val="18"/>
          <w:color w:val="auto"/>
        </w:rPr>
        <w:t>In May 2018, we opened our flagship Ole Red location, a multi-level entertainment venue in downtown Nashville. The 26,000-square</w:t>
      </w:r>
      <w:r>
        <w:rPr>
          <w:rFonts w:ascii="Arial" w:cs="Arial" w:eastAsia="Arial" w:hAnsi="Arial"/>
          <w:sz w:val="18"/>
          <w:szCs w:val="18"/>
          <w:i w:val="1"/>
          <w:iCs w:val="1"/>
          <w:color w:val="auto"/>
        </w:rPr>
        <w:t xml:space="preserve"> </w:t>
      </w:r>
      <w:r>
        <w:rPr>
          <w:rFonts w:ascii="Arial" w:cs="Arial" w:eastAsia="Arial" w:hAnsi="Arial"/>
          <w:sz w:val="18"/>
          <w:szCs w:val="18"/>
          <w:color w:val="auto"/>
        </w:rPr>
        <w:t>foot venue features a two-story bar and restaurant, performance space, private event space and a 6,000-square foot rooftop restaurant and bar. We own additional Ole Red locations in Tishomingo, Oklahoma, and Gatlinburg, Tennessee and are developing a location in Orlando, Florida, which is expected to open in spring 2020.</w:t>
      </w:r>
    </w:p>
    <w:p>
      <w:pPr>
        <w:spacing w:after="0" w:line="197" w:lineRule="exact"/>
        <w:rPr>
          <w:sz w:val="20"/>
          <w:szCs w:val="20"/>
          <w:color w:val="auto"/>
        </w:rPr>
      </w:pPr>
    </w:p>
    <w:p>
      <w:pPr>
        <w:ind w:left="240" w:right="100" w:firstLine="615"/>
        <w:spacing w:after="0" w:line="298" w:lineRule="auto"/>
        <w:rPr>
          <w:sz w:val="20"/>
          <w:szCs w:val="20"/>
          <w:color w:val="auto"/>
        </w:rPr>
      </w:pPr>
      <w:r>
        <w:rPr>
          <w:rFonts w:ascii="Arial" w:cs="Arial" w:eastAsia="Arial" w:hAnsi="Arial"/>
          <w:sz w:val="16"/>
          <w:szCs w:val="16"/>
          <w:i w:val="1"/>
          <w:iCs w:val="1"/>
          <w:color w:val="auto"/>
        </w:rPr>
        <w:t xml:space="preserve">The General Jackson Showboat. </w:t>
      </w:r>
      <w:r>
        <w:rPr>
          <w:rFonts w:ascii="Arial" w:cs="Arial" w:eastAsia="Arial" w:hAnsi="Arial"/>
          <w:sz w:val="16"/>
          <w:szCs w:val="16"/>
          <w:color w:val="auto"/>
        </w:rPr>
        <w:t>We own the General Jackson Showboat, a 300-foot, four-deck paddle wheel showboat on the Cumberland</w:t>
      </w:r>
      <w:r>
        <w:rPr>
          <w:rFonts w:ascii="Arial" w:cs="Arial" w:eastAsia="Arial" w:hAnsi="Arial"/>
          <w:sz w:val="16"/>
          <w:szCs w:val="16"/>
          <w:i w:val="1"/>
          <w:iCs w:val="1"/>
          <w:color w:val="auto"/>
        </w:rPr>
        <w:t xml:space="preserve"> </w:t>
      </w:r>
      <w:r>
        <w:rPr>
          <w:rFonts w:ascii="Arial" w:cs="Arial" w:eastAsia="Arial" w:hAnsi="Arial"/>
          <w:sz w:val="16"/>
          <w:szCs w:val="16"/>
          <w:color w:val="auto"/>
        </w:rPr>
        <w:t>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5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50430" cy="665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Opryland complex and the Nashville area. Marriott manages the day-to-day operations of the General Jackson.</w:t>
      </w:r>
    </w:p>
    <w:p>
      <w:pPr>
        <w:spacing w:after="0" w:line="225" w:lineRule="exact"/>
        <w:rPr>
          <w:sz w:val="20"/>
          <w:szCs w:val="20"/>
          <w:color w:val="auto"/>
        </w:rPr>
      </w:pPr>
    </w:p>
    <w:p>
      <w:pPr>
        <w:ind w:left="240" w:right="60" w:firstLine="615"/>
        <w:spacing w:after="0" w:line="259" w:lineRule="auto"/>
        <w:rPr>
          <w:sz w:val="20"/>
          <w:szCs w:val="20"/>
          <w:color w:val="auto"/>
        </w:rPr>
      </w:pPr>
      <w:r>
        <w:rPr>
          <w:rFonts w:ascii="Arial" w:cs="Arial" w:eastAsia="Arial" w:hAnsi="Arial"/>
          <w:sz w:val="18"/>
          <w:szCs w:val="18"/>
          <w:i w:val="1"/>
          <w:iCs w:val="1"/>
          <w:color w:val="auto"/>
        </w:rPr>
        <w:t xml:space="preserve">Gaylord Springs. </w:t>
      </w:r>
      <w:r>
        <w:rPr>
          <w:rFonts w:ascii="Arial" w:cs="Arial" w:eastAsia="Arial" w:hAnsi="Arial"/>
          <w:sz w:val="18"/>
          <w:szCs w:val="18"/>
          <w:color w:val="auto"/>
        </w:rPr>
        <w:t>Minutes from Gaylord Opryland, Gaylord Springs (our 18-hole championship golf course) was designed by former U.S. Open</w:t>
      </w:r>
      <w:r>
        <w:rPr>
          <w:rFonts w:ascii="Arial" w:cs="Arial" w:eastAsia="Arial" w:hAnsi="Arial"/>
          <w:sz w:val="18"/>
          <w:szCs w:val="18"/>
          <w:i w:val="1"/>
          <w:iCs w:val="1"/>
          <w:color w:val="auto"/>
        </w:rPr>
        <w:t xml:space="preserve"> </w:t>
      </w:r>
      <w:r>
        <w:rPr>
          <w:rFonts w:ascii="Arial" w:cs="Arial" w:eastAsia="Arial" w:hAnsi="Arial"/>
          <w:sz w:val="18"/>
          <w:szCs w:val="18"/>
          <w:color w:val="auto"/>
        </w:rPr>
        <w:t>and PGA Champion Larry Nelson. The 40,000 square-foot antebellum-style clubhouse offers meeting space for up to 500 guests. Marriott manages the day-to-day operations of Gaylord Springs.</w:t>
      </w:r>
    </w:p>
    <w:p>
      <w:pPr>
        <w:spacing w:after="0" w:line="194" w:lineRule="exact"/>
        <w:rPr>
          <w:sz w:val="20"/>
          <w:szCs w:val="20"/>
          <w:color w:val="auto"/>
        </w:rPr>
      </w:pPr>
    </w:p>
    <w:p>
      <w:pPr>
        <w:ind w:left="240" w:firstLine="615"/>
        <w:spacing w:after="0" w:line="306" w:lineRule="auto"/>
        <w:rPr>
          <w:sz w:val="20"/>
          <w:szCs w:val="20"/>
          <w:color w:val="auto"/>
        </w:rPr>
      </w:pPr>
      <w:r>
        <w:rPr>
          <w:rFonts w:ascii="Arial" w:cs="Arial" w:eastAsia="Arial" w:hAnsi="Arial"/>
          <w:sz w:val="16"/>
          <w:szCs w:val="16"/>
          <w:i w:val="1"/>
          <w:iCs w:val="1"/>
          <w:color w:val="auto"/>
        </w:rPr>
        <w:t xml:space="preserve">The Wildhorse Saloon. </w:t>
      </w:r>
      <w:r>
        <w:rPr>
          <w:rFonts w:ascii="Arial" w:cs="Arial" w:eastAsia="Arial" w:hAnsi="Arial"/>
          <w:sz w:val="16"/>
          <w:szCs w:val="16"/>
          <w:color w:val="auto"/>
        </w:rPr>
        <w:t>Since 1994, we have owned the Wildhorse Saloon, a country music performance venue on historic Second Avenue in</w:t>
      </w:r>
      <w:r>
        <w:rPr>
          <w:rFonts w:ascii="Arial" w:cs="Arial" w:eastAsia="Arial" w:hAnsi="Arial"/>
          <w:sz w:val="16"/>
          <w:szCs w:val="16"/>
          <w:i w:val="1"/>
          <w:iCs w:val="1"/>
          <w:color w:val="auto"/>
        </w:rPr>
        <w:t xml:space="preserve"> </w:t>
      </w:r>
      <w:r>
        <w:rPr>
          <w:rFonts w:ascii="Arial" w:cs="Arial" w:eastAsia="Arial" w:hAnsi="Arial"/>
          <w:sz w:val="16"/>
          <w:szCs w:val="16"/>
          <w:color w:val="auto"/>
        </w:rPr>
        <w:t>downtown Nashville. The three-story facility includes a dance floor of approximately 2,000 square feet, as well as a restaurant and banquet facility that can accommodate up to 2,000 guests. Marriott manages the day-to-day operations of the Wildhorse Saloon.</w:t>
      </w: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and Other Segment</w:t>
      </w:r>
    </w:p>
    <w:p>
      <w:pPr>
        <w:spacing w:after="0" w:line="231" w:lineRule="exact"/>
        <w:rPr>
          <w:sz w:val="20"/>
          <w:szCs w:val="20"/>
          <w:color w:val="auto"/>
        </w:rPr>
      </w:pPr>
    </w:p>
    <w:p>
      <w:pPr>
        <w:ind w:left="240" w:right="80" w:firstLine="615"/>
        <w:spacing w:after="0" w:line="259" w:lineRule="auto"/>
        <w:rPr>
          <w:sz w:val="20"/>
          <w:szCs w:val="20"/>
          <w:color w:val="auto"/>
        </w:rPr>
      </w:pPr>
      <w:r>
        <w:rPr>
          <w:rFonts w:ascii="Arial" w:cs="Arial" w:eastAsia="Arial" w:hAnsi="Arial"/>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Acquisition of Block 21 Development in Austin, Texas</w:t>
      </w:r>
    </w:p>
    <w:p>
      <w:pPr>
        <w:spacing w:after="0" w:line="231" w:lineRule="exact"/>
        <w:rPr>
          <w:sz w:val="20"/>
          <w:szCs w:val="20"/>
          <w:color w:val="auto"/>
        </w:rPr>
      </w:pPr>
    </w:p>
    <w:p>
      <w:pPr>
        <w:ind w:left="240" w:right="120" w:firstLine="615"/>
        <w:spacing w:after="0" w:line="298" w:lineRule="auto"/>
        <w:rPr>
          <w:sz w:val="20"/>
          <w:szCs w:val="20"/>
          <w:color w:val="auto"/>
        </w:rPr>
      </w:pPr>
      <w:r>
        <w:rPr>
          <w:rFonts w:ascii="Arial" w:cs="Arial" w:eastAsia="Arial" w:hAnsi="Arial"/>
          <w:sz w:val="16"/>
          <w:szCs w:val="16"/>
          <w:color w:val="auto"/>
        </w:rPr>
        <w:t>On December 9, 2019, we entered into an agreement to acquire the Block 21 development located in downtown Austin, Texas, from Stratus Properties Inc., or Seller, for an aggregate purchase price of approximately $275 million, which includes the assumption of Seller's mortgage loan on the Block 21 development in the amount of approximately $141 million, or the Mortgage Loan, and cash consideration of approximately $134 million, or the cash purchase price, collectively, the Block 21 Acquisition. The Block 21 Acquisition includes:</w:t>
      </w:r>
    </w:p>
    <w:p>
      <w:pPr>
        <w:spacing w:after="0" w:line="194" w:lineRule="exact"/>
        <w:rPr>
          <w:sz w:val="20"/>
          <w:szCs w:val="20"/>
          <w:color w:val="auto"/>
        </w:rPr>
      </w:pPr>
    </w:p>
    <w:p>
      <w:pPr>
        <w:ind w:left="1320" w:right="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 Austin Hotel, a 251 guestroom hotel that includes 32 suites, two food and beverage outlets, approximately 10,500 square feet of meeting space across seven event spaces, and a full service spa.</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ACL Live at the Moody Theater, a 2,750 seat, three-story, live music venue, and the home of the taping of Austin City Limits.</w:t>
      </w:r>
    </w:p>
    <w:p>
      <w:pPr>
        <w:spacing w:after="0" w:line="261" w:lineRule="exact"/>
        <w:rPr>
          <w:rFonts w:ascii="Arial" w:cs="Arial" w:eastAsia="Arial" w:hAnsi="Arial"/>
          <w:sz w:val="16"/>
          <w:szCs w:val="16"/>
          <w:color w:val="auto"/>
        </w:rPr>
      </w:pPr>
    </w:p>
    <w:p>
      <w:pPr>
        <w:ind w:left="1320" w:right="48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3TEN ACL Live, a 350 seat, approximately 4,500 square foot, showcase room, presenting smaller, more intimate performances from established, emerging and local artists, as well as offering custom private event experiences.</w:t>
      </w:r>
    </w:p>
    <w:p>
      <w:pPr>
        <w:spacing w:after="0" w:line="212" w:lineRule="exact"/>
        <w:rPr>
          <w:rFonts w:ascii="Arial" w:cs="Arial" w:eastAsia="Arial" w:hAnsi="Arial"/>
          <w:sz w:val="18"/>
          <w:szCs w:val="18"/>
          <w:color w:val="auto"/>
        </w:rPr>
      </w:pPr>
    </w:p>
    <w:p>
      <w:pPr>
        <w:ind w:left="1320" w:right="16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Approximately 53,100 square feet of other Class A commercial space consisting of approximately 39,300 square feet of triple net Class A office space and approximately 13,800 square feet of triple net Class A retail space in Austin's Central Business District.</w:t>
      </w:r>
    </w:p>
    <w:p>
      <w:pPr>
        <w:spacing w:after="0" w:line="139" w:lineRule="exact"/>
        <w:rPr>
          <w:sz w:val="20"/>
          <w:szCs w:val="20"/>
          <w:color w:val="auto"/>
        </w:rPr>
      </w:pPr>
    </w:p>
    <w:p>
      <w:pPr>
        <w:ind w:left="240" w:right="80"/>
        <w:spacing w:after="0" w:line="291" w:lineRule="auto"/>
        <w:rPr>
          <w:sz w:val="20"/>
          <w:szCs w:val="20"/>
          <w:color w:val="auto"/>
        </w:rPr>
      </w:pPr>
      <w:r>
        <w:rPr>
          <w:rFonts w:ascii="Arial" w:cs="Arial" w:eastAsia="Arial" w:hAnsi="Arial"/>
          <w:sz w:val="16"/>
          <w:szCs w:val="16"/>
          <w:color w:val="auto"/>
        </w:rPr>
        <w:t>We currently anticipate that the Block 21 Acquisition will close during the first quarter of 2020, subject to the satisfaction of certain customary closing conditions, including, but not limited to, consent to our assumption of the Mortgage Loan by the loan servicer and the consent of the property manager, an affiliate of Marriott, to the assignment and our assumption of the existing management agreement. The Company currently believes that both of the conditions described above will be satisfied. There can be no assurance that the Block 21 Acquisition will close, or if it does, when the closing will occur. The Block 21 Acquisition is not dependent on this offering, and we expect to consummate this offering whether or not we proceed with the Block 21 Acquisition. We currently anticipate using a portion of the net proceeds from this offering to fund the cash purchase price for the Block 21 Acquisition.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225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5043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left="240" w:firstLine="611"/>
        <w:spacing w:after="0" w:line="259" w:lineRule="auto"/>
        <w:rPr>
          <w:sz w:val="20"/>
          <w:szCs w:val="20"/>
          <w:color w:val="auto"/>
        </w:rPr>
      </w:pPr>
      <w:r>
        <w:rPr>
          <w:rFonts w:ascii="Arial" w:cs="Arial" w:eastAsia="Arial" w:hAnsi="Arial"/>
          <w:sz w:val="18"/>
          <w:szCs w:val="18"/>
          <w:color w:val="auto"/>
        </w:rPr>
        <w:t>We intend to pay our fourth quarter 2019 cash dividend of $0.90 per share of common stock on January 15, 2020 to stockholders of record as of December 31, 2019. Any future dividend is subject to the Board of Directors' determinations as to the amount of quarterly distributions and the timing thereof.</w:t>
      </w: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Company Information</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Our principal executive offices are located at One Gaylord Drive, Nashville, Tennessee 37214, and our telephone number at these offices is</w:t>
      </w:r>
    </w:p>
    <w:p>
      <w:pPr>
        <w:spacing w:after="0" w:line="38" w:lineRule="exact"/>
        <w:rPr>
          <w:sz w:val="20"/>
          <w:szCs w:val="20"/>
          <w:color w:val="auto"/>
        </w:rPr>
      </w:pPr>
    </w:p>
    <w:p>
      <w:pPr>
        <w:ind w:left="240" w:right="80" w:firstLine="2"/>
        <w:spacing w:after="0" w:line="261"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316-6000. Our website is www.rymanhp.com. Please note that our website is provided as an inactive textual reference and the information on our website is not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61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00" w:type="dxa"/>
            <w:vAlign w:val="bottom"/>
          </w:tcPr>
          <w:p>
            <w:pPr>
              <w:ind w:left="220"/>
              <w:spacing w:after="0"/>
              <w:rPr>
                <w:sz w:val="20"/>
                <w:szCs w:val="20"/>
                <w:color w:val="auto"/>
              </w:rPr>
            </w:pPr>
            <w:r>
              <w:rPr>
                <w:rFonts w:ascii="Arial" w:cs="Arial" w:eastAsia="Arial" w:hAnsi="Arial"/>
                <w:sz w:val="18"/>
                <w:szCs w:val="18"/>
                <w:b w:val="1"/>
                <w:bCs w:val="1"/>
                <w:color w:val="auto"/>
              </w:rPr>
              <w:t>THE OFFERING</w:t>
            </w:r>
          </w:p>
        </w:tc>
        <w:tc>
          <w:tcPr>
            <w:tcW w:w="2440" w:type="dxa"/>
            <w:vAlign w:val="bottom"/>
          </w:tcPr>
          <w:p>
            <w:pPr>
              <w:spacing w:after="0"/>
              <w:rPr>
                <w:sz w:val="19"/>
                <w:szCs w:val="19"/>
                <w:color w:val="auto"/>
              </w:rPr>
            </w:pP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Ryman Hospitality Properties, Inc.</w:t>
            </w:r>
          </w:p>
        </w:tc>
        <w:tc>
          <w:tcPr>
            <w:tcW w:w="2440" w:type="dxa"/>
            <w:vAlign w:val="bottom"/>
          </w:tcPr>
          <w:p>
            <w:pPr>
              <w:spacing w:after="0"/>
              <w:rPr>
                <w:sz w:val="24"/>
                <w:szCs w:val="24"/>
                <w:color w:val="auto"/>
              </w:rPr>
            </w:pPr>
          </w:p>
        </w:tc>
      </w:tr>
      <w:tr>
        <w:trPr>
          <w:trHeight w:val="426"/>
        </w:trPr>
        <w:tc>
          <w:tcPr>
            <w:tcW w:w="286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5740" w:type="dxa"/>
            <w:vAlign w:val="bottom"/>
            <w:gridSpan w:val="3"/>
          </w:tcPr>
          <w:p>
            <w:pPr>
              <w:ind w:left="300"/>
              <w:spacing w:after="0"/>
              <w:rPr>
                <w:sz w:val="20"/>
                <w:szCs w:val="20"/>
                <w:color w:val="auto"/>
              </w:rPr>
            </w:pPr>
            <w:r>
              <w:rPr>
                <w:rFonts w:ascii="Arial" w:cs="Arial" w:eastAsia="Arial" w:hAnsi="Arial"/>
                <w:sz w:val="18"/>
                <w:szCs w:val="18"/>
                <w:color w:val="auto"/>
                <w:w w:val="87"/>
              </w:rPr>
              <w:t>3,000,000 shares, or 3,450,000 shares if the underwriters exercise in full their</w:t>
            </w:r>
          </w:p>
        </w:tc>
      </w:tr>
      <w:tr>
        <w:trPr>
          <w:trHeight w:val="222"/>
        </w:trPr>
        <w:tc>
          <w:tcPr>
            <w:tcW w:w="286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option to purchase additional shares.</w:t>
            </w:r>
          </w:p>
        </w:tc>
        <w:tc>
          <w:tcPr>
            <w:tcW w:w="2440" w:type="dxa"/>
            <w:vAlign w:val="bottom"/>
          </w:tcPr>
          <w:p>
            <w:pPr>
              <w:spacing w:after="0"/>
              <w:rPr>
                <w:sz w:val="19"/>
                <w:szCs w:val="19"/>
                <w:color w:val="auto"/>
              </w:rPr>
            </w:pPr>
          </w:p>
        </w:tc>
      </w:tr>
      <w:tr>
        <w:trPr>
          <w:trHeight w:val="420"/>
        </w:trPr>
        <w:tc>
          <w:tcPr>
            <w:tcW w:w="2860" w:type="dxa"/>
            <w:vAlign w:val="bottom"/>
          </w:tcPr>
          <w:p>
            <w:pPr>
              <w:spacing w:after="0"/>
              <w:rPr>
                <w:sz w:val="20"/>
                <w:szCs w:val="20"/>
                <w:color w:val="auto"/>
              </w:rPr>
            </w:pPr>
            <w:r>
              <w:rPr>
                <w:rFonts w:ascii="Arial" w:cs="Arial" w:eastAsia="Arial" w:hAnsi="Arial"/>
                <w:sz w:val="18"/>
                <w:szCs w:val="18"/>
                <w:b w:val="1"/>
                <w:bCs w:val="1"/>
                <w:color w:val="auto"/>
                <w:w w:val="97"/>
              </w:rPr>
              <w:t>Common Stock to be Outstanding</w:t>
            </w:r>
          </w:p>
        </w:tc>
        <w:tc>
          <w:tcPr>
            <w:tcW w:w="5740" w:type="dxa"/>
            <w:vAlign w:val="bottom"/>
            <w:gridSpan w:val="3"/>
          </w:tcPr>
          <w:p>
            <w:pPr>
              <w:ind w:left="300"/>
              <w:spacing w:after="0"/>
              <w:rPr>
                <w:sz w:val="20"/>
                <w:szCs w:val="20"/>
                <w:color w:val="auto"/>
              </w:rPr>
            </w:pPr>
            <w:r>
              <w:rPr>
                <w:rFonts w:ascii="Arial" w:cs="Arial" w:eastAsia="Arial" w:hAnsi="Arial"/>
                <w:sz w:val="18"/>
                <w:szCs w:val="18"/>
                <w:color w:val="auto"/>
                <w:w w:val="90"/>
              </w:rPr>
              <w:t>54,446,978 shares, or 54,896,978 shares if the underwriters exercise in full</w:t>
            </w:r>
          </w:p>
        </w:tc>
      </w:tr>
      <w:tr>
        <w:trPr>
          <w:trHeight w:val="228"/>
        </w:trPr>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After this Offering</w:t>
            </w: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w w:val="89"/>
              </w:rPr>
              <w:t>their option to purchase additional shares.</w:t>
            </w:r>
          </w:p>
        </w:tc>
        <w:tc>
          <w:tcPr>
            <w:tcW w:w="2440" w:type="dxa"/>
            <w:vAlign w:val="bottom"/>
          </w:tcPr>
          <w:p>
            <w:pPr>
              <w:spacing w:after="0"/>
              <w:rPr>
                <w:sz w:val="19"/>
                <w:szCs w:val="19"/>
                <w:color w:val="auto"/>
              </w:rPr>
            </w:pPr>
          </w:p>
        </w:tc>
      </w:tr>
      <w:tr>
        <w:trPr>
          <w:trHeight w:val="426"/>
        </w:trPr>
        <w:tc>
          <w:tcPr>
            <w:tcW w:w="28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740" w:type="dxa"/>
            <w:vAlign w:val="bottom"/>
            <w:gridSpan w:val="3"/>
          </w:tcPr>
          <w:p>
            <w:pPr>
              <w:ind w:left="300"/>
              <w:spacing w:after="0"/>
              <w:rPr>
                <w:sz w:val="20"/>
                <w:szCs w:val="20"/>
                <w:color w:val="auto"/>
              </w:rPr>
            </w:pPr>
            <w:r>
              <w:rPr>
                <w:rFonts w:ascii="Arial" w:cs="Arial" w:eastAsia="Arial" w:hAnsi="Arial"/>
                <w:sz w:val="18"/>
                <w:szCs w:val="18"/>
                <w:color w:val="auto"/>
                <w:w w:val="98"/>
              </w:rPr>
              <w:t>We expect that the net proceeds of this offering will be approximately</w:t>
            </w:r>
          </w:p>
        </w:tc>
      </w:tr>
      <w:tr>
        <w:trPr>
          <w:trHeight w:val="216"/>
        </w:trPr>
        <w:tc>
          <w:tcPr>
            <w:tcW w:w="286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2700" w:type="dxa"/>
            <w:vAlign w:val="bottom"/>
          </w:tcPr>
          <w:p>
            <w:pPr>
              <w:ind w:left="320"/>
              <w:spacing w:after="0"/>
              <w:rPr>
                <w:sz w:val="20"/>
                <w:szCs w:val="20"/>
                <w:color w:val="auto"/>
              </w:rPr>
            </w:pPr>
            <w:r>
              <w:rPr>
                <w:rFonts w:ascii="Arial" w:cs="Arial" w:eastAsia="Arial" w:hAnsi="Arial"/>
                <w:sz w:val="18"/>
                <w:szCs w:val="18"/>
                <w:color w:val="auto"/>
              </w:rPr>
              <w:t>million (or approximately $</w:t>
            </w:r>
          </w:p>
        </w:tc>
        <w:tc>
          <w:tcPr>
            <w:tcW w:w="2440" w:type="dxa"/>
            <w:vAlign w:val="bottom"/>
          </w:tcPr>
          <w:p>
            <w:pPr>
              <w:ind w:left="80"/>
              <w:spacing w:after="0"/>
              <w:rPr>
                <w:sz w:val="20"/>
                <w:szCs w:val="20"/>
                <w:color w:val="auto"/>
              </w:rPr>
            </w:pPr>
            <w:r>
              <w:rPr>
                <w:rFonts w:ascii="Arial" w:cs="Arial" w:eastAsia="Arial" w:hAnsi="Arial"/>
                <w:sz w:val="18"/>
                <w:szCs w:val="18"/>
                <w:color w:val="auto"/>
              </w:rPr>
              <w:t>million in the event the</w:t>
            </w:r>
          </w:p>
        </w:tc>
      </w:tr>
      <w:tr>
        <w:trPr>
          <w:trHeight w:val="222"/>
        </w:trPr>
        <w:tc>
          <w:tcPr>
            <w:tcW w:w="2860" w:type="dxa"/>
            <w:vAlign w:val="bottom"/>
          </w:tcPr>
          <w:p>
            <w:pPr>
              <w:spacing w:after="0"/>
              <w:rPr>
                <w:sz w:val="19"/>
                <w:szCs w:val="19"/>
                <w:color w:val="auto"/>
              </w:rPr>
            </w:pPr>
          </w:p>
        </w:tc>
        <w:tc>
          <w:tcPr>
            <w:tcW w:w="5740" w:type="dxa"/>
            <w:vAlign w:val="bottom"/>
            <w:gridSpan w:val="3"/>
          </w:tcPr>
          <w:p>
            <w:pPr>
              <w:ind w:left="300"/>
              <w:spacing w:after="0"/>
              <w:rPr>
                <w:sz w:val="20"/>
                <w:szCs w:val="20"/>
                <w:color w:val="auto"/>
              </w:rPr>
            </w:pPr>
            <w:r>
              <w:rPr>
                <w:rFonts w:ascii="Arial" w:cs="Arial" w:eastAsia="Arial" w:hAnsi="Arial"/>
                <w:sz w:val="18"/>
                <w:szCs w:val="18"/>
                <w:color w:val="auto"/>
                <w:w w:val="89"/>
              </w:rPr>
              <w:t>underwriters exercise in full their option to purchase additional shares), after</w:t>
            </w:r>
          </w:p>
        </w:tc>
      </w:tr>
    </w:tbl>
    <w:p>
      <w:pPr>
        <w:ind w:left="4500"/>
        <w:spacing w:after="0"/>
        <w:rPr>
          <w:sz w:val="20"/>
          <w:szCs w:val="20"/>
          <w:color w:val="auto"/>
        </w:rPr>
      </w:pPr>
      <w:r>
        <w:rPr>
          <w:rFonts w:ascii="Arial" w:cs="Arial" w:eastAsia="Arial" w:hAnsi="Arial"/>
          <w:sz w:val="18"/>
          <w:szCs w:val="18"/>
          <w:color w:val="auto"/>
        </w:rPr>
        <w:t>deducting underwriting discounts and commissions and other estimated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expenses of this offering payable by 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We expect to contribute the net proceeds from this offering to our Operating</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Partnership. Our Operating Partnership subsequently intends to use a portion of</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the net proceeds of this offering to fund the approximately $134 million cash</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purchase price for the Block 21 Acquisition and the related fees and expenses</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of the Block 21 Acquisition, and may use the remaining net proceeds of this</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offering, or all of the net proceeds from this offering if the Block 21</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Acquisition is not consummated, for general corporate purposes, including</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future acquisitions or investments and the repayment of indebtedness</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outstanding under our $700 million revolving credit facility, or our Revolver.</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This offering is not conditioned upon successful completion of the Block 21</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Acquisition. Pending the application of the net proceeds, we may invest the net</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proceeds in short-term interest-bearing instruments or other investment-grade</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securities that are consistent with our intention to continue to qualify as a REIT</w:t>
            </w:r>
          </w:p>
        </w:tc>
      </w:tr>
      <w:tr>
        <w:trPr>
          <w:trHeight w:val="222"/>
        </w:trPr>
        <w:tc>
          <w:tcPr>
            <w:tcW w:w="406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for U.S. federal income tax purposes. See "Use of Proceeds."</w:t>
            </w:r>
          </w:p>
        </w:tc>
      </w:tr>
      <w:tr>
        <w:trPr>
          <w:trHeight w:val="426"/>
        </w:trPr>
        <w:tc>
          <w:tcPr>
            <w:tcW w:w="4060" w:type="dxa"/>
            <w:vAlign w:val="bottom"/>
          </w:tcPr>
          <w:p>
            <w:pPr>
              <w:spacing w:after="0"/>
              <w:rPr>
                <w:sz w:val="24"/>
                <w:szCs w:val="24"/>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To the extent we make repayments of outstanding borrowings under our</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Revolver, affiliates of certain of the underwriters of this offering act as lenders</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and/or agents under our Amended Credit Agreement, and, as a result, will</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receive their pro rata portion upon the repayment of outstanding borrowings</w:t>
            </w:r>
          </w:p>
        </w:tc>
      </w:tr>
      <w:tr>
        <w:trPr>
          <w:trHeight w:val="222"/>
        </w:trPr>
        <w:tc>
          <w:tcPr>
            <w:tcW w:w="406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under our Revolver with proceeds from this offering. See "Underwriting."</w:t>
            </w:r>
          </w:p>
        </w:tc>
      </w:tr>
      <w:tr>
        <w:trPr>
          <w:trHeight w:val="420"/>
        </w:trPr>
        <w:tc>
          <w:tcPr>
            <w:tcW w:w="4060" w:type="dxa"/>
            <w:vAlign w:val="bottom"/>
          </w:tcPr>
          <w:p>
            <w:pPr>
              <w:ind w:left="1340"/>
              <w:spacing w:after="0"/>
              <w:rPr>
                <w:sz w:val="20"/>
                <w:szCs w:val="20"/>
                <w:color w:val="auto"/>
              </w:rPr>
            </w:pPr>
            <w:r>
              <w:rPr>
                <w:rFonts w:ascii="Arial" w:cs="Arial" w:eastAsia="Arial" w:hAnsi="Arial"/>
                <w:sz w:val="18"/>
                <w:szCs w:val="18"/>
                <w:b w:val="1"/>
                <w:bCs w:val="1"/>
                <w:color w:val="auto"/>
              </w:rPr>
              <w:t>Restrictions on ownership and</w:t>
            </w:r>
          </w:p>
        </w:tc>
        <w:tc>
          <w:tcPr>
            <w:tcW w:w="7360" w:type="dxa"/>
            <w:vAlign w:val="bottom"/>
          </w:tcPr>
          <w:p>
            <w:pPr>
              <w:ind w:left="440"/>
              <w:spacing w:after="0"/>
              <w:rPr>
                <w:sz w:val="20"/>
                <w:szCs w:val="20"/>
                <w:color w:val="auto"/>
              </w:rPr>
            </w:pPr>
            <w:r>
              <w:rPr>
                <w:rFonts w:ascii="Arial" w:cs="Arial" w:eastAsia="Arial" w:hAnsi="Arial"/>
                <w:sz w:val="18"/>
                <w:szCs w:val="18"/>
                <w:color w:val="auto"/>
              </w:rPr>
              <w:t>To assist Ryman Hospitality Properties, Inc. in maintaining qualification as a</w:t>
            </w:r>
          </w:p>
        </w:tc>
      </w:tr>
      <w:tr>
        <w:trPr>
          <w:trHeight w:val="222"/>
        </w:trPr>
        <w:tc>
          <w:tcPr>
            <w:tcW w:w="4060" w:type="dxa"/>
            <w:vAlign w:val="bottom"/>
          </w:tcPr>
          <w:p>
            <w:pPr>
              <w:ind w:left="1520"/>
              <w:spacing w:after="0"/>
              <w:rPr>
                <w:sz w:val="20"/>
                <w:szCs w:val="20"/>
                <w:color w:val="auto"/>
              </w:rPr>
            </w:pPr>
            <w:r>
              <w:rPr>
                <w:rFonts w:ascii="Arial" w:cs="Arial" w:eastAsia="Arial" w:hAnsi="Arial"/>
                <w:sz w:val="18"/>
                <w:szCs w:val="18"/>
                <w:b w:val="1"/>
                <w:bCs w:val="1"/>
                <w:color w:val="auto"/>
              </w:rPr>
              <w:t>transfer</w:t>
            </w:r>
          </w:p>
        </w:tc>
        <w:tc>
          <w:tcPr>
            <w:tcW w:w="7360" w:type="dxa"/>
            <w:vAlign w:val="bottom"/>
          </w:tcPr>
          <w:p>
            <w:pPr>
              <w:ind w:left="440"/>
              <w:spacing w:after="0"/>
              <w:rPr>
                <w:sz w:val="20"/>
                <w:szCs w:val="20"/>
                <w:color w:val="auto"/>
              </w:rPr>
            </w:pPr>
            <w:r>
              <w:rPr>
                <w:rFonts w:ascii="Arial" w:cs="Arial" w:eastAsia="Arial" w:hAnsi="Arial"/>
                <w:sz w:val="18"/>
                <w:szCs w:val="18"/>
                <w:color w:val="auto"/>
              </w:rPr>
              <w:t>REIT, the Charter generally restricts any person from acquiring beneficial</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ownership, either directly or indirectly, of more than 9.8%, in value or number</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of shares, whichever is more restrictive, of our issued and outstanding common</w:t>
            </w:r>
          </w:p>
        </w:tc>
      </w:tr>
      <w:tr>
        <w:trPr>
          <w:trHeight w:val="216"/>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stock. See "Description of Capital Stock—Restrictions on Ownership and</w:t>
            </w:r>
          </w:p>
        </w:tc>
      </w:tr>
      <w:tr>
        <w:trPr>
          <w:trHeight w:val="222"/>
        </w:trPr>
        <w:tc>
          <w:tcPr>
            <w:tcW w:w="406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Transfer" in the accompanying prospectus.</w:t>
            </w:r>
          </w:p>
        </w:tc>
      </w:tr>
      <w:tr>
        <w:trPr>
          <w:trHeight w:val="444"/>
        </w:trPr>
        <w:tc>
          <w:tcPr>
            <w:tcW w:w="40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r>
        <w:trPr>
          <w:trHeight w:val="427"/>
        </w:trPr>
        <w:tc>
          <w:tcPr>
            <w:tcW w:w="4060" w:type="dxa"/>
            <w:vAlign w:val="bottom"/>
          </w:tcPr>
          <w:p>
            <w:pPr>
              <w:spacing w:after="0"/>
              <w:rPr>
                <w:sz w:val="24"/>
                <w:szCs w:val="24"/>
                <w:color w:val="auto"/>
              </w:rPr>
            </w:pPr>
          </w:p>
        </w:tc>
        <w:tc>
          <w:tcPr>
            <w:tcW w:w="7360" w:type="dxa"/>
            <w:vAlign w:val="bottom"/>
          </w:tcPr>
          <w:p>
            <w:pPr>
              <w:ind w:left="1540"/>
              <w:spacing w:after="0"/>
              <w:rPr>
                <w:sz w:val="20"/>
                <w:szCs w:val="20"/>
                <w:color w:val="auto"/>
              </w:rPr>
            </w:pPr>
            <w:r>
              <w:rPr>
                <w:rFonts w:ascii="Arial" w:cs="Arial" w:eastAsia="Arial" w:hAnsi="Arial"/>
                <w:sz w:val="18"/>
                <w:szCs w:val="18"/>
                <w:color w:val="auto"/>
              </w:rPr>
              <w:t>S-8</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3220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50430" cy="322008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RHP</w:t>
      </w:r>
    </w:p>
    <w:p>
      <w:pPr>
        <w:spacing w:after="0" w:line="200" w:lineRule="exact"/>
        <w:rPr>
          <w:sz w:val="20"/>
          <w:szCs w:val="20"/>
          <w:color w:val="auto"/>
        </w:rPr>
      </w:pPr>
    </w:p>
    <w:p>
      <w:pPr>
        <w:sectPr>
          <w:pgSz w:w="11900" w:h="16838" w:orient="portrait"/>
          <w:cols w:equalWidth="0" w:num="2">
            <w:col w:w="3780" w:space="720"/>
            <w:col w:w="6660"/>
          </w:cols>
          <w:pgMar w:left="240" w:top="131" w:right="499" w:bottom="1440" w:gutter="0" w:footer="0" w:header="0"/>
          <w:type w:val="continuous"/>
        </w:sectPr>
      </w:pPr>
    </w:p>
    <w:p>
      <w:pPr>
        <w:spacing w:after="0" w:line="42"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80"/>
        <w:spacing w:after="0" w:line="294" w:lineRule="auto"/>
        <w:rPr>
          <w:sz w:val="20"/>
          <w:szCs w:val="20"/>
          <w:color w:val="auto"/>
        </w:rPr>
      </w:pPr>
      <w:r>
        <w:rPr>
          <w:rFonts w:ascii="Arial" w:cs="Arial" w:eastAsia="Arial" w:hAnsi="Arial"/>
          <w:sz w:val="16"/>
          <w:szCs w:val="16"/>
          <w:color w:val="auto"/>
        </w:rPr>
        <w:t>Investing in our common stock involves risks. You should carefully read and consider the information set forth under "Risk Factors" beginning on page S-13 of this prospectus supplement, together with all of the other information set forth in and incorporated by reference into this prospectus supplement and the accompanying prospectus, before deciding to invest in our common stock.</w:t>
      </w:r>
    </w:p>
    <w:p>
      <w:pPr>
        <w:spacing w:after="0" w:line="170" w:lineRule="exact"/>
        <w:rPr>
          <w:sz w:val="20"/>
          <w:szCs w:val="20"/>
          <w:color w:val="auto"/>
        </w:rPr>
      </w:pPr>
    </w:p>
    <w:p>
      <w:pPr>
        <w:sectPr>
          <w:pgSz w:w="11900" w:h="16838" w:orient="portrait"/>
          <w:cols w:equalWidth="0" w:num="2">
            <w:col w:w="3780" w:space="720"/>
            <w:col w:w="6660"/>
          </w:cols>
          <w:pgMar w:left="240" w:top="131" w:right="499" w:bottom="1440" w:gutter="0" w:footer="0" w:header="0"/>
          <w:type w:val="continuous"/>
        </w:sectPr>
      </w:pPr>
    </w:p>
    <w:p>
      <w:pPr>
        <w:ind w:left="240" w:firstLine="615"/>
        <w:spacing w:after="0" w:line="268" w:lineRule="auto"/>
        <w:rPr>
          <w:sz w:val="20"/>
          <w:szCs w:val="20"/>
          <w:color w:val="auto"/>
        </w:rPr>
      </w:pPr>
      <w:r>
        <w:rPr>
          <w:rFonts w:ascii="Arial" w:cs="Arial" w:eastAsia="Arial" w:hAnsi="Arial"/>
          <w:sz w:val="18"/>
          <w:szCs w:val="18"/>
          <w:color w:val="auto"/>
        </w:rPr>
        <w:t>Unless otherwise stated in this prospectus supplement, we have assumed throughout this prospectus supplement that the underwriters' option is not exercised.</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number of shares of our common stock outstanding after this offering is based on 51,446,978 shares of our common stock outstanding as of</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6, 2019. This number does not include:</w:t>
      </w:r>
    </w:p>
    <w:p>
      <w:pPr>
        <w:spacing w:after="0" w:line="246" w:lineRule="exact"/>
        <w:rPr>
          <w:sz w:val="20"/>
          <w:szCs w:val="20"/>
          <w:color w:val="auto"/>
        </w:rPr>
      </w:pPr>
    </w:p>
    <w:p>
      <w:pPr>
        <w:ind w:left="1320" w:right="3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609 shares of our common stock issuable upon exercise of outstanding stock options under our equity incentive plans, with a weighted average exercise price of $16.47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333,474 shares of our common stock issuable upon the vesting of restricted stock unit awards under our equity incentive plans; and</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1,334,534 shares of our common stock reserved and available for future issuance under our equity incentive plans.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774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50430" cy="277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31" w:lineRule="exact"/>
        <w:rPr>
          <w:sz w:val="20"/>
          <w:szCs w:val="20"/>
          <w:color w:val="auto"/>
        </w:rPr>
      </w:pPr>
    </w:p>
    <w:p>
      <w:pPr>
        <w:ind w:left="240" w:right="20" w:firstLine="611"/>
        <w:spacing w:after="0" w:line="253" w:lineRule="auto"/>
        <w:rPr>
          <w:sz w:val="20"/>
          <w:szCs w:val="20"/>
          <w:color w:val="auto"/>
        </w:rPr>
      </w:pPr>
      <w:r>
        <w:rPr>
          <w:rFonts w:ascii="Arial" w:cs="Arial" w:eastAsia="Arial" w:hAnsi="Arial"/>
          <w:sz w:val="18"/>
          <w:szCs w:val="18"/>
          <w:color w:val="auto"/>
        </w:rPr>
        <w:t>The following table presents our summary historical consolidated financial and operating data for the periods indicated. The summary consolidated financial data as of December 31, 2018 and 2017 and for each of the three years in the period ended December 31, 2018 are derived from our audited consolidated financial statements and related notes thereto included in our 2018 Form 10-K, which is incorporated by reference herein. The summary consolidated financial data as of and for the nine months ended September 30, 2019 and September 30, 2018, are derived from our unaudited condensed consolidated financial statements and the related notes thereto included in our Quarterly Report on Form 10-Q for the quarter ended September 30, 2019 filed with the SEC on November 5, 2019, or our Third Quarter Form 10-Q, which is incorporated by reference herein. The results of operations for the interim period are not necessarily indicative of the results that may be expected for future quarters or for the year ending December 31, 2019.</w:t>
      </w:r>
    </w:p>
    <w:p>
      <w:pPr>
        <w:spacing w:after="0" w:line="199" w:lineRule="exact"/>
        <w:rPr>
          <w:sz w:val="20"/>
          <w:szCs w:val="20"/>
          <w:color w:val="auto"/>
        </w:rPr>
      </w:pPr>
    </w:p>
    <w:p>
      <w:pPr>
        <w:ind w:left="240" w:firstLine="611"/>
        <w:spacing w:after="0" w:line="298" w:lineRule="auto"/>
        <w:rPr>
          <w:sz w:val="20"/>
          <w:szCs w:val="20"/>
          <w:color w:val="auto"/>
        </w:rPr>
      </w:pPr>
      <w:r>
        <w:rPr>
          <w:rFonts w:ascii="Arial" w:cs="Arial" w:eastAsia="Arial" w:hAnsi="Arial"/>
          <w:sz w:val="16"/>
          <w:szCs w:val="16"/>
          <w:color w:val="auto"/>
        </w:rPr>
        <w:t>The summary historical consolidated financial data should be read in conjunction with the sections entitled "Risk Factors" in this prospectus supplement and in our 2018 Form 10-K, the risks discussed elsewhere in this prospectus supplement and the accompanying prospectus, including those set forth under the heading "Special Note Regarding Forward-Looking Statements," which is incorporated by reference herein, the section entitled "Management's Discussion and Analysis of Financial Condition and Results of Operations" in our 2018 Form 10-K and in our Third Quarter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559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50430" cy="755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color w:val="auto"/>
        </w:rPr>
        <w:t>Form 10-Q, each of which is incorporated by reference herein, and our consolidated financial statements and the related notes thereto incorporated by reference in this prospectus supplement.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center"/>
              <w:ind w:right="15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4"/>
                <w:szCs w:val="14"/>
                <w:color w:val="auto"/>
              </w:rPr>
            </w:pPr>
          </w:p>
        </w:tc>
        <w:tc>
          <w:tcPr>
            <w:tcW w:w="3080" w:type="dxa"/>
            <w:vAlign w:val="bottom"/>
            <w:gridSpan w:val="6"/>
          </w:tcPr>
          <w:p>
            <w:pPr>
              <w:jc w:val="center"/>
              <w:ind w:right="15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3"/>
              <w:spacing w:after="0" w:line="129" w:lineRule="exact"/>
              <w:rPr>
                <w:sz w:val="20"/>
                <w:szCs w:val="20"/>
                <w:color w:val="auto"/>
              </w:rPr>
            </w:pPr>
            <w:r>
              <w:rPr>
                <w:rFonts w:ascii="Arial" w:cs="Arial" w:eastAsia="Arial" w:hAnsi="Arial"/>
                <w:sz w:val="14"/>
                <w:szCs w:val="14"/>
                <w:b w:val="1"/>
                <w:bCs w:val="1"/>
                <w:color w:val="auto"/>
                <w:w w:val="87"/>
              </w:rPr>
              <w:t>(audited)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gridSpan w:val="6"/>
          </w:tcPr>
          <w:p>
            <w:pPr>
              <w:jc w:val="center"/>
              <w:ind w:right="1560"/>
              <w:spacing w:after="0" w:line="129"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87"/>
              </w:rPr>
              <w:t>(dollars in thousands, except per share data)</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454,370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411,866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332,490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519,843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483,945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477,493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499,346</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392,488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hotel revenue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153,690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142,139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81,129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108,446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1,149,207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1,158,281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914,553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88,550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282,906</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269,824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267,307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270,623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211,677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hotel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339,529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327,283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273,074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226,965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Hotel management fees, net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30,744</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23,856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22,194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28,543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22,323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80,947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30,833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31,387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26,883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26,518</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23,181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Preopening costs(2)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Impairment charges(3)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23,783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35,418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Hospitality</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108,779</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102,759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100,186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150,909</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81,379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1,391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89,655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1,060,849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998,802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933,765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751,810</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Hospitality</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247,885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223,302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217,018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191,563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175,213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(32,650)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(33,513)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(29,479)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(27,728)</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(24,572)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Preopening costs(2)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Impairment charges(3)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(23,783)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(35,418)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162,743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(74,961)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(66,051)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(63,906)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(100,840)</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(55,574)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joint ventures(4)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gains and (losses), net(5)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2,085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105,476</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noncontrolling interest in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joint venture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11,296</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w w:val="96"/>
              </w:rPr>
              <w:t>Net income available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105,476</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income per share available to common</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vMerge w:val="restart"/>
          </w:tcPr>
          <w:p>
            <w:pPr>
              <w:spacing w:after="0"/>
              <w:rPr>
                <w:sz w:val="20"/>
                <w:szCs w:val="20"/>
                <w:color w:val="auto"/>
              </w:rPr>
            </w:pPr>
            <w:r>
              <w:rPr>
                <w:rFonts w:ascii="Arial" w:cs="Arial" w:eastAsia="Arial" w:hAnsi="Arial"/>
                <w:sz w:val="18"/>
                <w:szCs w:val="18"/>
                <w:color w:val="auto"/>
              </w:rPr>
              <w:t>Diluted income per share available to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3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4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Dividends Declared per Common Share(7)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98" w:lineRule="exact"/>
              <w:rPr>
                <w:sz w:val="20"/>
                <w:szCs w:val="20"/>
                <w:color w:val="auto"/>
              </w:rPr>
            </w:pPr>
            <w:r>
              <w:rPr>
                <w:rFonts w:ascii="Arial" w:cs="Arial" w:eastAsia="Arial" w:hAnsi="Arial"/>
                <w:sz w:val="18"/>
                <w:szCs w:val="18"/>
                <w:color w:val="auto"/>
              </w:rPr>
              <w:t>2.55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S-11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516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50430" cy="751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As of September 30,</w:t>
            </w:r>
          </w:p>
        </w:tc>
      </w:tr>
      <w:tr>
        <w:trPr>
          <w:trHeight w:val="142"/>
        </w:trPr>
        <w:tc>
          <w:tcPr>
            <w:tcW w:w="2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00" w:type="dxa"/>
            <w:vAlign w:val="bottom"/>
            <w:gridSpan w:val="3"/>
          </w:tcPr>
          <w:p>
            <w:pPr>
              <w:jc w:val="center"/>
              <w:ind w:left="662"/>
              <w:spacing w:after="0" w:line="142" w:lineRule="exact"/>
              <w:rPr>
                <w:sz w:val="20"/>
                <w:szCs w:val="20"/>
                <w:color w:val="auto"/>
              </w:rPr>
            </w:pPr>
            <w:r>
              <w:rPr>
                <w:rFonts w:ascii="Arial" w:cs="Arial" w:eastAsia="Arial" w:hAnsi="Arial"/>
                <w:sz w:val="14"/>
                <w:szCs w:val="14"/>
                <w:b w:val="1"/>
                <w:bCs w:val="1"/>
                <w:color w:val="auto"/>
                <w:w w:val="87"/>
              </w:rPr>
              <w:t>(audited)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3,853,883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2,524,228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3,830,737</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2,441,895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1,591,392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2,581,312</w:t>
            </w: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469,577</w:t>
            </w: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311,478</w:t>
            </w:r>
          </w:p>
        </w:tc>
      </w:tr>
      <w:tr>
        <w:trPr>
          <w:trHeight w:val="102"/>
        </w:trPr>
        <w:tc>
          <w:tcPr>
            <w:tcW w:w="27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right="200" w:hanging="544"/>
        <w:spacing w:after="0" w:line="259"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Company's purchase of an additional interest in the Gaylord Rockies joint venture as of December 31, 2018, the Company consolidated the joint venture's balance sheet at December 31, 2018 and began consolidating its operations January 1, 2019.</w:t>
      </w:r>
    </w:p>
    <w:p>
      <w:pPr>
        <w:spacing w:after="0" w:line="207" w:lineRule="exact"/>
        <w:rPr>
          <w:rFonts w:ascii="Arial" w:cs="Arial" w:eastAsia="Arial" w:hAnsi="Arial"/>
          <w:sz w:val="18"/>
          <w:szCs w:val="18"/>
          <w:color w:val="auto"/>
        </w:rPr>
      </w:pPr>
    </w:p>
    <w:p>
      <w:pPr>
        <w:ind w:left="1880" w:right="40" w:hanging="544"/>
        <w:spacing w:after="0" w:line="294" w:lineRule="auto"/>
        <w:tabs>
          <w:tab w:leader="none" w:pos="1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Preopening costs for the year ended December 31, 2018 include $2.9 million and $1.9 million for the Hospitality and Entertainment segments, respectively. Preopening costs for the year ended December 31, 2017 include $0.3 million and $1.6 million for the Hospitality and Entertainment segments, respectively. Preopening costs for the nine months ended September 30, 2019 include $0.6 million and $1.6 million for the Hospitality and Entertainment segments, respectively. Preopening costs for the nine months ended September 30, 2018 include $2.2 million and $1.7 million for the Hospitality and Entertainment segments, respectively.</w:t>
      </w:r>
    </w:p>
    <w:p>
      <w:pPr>
        <w:spacing w:after="0" w:line="183" w:lineRule="exact"/>
        <w:rPr>
          <w:rFonts w:ascii="Arial" w:cs="Arial" w:eastAsia="Arial" w:hAnsi="Arial"/>
          <w:sz w:val="16"/>
          <w:szCs w:val="16"/>
          <w:color w:val="auto"/>
        </w:rPr>
      </w:pPr>
    </w:p>
    <w:p>
      <w:pPr>
        <w:ind w:left="1880" w:right="20" w:hanging="544"/>
        <w:spacing w:after="0" w:line="287" w:lineRule="auto"/>
        <w:tabs>
          <w:tab w:leader="none" w:pos="1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Impairment charges in the year ended December 31, 2018 and in the nine months ended September 30, 2018 primarily include costs associated with our previous investment in Opry City Stage, a four-level entertainment complex in Times Square. During the third quarter of 2018, we determined that current ongoing operations were not meeting our revenue projections and we temporarily suspended operations to reposition the venue and its operations. An impairment assessment at that time warranted an impairment charge of $4.5 million. In December 2018, we determined that we would permanently close Opry City Stage and recorded an additional impairment charge of $18.0 million. In addition, in the year ended December 31, 2018, we incurred $1.2 million in impairment charges related to an entertainment concept that has been abandoned. Impairment charges in the year ended December 31, 2017 represent a portion of the notes receivable that we hold related to the Gaylord National construction, consisting of other-than-temporary impairment losses of $35.4 million, which is net of $6.5 million recognized in other comprehensive income. See further disclosure regarding this impairment in Note 3 to the consolidated financial statements included in our 2018 Form 10-K.</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1880" w:right="180" w:hanging="544"/>
        <w:spacing w:after="0" w:line="268"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(loss) from joint ventures for 2018 includes a $131.4 million gain related to the re-measurement of the pre-existing equity method investment in the Gaylord Rockies joint venture prior to consolidation.</w:t>
      </w:r>
    </w:p>
    <w:p>
      <w:pPr>
        <w:spacing w:after="0" w:line="199" w:lineRule="exact"/>
        <w:rPr>
          <w:rFonts w:ascii="Arial" w:cs="Arial" w:eastAsia="Arial" w:hAnsi="Arial"/>
          <w:sz w:val="18"/>
          <w:szCs w:val="18"/>
          <w:color w:val="auto"/>
        </w:rPr>
      </w:pPr>
    </w:p>
    <w:p>
      <w:pPr>
        <w:ind w:left="1880" w:hanging="544"/>
        <w:spacing w:after="0" w:line="298" w:lineRule="auto"/>
        <w:tabs>
          <w:tab w:leader="none" w:pos="1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gains and (losses) for the years ended December 31, 2018, 2017 and 2016 includes $2.7 million, $2.6 million and $2.5 million in income, respectively, received from the marketing and maintenance fund associated with the Gaylord National bonds. Other gains and (losses) for the nine months ended September 30, 2019 and 2018 includes $2.8 million and $2.7 million in income, respectively, received from the marketing and maintenance fund associated with the Gaylord National bonds.</w:t>
      </w:r>
    </w:p>
    <w:p>
      <w:pPr>
        <w:spacing w:after="0" w:line="180" w:lineRule="exact"/>
        <w:rPr>
          <w:rFonts w:ascii="Arial" w:cs="Arial" w:eastAsia="Arial" w:hAnsi="Arial"/>
          <w:sz w:val="16"/>
          <w:szCs w:val="16"/>
          <w:color w:val="auto"/>
        </w:rPr>
      </w:pPr>
    </w:p>
    <w:p>
      <w:pPr>
        <w:ind w:left="1880" w:right="80" w:hanging="544"/>
        <w:spacing w:after="0" w:line="268"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 (benefit) for income taxes for the year ended December 31, 2017 includes a benefit of $53.4 million related to the release of valuation allowance.</w:t>
      </w:r>
    </w:p>
    <w:p>
      <w:pPr>
        <w:spacing w:after="0" w:line="212" w:lineRule="exact"/>
        <w:rPr>
          <w:rFonts w:ascii="Arial" w:cs="Arial" w:eastAsia="Arial" w:hAnsi="Arial"/>
          <w:sz w:val="18"/>
          <w:szCs w:val="18"/>
          <w:color w:val="auto"/>
        </w:rPr>
      </w:pPr>
    </w:p>
    <w:p>
      <w:pPr>
        <w:ind w:left="1880" w:right="40" w:hanging="544"/>
        <w:spacing w:after="0" w:line="290" w:lineRule="auto"/>
        <w:tabs>
          <w:tab w:leader="none" w:pos="1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Dividends declared for the year ended December 31, 2018 represent quarterly dividends totaling $3.40 per share, or an aggregate of $174.5 million in cash. Dividends declared for the year ended December 31, 2017 represent quarterly dividends totaling $3.20 per share, or an aggregate of $163.7 million in cash. Dividends declared for the year ended December 31, 2016 represent quarterly dividends totaling $3.00 per share, or an aggregate of $153.0 million in cash. Dividends declared for the nine months ended September 30, 2019 represent quarterly dividends totaling $2.70 per share, or an aggregate of $137.0 million in cash. Dividends declared for the nine months ended September 30, 2018 represent quarterly dividends totaling $2.55 per share, or an aggregate of $128.8 million in cash.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615"/>
        <w:spacing w:after="0" w:line="288"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offered pursuant to this prospectus supplement and the accompanying prospectus involves risks. Before making an investment decision, in addition to the other information in this prospectus supplement, you should carefully consider the following risk factors. You should also carefully consider the additional risks described in our annual, quarterly and current reports, including those identified in our </w:t>
      </w:r>
      <w:hyperlink r:id="rId10">
        <w:r>
          <w:rPr>
            <w:rFonts w:ascii="Arial" w:cs="Arial" w:eastAsia="Arial" w:hAnsi="Arial"/>
            <w:sz w:val="16"/>
            <w:szCs w:val="16"/>
            <w:i w:val="1"/>
            <w:iCs w:val="1"/>
            <w:u w:val="single" w:color="auto"/>
            <w:color w:val="0000EE"/>
          </w:rPr>
          <w:t>2018 Form 10-K</w:t>
        </w:r>
      </w:hyperlink>
      <w:r>
        <w:rPr>
          <w:rFonts w:ascii="Arial" w:cs="Arial" w:eastAsia="Arial" w:hAnsi="Arial"/>
          <w:sz w:val="16"/>
          <w:szCs w:val="16"/>
          <w:i w:val="1"/>
          <w:iCs w:val="1"/>
          <w:color w:val="auto"/>
        </w:rPr>
        <w:t>, as well as risk factors we disclose in future filings with the SEC after the filing of this prospectus supplement that are incorporated by reference into this prospectus supplement and the accompanying prospectus. Additional risks and uncertainties not presently known to us or that we currently deem immaterial also may impair our business operations. If certain of the risks described in the risk factors incorporated by reference into this prospectus supplement and the accompanying prospectus actually occur, our business, results of operations and financial condition could suffer. As a result, the trading price of our common stock could decline, and you may lose all or part of your investment. This section includes or refers to certain forward-looking statements. For the qualifications and limitations of these forward-looking statements, see "Special Note Regarding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complete the Block 21 Acquisition on a timely basis or at all.</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expect to complete this offering prior to the completion of the Block 21 Acquisition. Although we expect to complete the Block 21 Acquisition in the first quarter of 2020, the completion of the Block 21 Acquisition is subject to customary closing requirements and conditions and there can be no assurance that the Block 21 Acquisition will be completed on the anticipated schedule or at all. If we fail to consummate the Block 21 Acquisition or should the completion of the Block 21 Acquisition be significantly delayed, we will have issued a significant number of additional shares of our common stock, which would increase our dividend costs, without realizing all or a portion of the intended economic benefits of the Block 21 Acquisition. Even if we consummate the Block 21 Acquisition, we may not realize the intended economic benefits. If we fail to consummate the Block 21 Acquisition, we would expect to seek to acquire another entertainment or hotel property or other investment, but we may not be able to identify suitable acquisition candidates on attractive terms or at all, or such acquisitions may take a significant amount of time to accomplish. Any failure to complete the Block 21 Acquisition could have a negative impact on our business, financial condition and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may suffer if we are unsuccessful in integrating Block 21 assets with our existing assets.</w:t>
      </w:r>
    </w:p>
    <w:p>
      <w:pPr>
        <w:spacing w:after="0" w:line="225" w:lineRule="exact"/>
        <w:rPr>
          <w:sz w:val="20"/>
          <w:szCs w:val="20"/>
          <w:color w:val="auto"/>
        </w:rPr>
      </w:pPr>
    </w:p>
    <w:p>
      <w:pPr>
        <w:ind w:right="200" w:firstLine="615"/>
        <w:spacing w:after="0" w:line="289" w:lineRule="auto"/>
        <w:rPr>
          <w:sz w:val="20"/>
          <w:szCs w:val="20"/>
          <w:color w:val="auto"/>
        </w:rPr>
      </w:pPr>
      <w:r>
        <w:rPr>
          <w:rFonts w:ascii="Arial" w:cs="Arial" w:eastAsia="Arial" w:hAnsi="Arial"/>
          <w:sz w:val="16"/>
          <w:szCs w:val="16"/>
          <w:color w:val="auto"/>
        </w:rPr>
        <w:t>If we are unable to successfully integrate the assets acquired in the Block 21 Acquisition, or the Block 21 assets, with our existing assets in an efficient and effective manner following the completion of the Block 21 Acquisition, the anticipated benefits of the Block 21 Acquisition may not be realized fully, or at all, or may take longer to realize than expected. Further, the integration of the Block 21 assets with our existing assets will require the dedication of significant management resources, which may distract management's attention from day-to-day business operations. Austin, Texas is a new market for us, and our relative unfamiliarity with the market may result in our having to devote additional time and expense to gain familiarity with the market and maximize operations. An inability to realize the full extent of the anticipated benefits of the Block 21 Acquisition or any delays encountered in the integration process could have an adverse effect on our results of operations, cash flows and financial position, which may adversely affect the value of our common stock following this offering and the consummation of the Block 21 Acquisition.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committed to any specific use of the net proceeds of this offering in the event that the Block 21 Acquisition is not consummated.</w:t>
      </w:r>
    </w:p>
    <w:p>
      <w:pPr>
        <w:spacing w:after="0" w:line="248"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expect to contribute the net proceeds from this offering to our Operating Partnership. Our Operating Partnership subsequently intends to use a portion of the net proceeds of this offering to fund the approximately $134 million cash purchase price for the Block 21 Acquisition and the related fees and expenses of the Block 21 Acquisition, which may initially include the repayment of all or a portion of the indebtedness outstanding under our Revolver, to temporarily reduce such outstanding indebtedness during the pendency of the Block 21 Acquisition, and upon the closing of the Block 21 Acquisition utilize our Revolver to pay the cash purchase price for the Block 21 Acquisition. However, this offering is not conditioned upon the completion of the Block 21 Acquisition and, if the Block 21 Acquisition is not consummated for any reason, we will have broad discretion in the application of the net proceeds from this offering. We have not committed to any specific use for any of the net proceeds from this offering if the Block 21 Acquisition is not consummated. As a result, investors will be relying upon management's judgment with only limited information about our specific intentions for the use of any net proceeds we receive in this offering. We may use the net proceeds, if any, for purposes that do not yield a significant return or any return at all for our stockholders. In addition, pending their use, we may invest the net proceeds we receive in this offering in a manner that does not produce income or that loses value.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This offering will be dilutive, and there may be future dilution of our common stock, which may adversely affect the market price of our common stock.</w:t>
      </w:r>
    </w:p>
    <w:p>
      <w:pPr>
        <w:spacing w:after="0" w:line="260" w:lineRule="exact"/>
        <w:rPr>
          <w:sz w:val="20"/>
          <w:szCs w:val="20"/>
          <w:color w:val="auto"/>
        </w:rPr>
      </w:pPr>
    </w:p>
    <w:p>
      <w:pPr>
        <w:ind w:right="20" w:firstLine="611"/>
        <w:spacing w:after="0" w:line="283" w:lineRule="auto"/>
        <w:rPr>
          <w:sz w:val="20"/>
          <w:szCs w:val="20"/>
          <w:color w:val="auto"/>
        </w:rPr>
      </w:pPr>
      <w:r>
        <w:rPr>
          <w:rFonts w:ascii="Arial" w:cs="Arial" w:eastAsia="Arial" w:hAnsi="Arial"/>
          <w:sz w:val="16"/>
          <w:szCs w:val="16"/>
          <w:color w:val="auto"/>
        </w:rPr>
        <w:t>We cannot predict whether this offering or any future issuance or sale of shares of our common stock or the availability of shares for resale in the open market will decrease the per share trading price of our common stock. The market price of our common stock could decline as a result of any dilutive effect that such sales, including this offering, may have on our earnings per share. Such a decline may also occur as a result of (i) additional sales, or the perception that such additional sales could occur, particularly by our directors, executive officers and significant stockholders, (ii) issuances of vested restricted shares granted to certain directors, executive officers or employees under our equity incentive plans, (iii) issuances in connection with future property or business acquisitions, or</w:t>
      </w:r>
    </w:p>
    <w:p>
      <w:pPr>
        <w:spacing w:after="0" w:line="2" w:lineRule="exact"/>
        <w:rPr>
          <w:sz w:val="20"/>
          <w:szCs w:val="20"/>
          <w:color w:val="auto"/>
        </w:rPr>
      </w:pPr>
    </w:p>
    <w:p>
      <w:pPr>
        <w:ind w:right="180" w:firstLine="8"/>
        <w:spacing w:after="0" w:line="292" w:lineRule="auto"/>
        <w:tabs>
          <w:tab w:leader="none" w:pos="297"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issuances on exchange of units of our Operating Partnership. For example, in this offering, we are offering 3,000,000 shares of our common stock (or up to 3,450,000 shares of our common stock if the underwriters exercise their option to purchase additional shares in full). The increase in the number of outstanding shares of our common stock being issued in this offering will dilute a stockholder's ownership interest or could have a negative effect on the market price of our common stock and may make it more difficult for you to sell your shares of our common stock at a time and price that you deem appropriate. A decline in the market price of our common stock could adversely affect our ability to raise capital through future offerings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vary substantially.</w:t>
      </w:r>
    </w:p>
    <w:p>
      <w:pPr>
        <w:spacing w:after="0" w:line="225" w:lineRule="exact"/>
        <w:rPr>
          <w:sz w:val="20"/>
          <w:szCs w:val="20"/>
          <w:color w:val="auto"/>
        </w:rPr>
      </w:pPr>
    </w:p>
    <w:p>
      <w:pPr>
        <w:ind w:right="240" w:firstLine="611"/>
        <w:spacing w:after="0" w:line="298" w:lineRule="auto"/>
        <w:rPr>
          <w:sz w:val="20"/>
          <w:szCs w:val="20"/>
          <w:color w:val="auto"/>
        </w:rPr>
      </w:pPr>
      <w:r>
        <w:rPr>
          <w:rFonts w:ascii="Arial" w:cs="Arial" w:eastAsia="Arial" w:hAnsi="Arial"/>
          <w:sz w:val="16"/>
          <w:szCs w:val="16"/>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shares of our common stock to demand a higher annual yield and choose other investments, which could reduce the market price of our common stock.</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factors that could affect the market price of our common stock include the following:</w:t>
      </w:r>
    </w:p>
    <w:p>
      <w:pPr>
        <w:spacing w:after="0" w:line="239" w:lineRule="exact"/>
        <w:rPr>
          <w:sz w:val="20"/>
          <w:szCs w:val="20"/>
          <w:color w:val="auto"/>
        </w:rPr>
      </w:pPr>
    </w:p>
    <w:p>
      <w:pPr>
        <w:jc w:val="right"/>
        <w:ind w:left="5540" w:right="5520" w:hanging="4992"/>
        <w:spacing w:after="0" w:line="613"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actual or anticipated variations in our quarterly results of operations;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companies in the hotel or real estate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issuances of common stock or other securities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with our hotel managers;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uncertainty; and</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tsunamis or earthquakes.</w:t>
      </w:r>
    </w:p>
    <w:p>
      <w:pPr>
        <w:spacing w:after="0" w:line="1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5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7200" w:type="dxa"/>
            <w:vAlign w:val="bottom"/>
            <w:gridSpan w:val="2"/>
          </w:tcPr>
          <w:p>
            <w:pPr>
              <w:ind w:left="3620"/>
              <w:spacing w:after="0"/>
              <w:rPr>
                <w:sz w:val="20"/>
                <w:szCs w:val="20"/>
                <w:color w:val="auto"/>
              </w:rPr>
            </w:pPr>
            <w:r>
              <w:rPr>
                <w:rFonts w:ascii="Arial" w:cs="Arial" w:eastAsia="Arial" w:hAnsi="Arial"/>
                <w:sz w:val="18"/>
                <w:szCs w:val="18"/>
                <w:b w:val="1"/>
                <w:bCs w:val="1"/>
                <w:color w:val="auto"/>
              </w:rPr>
              <w:t>USE OF PROCEEDS</w:t>
            </w:r>
          </w:p>
        </w:tc>
        <w:tc>
          <w:tcPr>
            <w:tcW w:w="2840" w:type="dxa"/>
            <w:vAlign w:val="bottom"/>
          </w:tcPr>
          <w:p>
            <w:pPr>
              <w:spacing w:after="0"/>
              <w:rPr>
                <w:sz w:val="24"/>
                <w:szCs w:val="24"/>
                <w:color w:val="auto"/>
              </w:rPr>
            </w:pPr>
          </w:p>
        </w:tc>
      </w:tr>
      <w:tr>
        <w:trPr>
          <w:trHeight w:val="432"/>
        </w:trPr>
        <w:tc>
          <w:tcPr>
            <w:tcW w:w="5940" w:type="dxa"/>
            <w:vAlign w:val="bottom"/>
            <w:gridSpan w:val="2"/>
          </w:tcPr>
          <w:p>
            <w:pPr>
              <w:ind w:left="620"/>
              <w:spacing w:after="0"/>
              <w:rPr>
                <w:sz w:val="20"/>
                <w:szCs w:val="20"/>
                <w:color w:val="auto"/>
              </w:rPr>
            </w:pPr>
            <w:r>
              <w:rPr>
                <w:rFonts w:ascii="Arial" w:cs="Arial" w:eastAsia="Arial" w:hAnsi="Arial"/>
                <w:sz w:val="18"/>
                <w:szCs w:val="18"/>
                <w:color w:val="auto"/>
                <w:w w:val="93"/>
              </w:rPr>
              <w:t>We expect that the net proceeds of this offering will be approximately $</w:t>
            </w:r>
          </w:p>
        </w:tc>
        <w:tc>
          <w:tcPr>
            <w:tcW w:w="2520" w:type="dxa"/>
            <w:vAlign w:val="bottom"/>
          </w:tcPr>
          <w:p>
            <w:pPr>
              <w:ind w:left="280"/>
              <w:spacing w:after="0"/>
              <w:rPr>
                <w:sz w:val="20"/>
                <w:szCs w:val="20"/>
                <w:color w:val="auto"/>
              </w:rPr>
            </w:pPr>
            <w:r>
              <w:rPr>
                <w:rFonts w:ascii="Arial" w:cs="Arial" w:eastAsia="Arial" w:hAnsi="Arial"/>
                <w:sz w:val="18"/>
                <w:szCs w:val="18"/>
                <w:color w:val="auto"/>
              </w:rPr>
              <w:t>million (or approximately $</w:t>
            </w:r>
          </w:p>
        </w:tc>
        <w:tc>
          <w:tcPr>
            <w:tcW w:w="2840" w:type="dxa"/>
            <w:vAlign w:val="bottom"/>
          </w:tcPr>
          <w:p>
            <w:pPr>
              <w:ind w:left="280"/>
              <w:spacing w:after="0"/>
              <w:rPr>
                <w:sz w:val="20"/>
                <w:szCs w:val="20"/>
                <w:color w:val="auto"/>
              </w:rPr>
            </w:pPr>
            <w:r>
              <w:rPr>
                <w:rFonts w:ascii="Arial" w:cs="Arial" w:eastAsia="Arial" w:hAnsi="Arial"/>
                <w:sz w:val="18"/>
                <w:szCs w:val="18"/>
                <w:color w:val="auto"/>
                <w:w w:val="89"/>
              </w:rPr>
              <w:t>million in the event the underwriters</w:t>
            </w:r>
          </w:p>
        </w:tc>
      </w:tr>
    </w:tbl>
    <w:p>
      <w:pPr>
        <w:ind w:right="620"/>
        <w:spacing w:after="0" w:line="261" w:lineRule="auto"/>
        <w:rPr>
          <w:sz w:val="20"/>
          <w:szCs w:val="20"/>
          <w:color w:val="auto"/>
        </w:rPr>
      </w:pPr>
      <w:r>
        <w:rPr>
          <w:rFonts w:ascii="Arial" w:cs="Arial" w:eastAsia="Arial" w:hAnsi="Arial"/>
          <w:sz w:val="18"/>
          <w:szCs w:val="18"/>
          <w:color w:val="auto"/>
        </w:rPr>
        <w:t>exercise in full their option to purchase additional shares of common stock), after deducting underwriting discounts and commissions and other estimated expenses of this offering payable by us.</w:t>
      </w:r>
    </w:p>
    <w:p>
      <w:pPr>
        <w:spacing w:after="0" w:line="192"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to contribute the net proceeds from this offering to our Operating Partnership. Our Operating Partnership subsequently intends to use a portion of the net proceeds of this offering to fund the approximately $134 million cash purchase price for the Block 21 Acquisition and the related fees and expenses of the Block 21 Acquisition, and may use the remaining net proceeds of this offering, or all of the net proceeds from this offering if the Block 21 Acquisition is not consummated, for general corporate purposes, including future acquisitions or investments and the repayment of indebtedness outstanding under our Revolver. Pending the application of the net proceeds, we may invest the net proceeds in short-term interest-bearing instruments or other investment-grade securities that are consistent with our intention to continue to qualify as a REIT for U.S. federal income tax purposes.</w:t>
      </w:r>
    </w:p>
    <w:p>
      <w:pPr>
        <w:spacing w:after="0" w:line="174"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As of October 31, 2019, $88.0 million of borrowings were outstanding under our Revolver, and the lending banks had issued approximately $1.0 million of letters of credit under our Amended Credit Agreement. Our Revolver matures in March 2024, and borrowings under our Revolver bear interest at an annual rate equal to, at our option, either (i) London Interbank Offered Rates, or LIBOR, plus the applicable margin ranging from 1.40% to 1.95%, dependent upon our funded debt to total asset value ratio (as defined in the Amended Credit Agreement) or (ii) a base rate as set forth in the Amended Credit Agreement. At October 31, 2019, the interest rate on our Revolver was LIBOR plus 1.50%, or 3.45%.</w:t>
      </w:r>
    </w:p>
    <w:p>
      <w:pPr>
        <w:spacing w:after="0" w:line="170" w:lineRule="exact"/>
        <w:rPr>
          <w:sz w:val="20"/>
          <w:szCs w:val="20"/>
          <w:color w:val="auto"/>
        </w:rPr>
      </w:pPr>
    </w:p>
    <w:p>
      <w:pPr>
        <w:jc w:val="both"/>
        <w:ind w:right="280" w:firstLine="611"/>
        <w:spacing w:after="0" w:line="259" w:lineRule="auto"/>
        <w:rPr>
          <w:sz w:val="20"/>
          <w:szCs w:val="20"/>
          <w:color w:val="auto"/>
        </w:rPr>
      </w:pPr>
      <w:r>
        <w:rPr>
          <w:rFonts w:ascii="Arial" w:cs="Arial" w:eastAsia="Arial" w:hAnsi="Arial"/>
          <w:sz w:val="18"/>
          <w:szCs w:val="18"/>
          <w:color w:val="auto"/>
        </w:rPr>
        <w:t>To the extent we make repayments of the outstanding indebtedness under our Revolver, affiliates of certain of the underwriters of this offering act as lenders and/or agents under our Amended Credit Agreement, and, as a result, will receive their pro rata portion upon the repayment of outstanding borrowings under our Revolver with proceeds from this offering. See "Underwriting."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our capitalization:</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as of September 30, 2019;</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use of proceeds of the tack-on private placement of $200.0 million in aggregate principal amount of 4.750% senior notes due 2027, or the additional 2027 notes, on October 8, 2019, and the completion of the refinancing of our existing credit facility on October 31, 2019, collectively, the Refinancing Transactions; and</w:t>
      </w:r>
    </w:p>
    <w:p>
      <w:pPr>
        <w:spacing w:after="0" w:line="207"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an as adjusted basis to give effect to (i) the Refinancing Transactions and (ii) the completion of this offering of shares of our common stock and the use of proceeds therefrom, after deducting estimated underwriters' discounts and commissions and estimated offering expenses payable by us (assuming no exercise of the underwriters' option to purchase additional shares of our common stock).</w:t>
      </w:r>
    </w:p>
    <w:p>
      <w:pPr>
        <w:spacing w:after="0" w:line="161" w:lineRule="exact"/>
        <w:rPr>
          <w:sz w:val="20"/>
          <w:szCs w:val="20"/>
          <w:color w:val="auto"/>
        </w:rPr>
      </w:pPr>
    </w:p>
    <w:p>
      <w:pPr>
        <w:ind w:right="80" w:firstLine="608"/>
        <w:spacing w:after="0" w:line="259" w:lineRule="auto"/>
        <w:rPr>
          <w:sz w:val="20"/>
          <w:szCs w:val="20"/>
          <w:color w:val="auto"/>
        </w:rPr>
      </w:pPr>
      <w:r>
        <w:rPr>
          <w:rFonts w:ascii="Arial" w:cs="Arial" w:eastAsia="Arial" w:hAnsi="Arial"/>
          <w:sz w:val="18"/>
          <w:szCs w:val="18"/>
          <w:color w:val="auto"/>
        </w:rPr>
        <w:t>You should read this table in conjunction with the "Use of Proceeds" section of this prospectus supplement and "Management's Discussion and Analysis of Financial Condition and Results of Operations" and our consolidated financial statements, including all related notes thereto, included in our Third Quarter Form 10-Q.</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8"/>
          </w:tcPr>
          <w:p>
            <w:pPr>
              <w:jc w:val="center"/>
              <w:ind w:right="1100"/>
              <w:spacing w:after="0"/>
              <w:rPr>
                <w:sz w:val="20"/>
                <w:szCs w:val="20"/>
                <w:color w:val="auto"/>
              </w:rPr>
            </w:pPr>
            <w:r>
              <w:rPr>
                <w:rFonts w:ascii="Arial" w:cs="Arial" w:eastAsia="Arial" w:hAnsi="Arial"/>
                <w:sz w:val="14"/>
                <w:szCs w:val="14"/>
                <w:b w:val="1"/>
                <w:bCs w:val="1"/>
                <w:color w:val="auto"/>
                <w:w w:val="86"/>
              </w:rPr>
              <w:t>As of September 30,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30"/>
              <w:spacing w:after="0" w:line="129" w:lineRule="exact"/>
              <w:rPr>
                <w:sz w:val="20"/>
                <w:szCs w:val="20"/>
                <w:color w:val="auto"/>
              </w:rPr>
            </w:pPr>
            <w:r>
              <w:rPr>
                <w:rFonts w:ascii="Arial" w:cs="Arial" w:eastAsia="Arial" w:hAnsi="Arial"/>
                <w:sz w:val="14"/>
                <w:szCs w:val="14"/>
                <w:b w:val="1"/>
                <w:bCs w:val="1"/>
                <w:color w:val="auto"/>
                <w:w w:val="90"/>
              </w:rPr>
              <w:t>As Further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Adjusted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Refinancing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As Adjusted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and Offering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4"/>
              </w:rPr>
              <w:t>Transactions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3"/>
              </w:rPr>
              <w:t>Use of Proceeds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7"/>
          </w:tcPr>
          <w:p>
            <w:pPr>
              <w:jc w:val="center"/>
              <w:ind w:right="1140"/>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Unrestricted cash and cash equivalents(1)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Long-term debt (including current maturities):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$700M revolving credit facility, less unamortized deferred financing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of $4,570, $8770, and $8,770, respectively, actual, as adjusted and 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further adjusted for Refinancing Transactions and Offering and Use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w w:val="92"/>
              </w:rPr>
              <w:t>$200M Term loan A, less unamortized deferred financing costs of $960,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w w:val="95"/>
              </w:rPr>
              <w:t>$2,586, and $2,586, respectively, actual, as adjusted and as further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adjusted for Refinancing Transactions and Offering and Use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Proceeds(1)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199,040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297,414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$500M Term loan B, less unamortized deferred financing costs of $4,637,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$4,727, and $4,727, respectively, actual, as adjusted and as further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adjusted for Refinancing Transactions and Offering and Use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382,773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w w:val="93"/>
              </w:rPr>
              <w:t>$400M 5% senior notes due 2023, less unamortized deferred financing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costs of $3,441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396,559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396,559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$700M 4.750% senior notes due 2027, less unamortized deferred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financing costs of $8,385, $12,056, and $12,056, respectively, plus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offering premiums of $0, $2,500 and $2,500, respectively, actual, 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adjusted and as further adjusted for Refinancing Transactions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Offering and Use of Proceeds(2)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690,444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w w:val="92"/>
              </w:rPr>
              <w:t>$800M Loan (Gaylord Rockies JV), less unamortized deferred financing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costs of $8,546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30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2,581,312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2,575,396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w w:val="94"/>
              </w:rPr>
              <w:t>Preferred stock, $0.01 par value per share; 100,000 shares authorized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w w:val="98"/>
              </w:rPr>
              <w:t>actual, as adjusted and as further adjusted; no shares issued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w w:val="91"/>
              </w:rPr>
              <w:t>outstanding actual, as adjusted and as further adjusted for Refinancing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Transactions and Offering and Use of Proceeds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Common stock, $0.01 par value per share; 400,000 shares authorized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actual, as adjusted and as further adjusted; 51,446, 51,446 and 54,446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shares issued and outstanding, respectively, actual, as adjusted and 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further adjusted for Refinancing Transactions and Offering and Use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900,247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900,247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of 612 shares,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(534,403)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(534,577)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capitalization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2,892,790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2,886,700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2"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used approximately $94 million of the net proceeds of the increase in the term loan A portion of the credit facility, along with cash on hand, to repay $100 million of the outstanding indebtedness under our $500 million term loan B portion of the credit facility.</w:t>
      </w:r>
    </w:p>
    <w:p>
      <w:pPr>
        <w:spacing w:after="0" w:line="166" w:lineRule="exact"/>
        <w:rPr>
          <w:rFonts w:ascii="Arial" w:cs="Arial" w:eastAsia="Arial" w:hAnsi="Arial"/>
          <w:sz w:val="16"/>
          <w:szCs w:val="16"/>
          <w:color w:val="auto"/>
        </w:rPr>
      </w:pPr>
    </w:p>
    <w:p>
      <w:pPr>
        <w:ind w:left="1680" w:right="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used approximately $199 million of the net proceeds from the offering of the additional 2027 notes to repay a portion of the outstanding indebtedness under our Revolver.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DIVIDENDS AND DIVIDEND POLICY</w:t>
      </w:r>
    </w:p>
    <w:p>
      <w:pPr>
        <w:spacing w:after="0" w:line="231"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Our common stock trades on the New York Stock Exchange under the symbol "RHP." Since January 1, 2017, we declared the following cash dividends on our common stock:</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Declaration Date</w:t>
            </w:r>
          </w:p>
        </w:tc>
        <w:tc>
          <w:tcPr>
            <w:tcW w:w="1840" w:type="dxa"/>
            <w:vAlign w:val="bottom"/>
          </w:tcPr>
          <w:p>
            <w:pPr>
              <w:spacing w:after="0"/>
              <w:rPr>
                <w:sz w:val="14"/>
                <w:szCs w:val="14"/>
                <w:color w:val="auto"/>
              </w:rPr>
            </w:pP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Pr>
          <w:p>
            <w:pPr>
              <w:spacing w:after="0"/>
              <w:rPr>
                <w:sz w:val="14"/>
                <w:szCs w:val="14"/>
                <w:color w:val="auto"/>
              </w:rPr>
            </w:pPr>
          </w:p>
        </w:tc>
        <w:tc>
          <w:tcPr>
            <w:tcW w:w="1520" w:type="dxa"/>
            <w:vAlign w:val="bottom"/>
          </w:tcPr>
          <w:p>
            <w:pPr>
              <w:ind w:left="380"/>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2017</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April 14, 2017</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31, 2017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June 9, 2017</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rPr>
              <w:t>July 14, 2017</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June 19, 2017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18, 2017</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4"/>
              </w:rPr>
              <w:t>October 13, 2017</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September 29, 2017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December 8, 2017</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w w:val="94"/>
              </w:rPr>
              <w:t>January 16, 2018</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w w:val="94"/>
              </w:rPr>
              <w:t>December 29, 2017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23, 2018</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April 16, 2018</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30, 2018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June 18, 2018</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rPr>
              <w:t>July 16, 2018</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June 29, 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17, 2018</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4"/>
              </w:rPr>
              <w:t>October 15, 2018</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September 28, 2018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December 7, 2018</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w w:val="94"/>
              </w:rPr>
              <w:t>January 15, 2019</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w w:val="94"/>
              </w:rPr>
              <w:t>December 28, 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2019</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April 15, 2019</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29, 2019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June 18, 2019</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rPr>
              <w:t>July 15, 2019</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June 28, 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16, 2019</w:t>
            </w:r>
          </w:p>
        </w:tc>
        <w:tc>
          <w:tcPr>
            <w:tcW w:w="31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4"/>
              </w:rPr>
              <w:t>October 15, 2019</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September 30, 2019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December 6, 2019</w:t>
            </w:r>
          </w:p>
        </w:tc>
        <w:tc>
          <w:tcPr>
            <w:tcW w:w="3160" w:type="dxa"/>
            <w:vAlign w:val="bottom"/>
            <w:gridSpan w:val="2"/>
          </w:tcPr>
          <w:p>
            <w:pPr>
              <w:ind w:left="1820"/>
              <w:spacing w:after="0"/>
              <w:rPr>
                <w:sz w:val="20"/>
                <w:szCs w:val="20"/>
                <w:color w:val="auto"/>
              </w:rPr>
            </w:pPr>
            <w:r>
              <w:rPr>
                <w:rFonts w:ascii="Arial" w:cs="Arial" w:eastAsia="Arial" w:hAnsi="Arial"/>
                <w:sz w:val="18"/>
                <w:szCs w:val="18"/>
                <w:color w:val="auto"/>
                <w:w w:val="94"/>
              </w:rPr>
              <w:t>January 15, 2020</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w w:val="94"/>
              </w:rPr>
              <w:t>December 31, 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On December 6, 2019, the closing price for our common stock, as reported on the NYSE, was $89.91 per share. As of December 6, 2019, there were 775 holders of record of our common stock.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To maintain our qualification as a REIT, we intend to make distributions to our stockholders of at least 90% of our net taxable income. Pursuant to our current dividend policy, we currently plan to pay a quarterly cash dividend to stockholders in an amount equal to an annualized payment of at least 50% of adjusted funds from operations (as defined by us) less maintenance capital expenditures or 100% of REIT taxable income on an annual basis, whichever is greater. The declaration, timing and amount of dividends will be determined by future action of our Board of Directors. Our dividend policy may be altered at any time by our Board of Directors.</w:t>
      </w:r>
    </w:p>
    <w:p>
      <w:pPr>
        <w:spacing w:after="0" w:line="197"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paid our third quarter 2019 cash dividend of $0.90 per share of common stock on October 15, 2019 to stockholders of record as of September 30, 2019. We currently anticipate distributing total 2019 dividends of approximately $3.60 per share in cash in equal quarterly payments with the remaining payments occurring in January 2020. Any future dividend is subject to our Board of Directors' determinations as to the amount of quarterly distributions and the timing thereof.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60" w:firstLine="615"/>
        <w:spacing w:after="0" w:line="306" w:lineRule="auto"/>
        <w:rPr>
          <w:sz w:val="20"/>
          <w:szCs w:val="20"/>
          <w:color w:val="auto"/>
        </w:rPr>
      </w:pPr>
      <w:r>
        <w:rPr>
          <w:rFonts w:ascii="Arial" w:cs="Arial" w:eastAsia="Arial" w:hAnsi="Arial"/>
          <w:sz w:val="16"/>
          <w:szCs w:val="16"/>
          <w:color w:val="auto"/>
        </w:rPr>
        <w:t>Subject to the terms and conditions set forth in an underwriting agreement among us and BofA Securities, Inc., J.P. Morgan Securities LLC and Wells Fargo Securities, LLC, as the representatives of each of the underwriters named below, we have agreed to sell to the underwriters, and each of the underwriters has agreed, severally and not jointly, to purchase from us, the number of shares of common stock set forth opposite its name below.</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shares made outside of the United States may be made by affiliates of the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cover page of this prospectus supplement and to dealers at that price less a concession not in excess of $ per share. After the initial offering, the public offering price, concession or any other term of the offering may be changed.</w:t>
      </w:r>
    </w:p>
    <w:p>
      <w:pPr>
        <w:spacing w:after="0" w:line="192"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9"/>
              </w:rPr>
              <w:t>Without</w:t>
            </w:r>
          </w:p>
        </w:tc>
        <w:tc>
          <w:tcPr>
            <w:tcW w:w="160" w:type="dxa"/>
            <w:vAlign w:val="bottom"/>
          </w:tcPr>
          <w:p>
            <w:pPr>
              <w:spacing w:after="0"/>
              <w:rPr>
                <w:sz w:val="14"/>
                <w:szCs w:val="14"/>
                <w:color w:val="auto"/>
              </w:rPr>
            </w:pPr>
          </w:p>
        </w:tc>
        <w:tc>
          <w:tcPr>
            <w:tcW w:w="2280" w:type="dxa"/>
            <w:vAlign w:val="bottom"/>
            <w:gridSpan w:val="3"/>
          </w:tcPr>
          <w:p>
            <w:pPr>
              <w:ind w:left="140"/>
              <w:spacing w:after="0"/>
              <w:rPr>
                <w:sz w:val="20"/>
                <w:szCs w:val="20"/>
                <w:color w:val="auto"/>
              </w:rPr>
            </w:pPr>
            <w:r>
              <w:rPr>
                <w:rFonts w:ascii="Arial" w:cs="Arial" w:eastAsia="Arial" w:hAnsi="Arial"/>
                <w:sz w:val="14"/>
                <w:szCs w:val="14"/>
                <w:b w:val="1"/>
                <w:bCs w:val="1"/>
                <w:color w:val="auto"/>
              </w:rPr>
              <w:t>With</w:t>
            </w:r>
          </w:p>
        </w:tc>
      </w:tr>
      <w:tr>
        <w:trPr>
          <w:trHeight w:val="161"/>
        </w:trPr>
        <w:tc>
          <w:tcPr>
            <w:tcW w:w="1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Per Share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Option</w:t>
            </w:r>
          </w:p>
        </w:tc>
        <w:tc>
          <w:tcPr>
            <w:tcW w:w="1720" w:type="dxa"/>
            <w:vAlign w:val="bottom"/>
            <w:gridSpan w:val="2"/>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8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Underwriting discount</w:t>
            </w:r>
          </w:p>
        </w:tc>
        <w:tc>
          <w:tcPr>
            <w:tcW w:w="98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Company</w:t>
            </w:r>
          </w:p>
        </w:tc>
        <w:tc>
          <w:tcPr>
            <w:tcW w:w="98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430"/>
        </w:trPr>
        <w:tc>
          <w:tcPr>
            <w:tcW w:w="6440" w:type="dxa"/>
            <w:vAlign w:val="bottom"/>
            <w:gridSpan w:val="2"/>
          </w:tcPr>
          <w:p>
            <w:pPr>
              <w:spacing w:after="0"/>
              <w:rPr>
                <w:sz w:val="20"/>
                <w:szCs w:val="20"/>
                <w:color w:val="auto"/>
              </w:rPr>
            </w:pPr>
            <w:r>
              <w:rPr>
                <w:rFonts w:ascii="Arial" w:cs="Arial" w:eastAsia="Arial" w:hAnsi="Arial"/>
                <w:sz w:val="18"/>
                <w:szCs w:val="18"/>
                <w:color w:val="auto"/>
                <w:w w:val="91"/>
              </w:rPr>
              <w:t>The expenses of the offering, not including the underwriting discount, are estimated at $</w:t>
            </w:r>
          </w:p>
        </w:tc>
        <w:tc>
          <w:tcPr>
            <w:tcW w:w="240" w:type="dxa"/>
            <w:vAlign w:val="bottom"/>
          </w:tcPr>
          <w:p>
            <w:pPr>
              <w:spacing w:after="0"/>
              <w:rPr>
                <w:sz w:val="24"/>
                <w:szCs w:val="24"/>
                <w:color w:val="auto"/>
              </w:rPr>
            </w:pPr>
          </w:p>
        </w:tc>
        <w:tc>
          <w:tcPr>
            <w:tcW w:w="3960" w:type="dxa"/>
            <w:vAlign w:val="bottom"/>
            <w:gridSpan w:val="7"/>
          </w:tcPr>
          <w:p>
            <w:pPr>
              <w:ind w:left="40"/>
              <w:spacing w:after="0"/>
              <w:rPr>
                <w:sz w:val="20"/>
                <w:szCs w:val="20"/>
                <w:color w:val="auto"/>
              </w:rPr>
            </w:pPr>
            <w:r>
              <w:rPr>
                <w:rFonts w:ascii="Arial" w:cs="Arial" w:eastAsia="Arial" w:hAnsi="Arial"/>
                <w:sz w:val="18"/>
                <w:szCs w:val="18"/>
                <w:color w:val="auto"/>
                <w:w w:val="85"/>
              </w:rPr>
              <w:t>and are payable by us. We have agreed to reimburse the</w:t>
            </w:r>
          </w:p>
        </w:tc>
      </w:tr>
    </w:tbl>
    <w:p>
      <w:pPr>
        <w:spacing w:after="0"/>
        <w:rPr>
          <w:sz w:val="20"/>
          <w:szCs w:val="20"/>
          <w:color w:val="auto"/>
        </w:rPr>
      </w:pPr>
      <w:r>
        <w:rPr>
          <w:rFonts w:ascii="Arial" w:cs="Arial" w:eastAsia="Arial" w:hAnsi="Arial"/>
          <w:sz w:val="18"/>
          <w:szCs w:val="18"/>
          <w:color w:val="auto"/>
        </w:rPr>
        <w:t>underwriters for up to $10,000 of documented expenses incurred in connection with this offering.</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jc w:val="both"/>
        <w:ind w:right="80" w:firstLine="611"/>
        <w:spacing w:after="0" w:line="335" w:lineRule="auto"/>
        <w:rPr>
          <w:sz w:val="20"/>
          <w:szCs w:val="20"/>
          <w:color w:val="auto"/>
        </w:rPr>
      </w:pPr>
      <w:r>
        <w:rPr>
          <w:rFonts w:ascii="Arial" w:cs="Arial" w:eastAsia="Arial" w:hAnsi="Arial"/>
          <w:sz w:val="15"/>
          <w:szCs w:val="15"/>
          <w:color w:val="auto"/>
        </w:rPr>
        <w:t>We have granted an option to the underwriters, exercisable for 30 days after the date of this prospectus supplement, to purchase up to 450,000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Each of our executive officers and directors have agreed not to offer, sell, contract to sell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60 days after the date of this prospectus supplement, or the Lock-up Period, without the prior written consent of the representatives of the underwriters. The foregoing lock-up will not apply to (a) bona fide gifts, sales or other dispositions of shares of our common stock that are made exclusively (1) between the officer or director and any not-for-profit or charitable organization, in certain circumstances, not to exceed 25,000 shares, (2) between and/or among the officer or director or members of their family, (3) between the officer or director and a trust for the direct or indirect benefit of the officer or director or members of their family, (4) between the officer or director and any third party granted an interest in the officer's or director's, as applicable, will or under the laws of descent, (5) between the officer and director and their affiliates or (6) involving any shares of our common stock acquired by the officer or director in open market transactions after the completion of this offering; provided that, in the cases of (2) through (5) above and in certain circumstances, in the case of (1), it shall be a condition to any such transfer that the transferee/donee agrees to be bound by the terms of the lock-up; and provided further that, in the cases of (2) through (6) above and in certain circumstances, in the case of (1), it shall be a condition to any such transfer that (i) no filing by any party under the Exchange Act, shall be required or shall be voluntarily made in connection with such transfer or distribution (other than a filing on a Form 5, Schedule 13D or Schedule 13G (or 13D-A or 13G-A) made after the expiration of the Lock-up Period), and (ii) each party shall not be required by law to make, and shall agree to not voluntarily make, any public announcement of the transfer or disposition; (b) entering into a written plan meeting the requirements of Rule 10b5-1(c) under the Exchange Act, provided that no sales of shares of our common stock shall occur under such plan during the Lock-up Period; or (c) any transfers to us of shares of our common stock upon the exercise of stock incentive awards for the payment of any exercise price or tax withholding obligations in respect of such awards. We have entered into a similar agreement with the representatives of the underwriters. Other than as described above, there are no agreements between the representatives of the underwriters and any of our stockholders or affiliates releasing them from these lock-up agreements prior to the expiration of the Lock-up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shares are listed on the New York Stock Exchange under the symbol "RHP."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308"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3"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New York Stock Exchange, in the over-the-counter market or otherwise.</w:t>
      </w:r>
    </w:p>
    <w:p>
      <w:pPr>
        <w:spacing w:after="0" w:line="197"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firstLine="615"/>
        <w:spacing w:after="0" w:line="255"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To the extent we make repayments of outstanding borrowings under our Revolver, affiliates of certain of the underwriters of this offering act as lenders and/or agents under our Amended Credit Agreement, and, as a result, will receive their pro rata portion upon the repayment of outstanding borrowings under our Revolver with proceeds from this offering.</w:t>
      </w:r>
    </w:p>
    <w:p>
      <w:pPr>
        <w:spacing w:after="0" w:line="197" w:lineRule="exact"/>
        <w:rPr>
          <w:sz w:val="20"/>
          <w:szCs w:val="20"/>
          <w:color w:val="auto"/>
        </w:rPr>
      </w:pPr>
    </w:p>
    <w:p>
      <w:pPr>
        <w:ind w:right="22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short positions in such securities and instruments. Certain of the underwriters and/or their affiliates have been, may be, or are lenders and/or agents under one or more of our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80" w:firstLine="611"/>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Regulation), except that offers of shares may be made to the public in that Member State at any time under the following exemptions under the Prospectus Regulation:</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86" w:lineRule="exact"/>
        <w:rPr>
          <w:sz w:val="20"/>
          <w:szCs w:val="20"/>
          <w:color w:val="auto"/>
        </w:rPr>
      </w:pPr>
    </w:p>
    <w:p>
      <w:pPr>
        <w:ind w:right="220" w:firstLine="615"/>
        <w:spacing w:after="0" w:line="332" w:lineRule="auto"/>
        <w:rPr>
          <w:sz w:val="20"/>
          <w:szCs w:val="20"/>
          <w:color w:val="auto"/>
        </w:rPr>
      </w:pPr>
      <w:r>
        <w:rPr>
          <w:rFonts w:ascii="Arial" w:cs="Arial" w:eastAsia="Arial" w:hAnsi="Arial"/>
          <w:sz w:val="16"/>
          <w:szCs w:val="16"/>
          <w:color w:val="auto"/>
        </w:rPr>
        <w:t>Each person in a Member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139"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97" w:lineRule="exact"/>
        <w:rPr>
          <w:sz w:val="20"/>
          <w:szCs w:val="20"/>
          <w:color w:val="auto"/>
        </w:rPr>
      </w:pPr>
    </w:p>
    <w:p>
      <w:pPr>
        <w:ind w:right="580" w:firstLine="611"/>
        <w:spacing w:after="0" w:line="268"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86"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We have not and will not register with the Swiss Financial Market Supervisory Authority ("FINMA") as a foreign collective investment scheme pursuant to Article 119 of the Federal Act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Collective Investment Scheme of 23 June 2006, as amended ("CISA"), and accordingly the securities being offered pursuant to this prospectus supplement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supplement and any other materials relating to the securities are strictly personal and confidential to each offeree and do not constitute an offer to any other person. This prospectus supplement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supplement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supplement does not necessarily comply with the information standards set out in the listing rules of the SIX Swiss Exchange and corresponding prospectus schemes annexed to the listing rules of the SIX Swiss Exchange.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00" w:firstLine="611"/>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ind w:left="5540" w:right="3580" w:hanging="5532"/>
        <w:spacing w:after="0" w:line="511" w:lineRule="auto"/>
        <w:tabs>
          <w:tab w:leader="none" w:pos="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The validity of our common stock offered by this prospectus supplement and the accompanying prospectus and certain U.S. federal income tax matters will be passed upon for us by Bass, Berry &amp; Sims PLC. Certain legal matters in connection with this offering will be passed upon for the underwriters by Skadden, Arps, Slate, Meagher &amp; Flom LLP.</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611"/>
        <w:spacing w:after="0" w:line="290" w:lineRule="auto"/>
        <w:rPr>
          <w:rFonts w:ascii="Arial" w:cs="Arial" w:eastAsia="Arial" w:hAnsi="Arial"/>
          <w:sz w:val="16"/>
          <w:szCs w:val="16"/>
          <w:color w:val="0000EE"/>
        </w:rPr>
      </w:pPr>
      <w:hyperlink r:id="rId10">
        <w:r>
          <w:rPr>
            <w:rFonts w:ascii="Arial" w:cs="Arial" w:eastAsia="Arial" w:hAnsi="Arial"/>
            <w:sz w:val="16"/>
            <w:szCs w:val="16"/>
            <w:color w:val="auto"/>
          </w:rPr>
          <w:t xml:space="preserve">The consolidated financial statements of Ryman Hospitality Properties, Inc. and subsidiaries appearing in Ryman Hospitality Properties, Inc.'s </w:t>
        </w:r>
        <w:r>
          <w:rPr>
            <w:rFonts w:ascii="Arial" w:cs="Arial" w:eastAsia="Arial" w:hAnsi="Arial"/>
            <w:sz w:val="16"/>
            <w:szCs w:val="16"/>
            <w:u w:val="single" w:color="auto"/>
            <w:color w:val="0000EE"/>
          </w:rPr>
          <w:t>Annual</w:t>
        </w:r>
      </w:hyperlink>
      <w:r>
        <w:rPr>
          <w:rFonts w:ascii="Arial" w:cs="Arial" w:eastAsia="Arial" w:hAnsi="Arial"/>
          <w:sz w:val="16"/>
          <w:szCs w:val="16"/>
          <w:color w:val="auto"/>
        </w:rPr>
        <w:t xml:space="preserve"> </w:t>
      </w:r>
      <w:hyperlink r:id="rId10">
        <w:r>
          <w:rPr>
            <w:rFonts w:ascii="Arial" w:cs="Arial" w:eastAsia="Arial" w:hAnsi="Arial"/>
            <w:sz w:val="16"/>
            <w:szCs w:val="16"/>
            <w:u w:val="single" w:color="auto"/>
            <w:color w:val="0000EE"/>
          </w:rPr>
          <w:t>Report (Form 10-K) for the year ended December 31, 2018</w:t>
        </w:r>
        <w:r>
          <w:rPr>
            <w:rFonts w:ascii="Arial" w:cs="Arial" w:eastAsia="Arial" w:hAnsi="Arial"/>
            <w:sz w:val="16"/>
            <w:szCs w:val="16"/>
            <w:color w:val="000000"/>
          </w:rPr>
          <w:t xml:space="preserve">, including the schedule appearing therein, and the effectiveness of Ryman Hospitality Properties, </w:t>
        </w:r>
      </w:hyperlink>
      <w:r>
        <w:rPr>
          <w:rFonts w:ascii="Arial" w:cs="Arial" w:eastAsia="Arial" w:hAnsi="Arial"/>
          <w:sz w:val="16"/>
          <w:szCs w:val="16"/>
          <w:color w:val="0000EE"/>
        </w:rPr>
        <w:t xml:space="preserve">Inc. </w:t>
      </w:r>
      <w:r>
        <w:rPr>
          <w:rFonts w:ascii="Arial" w:cs="Arial" w:eastAsia="Arial" w:hAnsi="Arial"/>
          <w:sz w:val="16"/>
          <w:szCs w:val="16"/>
          <w:color w:val="000000"/>
        </w:rPr>
        <w:t>and subsidiaries' internal control over financial reporting as of December 31, 2018,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through the SEC's website at www.sec.gov. The SEC's website is included in this prospectus supplement as an inactive textual reference only. The information contained on the SEC's website is not incorporated by reference into this prospectus supplement and should not be considered to be part of this prospectus supplement unless such information is otherwise specifically referenced elsewhere in this prospectus supplement.</w:t>
      </w:r>
    </w:p>
    <w:p>
      <w:pPr>
        <w:spacing w:after="0" w:line="167"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address is www.rymanhp.com. Our website address is provided as an inactive textual reference only. Information contained on or accessible through our website is not part of this prospectus supplement, and is therefore not incorporated by reference unless such information is otherwise specifically referenced elsewhere in this prospectus supplement.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and accompanying prospectus information contained in documents that we file with it. This means that we can disclose important information to you by referring you to those documents. The information incorporated by reference into this prospectus supplement and accompanying prospectus is an important part of this prospectus supplement, and information we file later, prior to the termination of the offering,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supplement is terminated (other than, in each case, documents or information deemed to have been furnished and not filed in accordance with SEC rules,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including Current Reports on Form 8-K furnished under Item 2.02 or Item 7.01 (including any financial statements or exhibits relating thereto furnished pursuant to Item 9.01)):</w:t>
      </w:r>
    </w:p>
    <w:p>
      <w:pPr>
        <w:spacing w:after="0" w:line="199" w:lineRule="exact"/>
        <w:rPr>
          <w:sz w:val="20"/>
          <w:szCs w:val="20"/>
          <w:color w:val="auto"/>
        </w:rPr>
      </w:pPr>
    </w:p>
    <w:p>
      <w:pPr>
        <w:ind w:left="1080" w:right="260" w:hanging="532"/>
        <w:spacing w:after="0" w:line="259" w:lineRule="auto"/>
        <w:tabs>
          <w:tab w:leader="none" w:pos="1080" w:val="left"/>
        </w:tabs>
        <w:numPr>
          <w:ilvl w:val="0"/>
          <w:numId w:val="18"/>
        </w:numPr>
        <w:rPr>
          <w:rFonts w:ascii="Arial" w:cs="Arial" w:eastAsia="Arial" w:hAnsi="Arial"/>
          <w:sz w:val="18"/>
          <w:szCs w:val="18"/>
          <w:color w:val="0000EE"/>
        </w:rPr>
      </w:pPr>
      <w:hyperlink r:id="rId61">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10-K for the fiscal year ended December 31, 2018 filed on February 26, 2019</w:t>
        </w:r>
        <w:r>
          <w:rPr>
            <w:rFonts w:ascii="Arial" w:cs="Arial" w:eastAsia="Arial" w:hAnsi="Arial"/>
            <w:sz w:val="18"/>
            <w:szCs w:val="18"/>
            <w:color w:val="auto"/>
          </w:rPr>
          <w:t xml:space="preserve"> (including portions of our </w:t>
        </w:r>
        <w:r>
          <w:rPr>
            <w:rFonts w:ascii="Arial" w:cs="Arial" w:eastAsia="Arial" w:hAnsi="Arial"/>
            <w:sz w:val="18"/>
            <w:szCs w:val="18"/>
            <w:u w:val="single" w:color="auto"/>
            <w:color w:val="0000EE"/>
          </w:rPr>
          <w:t>Definitive</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Proxy Statement on Schedule 14A for our 2019 Meeting of Stockholders filed on April 2, 2019</w:t>
        </w:r>
        <w:r>
          <w:rPr>
            <w:rFonts w:ascii="Arial" w:cs="Arial" w:eastAsia="Arial" w:hAnsi="Arial"/>
            <w:sz w:val="18"/>
            <w:szCs w:val="18"/>
            <w:color w:val="0000EE"/>
          </w:rPr>
          <w:t xml:space="preserve"> </w:t>
        </w:r>
        <w:r>
          <w:rPr>
            <w:rFonts w:ascii="Arial" w:cs="Arial" w:eastAsia="Arial" w:hAnsi="Arial"/>
            <w:sz w:val="18"/>
            <w:szCs w:val="18"/>
            <w:color w:val="000000"/>
          </w:rPr>
          <w:t>with the SEC, to the extent specifically</w:t>
        </w:r>
      </w:hyperlink>
      <w:r>
        <w:rPr>
          <w:rFonts w:ascii="Arial" w:cs="Arial" w:eastAsia="Arial" w:hAnsi="Arial"/>
          <w:sz w:val="18"/>
          <w:szCs w:val="18"/>
          <w:color w:val="0000EE"/>
        </w:rPr>
        <w:t xml:space="preserve"> </w:t>
      </w:r>
      <w:r>
        <w:rPr>
          <w:rFonts w:ascii="Arial" w:cs="Arial" w:eastAsia="Arial" w:hAnsi="Arial"/>
          <w:sz w:val="18"/>
          <w:szCs w:val="18"/>
          <w:color w:val="000000"/>
        </w:rPr>
        <w:t>incorporated by reference in such Form 10-K);</w:t>
      </w:r>
    </w:p>
    <w:p>
      <w:pPr>
        <w:spacing w:after="0" w:line="221" w:lineRule="exact"/>
        <w:rPr>
          <w:rFonts w:ascii="Arial" w:cs="Arial" w:eastAsia="Arial" w:hAnsi="Arial"/>
          <w:sz w:val="18"/>
          <w:szCs w:val="18"/>
          <w:color w:val="0000EE"/>
        </w:rPr>
      </w:pPr>
    </w:p>
    <w:p>
      <w:pPr>
        <w:ind w:left="1080" w:right="320" w:hanging="532"/>
        <w:spacing w:after="0" w:line="268" w:lineRule="auto"/>
        <w:tabs>
          <w:tab w:leader="none" w:pos="1080" w:val="left"/>
        </w:tabs>
        <w:numPr>
          <w:ilvl w:val="0"/>
          <w:numId w:val="18"/>
        </w:numPr>
        <w:rPr>
          <w:rFonts w:ascii="Arial" w:cs="Arial" w:eastAsia="Arial" w:hAnsi="Arial"/>
          <w:sz w:val="18"/>
          <w:szCs w:val="18"/>
          <w:color w:val="0000EE"/>
        </w:rPr>
      </w:pPr>
      <w:hyperlink r:id="rId62">
        <w:r>
          <w:rPr>
            <w:rFonts w:ascii="Arial" w:cs="Arial" w:eastAsia="Arial" w:hAnsi="Arial"/>
            <w:sz w:val="18"/>
            <w:szCs w:val="18"/>
            <w:color w:val="auto"/>
          </w:rPr>
          <w:t xml:space="preserve">our Quarterly Reports on Form 10-Q for the quarterly periods ended March 31, 2019, June 30, 2019, and September 30, 2019, filed on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August 6, 2019</w:t>
        </w:r>
      </w:hyperlink>
      <w:hyperlink r:id="rId62">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November 5, 2019</w:t>
        </w:r>
      </w:hyperlink>
      <w:hyperlink r:id="rId62">
        <w:r>
          <w:rPr>
            <w:rFonts w:ascii="Arial" w:cs="Arial" w:eastAsia="Arial" w:hAnsi="Arial"/>
            <w:sz w:val="18"/>
            <w:szCs w:val="18"/>
            <w:color w:val="000000"/>
          </w:rPr>
          <w:t>, respectively, with the SEC;</w:t>
        </w:r>
      </w:hyperlink>
    </w:p>
    <w:p>
      <w:pPr>
        <w:spacing w:after="0" w:line="199" w:lineRule="exact"/>
        <w:rPr>
          <w:rFonts w:ascii="Arial" w:cs="Arial" w:eastAsia="Arial" w:hAnsi="Arial"/>
          <w:sz w:val="18"/>
          <w:szCs w:val="18"/>
          <w:color w:val="0000EE"/>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65">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March 27, 2019</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July 5, 2019</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September 12, 2019</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September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September 19,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October 8,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November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included in our Current Report on Form 8-K, filed on </w:t>
      </w:r>
      <w:hyperlink r:id="rId75">
        <w:r>
          <w:rPr>
            <w:rFonts w:ascii="Arial" w:cs="Arial" w:eastAsia="Arial" w:hAnsi="Arial"/>
            <w:sz w:val="18"/>
            <w:szCs w:val="18"/>
            <w:u w:val="single" w:color="auto"/>
            <w:color w:val="0000EE"/>
          </w:rPr>
          <w:t>November 2, 2012</w:t>
        </w:r>
      </w:hyperlink>
      <w:r>
        <w:rPr>
          <w:rFonts w:ascii="Arial" w:cs="Arial" w:eastAsia="Arial" w:hAnsi="Arial"/>
          <w:sz w:val="18"/>
          <w:szCs w:val="18"/>
          <w:color w:val="auto"/>
        </w:rPr>
        <w:t>, including all amendments and reports filed for purposes of updating such description.</w:t>
      </w:r>
    </w:p>
    <w:p>
      <w:pPr>
        <w:spacing w:after="0" w:line="186" w:lineRule="exact"/>
        <w:rPr>
          <w:rFonts w:ascii="Arial" w:cs="Arial" w:eastAsia="Arial" w:hAnsi="Arial"/>
          <w:sz w:val="18"/>
          <w:szCs w:val="18"/>
          <w:color w:val="0000EE"/>
        </w:rPr>
      </w:pPr>
    </w:p>
    <w:p>
      <w:pPr>
        <w:ind w:left="620"/>
        <w:spacing w:after="0"/>
        <w:rPr>
          <w:sz w:val="20"/>
          <w:szCs w:val="20"/>
          <w:color w:val="auto"/>
        </w:rPr>
      </w:pPr>
      <w:r>
        <w:rPr>
          <w:rFonts w:ascii="Arial" w:cs="Arial" w:eastAsia="Arial" w:hAnsi="Arial"/>
          <w:sz w:val="18"/>
          <w:szCs w:val="18"/>
          <w:color w:val="auto"/>
        </w:rPr>
        <w:t>You may request a copy of these filings at no cost, by writing or telephoning us as follows:</w:t>
      </w:r>
    </w:p>
    <w:p>
      <w:pPr>
        <w:spacing w:after="0" w:line="22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Ryman Hospitality Properties, Inc.</w:t>
      </w:r>
    </w:p>
    <w:p>
      <w:pPr>
        <w:spacing w:after="0" w:line="1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One Gaylord Drive</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Nashville, TN 37214</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(615) 316-6000</w:t>
      </w:r>
    </w:p>
    <w:p>
      <w:pPr>
        <w:spacing w:after="0" w:line="219" w:lineRule="exact"/>
        <w:rPr>
          <w:rFonts w:ascii="Arial" w:cs="Arial" w:eastAsia="Arial" w:hAnsi="Arial"/>
          <w:sz w:val="18"/>
          <w:szCs w:val="18"/>
          <w:color w:val="0000EE"/>
        </w:rPr>
      </w:pPr>
    </w:p>
    <w:p>
      <w:pPr>
        <w:ind w:right="220" w:firstLine="608"/>
        <w:spacing w:after="0" w:line="306" w:lineRule="auto"/>
        <w:rPr>
          <w:sz w:val="20"/>
          <w:szCs w:val="20"/>
          <w:color w:val="auto"/>
        </w:rPr>
      </w:pPr>
      <w:r>
        <w:rPr>
          <w:rFonts w:ascii="Arial" w:cs="Arial" w:eastAsia="Arial" w:hAnsi="Arial"/>
          <w:sz w:val="16"/>
          <w:szCs w:val="16"/>
          <w:color w:val="auto"/>
        </w:rPr>
        <w:t>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supplement and accompanying prospectus and should not be considered a part of this prospectus supplement and accompanying prospectus.</w:t>
      </w:r>
    </w:p>
    <w:p>
      <w:pPr>
        <w:spacing w:after="0" w:line="161"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148590</wp:posOffset>
            </wp:positionV>
            <wp:extent cx="2135505" cy="643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21355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from time to time, offer and sell our common stock, par value $0.01 per share, which we refer to as common stock, in amounts, at prices and on terms described in one or more supplements to this prospectus for sale directly to purchasers or through underwriters, dealers or agents to be designated at a future time.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describes some of the general terms that may apply to an offering of our common stock. We will provide the specific terms relating to a specific offering of our common stock, including the offering price, in supplements to this prospectus. The information in any prospectus supplement may supplement, update or change information contained in this prospectus, and we may supplement, update or change any of the information contained in this prospectus by incorporating information by reference. Before you invest, you should carefully read this prospectus, any prospectus supplement and any free writing prospectus or other offering material we authorize relating to our common stock and the documents incorporated by reference. This prospectus may not be used to sell shares of our common stock unless accompanied by a prospectus supplement.</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common stock may be offered and sold directly by us to or through one or more underwriters, dealers and agents or directly to purchasers or through a combination of these methods, on a continuous or delayed basis. The applicable prospectus supplement will provide the names of any underwriters, dealers or agents, the specific terms of the plan of distribution, any option to purchase additional shares and any applicable underwriting discounts and commissions. See "Plan of Distribution."</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common stock is listed on the New York Stock Exchange, or the NYSE, under the symbol "RHP." The closing price of our common stock as reported by the NYSE on December 6, 2019, was $89.91 per share.</w:t>
      </w:r>
    </w:p>
    <w:p>
      <w:pPr>
        <w:spacing w:after="0" w:line="167" w:lineRule="exact"/>
        <w:rPr>
          <w:sz w:val="20"/>
          <w:szCs w:val="20"/>
          <w:color w:val="auto"/>
        </w:rPr>
      </w:pPr>
    </w:p>
    <w:p>
      <w:pPr>
        <w:ind w:right="340" w:firstLine="351"/>
        <w:spacing w:after="0" w:line="261" w:lineRule="auto"/>
        <w:rPr>
          <w:sz w:val="20"/>
          <w:szCs w:val="20"/>
          <w:color w:val="auto"/>
        </w:rPr>
      </w:pPr>
      <w:r>
        <w:rPr>
          <w:rFonts w:ascii="Arial" w:cs="Arial" w:eastAsia="Arial" w:hAnsi="Arial"/>
          <w:sz w:val="21"/>
          <w:szCs w:val="21"/>
          <w:b w:val="1"/>
          <w:bCs w:val="1"/>
          <w:color w:val="auto"/>
        </w:rPr>
        <w:t>Investing in our common stock involves risks. See "Risk Factors" beginning on page 6 of this prospectus. You should also carefully consider the risk factors described in the accompanying prospectus supplement and the documents we incorporate by reference before purchasing any shares of our common stock.</w:t>
      </w:r>
    </w:p>
    <w:p>
      <w:pPr>
        <w:spacing w:after="0" w:line="171"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December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994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gridSpan w:val="5"/>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3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SPECIAL NOTE REGARDING FORWARD-LOOKING STATEMENTS</w:t>
              </w:r>
            </w:hyperlink>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WHERE YOU CAN FIND ADDITIONAL INFORMATION</w:t>
              </w:r>
            </w:hyperlink>
          </w:p>
        </w:tc>
        <w:tc>
          <w:tcPr>
            <w:tcW w:w="44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INFORMATION BY REFERENCE</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50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OUR COMPANY</w:t>
              </w:r>
            </w:hyperlink>
          </w:p>
        </w:tc>
        <w:tc>
          <w:tcPr>
            <w:tcW w:w="3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RISK FACTORS</w:t>
              </w:r>
            </w:hyperlink>
          </w:p>
        </w:tc>
        <w:tc>
          <w:tcPr>
            <w:tcW w:w="752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USE OF PROCEEDS</w:t>
              </w:r>
            </w:hyperlink>
          </w:p>
        </w:tc>
        <w:tc>
          <w:tcPr>
            <w:tcW w:w="7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 FEDERAL INCOME TAX CONSIDERATIONS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16</w:t>
              </w:r>
            </w:hyperlink>
          </w:p>
        </w:tc>
      </w:tr>
      <w:tr>
        <w:trPr>
          <w:trHeight w:val="196"/>
        </w:trPr>
        <w:tc>
          <w:tcPr>
            <w:tcW w:w="1140" w:type="dxa"/>
            <w:vAlign w:val="bottom"/>
          </w:tcPr>
          <w:p>
            <w:pPr>
              <w:spacing w:after="0"/>
              <w:rPr>
                <w:sz w:val="17"/>
                <w:szCs w:val="17"/>
                <w:color w:val="auto"/>
              </w:rPr>
            </w:pPr>
          </w:p>
        </w:tc>
        <w:tc>
          <w:tcPr>
            <w:tcW w:w="3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49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33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6800" w:type="dxa"/>
            <w:vAlign w:val="bottom"/>
            <w:gridSpan w:val="7"/>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35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7380" w:type="dxa"/>
            <w:vAlign w:val="bottom"/>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35</w:t>
              </w:r>
            </w:hyperlink>
          </w:p>
        </w:tc>
        <w:tc>
          <w:tcPr>
            <w:tcW w:w="130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35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This prospectus is part of a registration statement on Form S-3 that we filed with the U.S. Securities and Exchange Commission, or the SEC, as a "well-known seasoned issuer," as defined in Rule 405 under the Securities Act of 1933, as amended, or the Securities Act, using the "shelf" registration process. Under this process, we may sell, from time to time, our common stock described in this prospectus and the applicable prospectus supplement(s) in one or more offerings.</w:t>
      </w:r>
    </w:p>
    <w:p>
      <w:pPr>
        <w:spacing w:after="0" w:line="14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prospectus provides you with a general description of our common stock. Each time we sell our common stock under this prospectus, we will provide a prospectus supplement that will contain specific information about the terms of that offering, including the specific amounts, prices and terms of the common stock offered. The prospectus supplement may also add, update or change information contained in this prospectus. You should read this prospectus, the applicable prospectus supplement and the additional information described under the headings "Where You Can Find Additional Information" and "Incorporation of Certain Information by Reference" before making an investment decision. You should rely only on the information contained or incorporated by reference in this prospectus, any accompanying prospectus supplement or any free writing prospectus filed by us with the SEC and any information about the terms of our common stock offered or conveyed to you by us, our underwriters or agents.</w:t>
      </w:r>
    </w:p>
    <w:p>
      <w:pPr>
        <w:spacing w:after="0" w:line="172"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This prospectus and any accompanying prospectus supplements filed hereto are an offer to sell only the shares of common stock offered hereby, but only under circumstances and in jurisdictions where it is lawful to do so. The distribution of this prospectus, any accompanying prospectus supplements and any free writing prospectus that we may authorize for use in connection with an offering in certain jurisdictions may be restricted by law. If you possess this prospectus, any accompanying prospectus supplement or any free writing prospectus that we may authorize for use in connection with an offering, you should find out about and observe these restrictions. This prospectus and any accompanying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7" w:lineRule="exact"/>
        <w:rPr>
          <w:sz w:val="20"/>
          <w:szCs w:val="20"/>
          <w:color w:val="auto"/>
        </w:rPr>
      </w:pPr>
    </w:p>
    <w:p>
      <w:pPr>
        <w:ind w:right="80" w:firstLine="345"/>
        <w:spacing w:after="0" w:line="306" w:lineRule="auto"/>
        <w:rPr>
          <w:sz w:val="20"/>
          <w:szCs w:val="20"/>
          <w:color w:val="auto"/>
        </w:rPr>
      </w:pPr>
      <w:r>
        <w:rPr>
          <w:rFonts w:ascii="Arial" w:cs="Arial" w:eastAsia="Arial" w:hAnsi="Arial"/>
          <w:sz w:val="16"/>
          <w:szCs w:val="16"/>
          <w:color w:val="auto"/>
        </w:rPr>
        <w:t>You should not consider any information in this prospectus or any accompanying prospectus supplement to be investment, legal or tax advice. You should consult your own counsel, accountant and other advisors for legal, tax, business, financial and related advice regarding the purchase of the common stock. We do not make any representation to you regarding the legality of an investment in our common stock by you under applicable investment or similar laws.</w:t>
      </w:r>
    </w:p>
    <w:p>
      <w:pPr>
        <w:spacing w:after="0" w:line="161" w:lineRule="exact"/>
        <w:rPr>
          <w:sz w:val="20"/>
          <w:szCs w:val="20"/>
          <w:color w:val="auto"/>
        </w:rPr>
      </w:pPr>
    </w:p>
    <w:p>
      <w:pPr>
        <w:jc w:val="both"/>
        <w:ind w:right="80" w:firstLine="345"/>
        <w:spacing w:after="0" w:line="259" w:lineRule="auto"/>
        <w:rPr>
          <w:sz w:val="20"/>
          <w:szCs w:val="20"/>
          <w:color w:val="auto"/>
        </w:rPr>
      </w:pPr>
      <w:r>
        <w:rPr>
          <w:rFonts w:ascii="Arial" w:cs="Arial" w:eastAsia="Arial" w:hAnsi="Arial"/>
          <w:sz w:val="18"/>
          <w:szCs w:val="18"/>
          <w:color w:val="auto"/>
        </w:rPr>
        <w:t>You should not assume that the information in this prospectus, any accompanying prospectus supplement, any free writing prospectus or any documents we incorporate by reference is accurate as of any date other than the date on those documents. Our business, financial condition, results of operations and prospectus may have changed since that date.</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Unless otherwise mentioned or unless the context requires otherwise, in this prospectus "we," "us," "our" and the "Company" refer to Ryman Hospitality Properties, Inc., a Delaware corporation, together with its consolidated subsidiaries, including RHP Hotel Properties, LP, our operating partnership, or Operating Partnership. The term "you" refers to a prospective investor in our common stock that we may offer to sell from time to time under this prospectus and the applicable prospectus supplement containing specific information about the terms of such offering.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All brand and trade names, logos or trademarks contained, or referred to, in this prospectus, as well as any document incorporated by reference into this prospectus, are the properties of their respective owners. Other than the Company with respect to its owned marks, none of the owners of these trademarks, their affiliates or any of their respective officers, directors, agents or employees, has or will have any responsibility or liability for any information contained in this prospectus.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This prospectus (including the documents incorporated by reference into this prospectus) and any accompanying prospectus supplement may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U.S. federal income tax purposes; (ii) the holding of our non-qualifying REIT assets in one or more taxable REIT subsidiaries, or TRSs; (iii) our announced dividend policy, including the frequency and amount of any dividend we may pay; (iv) potential growth opportunities, including future expansion of the geographic diversity of our existing asset portfolio through acquisitions; (v) Marriott International, Inc.'s, or Marriott's, ability to effectively manage our hotels and other properties;</w:t>
      </w:r>
    </w:p>
    <w:p>
      <w:pPr>
        <w:spacing w:after="0" w:line="5" w:lineRule="exact"/>
        <w:rPr>
          <w:sz w:val="20"/>
          <w:szCs w:val="20"/>
          <w:color w:val="auto"/>
        </w:rPr>
      </w:pPr>
    </w:p>
    <w:p>
      <w:pPr>
        <w:ind w:right="20" w:firstLine="8"/>
        <w:spacing w:after="0" w:line="302" w:lineRule="auto"/>
        <w:tabs>
          <w:tab w:leader="none" w:pos="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163"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caution the reader that forward-looking statements involve risks and uncertainties that cannot be predicted or quantified, and, consequently, actual results may differ materially from those expressed or implied by such forward-looking statements. Although we believe that the plans, objectives, expectations and prospects reflected in or suggested by our forward-looking statements are reasonable, those statements involve uncertainties and risks, and we cannot assure you that our plans, objectives, expectations and prospects will be achieved. Important factors that could cause actual results to differ materially from those in the forward-looking statements include, but are not limited to, the risks and uncertainties associated with economic conditions affecting the hospitality business generally, the geographic concentration of our hotel properties, business levels at our hotels, the effect of our election to be taxed as a REIT for U.S. federal income tax purposes, commencing with the year ended December 31, 2013, our ability to remain qualified as a REIT, our ability to execute our strategic goals as a REIT, the success of new investments in our hotels for expansions, amenities and our investments in other projects, our ability to generate cash flows to support dividends, future board determinations regarding the timing and amount of dividends and changes to our dividend policy, our ability to borrow funds pursuant to our credit agreements and to refinance indebtedness, changes in interest rates, including future changes from LIBOR to a different base rate, and those factors listed under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caption "Risk Factors" in the documents incorporated by reference in this prospectus and any applicable prospectus supplement. All written or oral forward-looking statements attributable to us are expressly qualified in their entirety by these cautionary statements.</w:t>
      </w:r>
    </w:p>
    <w:p>
      <w:pPr>
        <w:spacing w:after="0" w:line="186"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Any forward-looking statement made in this prospectus or any accompanying prospectus supplement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or any accompanying prospectus supplement, except as may be required by law.</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we file with the SEC at its website at www.sec.gov. The information contained on the SEC's website is not incorporated by reference into this prospectus or any applicable prospectus supplement and should not be considered to be part of this prospectus unless such information is otherwise specifically referenced elsewhere in this prospectus or any applicable prospectus supplement. 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is www.rymanhp.com. Our website address is provided as an inactive textual reference only. Information contained on or accessible through our website is not part of this prospectus or any accompanying prospectus supplement and is therefore not incorporated by reference unless such information is otherwise specifically referenced elsewhere in this prospectus or any applicable prospectus supplement.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SEC allows us to "incorporate by reference" into this prospectus information contained in documents that we file with it. This means that we can disclose important information to you by referring you to those documents. The information incorporated by reference into this prospectus is an important part of this prospectus, and information we file later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w:t>
      </w:r>
    </w:p>
    <w:p>
      <w:pPr>
        <w:spacing w:after="0" w:line="186" w:lineRule="exact"/>
        <w:rPr>
          <w:sz w:val="20"/>
          <w:szCs w:val="20"/>
          <w:color w:val="auto"/>
        </w:rPr>
      </w:pPr>
    </w:p>
    <w:p>
      <w:pPr>
        <w:ind w:left="1080" w:right="200" w:hanging="532"/>
        <w:spacing w:after="0" w:line="259" w:lineRule="auto"/>
        <w:tabs>
          <w:tab w:leader="none" w:pos="1080" w:val="left"/>
        </w:tabs>
        <w:numPr>
          <w:ilvl w:val="0"/>
          <w:numId w:val="20"/>
        </w:numPr>
        <w:rPr>
          <w:rFonts w:ascii="Arial" w:cs="Arial" w:eastAsia="Arial" w:hAnsi="Arial"/>
          <w:sz w:val="18"/>
          <w:szCs w:val="18"/>
          <w:color w:val="0000EE"/>
        </w:rPr>
      </w:pPr>
      <w:hyperlink r:id="rId61">
        <w:r>
          <w:rPr>
            <w:rFonts w:ascii="Arial" w:cs="Arial" w:eastAsia="Arial" w:hAnsi="Arial"/>
            <w:sz w:val="18"/>
            <w:szCs w:val="18"/>
            <w:u w:val="single" w:color="auto"/>
            <w:color w:val="0000EE"/>
          </w:rPr>
          <w:t>our Annual Report on Form 10-K for the fiscal year ended December 31, 2018 filed on February 26, 2019</w:t>
        </w:r>
        <w:r>
          <w:rPr>
            <w:rFonts w:ascii="Arial" w:cs="Arial" w:eastAsia="Arial" w:hAnsi="Arial"/>
            <w:sz w:val="18"/>
            <w:szCs w:val="18"/>
            <w:color w:val="0000EE"/>
          </w:rPr>
          <w:t xml:space="preserve"> </w:t>
        </w:r>
        <w:r>
          <w:rPr>
            <w:rFonts w:ascii="Arial" w:cs="Arial" w:eastAsia="Arial" w:hAnsi="Arial"/>
            <w:sz w:val="18"/>
            <w:szCs w:val="18"/>
            <w:color w:val="000000"/>
          </w:rPr>
          <w:t>(including portions of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w:t>
        </w:r>
      </w:hyperlink>
      <w:r>
        <w:rPr>
          <w:rFonts w:ascii="Arial" w:cs="Arial" w:eastAsia="Arial" w:hAnsi="Arial"/>
          <w:sz w:val="18"/>
          <w:szCs w:val="18"/>
          <w:color w:val="0000EE"/>
        </w:rPr>
        <w:t xml:space="preserve"> </w:t>
      </w:r>
      <w:hyperlink r:id="rId61">
        <w:r>
          <w:rPr>
            <w:rFonts w:ascii="Arial" w:cs="Arial" w:eastAsia="Arial" w:hAnsi="Arial"/>
            <w:sz w:val="18"/>
            <w:szCs w:val="18"/>
            <w:u w:val="single" w:color="auto"/>
            <w:color w:val="0000EE"/>
          </w:rPr>
          <w:t>Proxy Statement on Schedule 14A for our 2019 Meeting of Stockholders filed on April 2, 2019</w:t>
        </w:r>
        <w:r>
          <w:rPr>
            <w:rFonts w:ascii="Arial" w:cs="Arial" w:eastAsia="Arial" w:hAnsi="Arial"/>
            <w:sz w:val="18"/>
            <w:szCs w:val="18"/>
            <w:color w:val="0000EE"/>
          </w:rPr>
          <w:t xml:space="preserve"> </w:t>
        </w:r>
        <w:r>
          <w:rPr>
            <w:rFonts w:ascii="Arial" w:cs="Arial" w:eastAsia="Arial" w:hAnsi="Arial"/>
            <w:sz w:val="18"/>
            <w:szCs w:val="18"/>
            <w:color w:val="000000"/>
          </w:rPr>
          <w:t>with the SEC, to the extent specifically</w:t>
        </w:r>
      </w:hyperlink>
      <w:r>
        <w:rPr>
          <w:rFonts w:ascii="Arial" w:cs="Arial" w:eastAsia="Arial" w:hAnsi="Arial"/>
          <w:sz w:val="18"/>
          <w:szCs w:val="18"/>
          <w:color w:val="0000EE"/>
        </w:rPr>
        <w:t xml:space="preserve"> </w:t>
      </w:r>
      <w:r>
        <w:rPr>
          <w:rFonts w:ascii="Arial" w:cs="Arial" w:eastAsia="Arial" w:hAnsi="Arial"/>
          <w:sz w:val="18"/>
          <w:szCs w:val="18"/>
          <w:color w:val="000000"/>
        </w:rPr>
        <w:t>incorporated by reference in such Form 10-K);</w:t>
      </w:r>
    </w:p>
    <w:p>
      <w:pPr>
        <w:spacing w:after="0" w:line="221" w:lineRule="exact"/>
        <w:rPr>
          <w:rFonts w:ascii="Arial" w:cs="Arial" w:eastAsia="Arial" w:hAnsi="Arial"/>
          <w:sz w:val="18"/>
          <w:szCs w:val="18"/>
          <w:color w:val="0000EE"/>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March 31, 2019, June 30, 2019, and September 30, 2019, filed with the SEC on </w:t>
      </w:r>
      <w:hyperlink r:id="rId62">
        <w:r>
          <w:rPr>
            <w:rFonts w:ascii="Arial" w:cs="Arial" w:eastAsia="Arial" w:hAnsi="Arial"/>
            <w:sz w:val="18"/>
            <w:szCs w:val="18"/>
            <w:u w:val="single" w:color="auto"/>
            <w:color w:val="0000EE"/>
          </w:rPr>
          <w:t>May 7, 2019</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August 6, 2019</w:t>
        </w:r>
      </w:hyperlink>
      <w:r>
        <w:rPr>
          <w:rFonts w:ascii="Arial" w:cs="Arial" w:eastAsia="Arial" w:hAnsi="Arial"/>
          <w:sz w:val="18"/>
          <w:szCs w:val="18"/>
          <w:color w:val="auto"/>
        </w:rPr>
        <w:t xml:space="preserve">, and </w:t>
      </w:r>
      <w:hyperlink r:id="rId64">
        <w:r>
          <w:rPr>
            <w:rFonts w:ascii="Arial" w:cs="Arial" w:eastAsia="Arial" w:hAnsi="Arial"/>
            <w:sz w:val="18"/>
            <w:szCs w:val="18"/>
            <w:u w:val="single" w:color="auto"/>
            <w:color w:val="0000EE"/>
          </w:rPr>
          <w:t>November 5, 2019</w:t>
        </w:r>
      </w:hyperlink>
      <w:r>
        <w:rPr>
          <w:rFonts w:ascii="Arial" w:cs="Arial" w:eastAsia="Arial" w:hAnsi="Arial"/>
          <w:sz w:val="18"/>
          <w:szCs w:val="18"/>
          <w:color w:val="auto"/>
        </w:rPr>
        <w:t>, respectively;</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0"/>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65">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March 27, 2019</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July 5, 2019</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September 12, 2019</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September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September 19,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October 8,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November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86" w:lineRule="exact"/>
        <w:rPr>
          <w:rFonts w:ascii="Arial" w:cs="Arial" w:eastAsia="Arial" w:hAnsi="Arial"/>
          <w:sz w:val="18"/>
          <w:szCs w:val="18"/>
          <w:color w:val="0000EE"/>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included in our Current Report on Form 8-K, filed on </w:t>
      </w:r>
      <w:hyperlink r:id="rId75">
        <w:r>
          <w:rPr>
            <w:rFonts w:ascii="Arial" w:cs="Arial" w:eastAsia="Arial" w:hAnsi="Arial"/>
            <w:sz w:val="18"/>
            <w:szCs w:val="18"/>
            <w:u w:val="single" w:color="auto"/>
            <w:color w:val="0000EE"/>
          </w:rPr>
          <w:t>November 2, 2012</w:t>
        </w:r>
      </w:hyperlink>
      <w:r>
        <w:rPr>
          <w:rFonts w:ascii="Arial" w:cs="Arial" w:eastAsia="Arial" w:hAnsi="Arial"/>
          <w:sz w:val="18"/>
          <w:szCs w:val="18"/>
          <w:color w:val="auto"/>
        </w:rPr>
        <w:t>, including all amendments and reports filed for purposes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writing or telephoning us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Ryman Hospitality Properties,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Gaylord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Nashville, TN 37214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(615) 316-6000</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and should not be considered a part of this prospectus.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Ryman Hospitality Properties, Inc. is the successor to Gaylord Entertainment Company, or Gaylord, a Delaware corporation originally incorporated in 1956. As part of the plan to restructure our business operations to facilitate our qualification as a real estate investment trust, or REIT, for U.S. federal income tax purposes, Gaylord merged with and into its wholly-owned subsidiary, Ryman Hospitality Properties, Inc., on October 1, 2012, with Ryman Hospitality Properties, Inc. as the surviving corporation, and Ryman Hospitality Properties, Inc. succeeded to and began conducting, either directly or indirectly, all of the business conducted by Gaylord immediately prior to the merger. We are a Delaware corporation that began operating as a self-advised and self-administered REIT for U.S. federal income tax purposes on January 1, 2013. We specialize in group-oriented, destination hotel assets in urban and resort markets. As a REIT, we generally will not be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U.S. federal and state corporate income taxes.</w:t>
      </w:r>
    </w:p>
    <w:p>
      <w:pPr>
        <w:spacing w:after="0" w:line="18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or Gaylord Opryland, the Gaylord Palms Resort &amp; Convention Center near Orlando, Florida, or Gaylord Palms, the Gaylord Texan Resort &amp; Convention Center near Dallas, Texas, or Gaylord Texan, and the Gaylord National Resort &amp; Convention Center near Washington D.C., or Gaylord National. Our other owned hotel assets managed by Marriott include the Inn at Opryland, a 303-room overflow hotel adjacent to Gaylord Opryland, and the AC Hotel at National Harbor, Washington D.C., or AC Hotel, a 192-room overflow hotel adjacent to Gaylord National. We also own a 62.1% interest in the joint venture that owns the Gaylord Rockies Resort &amp; Convention Center in Aurora, Colorado, or Gaylord Rockies, which opened in December 2018 and is managed by Marriott under the Gaylord Hotels brand.</w:t>
      </w:r>
    </w:p>
    <w:p>
      <w:pPr>
        <w:spacing w:after="0" w:line="17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downtown Nashville; WSM-AM, the Opry's radio home; Ole Red, a brand of Blake Shelton-themed bar, music venue and event spaces, with a flagship location in Nashville that opened in May 2018; and three Nashville-based assets managed by Marriott—Gaylord Springs Golf Links, the Wildhorse Saloon, and the General Jackson Showboat.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operations are organized into three principal business segments:</w:t>
      </w:r>
    </w:p>
    <w:p>
      <w:pPr>
        <w:spacing w:after="0" w:line="239" w:lineRule="exact"/>
        <w:rPr>
          <w:sz w:val="20"/>
          <w:szCs w:val="20"/>
          <w:color w:val="auto"/>
        </w:rPr>
      </w:pPr>
    </w:p>
    <w:p>
      <w:pPr>
        <w:ind w:left="1080" w:right="1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joint venture that owns the Gaylord Rockies;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New Country Ventures, and our other Nashville-based attractions;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 investment in our common stock pursuant to this prospectus and any applicable prospectus supplement involves significant risks. You should read and carefully consider the risks and uncertainties described in the risk factors set forth in our most recent Annual Report on Form 10-K, any subsequent Quarterly Reports on Form 10-Q and the other information contained or incorporated by reference in this prospectus, as updated, amended or superseded by our subsequent filings under the Exchange Act, and the risk factors and other information contained or incorporated by reference in any accompanying prospectus supplement before acquiring any shares of our common stock. The occurrence of any of such risks could materially and adversely affect our business, prospects, financial condition, results of operations and cash flow and may cause you to lose all or part of your investment in the offered shares of our common stock. Additional risks not presently known to us or that we currently believe are immaterial also may materially and adversely affect our business, financial condition, results of operations and cash flows. See "Where You Can Find Additional Information," "Incorporation of Certain Information by Reference" and "Special Note Regarding Forward-Looking Statements" of this prospectus.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set forth in the applicable prospectus supplement our intended use for the net proceeds received by us for our sale of our common stock under this prospectus.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summarizes the material terms our common stock as set forth in our Amended and Restated Certificate of Incorporation, or the Charter, our Amended and Restated Bylaws, or the Bylaws, and certain provisions of Delaware law which govern the rights of our common stock. While we believe that the following description covers the material terms of our capital stock, the following summary may not contain all of the information that is important to you and is subject to and qualified in its entirety by reference to the Charter and Bylaws and to applicable Delaware law. You should also read the applicable prospectus supplement, which will contain additional information and which may update or change some of the information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Charter authorizes us to issue up to 500,000,000 shares of capital stock, consisting of 400,000,000 shares of common stock, par value $.01 per share, and 100,000,000 shares of preferred stock, par value $.01 per share. All shares of our common stock will be validly issued, fully paid and non-assessable. Under Delaware law, stockholders generally are not personally liable for a corporation's acts or debts.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With respect to all matters upon which stockholders are entitled to vote, except as required by applicable law, the holders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entitled to one vote in person or by proxy for each share of our common stock outstanding in the name of such stockholder on the record of stockholders. Generally, all matters to be voted on by our stockholders must be approved by a majority (or by a plurality in the case of election of directors where the number of candidates nominated for election exceeds the number of directors to be elected) of the votes entitled to be cast by all shares of our common stock present in person or by proxy.</w:t>
      </w:r>
    </w:p>
    <w:p>
      <w:pPr>
        <w:spacing w:after="0" w:line="19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and rights, if any, of the holders of any outstanding class or series of preferred stock having a preference over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with respect to the payment of dividends, dividends may be declared and paid on our common stock from time to time and in amounts as our board of directors may determine.</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or dissolution or the winding up of our business, whether voluntarily or involuntarily, the holders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entitled to share ratably in all assets available for distribution after payment or provision for the payment of our debt and liabilities and to holders of preferred stock then outstanding of any amount required to be paid to them.</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holders of our common stock will not be entitled to any preemptive, subscription or redemption rights, and will not be entitled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any sinking fund.</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The transfer agent and registrar for our common stock is Computershare, Inc. Our common stock is listed on the NYSE under the symbol</w:t>
      </w:r>
      <w:r>
        <w:rPr>
          <w:rFonts w:ascii="Arial" w:cs="Arial" w:eastAsia="Arial" w:hAnsi="Arial"/>
          <w:sz w:val="18"/>
          <w:szCs w:val="18"/>
          <w:i w:val="1"/>
          <w:iCs w:val="1"/>
          <w:color w:val="auto"/>
        </w:rPr>
        <w:t xml:space="preserve"> </w:t>
      </w:r>
      <w:r>
        <w:rPr>
          <w:rFonts w:ascii="Arial" w:cs="Arial" w:eastAsia="Arial" w:hAnsi="Arial"/>
          <w:sz w:val="18"/>
          <w:szCs w:val="18"/>
          <w:color w:val="auto"/>
        </w:rPr>
        <w:t>"RHP."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Pursuant to the Charter, our board of directors is empowered, without any approval of our stockholders, to issue shares of preferred stock in one or more classes or series, to establish the number of shares in each class or series, and to fix the voting powers, designations, powers, preferences and relative, participating, optional or other rights, of each such class or series, and any qualifications, limitations or restrictions thereof. The specific rights and powers that may be determined by our board of directors include the authority to provide that any such class or series may be (i) subject to redemption at such time or times and at such price or prices; (ii) entitled to receive dividends (which may be cumulative or non-cumulative) at such rates, on such conditions, and at such times, and payable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preference to, or in such relation to, the dividends payable on any other class or classes or any other series; (iii) entitled to such rights upon the dissolution of, or upon any distribution of the assets of, us; or (iv) convertible into, or exchangeable for, shares of any other class or classes of stock.</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Currently, there are no shares of our preferred stock issued and outstanding.</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Because our board of directors will have the power to establish the preferences and rights of each class or series of preferred stock, it may afford the stockholders of any series of preferred stock preferences, powers and rights senior to the rights of holders of shares of our common stock, which could have the effect of delaying, deferring or preventing a change in control of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31"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For us to comply with and have maximum business flexibility under the Federal Communications Laws (defined in the Charter and including the Communications Act of 1934, as amended), and for us to qualify as a REIT under the Internal Revenue Code of 1986, as amended, or the Code, the Charter contains restrictions on stock ownership and stock transfers summarized below.</w:t>
      </w:r>
    </w:p>
    <w:p>
      <w:pPr>
        <w:spacing w:after="0" w:line="194"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All certificates, if any, representing shares of our capital stock will bear legends describing or referencing both sets of restrictions. Further, these ownership and transfer restrictions could delay, defer or prevent a transaction or a change in control that might involve a premium price for our common stock or otherwise be in the best interest of our stockholders.</w:t>
      </w:r>
    </w:p>
    <w:p>
      <w:pPr>
        <w:spacing w:after="0" w:line="194"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i w:val="1"/>
          <w:iCs w:val="1"/>
          <w:color w:val="auto"/>
        </w:rPr>
        <w:t xml:space="preserve">Federal Communications Laws Restrictions. </w:t>
      </w:r>
      <w:r>
        <w:rPr>
          <w:rFonts w:ascii="Arial" w:cs="Arial" w:eastAsia="Arial" w:hAnsi="Arial"/>
          <w:sz w:val="16"/>
          <w:szCs w:val="16"/>
          <w:color w:val="auto"/>
        </w:rPr>
        <w:t>The Charter permits us to restrict the ownership or proposed ownership of shares of our common stock if such</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or proposed ownership, or the exercise of any rights of ownership with respect to such ownership, by any person could result in any inconsistency with, or violation of, Federal Communications Laws (as defined in the Charter). Under the Charter, we may require any person whose ownership, or proposed ownership, or the exercise of any rights of ownership with respect to such ownership, of shares of our capital stock by any person may be inconsistent with, or in violation of, any provision of the Federal Communications Laws to promptly furnish to us such information (including, without limitation, information with respect to the citizenship, other ownership interests and affiliations) as we may reasonably request to determine whether the ownership of, or the exercise of any rights with respect to, shares of our capital stock by any such person could result in any inconsistency with, or violation of, the Federal Communications Laws. If such person fails to furnish all of the information that we request, or we conclude that such person's ownership or proposed ownership of our common stock, or the exercise by such person of any rights of stock ownership in connection with our common stock, may be inconsistent with, or in violation of, the Federal Communications Laws, under the terms of the Charter, we may (i) refuse to permit the transfer of shares of our capital stock to any proposed transferee,</w:t>
      </w:r>
    </w:p>
    <w:p>
      <w:pPr>
        <w:spacing w:after="0" w:line="5"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suspend those rights of stock ownership the exercise of which would result in any inconsistency with, or violation of, the Federal Communications Laws,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such shares of our capital stock pursuant to the procedures set forth below.</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procedures apply to the redemption of such person's capital stock:</w:t>
      </w:r>
    </w:p>
    <w:p>
      <w:pPr>
        <w:spacing w:after="0" w:line="239" w:lineRule="exact"/>
        <w:rPr>
          <w:sz w:val="20"/>
          <w:szCs w:val="20"/>
          <w:color w:val="auto"/>
        </w:rPr>
      </w:pPr>
    </w:p>
    <w:p>
      <w:pPr>
        <w:ind w:left="1080" w:right="32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redemption price of any redeemed shares of our capital stock shall be the lesser of (i) the Market Price (as defined in the Charter) of such shares on the date of the notice of redemption, and (ii) if such capital stock was purchased by a Disqualified Holder (as defined in the Charter) within one year of the redemption date, such Disqualified Holder's purchase price per share;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redemption price may be paid in cash, Redemption Securities (as defined in the Charter) or any combination thereof;</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in its sole discretion may decide to only redeem some (but not all) of a disqualified holder's shares, which may include the selection of the most recently purchased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acquired shares, selection by lot or selection by such other manner as determined by the board of directors;</w:t>
      </w:r>
    </w:p>
    <w:p>
      <w:pPr>
        <w:spacing w:after="0" w:line="239" w:lineRule="exact"/>
        <w:rPr>
          <w:sz w:val="20"/>
          <w:szCs w:val="20"/>
          <w:color w:val="auto"/>
        </w:rPr>
      </w:pPr>
    </w:p>
    <w:p>
      <w:pPr>
        <w:ind w:left="1080" w:right="160" w:hanging="532"/>
        <w:spacing w:after="0" w:line="294"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must provide at least 30 days' prior written notice to each record holder of the shares selected to be redeemed of the date on which we plan to effect the redemption (unless waived by such record holder); provided, that the redemption date may be the date on which written notice is given to such record holder if the cash or Redemption Securities necessary to effect the redemption have been deposited in trust for the benefit of such record holder and are subject to immediate withdrawal by such record holder upon surrender of the stock certificates (or, in the case of uncertificated shares, evidence of the transfer thereof) for the redeemed shares;</w:t>
      </w:r>
    </w:p>
    <w:p>
      <w:pPr>
        <w:spacing w:after="0" w:line="196"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from and after the date of the redemption, any and all rights relating to the redeemed shares shall cease and terminate and such record holder shall only possess the right to obtain cash (or any other of our debt or equity securities) payable upon the redemption;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terms and condition as our board of directors determines.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REIT-Related Restrictions. </w:t>
      </w:r>
      <w:r>
        <w:rPr>
          <w:rFonts w:ascii="Arial" w:cs="Arial" w:eastAsia="Arial" w:hAnsi="Arial"/>
          <w:sz w:val="16"/>
          <w:szCs w:val="16"/>
          <w:color w:val="auto"/>
        </w:rPr>
        <w:t>In order to qualify as a REIT under the Code for each taxable year beginning after December 31, 2013, our shares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stock must be beneficially owned by 100 or more persons during at least 335 days of a taxable year of 12 months or during a proportionate part of a shorter taxable year. Also, for our taxable years beginning after December 31, 2013, no more than 50% of the value of the outstanding shares of our capital stock may be owned, directly or constructively, by five or fewer individuals (as defined in the Code to include certain entities) during the second half of any calendar year.</w:t>
      </w:r>
    </w:p>
    <w:p>
      <w:pPr>
        <w:spacing w:after="0" w:line="16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Charter contains restrictions on the number of shares of our capital stock that a person may own, subject to certain exceptions. The Charter provides that (subject to certain exceptions described below) no person may beneficially own, or be deemed to own by virtue of the attribution provisions of the Code, more than 9.8% in value or in number of shares, whichever is more restrictive, of the aggregate of the outstanding shares of our capital stock, or any class or series of our capital stock. For purposes of these calculations, shares of capital stock that may be acquired upon conversion, exchange or exercise of any of our securities held by a person, but not capital stock issuable with respect to the conversion, exchange or exercise of our securities held by other persons, will be deemed to be outstanding prior to conversion, exchange or exercise.</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applicable constructive ownership rules under the Code are complex and may cause stock owned actually or constructively by a group of related individuals and/or entities to be treated as owned by one individual or entity. As a result, the acquisition of less than 9.8% in value or number of our outstanding capital stock or any class or series of our capital stock (including through the acquisition of an interest in an entity that owns, actually or constructively, any of our capital stock) by an individual or entity could nevertheless cause that individual or entity, or another individual or entity, to own, constructively or beneficially, in excess of 9.8% in value or number of our outstanding capital stock or any class or series of our capital stock.</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Charter, our board of directors has the power (prospectively or retroactively) to increase or decrease the 9.8% ownership limit referenced above. However, any decreased stock ownership limit will not apply to any person whose percentage ownership of our capital stock or any class or series of our capital stock, as the case may be, is in excess of such decreased stock ownership limit until that person's percentage ownership of our capital stock or any class or series of our capital stock, as the case may be, equals or falls below the decreased stock ownership limit. Until such a person's percentage ownership of our capital stock or any class or series of our capital stock, as the case may be, falls below such decreased stock ownership limit, any further acquisition of capital stock or any class or series of our capital stock, as the case may be, will be in violation of the decreased stock ownership limit.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board of directors, in its sole discretion, may exempt a person from the foregoing restrictions (as defined in the Charter, an "Excepted Holder"). The person seeking an exemption must provide to our board of directors such representations and undertakings and satisfy such conditions, in each case as our board of directors may deem necessary or advisable to conclude that granting the exemption will not cause us to lose our qualification as a REIT. Our board of directors may also require a ruling from the Internal Revenue Service or an opinion of counsel in order to determine or ensure our qualification as a REIT in the context of granting such exemptions. In addition to our board of directors having the discretion to exempt an Excepted Holder, the Charter provides that any other person that holds shares of common stock in excess of 9.8% of the outstanding shares of common stock on the date of the completion of the merger will be permitted to hold shares in an amount not to exceed the amount of shares held as of such date (provided, that in no event will any individual (within the meaning of Section 542(a)(2) of the Code as modified by Section 856 of the Code) be permitted to beneficially own or constructively own shares in excess of the 9.8% ownership limit).</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Pursuant to the Charter, our board of directors may only reduce the revised ownership limit for an Excepted Holder (i) with the written consent of such Excepted Holder, or (ii) pursuant to the terms and conditions of the agreements and undertakings entered into with such Excepted Holder in connection with the establishment of the revised ownership limit for that Excepted Holder. Notwithstanding the foregoing, our board of directors also may reduce the revised ownership limit then applicable to one or more particular Excepted Holders if such reduction is, in the judgment of the board of directors, in its sole discretion, necessary or advisable in enabling us to maintain its qualification as a REIT or is otherwise in our best interest. Any such decreased stock ownership limit, however, will not apply to any person whose percentage ownership of our capital stock or any class or series of capital stock, as the case may be, is in excess of such decreased stock ownership limit until that person's percentage ownership of our capital stock or any class or series of capital stock, as the case may be, equals or falls below the decreased stock ownership limit. Until such a person's percentage ownership of our capital stock or any class or series of capital stock, as the case may be, falls below such decreased stock ownership limit, any further acquisition of capital stock or any class or series of capital stock, as the case may be, will be in violation of the decreased stock ownership limit. The Charter also provides that no such decreased stock ownership limit applicable to any Excepted Holder shall be reduced to a percentage that is less than the stock ownership limit applicable to our stockholders generally.</w:t>
      </w:r>
    </w:p>
    <w:p>
      <w:pPr>
        <w:spacing w:after="0" w:line="18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Charter also (i) prohibits any person from beneficially or constructively owning shares of our capital stock that would result in us being "closely held" under Section 856(h) of the Code or otherwise cause us to fail to qualify as a REIT or (ii) any transfer of shares of capital stock if the transfer would result in our capital stock being beneficially owned by fewer than 100 persons. In addition, the Charter provides that (i) no person shall beneficially own shares of capital stock to the extent such beneficial ownership of capital stock would result in our failing to qualify as a "domestically controlled qualified investment entity" within the meaning of Section 897(h) of the Code, and (ii) no person shall beneficially own shares of capital stock to the extent such beneficial ownership of capital stock would result in our being "predominantly held" (within the meaning of Section 856(h)(3)(D) of the Code) by "qualified trusts" (within the meaning of Section 856(h)(3)(E) of the Code).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Charter provides that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The Charter provides that any attempted transfer of shares of our capital stock or other event which, if effective, would result in a violation of the foregoing restrictions will cause the number of shares causing the violation to be automatically transferred to a trust for the exclusive benefit of one or more charitable beneficiaries, and the proposed transferee or stockholder whose shares would result in this violation will not acquire any rights in such shares. The automatic transfer will be deemed to be effective as of the close of business on the Business Day (as defined in the Charter) prior to the date of the transfer or other event (but in no event earlier than the date of the closing of the merger). If, for any reason, the transfer to the trust does not occur or would not prevent a violation of the restrictions on ownership contained in the Charter, the Charter provides that the purported transfer will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or stockholder whose shares would result in this violation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74"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Within 20 days after receiving notice from us that shares of our capital stock have been transferred to the trust, the Charter provides that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or stockholder whose ownership would result in the violation and to the charitable beneficiary as follows: the proposed transferee or such stockholder will receive the lesser of (i) the price paid by the proposed transferee or stockholder for the shares or, if the proposed transferee did not give value for the shares in connection with the event causing the shares to be held in the trust (e.g., a gift, devise or other similar transaction or in the case of a non-transfer event), the Market Price (as defined in the Charter) of the shares on the day of the event causing the shares to be held in the trust and (ii)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or stockholder whose ownership would result in the violation, then (i) the shares shall be deemed to have been sold on behalf of the trust and (ii) to the extent that the proposed transferee received an amount for the shares that exceeds the amount the proposed transferee was entitled to receive, the excess shall be paid to the trustee upon demand.</w:t>
      </w:r>
    </w:p>
    <w:p>
      <w:pPr>
        <w:spacing w:after="0" w:line="16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addition, the Charter provides that shares of capital stock held in the trust will be deemed to have been offered for sale to us or our designee at a price per share equal to the lesser of the price per share in the transaction that resulted in the transfer to the trust (or, in the case of a devise or gift or non-transfer event, the market price at the time of the devise or gift or non-transfer event) and the market price on the date that we or our designee accept the offer. We will have the right to accept the offer until the trustee has sold the shares. Upon a sale to us, the interest of the charitable beneficiary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shares sold will terminate and the trustee will distribute the net proceeds of the sale to the proposed transferee or stockholder whose ownership would have resulted in the violation.</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Charter provides that every owner of more than 5% (or such lower percentage as required by the Code or the regulations promulgated thereunder) in number or in value of the outstanding shares of capital stock, within 30 days after the end of each taxable year, will be required to give written notice to us stating the name and address of such owner, the number of shares of our capital stock that the owner beneficially owns or constructively owns and a description of the manner in which the shares are held. Each owner must provide to us such additional information as we may request to determine the effect, if any, of the beneficial ownership or constructive ownership on our qualification as a REIT and to ensure compliance with the ownership limitations. In addition, the Charter provides that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the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the Charter and Bylaws</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Certain provisions of the Charter and Bylaws, described below, as well as the ability of our board of directors to issue shares of preferred stock and to set voting rights, preferences and other terms of the preferred stock, could delay, defer or prevent a transaction or a change in control in us that might involve a premium for the holders of our common stock or might otherwise not be in their best interests.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Size of the Board of Directors; Filling of Vacancies. </w:t>
      </w:r>
      <w:r>
        <w:rPr>
          <w:rFonts w:ascii="Arial" w:cs="Arial" w:eastAsia="Arial" w:hAnsi="Arial"/>
          <w:sz w:val="18"/>
          <w:szCs w:val="18"/>
          <w:color w:val="auto"/>
        </w:rPr>
        <w:t>The Charter provides that our board of directors shall consist of not less than one and not more than 15</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with the exact number fixed from time to time by the majority voting of the entire board of directors. The Charter provides that any vacancy on the board of directors, including one created by an increase in the number of directors, may be filled only by a majority of the directors then in office (even if less than a quorum), or by a sole remaining director. The combined result of these provisions is that our stockholders cannot increase the size of the board and fill newly created directorships without amending the Charter.</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Special Meeting of Stockholders; No Stockholder Action by Written Consent. </w:t>
      </w:r>
      <w:r>
        <w:rPr>
          <w:rFonts w:ascii="Arial" w:cs="Arial" w:eastAsia="Arial" w:hAnsi="Arial"/>
          <w:sz w:val="18"/>
          <w:szCs w:val="18"/>
          <w:color w:val="auto"/>
        </w:rPr>
        <w:t>The Charter provides that special meetings of stockholders may be called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chairman of the board of directors or a majority of the board of directors. The Charter also prohibits stockholders from taking any action by written consent. These provisions limit the ability of stockholders to take certain actions, except at an annual meeting of stockholders, which may hinder or delay the ability of others to acquire control of us.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i w:val="1"/>
          <w:iCs w:val="1"/>
          <w:color w:val="auto"/>
        </w:rPr>
        <w:t xml:space="preserve">Advance Notice of Director Nominations and Stockholder Proposals. </w:t>
      </w:r>
      <w:r>
        <w:rPr>
          <w:rFonts w:ascii="Arial" w:cs="Arial" w:eastAsia="Arial" w:hAnsi="Arial"/>
          <w:sz w:val="18"/>
          <w:szCs w:val="18"/>
          <w:color w:val="auto"/>
        </w:rPr>
        <w:t>The Bylaws include an advance notice provision, informational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time limitations on any director nomination or stockholder proposal that a stockholder wishes to make at a meeting of stockholders. Failure to comply with these advance notice, timing and informational requirements can result in a stockholder's director nomination or proposal not being considered at a meeting of stockholders.</w:t>
      </w:r>
    </w:p>
    <w:p>
      <w:pPr>
        <w:spacing w:after="0" w:line="197"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i w:val="1"/>
          <w:iCs w:val="1"/>
          <w:color w:val="auto"/>
        </w:rPr>
        <w:t xml:space="preserve">Supermajority Voting Requirements. </w:t>
      </w:r>
      <w:r>
        <w:rPr>
          <w:rFonts w:ascii="Arial" w:cs="Arial" w:eastAsia="Arial" w:hAnsi="Arial"/>
          <w:sz w:val="16"/>
          <w:szCs w:val="16"/>
          <w:color w:val="auto"/>
        </w:rPr>
        <w:t>As required by Delaware law, any amendment to the Charter must first be approved by our board of directors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law, thereafter approved by a majority of the outstanding shares entitled to vote with respect to the amendment. In addition, under the Charter, the</w:t>
      </w:r>
    </w:p>
    <w:p>
      <w:pPr>
        <w:ind w:right="60"/>
        <w:spacing w:after="0" w:line="233" w:lineRule="auto"/>
        <w:rPr>
          <w:sz w:val="20"/>
          <w:szCs w:val="20"/>
          <w:color w:val="auto"/>
        </w:rPr>
      </w:pPr>
      <w:r>
        <w:rPr>
          <w:rFonts w:ascii="Arial" w:cs="Arial" w:eastAsia="Arial" w:hAnsi="Arial"/>
          <w:sz w:val="18"/>
          <w:szCs w:val="18"/>
          <w:color w:val="auto"/>
        </w:rPr>
        <w:t>amendment, repeal, or adoption of any provision inconsistent with certain sections of the Charter requires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issued and outstanding stock entitled to vote thereon, voting together as a single class. The Charter and the Bylaws also provide that the Bylaws may be amended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issued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outstanding stock entitled to vote thereon, voting together as a single class. These supermajority voting provisions could delay, deter or prevent a change in control of us or our management.</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Ownership Limitations. </w:t>
      </w:r>
      <w:r>
        <w:rPr>
          <w:rFonts w:ascii="Arial" w:cs="Arial" w:eastAsia="Arial" w:hAnsi="Arial"/>
          <w:sz w:val="16"/>
          <w:szCs w:val="16"/>
          <w:color w:val="auto"/>
        </w:rPr>
        <w:t>Primarily to protect us against the risk of losing our status as a REIT, the Charter contains provisions that limit the ownership by</w:t>
      </w:r>
      <w:r>
        <w:rPr>
          <w:rFonts w:ascii="Arial" w:cs="Arial" w:eastAsia="Arial" w:hAnsi="Arial"/>
          <w:sz w:val="16"/>
          <w:szCs w:val="16"/>
          <w:i w:val="1"/>
          <w:iCs w:val="1"/>
          <w:color w:val="auto"/>
        </w:rPr>
        <w:t xml:space="preserve"> </w:t>
      </w:r>
      <w:r>
        <w:rPr>
          <w:rFonts w:ascii="Arial" w:cs="Arial" w:eastAsia="Arial" w:hAnsi="Arial"/>
          <w:sz w:val="16"/>
          <w:szCs w:val="16"/>
          <w:color w:val="auto"/>
        </w:rPr>
        <w:t>any person of shares of any class or series of our capital stock. Additionally, because we are subject to the regulations of the Federal Communications Commission, the Charter contains provisions limiting ownership of our capital stock if such ownership would violate or be inconsistent with U.S. federal communications laws. These provisions may have the effect of inhibiting or impeding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Delaware Law</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regulates corporate acquisitions. In general, Section 203 prohibits a publicly held Delaware corporation from engaging in a business combination with an interested stockholder for a period of three years following the date the person became an interested stockholder, unless:</w:t>
      </w:r>
    </w:p>
    <w:p>
      <w:pPr>
        <w:spacing w:after="0" w:line="208" w:lineRule="exact"/>
        <w:rPr>
          <w:sz w:val="20"/>
          <w:szCs w:val="20"/>
          <w:color w:val="auto"/>
        </w:rPr>
      </w:pPr>
    </w:p>
    <w:p>
      <w:pPr>
        <w:ind w:left="1080" w:right="7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approved the transaction in which the stockholder became an interested stockholder prior to the date the interested stockholder attained such status;</w:t>
      </w:r>
    </w:p>
    <w:p>
      <w:pPr>
        <w:spacing w:after="0" w:line="212"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0"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board of directors and by the affirmative vote of at least two-thirds of the outstanding voting stock that is not owned by the interested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 and Indemnification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Charter limits the liability of directors to the fullest extent permitted by Delaware law.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However, exculpation does not apply if the directors breached their duty of loyalty to us or our stockholders, acted in bad faith, knowingly or intentionally violated the law, authorized unlawful dividends, stock purchases or redemptions (as described under Section 174 of the General Corporation Law of the State of Delaware, or the DGCL), or derived an improper benefit from their actions as directors. Our certificate of incorporation further provides that if the DGCL is amended to authorize corporate action further eliminating or limiting the personal liability of directors, then the liability of the directors will be eliminated or limited to the fullest extent permitted by the DGCL, as amended. In addition, our Bylaws provide that we will indemnify our directors and officers to the fullest extent permitted by Delaware law.</w:t>
      </w:r>
    </w:p>
    <w:p>
      <w:pPr>
        <w:spacing w:after="0" w:line="172"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that may be broader than the specific indemnification provisions contained in the DGCL. These indemnification agreements are intended to complement the indemnification protection under the DGCL and our Charter and Bylaws documents and to provide for indemnification of these directors to the fullest extent permitted by applicable law.</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we maintain insurance on behalf of any person who is or was an officer or director against claims or liability asserted against him or her and incurred by him or her in such capacity,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arising out of his or her status as such, whether or not we would have the power or the obligation to indemnify him or her against such liability under our organizational documents.</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These provisions may also have the effect of reducing the likelihood of derivative litigation against directors and officers, even though such an action, if successful, might otherwise benefit us and our stockholders. In addition, the stockholders' investment may be adversely affected to the extent we pay the costs of settlement and damage awards against directors and officers pursuant to these indemnification provisions and/or separate indemnification agreements.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Insofar as the foregoing provisions permit indemnification of trustees,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following discussion is a general summary of U.S. federal income tax considerations regarding our election to be taxed as a REIT and the acquisition, ownership and disposition of our common stock. For purposes of this discussion, references to "we", "us" or "our", and any similar terms, refer to Ryman Hospitality Properties, Inc., a Delaware corporation, and do not include any of its subsidiaries, except as otherwise indicated. This summary is for general information only and is not tax advice.</w:t>
      </w:r>
    </w:p>
    <w:p>
      <w:pPr>
        <w:spacing w:after="0" w:line="197"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U.S. federal income tax laws that govern the qualification and treatment of a REIT, and the ownership and disposition of shares in a REIT, are highly technical and complex. This section contains a summary of applicable Code provisions, related rules and regulations and administrative and judicial interpretations, all of which are subject to change, and this summary is qualified in its entirety by the express language of such Code provisions, regulations and interpretations.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common stock,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No assurances can be given that the U.S. Internal Revenue Service, or the IRS, would not assert, or that a court would not sustain, a position contrary to any of the tax consequences described below. We have not sought and do not intend to seek an advance ruling from the IRS regarding our ability to qualify as a REIT. If successful, IRS challenges could result in significant tax liabilities for applicable parties. In addition, this summary is not exhaustive of all possible tax consequences related to our qualification and taxation as a REIT or to the ownership of our common stock, and does not discuss any estate, gift, state, local or foreign tax consequences. For all these reasons, we urge any holder or prospective acquiror of our securities to consult with a tax advisor about the U.S. federal income tax and other tax consequences of our qualification and taxation as a REIT, the acquisition, ownership and disposition of our common stock and potential changes in applicable tax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and Taxation of the Company</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Effective with our taxable year beginning January 1, 2013, we have elected to be taxed as a REIT under Sections 856 through 860 of the Code. Our REIT election, assuming continuing compliance with the then applicable qualification tests, will continue in effect for subsequent taxable years.</w:t>
      </w:r>
    </w:p>
    <w:p>
      <w:pPr>
        <w:spacing w:after="0" w:line="13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tax counsel, Bass, Berry &amp; Sims PLC, has provided to us an opinion that, since January 1, 2013, we were organized in conformity with the requirements for qualification as a REIT under the Code and that our current and anticipated investments and our plan of operation will enable us to meet and continue to meet the requirements for qualification and taxation as a REIT under the Code. Investors should be aware that Bass, Berry &amp; Sims PLC's opinion is based on the U.S. federal income tax law governing qualification as a REIT as of the date of such opinion, which is subject to change, possibly on a retroactive basis, is not binding on the IRS or any court, and speaks only as of the date issued. In addition, Bass, Berry &amp; Sims PLC's opinion is based on customary assumptions and is conditioned upon certain representations made by us as to factual matters, including representations regarding the nature of our assets and the future conduct of our business. Moreover, our continued qualification and taxation as a REIT depend on our ability to meet, on a continuing basis, through actual results, certain qualification tests set forth in the U.S. federal income tax laws. Those qualification tests involve the percentage of our gross income that we earn from specified sources, the percentage of our assets that falls within specified categories, the diversity of our stock ownership, and the percentage of our earnings that we distribute. Bass, Berry &amp; Sims PLC will not review our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compliance with those tests on a continuing basis. Accordingly, no assurance can be given that the actual results of our operations for any particular taxable year will satisfy such requirements. Bass, Berry &amp; Sims PLC's opinion does not foreclose the possibility that we may have to use one or more of the REIT savings provisions described below, which may require us to pay a material excise or penalty tax in order to maintain our REIT qualification. If we fail to qualify as a REIT in any year, and are not eligible for one or more of the REIT savings provisions, we will be subject to U.S. federal income taxation as if we were a</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 corporation, and our stockholders will be taxed like stockholders of C corporations. In this event, we could be subject to significant tax liabilities, and the amount of cash available for distribution to stockholders could be reduced or eliminated.</w:t>
      </w:r>
    </w:p>
    <w:p>
      <w:pPr>
        <w:spacing w:after="0" w:line="192"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Provided that we continue to qualify as a REIT, we will generally be entitled to a deduction for dividends that we pay and therefore will not be subject to U.S. federal corporate income tax on our net income that we distribute to our stockholders on a current basis. This deduction for dividends paid substantially eliminates the "double taxation" of corporate income (i.e., taxation at both the corporate and stockholder levels) that generally results from investment in a C corporation. In general, income that is generated by a REIT and distributed to its stockholders on a current basis is taxed only at the stockholder level.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 as a REIT, we would nonetheless be subject to U.S. federal income tax in the following circumstances:</w:t>
      </w:r>
    </w:p>
    <w:p>
      <w:pPr>
        <w:spacing w:after="0" w:line="239" w:lineRule="exact"/>
        <w:rPr>
          <w:sz w:val="20"/>
          <w:szCs w:val="20"/>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subject to tax at regular corporate rates (currently 21%) on any undistributed REIT taxable income, including undistributed net capital gains.</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100% excise tax may be imposed on some items received or accrued by us from our TRSs (as described below) if and to the extent that the IRS successfully asserts that the economic arrangements between our TRSs and us are not comparable to similar arrangements between unrelated parties.</w:t>
      </w:r>
    </w:p>
    <w:p>
      <w:pPr>
        <w:spacing w:after="0" w:line="207"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have income from prohibited transactions, which are, in general, sales or other dispositions of property held primarily for sale to customers in the ordinary course of business, other than foreclosure property, such income will be subject to a 100% tax.</w:t>
      </w:r>
    </w:p>
    <w:p>
      <w:pPr>
        <w:spacing w:after="0" w:line="152"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prohibited transaction tax on gain from a resale of that property (if the sale would otherwise constitute a prohibited transaction), but the income from the sale or operation of the property may be subject to U.S. federal corporate income tax at the highest applicable rate (currently 21%).</w:t>
      </w:r>
    </w:p>
    <w:p>
      <w:pPr>
        <w:spacing w:after="0" w:line="224"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discussed below), but nonetheless maintain our qualification as a REIT because certain other requirements are met, we will be subject to a 100% tax on an amount based on the magnitude of the failure adjusted to reflect the profit margin associated with our gross income.</w:t>
      </w:r>
    </w:p>
    <w:p>
      <w:pPr>
        <w:spacing w:after="0" w:line="207"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we fail to satisfy the asset tests (other than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or other requirements applicable to REITs, as described below, yet nonetheless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(currently 21%) if that amount exceeds $50,000 per failure.</w:t>
      </w:r>
    </w:p>
    <w:p>
      <w:pPr>
        <w:spacing w:after="0" w:line="210"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REIT ordinary income for such year, (ii) 95% of our REIT capital gain net income for such year,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(iii) any undistributed taxable income from prior periods, we will be required to pay a 4% excise tax on the excess of the required distribution over the sum of (a) the amounts that we actually distributed and (b) the amounts we retained and upon which we paid U.S. federal corporate income tax.</w:t>
      </w:r>
    </w:p>
    <w:p>
      <w:pPr>
        <w:spacing w:after="0" w:line="207" w:lineRule="exact"/>
        <w:rPr>
          <w:sz w:val="20"/>
          <w:szCs w:val="20"/>
          <w:color w:val="auto"/>
        </w:rPr>
      </w:pPr>
    </w:p>
    <w:p>
      <w:pPr>
        <w:jc w:val="both"/>
        <w:ind w:left="1080" w:right="2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the record keeping requirements intended to monitor our compliance with rules relating to the composition of a REIT's stockholders, as described below in "—Requirements for Qualification as a REIT—General."</w:t>
      </w:r>
    </w:p>
    <w:p>
      <w:pPr>
        <w:spacing w:after="0" w:line="221"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acquire appreciated assets from a corporation that is not a REIT (i.e., a corporation taxable under subchapter C of the Code) in a transaction in which the adjusted tax basis of the acquired assets in our hands is determined by reference to the adjusted tax basis of the assets in the hands of the C corporation, we may be subject to entity-level tax on the appreciation at the time of the acquisition at the highest corporate income tax rate then applicable if we subsequently recognize gain on a disposition of any such asset during the five-year period following its acquisition from the C corporation. The earnings of our TRSs are and generally will be subject to U.S. federal corporate income tax.</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we and our subsidiaries may be subject to a variety of taxes, including payroll taxes and state and local income, property and other taxes on our assets and operations. We could also be subject to tax in situations and on transactions not presently contemplated.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 as a REIT—General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the special Code provisions applicable to REITs;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certain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certain entities);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gross income and assets, and the distribution of its taxable income to stockholders.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first taxable year as a REIT (which, in our case, was 2013). Our certificate of incorporation provides restrictions regarding the ownership and transfers of our stock, which are intended to enable compliance with the stock ownership requirements described in conditions (5) and (6) above. These restrictions, however, may not ensure that we will, in all cases, be able to satisfy the stock ownership requirements described in such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In order to continue to qualify as a REIT, we cannot have, at the end of any taxable year, any "earnings and profits", or "E&amp;P", accumulated by us or by a predecessor with respect to periods as a taxable C corporation, or pre-REIT E&amp;P. We believe that our pre-REIT E&amp;P was distributed pursuant to the special E&amp;P distribution on December 21, 2012. The calculation of our pre-REIT E&amp;P, however, is a complex factual and legal determination, and there can be no assurance that the IRS will agree with our determination of our pre-REIT E&amp;P, and that it will not assert that we have violated this requirement for REIT qualification.</w:t>
      </w:r>
    </w:p>
    <w:p>
      <w:pPr>
        <w:spacing w:after="0" w:line="15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a corporation generally may not elect to become a REIT unless its taxable year is the calendar year. We have adopted December 31 as our year end, and thereby satisfy this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Subsidiary Entities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Ownership of Partnership Interests. </w:t>
      </w:r>
      <w:r>
        <w:rPr>
          <w:rFonts w:ascii="Arial" w:cs="Arial" w:eastAsia="Arial" w:hAnsi="Arial"/>
          <w:sz w:val="16"/>
          <w:szCs w:val="16"/>
          <w:color w:val="auto"/>
        </w:rPr>
        <w:t>In the case of a REIT that is a partner in a partnership, the Treasury regulations provide that the REIT is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to own its proportionate share of the partnership's assets and to earn its proportionate share of the partnership's income for purposes of the asset and gross income tests applicable to REITs as described below. Thus, our proportionate share of the assets, liabilities and items of income of any partnership in which we hold an interest will be treated as our assets and gross income for purpose of applying the various REIT qualification requirements. We hold substantially all of our assets, and conduct substantially all of our activities, through our subsidiary operating partnership, or the Operating Partnership.</w:t>
      </w:r>
    </w:p>
    <w:p>
      <w:pPr>
        <w:spacing w:after="0" w:line="170"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Congress recently revised the rules applicable to U.S. federal income tax audits of partnerships (such as the Operating Partnership) and the collection of any tax resulting from any such audits or other tax proceedings, generally for taxable years beginning after December 31, 2017. Under the new rules, the partnership itself may be liable for an increase in taxes that would ordinarily apply at the partner-level (including interest and penalties) resulting from an adjustment of partnership tax items on audit, regardless of changes in the composition of the partners (or their relative ownership) between the year under audit and the year of the adjustment. The new rules also include an elective alternative method under which the additional taxes resulting from the adjustment are assessed against the affected partners, subject to a higher rate of interest than otherwise would apply. Many questions remain as to how the new rules will apply, especially with respect to partners that are REITs (such as us), and it is not clear at this time what effect this new legislation will have on us. However, these changes could increase the U.S. federal income tax, interest, and/or penalties otherwise borne by us in the event of a U.S. federal income tax audit of the Operating Partnership or one of its subsidiary partnerships.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Disregarded Subsidiaries. </w:t>
      </w:r>
      <w:r>
        <w:rPr>
          <w:rFonts w:ascii="Arial" w:cs="Arial" w:eastAsia="Arial" w:hAnsi="Arial"/>
          <w:sz w:val="16"/>
          <w:szCs w:val="16"/>
          <w:color w:val="auto"/>
        </w:rPr>
        <w:t>If a REIT owns a corporate subsidiary that is a "qualified REIT subsidiary," the separate existence of that subsidiary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disregarded for U.S. federal income tax purposes. Generally, a qualified REIT subsidiary is a corporation, other than a TRS (as described below), all of the stock of which is owned by the REIT. All assets, liabilities, and items of income, deduction and credit of a qualified REIT subsidiary are treated as assets, liabilities, and items of income, deduction and credit of the REIT itself, including for purposes of the REIT income and asset tests. Other entities that are wholly-owned by us including, single member limited liability companies that have not elected to be taxed as corporations for U.S. federal income tax purposes, are also generally disregarded as separate entities for U.S. federal income tax purposes, including for purposes of the REIT qualification tests. Qualified REIT subsidiaries and other disregarded subsidiaries are not subject to U.S. federal income taxation, although they may be subject to taxation in some states.</w:t>
      </w:r>
    </w:p>
    <w:p>
      <w:pPr>
        <w:spacing w:after="0" w:line="17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Qualified REIT subsidiaries and other disregarded subsidiaries, along with any partnerships in which we hold or will hold an equity interest (including the Operating Partnership), are sometimes referred to herein as "pass-through subsidiaries." Because we are treated for U.S. federal income tax purposes, including for purposes of the REIT asset and income tests, as holding or receiving all or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proportionate share of the assets and income of our pass-through subsidiaries, including the Operating Partnership and any lower-tier pass-through subsidiaries, the assets and activities of these entities could affect our ability to satisfy the requirements for qualification as a REIT. Although we control the Operating Partnership, and intend to cause the Operating Partnership and any lower-tier pass-through subsidiaries to operate in a REIT-compliant fashion, no assurance can be given that the assets and activities of the Operating Partnership or any of any lower-tier entities will not adversely affect our ability to qualify as a REIT.</w:t>
      </w:r>
    </w:p>
    <w:p>
      <w:pPr>
        <w:spacing w:after="0" w:line="15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Taxable Corporations. </w:t>
      </w:r>
      <w:r>
        <w:rPr>
          <w:rFonts w:ascii="Arial" w:cs="Arial" w:eastAsia="Arial" w:hAnsi="Arial"/>
          <w:sz w:val="16"/>
          <w:szCs w:val="16"/>
          <w:color w:val="auto"/>
        </w:rPr>
        <w:t>A REIT generally may not own more than 10% of the securities, as measured by voting power or value, of a taxable C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it and the corporation elect to treat the corporation as a TRS. In general, and subject to certain restrictions that are summarized below, a REIT may jointly elect with a subsidiary corporation, whether or not wholly-owned, to treat the corporation as a TRS. The separate existence of a TRS or other taxable corporation is not ignored for U.S. federal income tax purposes. Accordingly, a REIT is not treated as holding the assets of a TRS or other taxable subsidiary corporation, or as receiving any income that the subsidiary earns. Rather, the shares of a taxable subsidiary that are owned by a REIT are assets in the hands of the REIT, and the REIT generally treats any dividends received from such taxable subsidiary as income. This treatment can affect the income and asset test calculations that apply to the REIT. Because a parent REIT does not include the assets and income of TRSs or other taxable subsidiary corporations in determining the parent REIT's compliance with the REIT requirements, such entities may be used by the parent REIT to undertake indirectly certain activities that the REIT rules might otherwise preclude the parent REIT from engaging in directly or through pass-through subsidiaries. Moreover, special rules allow REITs to receive rental income from TRSs with respect to leased lodging properties, without the rental income being treated as nonqualified rents from a related party for purposes of the REIT gross income tests, provided that certain requirements (as described below) are met. Our TRSs are and generally will be subject to U.S. federal corporate income tax on their earnings, which may reduce the cash flow that we and our subsidiaries generate in the aggregate, and may reduce our ability to make distributions to our stockholders.</w:t>
      </w:r>
    </w:p>
    <w:p>
      <w:pPr>
        <w:spacing w:after="0" w:line="17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One requirement applicable to TRSs is that they cannot directly or indirectly operate or manage a lodging facility (or health care facility) or, generally, provide to another person, under a franchise, license or otherwise, rights to any brand name under which any lodging facility (or health care facility) is operated. Although a TRS may not operate or manage a lodging facility, it may lease or own such a facility, so long as the facility is a "qualified lodging facility" and such facility is operated on behalf of the TRS by an "eligible independent contractor." A qualified lodging facility is, generally, a hotel at or in connection with which no authorized wagering activities are conducted, and includes the customary amenities and facilities operated as part of, or associated with, the hotel. "Customary amenities" must be customary for other properties of a comparable size and class owned by other owners unrelated to the REIT.</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"eligible independent contractor" is an independent contractor which, at the time that a management agreement is entered into with a TRS to operate a qualified lodging facility, is actively engaged in the trade or business of operating qualified lodging facilities for a person or persons unrelated to the TRS and its parent REIT. In order for a hotel management company to qualify as an eligible independent contractor, it must not be related to the REIT, determined by applying certain complex ownership attribution rules under the Code. In general, a prohibited relationship will exist between the contractor and the REIT if either the contractor owns, or is deemed to own, more than 35% of the REIT's stock, or if there is more than 35% common ownership, directly or constructively, of the equity of the REIT and the contractor. For this purpose, where shares of the REIT and of the contractor are regularly traded on an established securities market, only the holdings of persons that own more than 5% of such traded class of shares are taken into account.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principal hotel properties are leased to subsidiaries of entities that have elected to be treated as TRSs, and an affiliate of Marriott manages these properties as an eligible independent contractor. We believe that these arrangements comply with the REIT requirements described above that apply to TRSs and eligible independent contractors. There can be no assurance, however, that the IRS will not assert a contrary position.</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TRSs may be limited in their ability to deduct interest payments in excess of a certain amount made directly or indirectly to us or third parties. Further, the rules impose a 100% excise tax on transactions between a TRS and its parent REIT, or the REIT's tenants, that are not conducted on an arm's-length basis. Our transactions with our TRSs have been and will continue to be conducted on an arm's-length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Income Tests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order for us to continue to qualify as a REIT, we must satisfy two gross income requirements on an annual basis. First, at least 75% of our gross income for each taxable year must generally be derived from "rents from real property," gains from the sale of real estate assets, interest income derived from mortgage loans secured by real property, dividends received from other REITs, and specified income from temporary investments. Second, at least 95% of our gross income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and certain other categories of income, are excluded from both the numerator and the denominator for purposes of both the 75% and 95% gross income tests. Substantially all of our gross income has been, and is anticipated to be, comprised of rents from leases of our hotel properties to our TRSs, together with dividends, and possibly interest, received from the TRSs.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Rents from Real Property. </w:t>
      </w:r>
      <w:r>
        <w:rPr>
          <w:rFonts w:ascii="Arial" w:cs="Arial" w:eastAsia="Arial" w:hAnsi="Arial"/>
          <w:sz w:val="18"/>
          <w:szCs w:val="18"/>
          <w:color w:val="auto"/>
        </w:rPr>
        <w:t>Rents we receive will qualify as "rents from real property" in satisfying the gross income requirements described above only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following conditions are met:</w:t>
      </w:r>
    </w:p>
    <w:p>
      <w:pPr>
        <w:spacing w:after="0" w:line="199" w:lineRule="exact"/>
        <w:rPr>
          <w:sz w:val="20"/>
          <w:szCs w:val="20"/>
          <w:color w:val="auto"/>
        </w:rPr>
      </w:pPr>
    </w:p>
    <w:p>
      <w:pPr>
        <w:ind w:left="1080" w:right="6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rent attributable to personal property, leased in connection with a lease of real property, does not exceed 15% of the total rent received under the lease, the rent attributable to the personal property may generally be treated as rents from real property. However, if rent attributable to personal property exceeds 15% of the total rent received under the lease, then none of the rent attributable to the personal property will qualify as rents from real property.</w:t>
      </w:r>
    </w:p>
    <w:p>
      <w:pPr>
        <w:spacing w:after="0" w:line="224"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of rent must not be based in whole or in part on the income or profits of any person. Amounts received as rent generally will not be excluded from rents from real property, however, solely by reason of being based on fixed percentages of gross receipts or sales.</w:t>
      </w:r>
    </w:p>
    <w:p>
      <w:pPr>
        <w:spacing w:after="0" w:line="152" w:lineRule="exact"/>
        <w:rPr>
          <w:rFonts w:ascii="Arial" w:cs="Arial" w:eastAsia="Arial" w:hAnsi="Arial"/>
          <w:sz w:val="16"/>
          <w:szCs w:val="16"/>
          <w:color w:val="auto"/>
        </w:rPr>
      </w:pPr>
    </w:p>
    <w:p>
      <w:pPr>
        <w:ind w:left="1080" w:right="200" w:hanging="532"/>
        <w:spacing w:after="0" w:line="29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Rents received from a related party (i.e., a tenant in which the REIT holds a 10% or greater ownership interest, directly or constructively) generally will not qualify as rents from real property in satisfying the gross income tests unless the tenant is a TRS, and certain requirements are met regarding the type of property (a qualified lodging facility) and its manner of operation (it must be managed by an eligible independent contractor). See "—Effect of Subsidiary Entities—Taxable Corporations" above for a summary of these requirements.</w:t>
      </w:r>
    </w:p>
    <w:p>
      <w:pPr>
        <w:spacing w:after="0" w:line="180"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REITs are generally permitted to provide to their tenants only services that are "usually or customarily rendered" in connection with the rental of space for occupancy only and not otherwise considered to be provided for the tenants' convenience. Our principal hotel properties are leased to TRSs (or pass-through subsidiaries of TRSs) and have not, and do not expect to, provide services to our tenants other than those which are usually or customarily rendered in connection with the rental of space for occupancy only. The rules governing REITs also permit REITs to provide non-customary services to tenants through an independent contractor that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94" w:lineRule="auto"/>
        <w:rPr>
          <w:sz w:val="20"/>
          <w:szCs w:val="20"/>
          <w:color w:val="auto"/>
        </w:rPr>
      </w:pPr>
      <w:r>
        <w:rPr>
          <w:rFonts w:ascii="Arial" w:cs="Arial" w:eastAsia="Arial" w:hAnsi="Arial"/>
          <w:sz w:val="16"/>
          <w:szCs w:val="16"/>
          <w:color w:val="auto"/>
        </w:rPr>
        <w:t>adequately compensated and from which the REIT derives no income, or through a TRS. In addition, REITs are permitted to provide minimal amounts of non-customary services to their tenants without using an independent contractor or a TRS. However, the income attributable to these non-customary services will be treated as nonqualifying income for purposes of the REIT gross income tests, and if the income attributable to these services exceeds 1% of the REIT's total income from the property in question, then all of the income from that property, including the portion attributable to rent, will fail to qualify as rents from real property for purposes of the REIT gross income tests.</w:t>
      </w:r>
    </w:p>
    <w:p>
      <w:pPr>
        <w:spacing w:after="0" w:line="170"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indicated above, rents from real property must generally not be based in whole or in part on the income or profits of any person. Our leases provide for periodic payments of a specified base rent, together with additional rent that is calculated based upon the gross revenues of the leased hotels. Payments made pursuant to these leases should therefore qualify as rents from real property, provided that the rent formulas were not used as a means of basing rent on income or profits, and the leases are not renegotiated during their term so as to have that effect. In order for the rent paid by TRSs to us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leases are true leases for U.S. federal income tax purposes depends upon an analysis of all the surrounding facts and circumstances.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Dividend Income. </w:t>
      </w:r>
      <w:r>
        <w:rPr>
          <w:rFonts w:ascii="Arial" w:cs="Arial" w:eastAsia="Arial" w:hAnsi="Arial"/>
          <w:sz w:val="16"/>
          <w:szCs w:val="16"/>
          <w:color w:val="auto"/>
        </w:rPr>
        <w:t>We receive distributions from our TRSs that will be treated as dividend income to the extent of the TRSs E&amp;P. Such distributions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be qualifying income for purposes of the 95% gross income test but not for purposes of the 75% gross income test.</w:t>
      </w:r>
    </w:p>
    <w:p>
      <w:pPr>
        <w:spacing w:after="0" w:line="139"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Any interest income that we derive from our TRSs or other persons will generally constitute qualifying income for purposes of the 95%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income test, and will also qualify for purposes of the 75% gross income test if it is received or accrued with respect to a mortgage loan that is fully secured by real property. For purposes of the 75% and 95% gross income tests, the term "interest" generally excludes any amount that is based in whole or in part on the income or profits of any person. However, an amount received or accrued generally will not be excluded from the term "interest" solely by reason of being based on a fixed percentage or percentages of receipts or sales.</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Any income or gain we derive from instruments that hedge certain risks, such as the risk of changes in interest rates,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excluded altogether from gross income for purposes of both the 75% and 95% gross income tests (i.e., it will not be counted in either the numerator or in the denominator), provided that specified requirements are met, including the requirement that the instrument is entered into during the ordinary course of our business, the instrument hedges risks associated with indebtedness issued by us (or by a pass-through subsidiary of ours) that is incurred to acquire or carry "real estate assets" (as described below under "—Asset Tests"), and the instrument is properly identified as a hedge along with the risk that it hedges within prescribed time periods. Income and gain from all other hedging transactions will not be qualifying income for either the 75% or 95% gross income test.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Failure to Satisfy the Income Tests. </w:t>
      </w:r>
      <w:r>
        <w:rPr>
          <w:rFonts w:ascii="Arial" w:cs="Arial" w:eastAsia="Arial" w:hAnsi="Arial"/>
          <w:sz w:val="18"/>
          <w:szCs w:val="18"/>
          <w:color w:val="auto"/>
        </w:rPr>
        <w:t>If we fail to satisfy one or both of the 75% or 95% gross income tests for any taxable year, we may nevertheless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a REIT for the year if we are entitled to relief under certain provisions of the Code. These relief provisions will be generally available if our failure to meet these tests was due to reasonable cause and not due to willful neglect, and we attach to our tax return for such year a schedule of the sources of our income. It is not possible to state whether we would be entitled to the benefit of these relief provisions in all circumstances. If these relief provisions were inapplicable to a particular set of circumstances, we would not qualify as a REIT.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continue to qualify as a REIT, we must generally satisfy five tests at the close of each calendar quarter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the term real estate assets includes interests in real property, such as land, buildings, leasehold interests in real property, stock of other corporations that qualify as REITs, and certain mortgage loans and mortgage-backed securities. Assets that do not qualify for purposes of this test are also subject to the additional asset tests described below.</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Second, the value of any one issuer's securities owned by us may not exceed 5% of the value of our total assets. Third, we may not own more than 10% of any one issuer's outstanding securities, as measured by either voting power or value. The 5% and 10% asset tests do not apply to securities of our TRSs and our qualified REIT subsidiaries and do not apply to "straight debt" or other securities having certain characteristics. Solely for purposes of the 10% asset test, the determination of our interest in the assets of the partnership in which we own an interest will be based on our proportionate interest in any securities issued by the partnership, excluding for this purpose certain securities described in the Code. Fourth, the aggregate value of all securities of TRSs that we hold, together with any other securities not includible under the 75% test stated above may not, in the aggregate, exceed 25% of the value of our total assets. Fifth, not more than 20% of the value of our total assets may consist of securities of our TRSs.</w:t>
      </w:r>
    </w:p>
    <w:p>
      <w:pPr>
        <w:spacing w:after="0" w:line="172"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Certain relief provisions are available to allow REITs to satisfy the asset requirements or to maintain REIT qualification notwithstanding certain violations of the asset and other requirements. One such provision allows a REIT which fails one or more of the asset requirements nevertheless to maintain its REIT qualification if (1) the REIT provides the IRS with a description of each asset causing the failure, (2) the failure is due to reasonable cause and not willful neglect,</w:t>
      </w:r>
    </w:p>
    <w:p>
      <w:pPr>
        <w:spacing w:after="0" w:line="1" w:lineRule="exact"/>
        <w:rPr>
          <w:sz w:val="20"/>
          <w:szCs w:val="20"/>
          <w:color w:val="auto"/>
        </w:rPr>
      </w:pPr>
    </w:p>
    <w:p>
      <w:pPr>
        <w:ind w:right="200" w:firstLine="8"/>
        <w:spacing w:after="0" w:line="302"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REIT pays a tax equal to the greater of (a) $50,000 per failure and (b) the product of the net income generated by the assets that caused the failure multiplied by the highest applicable corporate tax rate (currently 21%), and (4) the REIT either disposes of the assets causing the failure within six months after the last day of the quarter in which it identifies the failure or otherwise satisfies the relevant asset tests within that time frame.</w:t>
      </w:r>
    </w:p>
    <w:p>
      <w:pPr>
        <w:spacing w:after="0" w:line="163"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 xml:space="preserve">In the case of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of the 5% and 10% asset tests, a REIT may maintain its qualification despite a violation of such requirements if (1) the value of the assets causing the violation does not exceed the lesser of 1% of the REIT's total assets and $10 million and (2) the REIT either disposes of the assets causing the failure within six months after the last day of the quarter in which it identifies the failure or the relevant asset tests are otherwise satisfied within that time frame.</w:t>
      </w:r>
    </w:p>
    <w:p>
      <w:pPr>
        <w:spacing w:after="0" w:line="197" w:lineRule="exact"/>
        <w:rPr>
          <w:sz w:val="20"/>
          <w:szCs w:val="20"/>
          <w:color w:val="auto"/>
        </w:rPr>
      </w:pPr>
    </w:p>
    <w:p>
      <w:pPr>
        <w:ind w:right="320" w:firstLine="351"/>
        <w:spacing w:after="0" w:line="303" w:lineRule="auto"/>
        <w:rPr>
          <w:sz w:val="20"/>
          <w:szCs w:val="20"/>
          <w:color w:val="auto"/>
        </w:rPr>
      </w:pPr>
      <w:r>
        <w:rPr>
          <w:rFonts w:ascii="Arial" w:cs="Arial" w:eastAsia="Arial" w:hAnsi="Arial"/>
          <w:sz w:val="15"/>
          <w:szCs w:val="15"/>
          <w:color w:val="auto"/>
        </w:rPr>
        <w:t>If we fail to satisfy the asset tests at the end of a calendar quarter, such a failure would not cause us to lose REIT qualification if we (1) satisfied the asset tests at the close of the preceding calendar quarter and (2) the discrepancy between the value of our assets and the asset requirements is not wholly or partly caused by an acquisition of non-qualifying assets but instead arose from changes in the relative fair market value of our assets. If the condition described in</w:t>
      </w:r>
    </w:p>
    <w:p>
      <w:pPr>
        <w:spacing w:after="0" w:line="1" w:lineRule="exact"/>
        <w:rPr>
          <w:sz w:val="20"/>
          <w:szCs w:val="20"/>
          <w:color w:val="auto"/>
        </w:rPr>
      </w:pPr>
    </w:p>
    <w:p>
      <w:pPr>
        <w:ind w:right="80" w:firstLine="8"/>
        <w:spacing w:after="0" w:line="261"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were not satisfied, we still would avoid disqualification by eliminating any discrepancy within 30 days after the close of the calendar quarter in which it arose or by making use of other relief provisions described above.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order for us to continue to qualify as a REIT, we are required to distribute dividends, other than capital gain dividends, to our stockholders in an amount at least equal to:</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90% of our net taxable income, computed without regard to our net capital gains and the deduction for dividends paid,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90% of our net income, if any (after tax) from foreclosure property (as described below), minus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specified items of noncash income.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To the extent that we distribute at least 90%, but less than 100%, of our net taxable income, we will be subject to tax at ordinary corporate tax rates on the retained portion.</w:t>
      </w:r>
    </w:p>
    <w:p>
      <w:pPr>
        <w:spacing w:after="0" w:line="186"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To the extent that we have available net operating losses carried forward from prior tax years, such losses may reduce the amount of distributions that we must make in order to comply with the REIT distribution requirements. Such losses, however, will generally not affect the tax treatment to our stockholders of any distributions that are actually made.</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any year, we may elect to retain, rather than distribute, our net capital gain and pay tax on such gain. In such case, our stockholders would include their proportionate share of such undistributed long-term capital gain in income and receive a corresponding credit for their share of the tax paid by us. Our stockholders would then increase the adjusted tax basis of our common stock they hold by the difference between the designated amounts included in their long-term capital gains and the tax deemed paid with respect to their stock.</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we fail to timely distribute during each calendar year at least the sum of (i) 85% of our REIT ordinary income for such year, (ii) 95% of our REIT capital gain net income for such year (excluding retained net capital gain), and (iii) any undistributed taxable income from prior periods, we will be subject to a 4% excise tax on the excess of such required distribution over the sum of (x) the amounts actually distributed and (y) the amounts of income retained on which we have paid corporate income tax. It is possible that we, from time to time, may not have sufficient cash to meet the 90% distribution requirement due to timing differences between the actual receipt of cash and the inclusion of certain items in income by us for U.S. federal income tax purposes. If these timing differences occur, we may borrow funds to pay dividends or pay dividends through the distribution of other property (including shares of our common stock) in order to meet the distribution requirements, while preserving our cash.</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certain circumstances, we may be able to rectify a failure to meet the distribution requirement for a year by paying "deficiency dividends" to stockholders in a later year, which may be included in our deduction for dividends paid for the earlier year. In this case, we may be able to avoid losing our REIT status or being taxed on amounts distributed as deficiency dividends; however, we will be required to pay interest and a penalty based on the amount of any deduction taken for deficiency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Prohibited Transactions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Net income derived by a REIT from a prohibited transaction is subject to a 100% excise tax. The term "prohibited transaction" generally includes a sale or other disposition of property (other than foreclosure property) that is held primarily for sale to customers in the ordinary course of a trade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business. We have conducted and intend to continue to conduct, our operations so that no asset owned by us (or owned by one of our pass-through subsidiaries) will be held for sale to customers, and that a sale of any such asset will not be in the ordinary course of our business. Whether property is held "primarily for sale to customers in the ordinary course of a trade or business" depends, however, on the particular facts and circumstances. No assurance can be given that any property sold by us will not be treated as property held for sale to customers, or that we can comply with certain safe-harbor provisions of the Code that would prevent the imposition of the 100% excise tax. The 100% tax does not apply to gains from the sale of property that is held through a TRS or other taxable corporation, although such income will be subject to tax in the hands of the corporation at regular corporate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Cash/Income Differences/Phantom Income</w:t>
      </w:r>
    </w:p>
    <w:p>
      <w:pPr>
        <w:spacing w:after="0" w:line="225"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 REIT may be required to recognize taxable income in advance of its receipt of cash flow or cash proceeds from asset dispositions. It may be required under the terms of indebtedness that it incurs to private lenders or otherwise to use cash to make principal payments on that indebtedness, with the effect of recognizing income but not having a corresponding amount of cash available for distribution to shareholders.</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Tax Cuts and Jobs Act of 2017 ("TCJA") revised Section 163(j) of the Code to create a new limitation on the deductibility of "business interest" for both individuals and corporations. Real property trades or businesses are permitted to elect out of this limitation, but as a consequence, are required to use longer depreciation periods for their assets. Such election, once made, is irrevocable. To the extent interest deductions of a REIT or its subsidiaries are deferred or disallowed under Section 163(j) of the Code or any other provision of law, the taxable income of the REIT may exceed its cash available for distribution to its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Property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lease or loan at a time when default was not imminent or anticipated, and (iii) with respect to which we made a proper election to treat the property as foreclosure property. We generally will be subject to tax at the maximum corporate rate (currently 21%) on any net income from foreclosure property, including any gain from the disposition of the foreclosure property, other than income that would otherwise be qualifying income for purposes of the REIT 75% gross income test. Any gain from the sale of property for which a foreclosure property election has been made will not be subject to the 100% tax on gains from prohibited transactions described above even if the property would otherwise constitute inventory or dealer property.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 as a REIT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fail to qualify for taxation as a REIT in any taxable year, and certain relief provisions do not apply, we will be subject to tax on our taxable income at regular corporate rates. Distributions to stockholders in any year in which we fail to qualify will not be deductible by us nor will they be required to be made. In this situation, to the extent of our current and accumulated E&amp;P, distributions to most domestic stockholders that are U.S. individuals, trusts and estates would generally be taxable at the preferential income tax rates for qualified dividends (i.e., currently, the 20% maximum U.S. federal rate) if then applicable. In addition, subject to certain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Changes to the U.S. federal tax laws and interpretations thereof could adversely affect an investment in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 for Holders of Our Common Stock</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following is a summary of U.S. federal income tax considerations of the ownership and disposition of our common stock. This summary is for general information only and does not purport to discuss all aspects of U.S. federal income taxation which may be important to a particular investor, or to certain types of investors subject to special tax rules (including financial institutions, insurance companies, broker-dealers, regulated investment companies, holders that receive our common stock through the exercise of stock options or otherwise as compensation, persons holding our common stock as part of a "straddle," "hedge," "conversion transaction," "synthetic security" or other integrated investment). This summary assumes that investors will hold our common stock as a capital asset (generally, property held for investment).</w:t>
      </w:r>
    </w:p>
    <w:p>
      <w:pPr>
        <w:spacing w:after="0" w:line="168"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The U.S. federal income tax treatment of holders of our common stock depends in some instances on determinations of fact and interpretations of complex provisions of the U.S. federal income tax law for which no clear precedent or authority may be available. In addition, the tax consequences to any particular shareholder of holding our common stock will depend on the shareholder's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section summarizes the taxation of U.S. shareholders that are not tax-exempt organizations. For these purposes, a U.S. shareholder is a beneficial owner of our common stock who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or any state thereof (including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U.S. federal income tax treatment of a partner generally will depend upon the status of the partner and the activities of the partnership. A partner of a partnership holding our common stock should consult its tax advisor regarding the U.S. federal income tax consequences to the partner of the acquisition, ownership and disposition of our common stock by the partnership.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Provided that we qualify as a REIT, distributions we make on account of our common stock, other than capital gain dividends, will constitute ordinary dividends to the extent of our current and accumulated earnings and profits as determined for U.S. federal income tax purposes. In general, these dividends will be taxable as ordinary income and will not be eligible for the dividends-received deduction for corporate U.S. holders. Ordinary dividends we distribute generally will not qualify as "qualified dividend income" taxed at preferential income tax rates applicable to U.S. holders that are individuals, trusts, or estates. However, for taxable years beginning after December 31, 2017 and before January 1, 2026, shareholders that are individuals, trusts or estates may deduct up to 20% of certain qualified business income, including "qualified REIT dividends" (generally, dividends received by a REIT shareholder that are not designated as capital gain dividends or qualified dividend income), subject to certain limitations, resulting in an effective maximum U.S. federal income tax rate of 29.6% on such income. Under final regulations recently issued by the IRS, in order to qualify for this deduction with respect to a dividend on our common stock, a shareholder must hold such shares for more than 45 days during the 91-day period beginning on the date which is 45 days before the date on which such shares become ex-dividend with respect to such dividend (taking into account certain special holding period rules that may, among other consequences, reduce a shareholder's holding period during any period in which the shareholder has diminished its risk of loss with respect to the shares). Shareholders are urged to consult their tax advisors as to their ability to claim this deduction.</w:t>
      </w:r>
    </w:p>
    <w:p>
      <w:pPr>
        <w:spacing w:after="0" w:line="178"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In addition, distributions to U.S. holders that are individuals, trusts, or estates generally will constitute qualified dividend income taxed as net capital gains to the extent the U.S. holder satisfies certain holding period requirements and to the extent the dividends are attributable to (i) qualified dividend income we receive from C corporations, including our TRSs, (ii) our undistributed earnings or built-in gains taxed at the corporate level during the immediately preceding year or</w:t>
      </w:r>
    </w:p>
    <w:p>
      <w:pPr>
        <w:spacing w:after="0" w:line="1" w:lineRule="exact"/>
        <w:rPr>
          <w:sz w:val="20"/>
          <w:szCs w:val="20"/>
          <w:color w:val="auto"/>
        </w:rPr>
      </w:pPr>
    </w:p>
    <w:p>
      <w:pPr>
        <w:ind w:right="320" w:firstLine="8"/>
        <w:spacing w:after="0" w:line="323"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earnings and profits inherited from a C corporation in a tax-deferred reorganization or similar transaction, and provided that in each case we properly designate the distributions as qualified dividend income. We do not anticipate distributing a significant amount of qualified dividend income.</w:t>
      </w:r>
    </w:p>
    <w:p>
      <w:pPr>
        <w:spacing w:after="0" w:line="147"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 the extent that we make a distribution in excess of our current and accumulated earnings and profits, the distribution will be treated first as a tax-free return of capital, reducing the tax basis in a U.S. holder's shares, and thereafter as capital gain realized from the sale of such shares to the extent the distribution exceeds the U.S. holder's tax basis in the shares.</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Dividends declared by us in October, November or December and payable to a U.S. holder of record on a specified date in any such month will be treated both as paid by us and as received by the U.S. holder on December 31 of the year, provided that the dividend is actually paid during January of the following calendar year.</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Distributions that are properly designated as capital gain dividends will be taxed as long-term capital gains (to the extent they do not exceed our actual net capital gain for the taxable year) without regard to the period for which the U.S. holder has held its shares. However, corporate U.S. holders may be required to treat up to 20% of certain capital gain dividends as ordinary income. Capital gain dividends received by non-corporate taxpayers that are attributable to the sale of depreciable real property held for more than 12 months may be subject to a 25% maximum U.S. federal income tax rate (which is higher than the normal long-term capital gains rate) to the extent of previously claimed depreciation deductions. Capital gain dividends are not eligible for the dividends-received deduction for corporate U.S. holders.</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REIT provisions of the Code do not require us to distribute our long-term capital gain, and we may elect to retain and pay income tax on our net long-term capital gains received during the taxable year. If we so elect for a taxable year, our U.S. holders would include in income as long-term capital gains their proportionate share of retained net long-term capital gains for the taxable year as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may designate. A U.S. holder would be deemed to have paid its share of the tax paid by us on such undistributed capital gains, which would be credited or refunded to the U.S. holder. The U.S. holder's basis in its shares would be increased by the amount of undistributed long-term capital gains (less the capital gains tax paid by us) included in the U.S. holder's long-term capital gains.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Activity Loss and Investment Interest Limitations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distributions and gain from the disposition of our shares will not be treated as passive activity income and, therefore, U.S. holders will not be able to apply any "passive losses" against such income. With respect to non-corporate U.S. holders, our dividends (to the extent they do not constitute a return of capital) that are taxed at ordinary income rates will generally be treated as investment income for purposes of the investment interest limitation; however, net capital gain from the disposition of shares of our common stock (or distributions treated as such), capital gain dividends, and dividends taxed at net capital gains rates generally will be excluded from investment income except to the extent the U.S. holder elects to treat such amounts as ordinary income for U.S. federal income tax purposes. U.S. holders may not include in their own U.S. federal income tax returns any of our net operating or net capital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or Disposition of Our Common Stock</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general, a U.S. holder will realize gain or loss upon the sale, redemption or other taxable disposition of our common stock in an amount equal to the difference between the sum of the fair market value of any property and the amount of cash received in such disposition and the U.S. holder's adjusted tax basis in the common stock at the time of the disposition. In general, a U.S. holder's adjusted tax basis will equal the U.S. holder's acquisition cost, increased by the excess of net capital gains deemed distributed to the U.S. holder discussed above less tax deemed paid on it and reduced by returns of capital. In general, capital gains recognized by individuals and other non-corporate U.S. holders upon the sale or disposition of our common stock will be subject to a maximum U.S. federal income tax rate of 20%, if such shares were held for more than 12 months, and will be taxed at ordinary income rates (of up to 37% for taxable years beginning before January 1, 2026) if such shares were held for 12 months or less. Gains recognized by U.S. holders that are corporations are subject to U.S. federal income tax at a maximum rate of 21%, whether or not classified as long-term capital gains.</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U.S. holders are advised to consult their tax advisors with respect to their capital gain tax liability. Capital losses recognized by a U.S. holder upon the disposition of our common stock held for more than one year at the time of disposition will be considered long-term capital losses, and are generally available only to offset capital gain income of the U.S. holder but not ordinary income (except in the case of individuals, who may offset up to $3,000 of ordinary income each year). In addition, any loss upon a sale or exchange of shares of our common stock by a U.S. holder who has held the shares for six months or less, after applying holding period rules, will be treated as a long-term capital loss to the extent of distributions received from us that were required to be treated by the U.S. holder as long-term capital gain.</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 U.S. holder recognizes a loss upon a subsequent disposition of our common stock in an amount that exceeds a prescribed threshold, it is possible that the provisions of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Tax on Unearned Income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Certain U.S. holders that are individuals, estates or trusts will be required to pay an additional 3.8% tax on, among other things, dividends on and capital gains from the sale or other disposition of common stock. U.S. holders should consult their tax advisors regarding the effect, if any, of this additional tax on their ownership and disposition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Tax-Exempt Holders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U.S. tax-exempt entities, including qualified employee pension and profit-sharing trusts and individual retirement accounts, generally are exempt from U.S. federal income taxation. However, they are subject to taxation on their unrelated business taxable income, or UBTI. While many investments in real estate may generate UBTI, dividend distributions from a REIT to a tax-exempt entity do not constitute UBTI. Provided that a tax-exempt U.S. holder has not held our common stock as "debt financed property" within the meaning of the Code (i.e., where the acquisition or ownership of the property is financed through a borrowing by the tax-exempt shareholder), distributions from us and income from the sale of our common stock generally should not give rise to UBTI to a tax-exempt U.S. holder.</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Tax-exempt U.S. holders that are social clubs, voluntary employee benefit associations, supplemental unemployment benefit trusts, and qualified group legal services plans exempt from U.S. federal income taxation under sections 501(c)(7), (c)(9), (c)(17) and (c)(20) of the Code, respectively, are subject to different UBTI rules, which generally will require them to characterize distributions from us as UBTI unless they are able to properly claim a deduction for amounts set aside or placed in reserve for specific purposes so as to offset the income generated by their investment in our common stock. These prospective investors should consult their tax advisors concerning these "set aside" and reserve requirements.</w:t>
      </w:r>
    </w:p>
    <w:p>
      <w:pPr>
        <w:spacing w:after="0" w:line="17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the dividends from us as UBTI if we are a "pension-held REIT." We will not be a pension-held REIT unless (1) we are required to "look through" one or more of our pension trust stockholders in order to satisfy the REIT closely 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should generally prevent a tax-exempt entity from owning more than 10% of the value of our stock, and should generally prevent us from becoming a pension-held REIT.</w:t>
      </w:r>
    </w:p>
    <w:p>
      <w:pPr>
        <w:spacing w:after="0" w:line="192"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Tax-exempt U.S. holders are urged to consult their tax advisors regarding the U.S. federal, state, local and foreign tax consequences of the acquisition, ownership and disposition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certain U.S. federal income tax consequences of the ownership and disposition of our common stock applicable to non-U.S. holders. For these purposes, a non-U.S. holder is a beneficial owner of our common stock who is neither a U.S. holder nor an entity that is treated as a partnership for U.S. federal income tax purposes. The discussion addresses only selective and not all aspects of U.S. federal income taxation that may be relevant to non-U.S. holders and is for general information only.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Dividends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portion of dividends received by non-U.S. holders payable out of our earnings and profits that are not attributable to gains from sales or exchanges of "U.S. real property interests" (described below)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which are not effectively connected with a U.S. trade or business of the non-U.S. holder generally will be treated as ordinary income and will be subject to U.S. federal withholding tax at the rate of 30%, unless reduced or eliminated by an applicable income tax treaty. Under some treaties, however, lower withholding rates generally applicable to dividends do not apply to dividends from REITs.</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general, non-U.S. holders will not be considered to be engaged in a U.S. trade or business solely as a result of their ownership of our common stock. In cases where the dividend income from a non-U.S. holder's investment in our common stock is, or is treated as, effectively connected with the non-U.S. holder's conduct of a U.S. trade or business, the non-U.S. holder generally will not be subject to the 30% withholding tax described above and will be subject to U.S. federal income tax at graduated rates, in the same manner as U.S. holders are taxed with respect to such dividends, and may also be subject to the 30% branch profits tax (unless reduced or eliminated by a treaty) on the income after the application of the income tax in the case of a non-U.S. holder that is a corporation. We plan to withhold U.S. income tax at the rate of 30% on the gross amount of any distribution paid to a non-U.S. holder (including any portion of any dividend that is payable in stock) that is neither a capital gain dividend nor a distribution that is attributable to gain from the sale or exchange of "United States real property interests," or "USRPIs," under the Foreign Investment in Real Property Tax Act of 1980, or FIRPTA, rules described below under "—Sale or Disposition of Our Common Stock" unless either (i) a lower treaty rate applies and the non-U.S. holder files with us any required IRS Form W-8 (for example, an IRS Form W-8BEN) evidencing eligibility for that reduced rate or (ii) the non-U.S. holder files with us an IRS Form W-8ECI claiming that the distribution is effectively connected income. A USRPI includes certain interests in real property and stock in certain corporations at least 50% of the assets of which consist of USRPIs.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Non-Dividend Distributions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Unless (i) our common stock constitutes a USRPI, or (ii) either (a) if the non-U.S. holder's investment in our common stock is effectively connected with a U.S. trade or business conducted by such non-U.S. holder through a permanent establishment, where applicable (in which case the non-U.S. holder will be subject to the same treatment as U.S. holders with respect to such gain) or (b) if the non-U.S. holder is a nonresident alien individual who was present in the United States for 183 days or more during the taxable year and certain other conditions are met (in which case the non-U.S. holder will be subject to a 30% tax on the individual's net capital gain for the year), distributions by us which are not dividends out of our earnings and profits will not be subject to U.S. federal income tax. If it cannot be determined at the time at which a distribution is made whether or not the distribution will exceed our current and accumulated earnings and profits, the distribution will be subject to withholding at the rate applicable to dividends. However, the non-U.S. holder may seek a refund from the IRS of any amounts withheld if it is subsequently determined that the distribution was, in fact, in excess of our current and accumulated earnings and profits. If our common stock constitutes USRPIs, as described below, distributions by us in excess of the sum of our earnings and profits plus the non-U.S. holder's adjusted tax basis in our common stock will be taxed under FIRPTA at the rate of tax, including any applicable capital gains rates, that would apply to a U.S. holder of the same type (e.g., an individual or a corporation, as the case may be), and the collection of the tax will be enforced by a refundable withholding tax at a rate of 15% of the amount by which a distribution exceeds the shareholder's share of our earnings and profits. Non-U.S. holders that are treated as "qualified foreign pension funds" and "qualified shareholders" (except with respect to certain "applicable investors" of a "qualified shareholder," as discussed below) are exempt from U.S. federal income and applicable withholding taxes under FIRPTA on such distributions by 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 Dividends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FIRPTA, a distribution that we make to a non-U.S. holder, to the extent attributable to gains from dispositions of USRPIs that we held directly or through pass-through subsidiaries (such gains, "USRPI capital gains"), will, except as described below, be considered effectively connected with a U.S. trade or business of the non-U.S. holder and will be subject to U.S. federal income tax at the rates applicable to U.S. individuals or corporations, without regard to whether we designate the distribution as a capital gain dividend. See above under "—Taxation of Non-U.S. Holders—Ordinary Dividends," for a discussion of the consequences of income that is effectively connected with a U.S. trade or business. In addition, we may be required to withhold tax equal to 21% of the maximum amount that could have been designated as a USRPI capital gain dividend. Distributions subject to FIRPTA may also be subject to a 30% branch profits tax (unless reduced or eliminated by treaty) in the hands of a non-U.S. holder that is a corporation. A distribution is not a USRPI capital gain dividend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capital gains.</w:t>
      </w:r>
    </w:p>
    <w:p>
      <w:pPr>
        <w:spacing w:after="0" w:line="17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 dividend that would otherwise have been treated as a USRPI capital gain dividend will not be so treated or be subject to FIRPTA, and generally will not be treated as income that is effectively connected with a U.S. trade or business, and instead will be treated in the same manner as ordinary income dividends (discussed above), provided that (i) the dividend is received with respect to a class of stock that is regularly traded on an established securities market located in the United States, and (ii) the recipient non-U.S. holder does not own more than 10% of that class of stock at any time during the year ending on the date on which the dividend is received. We anticipate that our common stock will continue to be "regularly traded" on an established securities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or Disposition of Our Common Stock</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Unless our common stock constitutes a USRPI, a sale or disposition of the common stock by a non-U.S. holder generally will not be subject to U.S. federal income taxation under FIRPTA. The common stock will not be treated as a USRPI if less than 50% of our assets throughout a prescribed testing period, and taking account certain look-through rules with respect to subsidiary entities, consist of interests in real property located within the United States, excluding, for this purpose, interests in real property solely in a capacity as a creditor. It is expected that more than 50% of our assets will consist of interests in real property located in the United States.</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However, our common stock nonetheless will not constitute a USRPI if we are a "domestically controlled REIT." A domestically controlled REIT is a REIT in which, at all times during a specified testing period (generally the lesser of the five year period ending on the date of disposition of its shares or the period of existence), less than 50% in value of its outstanding shares are held directly or indirectly by non-U.S. shareholders. For this purpose, a REIT may generally presume that any class of the REIT's shares that are "regularly traded," as defined by the applicable Treasury Regulations, on an established securities market is held by U.S. persons, except in the case of holders of 5% or more of such class of shares, and except to the extent that the REIT has actual knowledge that such shares are held by non-U.S. persons. In addition, certain look-through and presumption rules apply for this purpose to any shares of a REIT that are held by a regulated investment company or another REIT. We believe we are, and we expect to continue to be, a domestically controlled REIT, and certain ownership limitations included in our declaration of trust are intended to assist us in qualifying as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domestically controlled REIT. Therefore, the sale of our common stock should not be subject to taxation under FIRPTA. Because our shares are publicly traded, however, no assurance can be given that we are, or that if we are, that we will remain, a domestically controlled REIT.</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Regardless of the extent of our non-U.S. ownership, a non-U.S. holder will not incur tax under FIRPTA on a disposition of the shares of our publicly traded stock if such non-U.S. holder owned, actually or constructively, at all times during a specified testing period, 10% or less of the total fair market value of such stock. The testing period is the shorter of (i) the period during which the non-U.S. holder held the shares and (ii) the five-year period ending on the disposition date. For as long as our common stock is regularly traded on an established securities market, a non-U.S. holder should not incur tax under FIRPTA with respect to gain on a sale of our common stock unless it owns, actually or constructively, more than 10% of such shares during such testing period.</w:t>
      </w:r>
    </w:p>
    <w:p>
      <w:pPr>
        <w:spacing w:after="0" w:line="170"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If gain on the sale of shares of our common stock were subject to taxation under FIRPTA, the non-U.S. holder would be subject to the same treatment as a U.S. holder with respect to such gain, and the purchaser of the shares could be required to withhold 15% of the purchase price and remit such amount to the IRS.</w:t>
      </w:r>
    </w:p>
    <w:p>
      <w:pPr>
        <w:spacing w:after="0" w:line="11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Gain from the sale of shares of our common stock that would not otherwise be subject to FIRPTA will nonetheless be taxable in the U.S. to a non-U.S. holder if (i) such gain is effectively connected to a U.S. trade or business of the non-U.S. holder and, if certain treaties apply, is attributable to a U.S. permanent establishment of the non-U.S. holder, in which case the gain will be subject to net-basis U.S. federal income tax as if the non-U.S. holder were a U.S. holder and, in the case of a non-U.S. holder that is a corporation, a 30% branch profits tax (or a lower rate of tax under the applicable income tax treaty), or (ii) the non-U.S. holder is a nonresident alien individual who was present in the U.S. for 183 days or more during the taxable year and has a "tax home" in the U.S., in which case the nonresident alien individual will be subject to a 30% tax on the individual's capital gain.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FIRPTA Rules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Certain exemptions from FIRPTA and other special rules may apply for particular types of non-U.S. investors, including "qualified foreign pension funds" and their wholly-owned foreign subsidiaries and certain widely held, publicly traded "qualified collective investment vehicles." Non-U.S. holders are urged to consult their own tax advisors regarding the applicability of these or any other special FIRPTA rules to their particular investment in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 Tax</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report to our U.S. holders and to the IRS the amount of distributions paid during each calendar year, and the amount of tax withheld, if any. Under the backup withholding rules, a U.S. holder may be subject to backup withholding at a current rate of 24% with respect to distributions paid, unless such U.S. holder (i) is a corporation or other exempt entity and, when required, proves its status or (ii) certifies under penalties of perjury that the taxpayer identification number the U.S. holder has furnished is correct and the U.S. holder is not subject to backup withholding and otherwise complies with the applicable requirements of the backup withholding rules. A U.S. holder that does not provide its correct taxpayer identification number also may be subject to penalties imposed by the IRS.</w:t>
      </w:r>
    </w:p>
    <w:p>
      <w:pPr>
        <w:spacing w:after="0" w:line="19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will also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 A non-U.S. holder may be subject to backup withholding unless applicable certification requirements are met.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such holder's U.S. federal income tax liability, provided the required information is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Withholding and Reporting Requirements under FATCA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Foreign Account Tax Compliance Act, or FATCA, and existing guidance issued thereunder, requires withholding at a rate of 30% on dividends in respect of our common stock held by or through certain foreign financial institutions (including investment funds), unless such institution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the applicable withholding agent will in turn provide to the Secretary of the Treasury. An intergovernmental agreement between the United States and an applicable foreign country, or future Treasury regulations or other guidance, may modify these requirements. Because we may not know the extent to which a distribution is a dividend for U.S. federal income tax purposes at the time it is made, for purposes of these withholding rules we may treat the entire distribution as a dividend.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offer and sell our common stock in one or more transactions from time to time to or through underwriters, who may act as principals or agents, directly to other purchasers or through agents to other purchasers or through any combination of these methods.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relating to a particular offering of our common stock will include the following information, as applicable:</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names of any underwriters or agents and the amounts of common stock underwritten or purchased by each of them,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 offering price or purchase price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proceeds to us from the sale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public offering price;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distribution of our common stock may be effected from time to time in one or more transactions at a fixed price or prices, which may be changed, at market prices prevailing at the time of sale, at prices related to prevailing market prices or at negotiated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Compensation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offer our common stock to the public through underwriting syndicates represented by managing underwriters or through underwriters without an underwriting syndicate. If underwriters are used for the sale of our common stock, our common stock will be acquired by the underwriters for their own account. The underwriters may resell our common stock in one or more transactions, including in negotiated transactions at a fixed public offering price or at varying prices determined at the time of sale. In connection with any such underwritten sale of our common stock, underwriters may receive compensation from us or from purchasers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use an underwriter or underwriters in the sale of our common stock, we will execute an underwriting agreement with those underwriters at the time of sale of our common stock. The names of the underwriters will be set forth in the prospectus supplement used by the underwriters to sell our common stock. Unless otherwise indicated in the prospectus supplement relating to a particular offering of our common stock, the obligations of the underwriters to purchase our common stock will be subject to customary conditions precedent and the underwriters will be obligated to purchase all of our common stock offered if any of our common stock is purchased.</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Underwriters, dealers and agents that participate in the distribution of our common stock may be deemed to be underwriters under the Securities Act. Any discounts or commissions received by them and any profit realized by them on the resale of our common stock may be deemed to be underwriting discounts and commissions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700" w:firstLine="348"/>
        <w:spacing w:after="0" w:line="259" w:lineRule="auto"/>
        <w:rPr>
          <w:sz w:val="20"/>
          <w:szCs w:val="20"/>
          <w:color w:val="auto"/>
        </w:rPr>
      </w:pPr>
      <w:r>
        <w:rPr>
          <w:rFonts w:ascii="Arial" w:cs="Arial" w:eastAsia="Arial" w:hAnsi="Arial"/>
          <w:sz w:val="18"/>
          <w:szCs w:val="18"/>
          <w:color w:val="auto"/>
        </w:rPr>
        <w:t>We may enter agreements under which underwriters, dealers and agents who participate in the distribution of our common stock may be entitled to indemnification by us against various liabilities, including liabilities under the Securities Act, and to contribution with respect to payments which the underwriters, dealers or agents may be required to make.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Transactions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Underwriters, dealers and agents who participate in the distribution of our common stock, and their affiliates, may perform various commercial banking and investment banking services for us from time to time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may authorize underwriters or other persons acting as our agents to solicit offers by institutions to purchase our common stock from us pursuant to contracts providing for payment and delivery on a future date. These institutions may include commercial and savings banks, insurance companies, pension funds, investment companies, educational and charitable institutions and others, but in all cases we must approve these institutions. The obligations of any purchaser under any of these contracts will be subject to the condition that the purchase of our common stock will not at the time of delivery be prohibited under the laws of the jurisdiction to which such purchaser is subject. The underwriters and other agents will not have any responsibility in respect of the validity or performance of these contracts.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underwriters or dealers are used in the sale, until the distribution of our common stock is completed, rules of the SEC may limit the ability of any underwriters to bid for and purchase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of our common stock than is set forth on the cover page of the applicable prospectus supplement) the representatives of the underwriters may reduce that short position by purchasing our common stock in the open market.</w:t>
      </w:r>
    </w:p>
    <w:p>
      <w:pPr>
        <w:spacing w:after="0" w:line="198"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Unless otherwise indicated in the applicable prospectus supplement, the validity of our common stock offered hereby and certain U.S. federal income tax matters will be passed upon for us by Bass, Berry &amp; Sims PLC, Nashville, Tennessee. If the validity of our common stock offered hereby in connection with offerings made pursuant to this prospectus or other matters are passed upon by counsel for the underwriters, dealers or agents, if any, such counsel will be named in the applicable prospectus supplement relating to such offering.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80" w:firstLine="348"/>
        <w:spacing w:after="0" w:line="290" w:lineRule="auto"/>
        <w:rPr>
          <w:rFonts w:ascii="Arial" w:cs="Arial" w:eastAsia="Arial" w:hAnsi="Arial"/>
          <w:sz w:val="16"/>
          <w:szCs w:val="16"/>
          <w:color w:val="0000EE"/>
        </w:rPr>
      </w:pPr>
      <w:hyperlink r:id="rId10">
        <w:r>
          <w:rPr>
            <w:rFonts w:ascii="Arial" w:cs="Arial" w:eastAsia="Arial" w:hAnsi="Arial"/>
            <w:sz w:val="16"/>
            <w:szCs w:val="16"/>
            <w:color w:val="auto"/>
          </w:rPr>
          <w:t xml:space="preserve">The consolidated financial statements of Ryman Hospitality Properties, Inc. and subsidiaries appearing in Ryman Hospitality Properties, Inc.'s </w:t>
        </w:r>
        <w:r>
          <w:rPr>
            <w:rFonts w:ascii="Arial" w:cs="Arial" w:eastAsia="Arial" w:hAnsi="Arial"/>
            <w:sz w:val="16"/>
            <w:szCs w:val="16"/>
            <w:u w:val="single" w:color="auto"/>
            <w:color w:val="0000EE"/>
          </w:rPr>
          <w:t>Annual</w:t>
        </w:r>
      </w:hyperlink>
      <w:r>
        <w:rPr>
          <w:rFonts w:ascii="Arial" w:cs="Arial" w:eastAsia="Arial" w:hAnsi="Arial"/>
          <w:sz w:val="16"/>
          <w:szCs w:val="16"/>
          <w:color w:val="auto"/>
        </w:rPr>
        <w:t xml:space="preserve"> </w:t>
      </w:r>
      <w:hyperlink r:id="rId10">
        <w:r>
          <w:rPr>
            <w:rFonts w:ascii="Arial" w:cs="Arial" w:eastAsia="Arial" w:hAnsi="Arial"/>
            <w:sz w:val="16"/>
            <w:szCs w:val="16"/>
            <w:u w:val="single" w:color="auto"/>
            <w:color w:val="0000EE"/>
          </w:rPr>
          <w:t>Report (Form 10-K) for the year ended December 31, 2018</w:t>
        </w:r>
        <w:r>
          <w:rPr>
            <w:rFonts w:ascii="Arial" w:cs="Arial" w:eastAsia="Arial" w:hAnsi="Arial"/>
            <w:sz w:val="16"/>
            <w:szCs w:val="16"/>
            <w:color w:val="000000"/>
          </w:rPr>
          <w:t xml:space="preserve">, including the schedule appearing therein, and the effectiveness of Ryman Hospitality Properties, </w:t>
        </w:r>
      </w:hyperlink>
      <w:r>
        <w:rPr>
          <w:rFonts w:ascii="Arial" w:cs="Arial" w:eastAsia="Arial" w:hAnsi="Arial"/>
          <w:sz w:val="16"/>
          <w:szCs w:val="16"/>
          <w:color w:val="0000EE"/>
        </w:rPr>
        <w:t xml:space="preserve">Inc. </w:t>
      </w:r>
      <w:r>
        <w:rPr>
          <w:rFonts w:ascii="Arial" w:cs="Arial" w:eastAsia="Arial" w:hAnsi="Arial"/>
          <w:sz w:val="16"/>
          <w:szCs w:val="16"/>
          <w:color w:val="000000"/>
        </w:rPr>
        <w:t>and subsidiaries' internal control over financial reporting as of December 31, 2018,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907415</wp:posOffset>
            </wp:positionV>
            <wp:extent cx="2135505" cy="643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2135505" cy="643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3,000,000 Shares</w:t>
      </w:r>
    </w:p>
    <w:p>
      <w:pPr>
        <w:spacing w:after="0" w:line="224"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160020</wp:posOffset>
            </wp:positionV>
            <wp:extent cx="46564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152400</wp:posOffset>
            </wp:positionV>
            <wp:extent cx="46564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tabs>
          <w:tab w:leader="none" w:pos="4560" w:val="left"/>
          <w:tab w:leader="none" w:pos="7900" w:val="left"/>
        </w:tabs>
        <w:rPr>
          <w:sz w:val="20"/>
          <w:szCs w:val="20"/>
          <w:color w:val="auto"/>
        </w:rPr>
      </w:pPr>
      <w:r>
        <w:rPr>
          <w:rFonts w:ascii="Arial" w:cs="Arial" w:eastAsia="Arial" w:hAnsi="Arial"/>
          <w:sz w:val="24"/>
          <w:szCs w:val="24"/>
          <w:b w:val="1"/>
          <w:bCs w:val="1"/>
          <w:color w:val="auto"/>
        </w:rPr>
        <w:t>BofA Securities</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1"/>
          <w:szCs w:val="21"/>
          <w:b w:val="1"/>
          <w:bCs w:val="1"/>
          <w:color w:val="auto"/>
        </w:rPr>
        <w:t>Wells Fargo Securities</w:t>
      </w:r>
    </w:p>
    <w:p>
      <w:pPr>
        <w:spacing w:after="0" w:line="238" w:lineRule="exact"/>
        <w:rPr>
          <w:sz w:val="20"/>
          <w:szCs w:val="20"/>
          <w:color w:val="auto"/>
        </w:rPr>
      </w:pPr>
    </w:p>
    <w:p>
      <w:pPr>
        <w:ind w:left="5000"/>
        <w:spacing w:after="0"/>
        <w:tabs>
          <w:tab w:leader="none" w:pos="5960" w:val="left"/>
        </w:tabs>
        <w:rPr>
          <w:sz w:val="20"/>
          <w:szCs w:val="20"/>
          <w:color w:val="auto"/>
        </w:rPr>
      </w:pPr>
      <w:r>
        <w:rPr>
          <w:rFonts w:ascii="Arial" w:cs="Arial" w:eastAsia="Arial" w:hAnsi="Arial"/>
          <w:sz w:val="18"/>
          <w:szCs w:val="18"/>
          <w:b w:val="1"/>
          <w:bCs w:val="1"/>
          <w:color w:val="auto"/>
        </w:rPr>
        <w:t>December</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Roman"/>
      <w:start w:val="4"/>
    </w:lvl>
  </w:abstractNum>
  <w:abstractNum w:abstractNumId="2">
    <w:nsid w:val="257130A3"/>
    <w:multiLevelType w:val="hybridMultilevel"/>
    <w:lvl w:ilvl="0">
      <w:lvlJc w:val="left"/>
      <w:lvlText w:val="(%1)"/>
      <w:numFmt w:val="lowerRoman"/>
      <w:start w:val="6"/>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615"/>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Roman"/>
      <w:start w:val="4"/>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Roman"/>
      <w:start w:val="3"/>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lowerRoman"/>
      <w:start w:val="6"/>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3"/>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
      <w:numFmt w:val="bullet"/>
      <w:start w:val="1"/>
    </w:lvl>
    <w:lvl w:ilvl="1">
      <w:lvlJc w:val="left"/>
      <w:lvlText w:val="(%2)"/>
      <w:numFmt w:val="lowerRoman"/>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lowerRoman"/>
      <w:start w:val="3"/>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jpe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jpe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0" Type="http://schemas.openxmlformats.org/officeDocument/2006/relationships/hyperlink" Target="http://www.sec.gov/Archives/edgar/data/1040829/000155837019001107/rhp-20181231x10k.htm" TargetMode="External"/><Relationship Id="rId61" Type="http://schemas.openxmlformats.org/officeDocument/2006/relationships/hyperlink" Target="http://www.sec.gov/Archives/edgar/data/1040829/000119312519095154/d698998ddef14a.htm" TargetMode="External"/><Relationship Id="rId62" Type="http://schemas.openxmlformats.org/officeDocument/2006/relationships/hyperlink" Target="http://www.sec.gov/Archives/edgar/data/1040829/000155837019004224/rhp-20190331x10q.htm" TargetMode="External"/><Relationship Id="rId63" Type="http://schemas.openxmlformats.org/officeDocument/2006/relationships/hyperlink" Target="http://www.sec.gov/Archives/edgar/data/1040829/000155837019007181/0001558370-19-007181-index.htm" TargetMode="External"/><Relationship Id="rId64" Type="http://schemas.openxmlformats.org/officeDocument/2006/relationships/hyperlink" Target="http://www.sec.gov/Archives/edgar/data/1040829/000155837019009954/0001558370-19-009954-index.htm" TargetMode="External"/><Relationship Id="rId65" Type="http://schemas.openxmlformats.org/officeDocument/2006/relationships/hyperlink" Target="http://www.sec.gov/Archives/edgar/data/1040829/000119312519003774/d682468d8k.htm" TargetMode="External"/><Relationship Id="rId66" Type="http://schemas.openxmlformats.org/officeDocument/2006/relationships/hyperlink" Target="http://www.sec.gov/Archives/edgar/data/1040829/000119312519047795/d689686d8k.htm" TargetMode="External"/><Relationship Id="rId67" Type="http://schemas.openxmlformats.org/officeDocument/2006/relationships/hyperlink" Target="http://www.sec.gov/Archives/edgar/data/1040829/000119312519088490/d929141d8k.htm" TargetMode="External"/><Relationship Id="rId68" Type="http://schemas.openxmlformats.org/officeDocument/2006/relationships/hyperlink" Target="http://www.sec.gov/Archives/edgar/data/1040829/000119312519143196/d744618d8k.htm" TargetMode="External"/><Relationship Id="rId69" Type="http://schemas.openxmlformats.org/officeDocument/2006/relationships/hyperlink" Target="http://www.sec.gov/Archives/edgar/data/1040829/000119312519189493/d758656d8k.htm" TargetMode="External"/><Relationship Id="rId70" Type="http://schemas.openxmlformats.org/officeDocument/2006/relationships/hyperlink" Target="http://www.sec.gov/Archives/edgar/data/1040829/000141057819001196/0001410578-19-001196-index.htm" TargetMode="External"/><Relationship Id="rId71" Type="http://schemas.openxmlformats.org/officeDocument/2006/relationships/hyperlink" Target="http://www.sec.gov/Archives/edgar/data/1040829/000141057819001233/0001410578-19-001233-index.htm" TargetMode="External"/><Relationship Id="rId72" Type="http://schemas.openxmlformats.org/officeDocument/2006/relationships/hyperlink" Target="http://www.sec.gov/Archives/edgar/data/1040829/000141057819001323/0001410578-19-001323-index.htm" TargetMode="External"/><Relationship Id="rId73" Type="http://schemas.openxmlformats.org/officeDocument/2006/relationships/hyperlink" Target="http://www.sec.gov/Archives/edgar/data/1040829/000141057819001570/0001410578-19-001570-index.htm" TargetMode="External"/><Relationship Id="rId74" Type="http://schemas.openxmlformats.org/officeDocument/2006/relationships/hyperlink" Target="http://www.sec.gov/Archives/edgar/data/1040829/000110465919059038/0001104659-19-059038-index.htm" TargetMode="External"/><Relationship Id="rId75" Type="http://schemas.openxmlformats.org/officeDocument/2006/relationships/hyperlink" Target="http://www.sec.gov/Archives/edgar/data/1040829/000119312512447931/d43172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2019-12-09T15:55:08Z</dcterms:created>
  <dcterms:modified xsi:type="dcterms:W3CDTF">2019-12-09T15:55:08Z</dcterms:modified>
</cp:coreProperties>
</file>