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754370" cy="342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400685</wp:posOffset>
            </wp:positionV>
            <wp:extent cx="57543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543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9" w:lineRule="exact"/>
        <w:rPr>
          <w:sz w:val="24"/>
          <w:szCs w:val="24"/>
          <w:color w:val="auto"/>
        </w:rPr>
      </w:pPr>
    </w:p>
    <w:p>
      <w:pPr>
        <w:jc w:val="center"/>
        <w:spacing w:after="0" w:line="207" w:lineRule="exact"/>
        <w:rPr>
          <w:sz w:val="20"/>
          <w:szCs w:val="20"/>
          <w:color w:val="auto"/>
        </w:rPr>
      </w:pPr>
      <w:r>
        <w:rPr>
          <w:rFonts w:ascii="Arial" w:cs="Arial" w:eastAsia="Arial" w:hAnsi="Arial"/>
          <w:sz w:val="18"/>
          <w:szCs w:val="18"/>
          <w:b w:val="1"/>
          <w:bCs w:val="1"/>
          <w:color w:val="auto"/>
        </w:rPr>
        <w:t>FORM 10</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Q</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184" w:lineRule="exact"/>
        <w:rPr>
          <w:sz w:val="24"/>
          <w:szCs w:val="24"/>
          <w:color w:val="auto"/>
        </w:rPr>
      </w:pPr>
    </w:p>
    <w:p>
      <w:pPr>
        <w:ind w:left="260" w:right="380" w:hanging="257"/>
        <w:spacing w:after="0" w:line="258" w:lineRule="auto"/>
        <w:tabs>
          <w:tab w:leader="none" w:pos="406"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QUARTERLY REPORT PURSUANT TO SECTION 13 OR 15(d) OF THE SECURITIES EXCHANGE ACT OF 1934</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 the quarterly period ended September 30, 2018</w:t>
      </w:r>
    </w:p>
    <w:p>
      <w:pPr>
        <w:spacing w:after="0" w:line="17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or</w:t>
      </w:r>
    </w:p>
    <w:p>
      <w:pPr>
        <w:spacing w:after="0" w:line="185" w:lineRule="exact"/>
        <w:rPr>
          <w:sz w:val="24"/>
          <w:szCs w:val="24"/>
          <w:color w:val="auto"/>
        </w:rPr>
      </w:pPr>
    </w:p>
    <w:p>
      <w:pPr>
        <w:ind w:left="400" w:hanging="397"/>
        <w:spacing w:after="0"/>
        <w:tabs>
          <w:tab w:leader="none" w:pos="400" w:val="left"/>
        </w:tabs>
        <w:numPr>
          <w:ilvl w:val="0"/>
          <w:numId w:val="2"/>
        </w:numPr>
        <w:rPr>
          <w:rFonts w:ascii="MS PGothic" w:cs="MS PGothic" w:eastAsia="MS PGothic" w:hAnsi="MS PGothic"/>
          <w:sz w:val="17"/>
          <w:szCs w:val="17"/>
          <w:color w:val="auto"/>
        </w:rPr>
      </w:pPr>
      <w:r>
        <w:rPr>
          <w:rFonts w:ascii="Arial" w:cs="Arial" w:eastAsia="Arial" w:hAnsi="Arial"/>
          <w:sz w:val="17"/>
          <w:szCs w:val="17"/>
          <w:color w:val="auto"/>
        </w:rPr>
        <w:t>TRANSITION REPORT PURSUANT TO SECTION 13 OR 15(d) OF THE SECURITIES EXCHANGE ACT OF</w:t>
      </w:r>
    </w:p>
    <w:p>
      <w:pPr>
        <w:spacing w:after="0" w:line="37" w:lineRule="exact"/>
        <w:rPr>
          <w:sz w:val="24"/>
          <w:szCs w:val="24"/>
          <w:color w:val="auto"/>
        </w:rPr>
      </w:pPr>
    </w:p>
    <w:p>
      <w:pPr>
        <w:ind w:left="260"/>
        <w:spacing w:after="0"/>
        <w:rPr>
          <w:sz w:val="20"/>
          <w:szCs w:val="20"/>
          <w:color w:val="auto"/>
        </w:rPr>
      </w:pPr>
      <w:r>
        <w:rPr>
          <w:rFonts w:ascii="Arial" w:cs="Arial" w:eastAsia="Arial" w:hAnsi="Arial"/>
          <w:sz w:val="18"/>
          <w:szCs w:val="18"/>
          <w:color w:val="auto"/>
        </w:rPr>
        <w:t>1934</w:t>
      </w:r>
    </w:p>
    <w:p>
      <w:pPr>
        <w:spacing w:after="0" w:line="7" w:lineRule="exact"/>
        <w:rPr>
          <w:sz w:val="24"/>
          <w:szCs w:val="24"/>
          <w:color w:val="auto"/>
        </w:rPr>
      </w:pPr>
    </w:p>
    <w:p>
      <w:pPr>
        <w:jc w:val="center"/>
        <w:spacing w:after="0" w:line="207" w:lineRule="exact"/>
        <w:rPr>
          <w:sz w:val="20"/>
          <w:szCs w:val="20"/>
          <w:color w:val="auto"/>
        </w:rPr>
      </w:pPr>
      <w:r>
        <w:rPr>
          <w:rFonts w:ascii="Arial" w:cs="Arial" w:eastAsia="Arial" w:hAnsi="Arial"/>
          <w:sz w:val="18"/>
          <w:szCs w:val="18"/>
          <w:color w:val="auto"/>
        </w:rPr>
        <w:t>Commission file number 1</w:t>
      </w:r>
      <w:r>
        <w:rPr>
          <w:rFonts w:ascii="MS PGothic" w:cs="MS PGothic" w:eastAsia="MS PGothic" w:hAnsi="MS PGothic"/>
          <w:sz w:val="18"/>
          <w:szCs w:val="18"/>
          <w:color w:val="auto"/>
        </w:rPr>
        <w:t>‑</w:t>
      </w:r>
      <w:r>
        <w:rPr>
          <w:rFonts w:ascii="Arial" w:cs="Arial" w:eastAsia="Arial" w:hAnsi="Arial"/>
          <w:sz w:val="18"/>
          <w:szCs w:val="18"/>
          <w:color w:val="auto"/>
        </w:rPr>
        <w:t>13079</w:t>
      </w:r>
    </w:p>
    <w:p>
      <w:pPr>
        <w:spacing w:after="0" w:line="180"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RYMAN HOSPITALITY PROPERTIES, INC.</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53" w:lineRule="exact"/>
        <w:rPr>
          <w:sz w:val="24"/>
          <w:szCs w:val="24"/>
          <w:color w:val="auto"/>
        </w:rPr>
      </w:pPr>
    </w:p>
    <w:tbl>
      <w:tblPr>
        <w:tblLayout w:type="fixed"/>
        <w:tblInd w:w="1120" w:type="dxa"/>
        <w:tblCellMar>
          <w:top w:w="0" w:type="dxa"/>
          <w:left w:w="0" w:type="dxa"/>
          <w:bottom w:w="0" w:type="dxa"/>
          <w:right w:w="0" w:type="dxa"/>
        </w:tblCellMar>
      </w:tblPr>
      <w:tr>
        <w:trPr>
          <w:trHeight w:val="207"/>
        </w:trPr>
        <w:tc>
          <w:tcPr>
            <w:tcW w:w="760" w:type="dxa"/>
            <w:vAlign w:val="bottom"/>
          </w:tcPr>
          <w:p>
            <w:pPr>
              <w:spacing w:after="0"/>
              <w:rPr>
                <w:sz w:val="17"/>
                <w:szCs w:val="17"/>
                <w:color w:val="auto"/>
              </w:rPr>
            </w:pPr>
          </w:p>
        </w:tc>
        <w:tc>
          <w:tcPr>
            <w:tcW w:w="4220" w:type="dxa"/>
            <w:vAlign w:val="bottom"/>
            <w:gridSpan w:val="2"/>
          </w:tcPr>
          <w:p>
            <w:pPr>
              <w:jc w:val="center"/>
              <w:ind w:right="3450"/>
              <w:spacing w:after="0"/>
              <w:rPr>
                <w:sz w:val="20"/>
                <w:szCs w:val="20"/>
                <w:color w:val="auto"/>
              </w:rPr>
            </w:pPr>
            <w:r>
              <w:rPr>
                <w:rFonts w:ascii="Arial" w:cs="Arial" w:eastAsia="Arial" w:hAnsi="Arial"/>
                <w:sz w:val="18"/>
                <w:szCs w:val="18"/>
                <w:color w:val="auto"/>
                <w:w w:val="89"/>
              </w:rPr>
              <w:t>Delaware</w:t>
            </w:r>
          </w:p>
        </w:tc>
        <w:tc>
          <w:tcPr>
            <w:tcW w:w="1420" w:type="dxa"/>
            <w:vAlign w:val="bottom"/>
            <w:gridSpan w:val="3"/>
          </w:tcPr>
          <w:p>
            <w:pPr>
              <w:jc w:val="center"/>
              <w:spacing w:after="0"/>
              <w:rPr>
                <w:sz w:val="20"/>
                <w:szCs w:val="20"/>
                <w:color w:val="auto"/>
              </w:rPr>
            </w:pPr>
            <w:r>
              <w:rPr>
                <w:rFonts w:ascii="Arial" w:cs="Arial" w:eastAsia="Arial" w:hAnsi="Arial"/>
                <w:sz w:val="18"/>
                <w:szCs w:val="18"/>
                <w:color w:val="auto"/>
                <w:w w:val="89"/>
              </w:rPr>
              <w:t>73-0664379</w:t>
            </w:r>
          </w:p>
        </w:tc>
      </w:tr>
      <w:tr>
        <w:trPr>
          <w:trHeight w:val="20"/>
        </w:trPr>
        <w:tc>
          <w:tcPr>
            <w:tcW w:w="7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22"/>
        </w:trPr>
        <w:tc>
          <w:tcPr>
            <w:tcW w:w="4980" w:type="dxa"/>
            <w:vAlign w:val="bottom"/>
            <w:gridSpan w:val="3"/>
          </w:tcPr>
          <w:p>
            <w:pPr>
              <w:jc w:val="center"/>
              <w:ind w:right="2690"/>
              <w:spacing w:after="0"/>
              <w:rPr>
                <w:sz w:val="20"/>
                <w:szCs w:val="20"/>
                <w:color w:val="auto"/>
              </w:rPr>
            </w:pPr>
            <w:r>
              <w:rPr>
                <w:rFonts w:ascii="Arial" w:cs="Arial" w:eastAsia="Arial" w:hAnsi="Arial"/>
                <w:sz w:val="18"/>
                <w:szCs w:val="18"/>
                <w:color w:val="auto"/>
                <w:w w:val="92"/>
              </w:rPr>
              <w:t>(State or Other Jurisdiction of</w:t>
            </w:r>
          </w:p>
        </w:tc>
        <w:tc>
          <w:tcPr>
            <w:tcW w:w="1420" w:type="dxa"/>
            <w:vAlign w:val="bottom"/>
            <w:gridSpan w:val="3"/>
          </w:tcPr>
          <w:p>
            <w:pPr>
              <w:jc w:val="center"/>
              <w:spacing w:after="0"/>
              <w:rPr>
                <w:sz w:val="20"/>
                <w:szCs w:val="20"/>
                <w:color w:val="auto"/>
              </w:rPr>
            </w:pPr>
            <w:r>
              <w:rPr>
                <w:rFonts w:ascii="Arial" w:cs="Arial" w:eastAsia="Arial" w:hAnsi="Arial"/>
                <w:sz w:val="18"/>
                <w:szCs w:val="18"/>
                <w:color w:val="auto"/>
                <w:w w:val="92"/>
              </w:rPr>
              <w:t>(I.R.S. Employer</w:t>
            </w:r>
          </w:p>
        </w:tc>
      </w:tr>
      <w:tr>
        <w:trPr>
          <w:trHeight w:val="230"/>
        </w:trPr>
        <w:tc>
          <w:tcPr>
            <w:tcW w:w="4980" w:type="dxa"/>
            <w:vAlign w:val="bottom"/>
            <w:gridSpan w:val="3"/>
          </w:tcPr>
          <w:p>
            <w:pPr>
              <w:jc w:val="center"/>
              <w:ind w:right="2670"/>
              <w:spacing w:after="0"/>
              <w:rPr>
                <w:sz w:val="20"/>
                <w:szCs w:val="20"/>
                <w:color w:val="auto"/>
              </w:rPr>
            </w:pPr>
            <w:r>
              <w:rPr>
                <w:rFonts w:ascii="Arial" w:cs="Arial" w:eastAsia="Arial" w:hAnsi="Arial"/>
                <w:sz w:val="18"/>
                <w:szCs w:val="18"/>
                <w:color w:val="auto"/>
                <w:w w:val="92"/>
              </w:rPr>
              <w:t>Incorporation or Organization)</w:t>
            </w:r>
          </w:p>
        </w:tc>
        <w:tc>
          <w:tcPr>
            <w:tcW w:w="1420" w:type="dxa"/>
            <w:vAlign w:val="bottom"/>
            <w:gridSpan w:val="3"/>
          </w:tcPr>
          <w:p>
            <w:pPr>
              <w:jc w:val="center"/>
              <w:spacing w:after="0"/>
              <w:rPr>
                <w:sz w:val="20"/>
                <w:szCs w:val="20"/>
                <w:color w:val="auto"/>
              </w:rPr>
            </w:pPr>
            <w:r>
              <w:rPr>
                <w:rFonts w:ascii="Arial" w:cs="Arial" w:eastAsia="Arial" w:hAnsi="Arial"/>
                <w:sz w:val="18"/>
                <w:szCs w:val="18"/>
                <w:color w:val="auto"/>
                <w:w w:val="95"/>
              </w:rPr>
              <w:t>Identification No.)</w:t>
            </w:r>
          </w:p>
        </w:tc>
      </w:tr>
      <w:tr>
        <w:trPr>
          <w:trHeight w:val="350"/>
        </w:trPr>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540" w:type="dxa"/>
            <w:vAlign w:val="bottom"/>
          </w:tcPr>
          <w:p>
            <w:pPr>
              <w:jc w:val="center"/>
              <w:ind w:left="310"/>
              <w:spacing w:after="0"/>
              <w:rPr>
                <w:sz w:val="20"/>
                <w:szCs w:val="20"/>
                <w:color w:val="auto"/>
              </w:rPr>
            </w:pPr>
            <w:r>
              <w:rPr>
                <w:rFonts w:ascii="Arial" w:cs="Arial" w:eastAsia="Arial" w:hAnsi="Arial"/>
                <w:sz w:val="18"/>
                <w:szCs w:val="18"/>
                <w:color w:val="auto"/>
                <w:w w:val="92"/>
              </w:rPr>
              <w:t>One Gaylord Drive</w:t>
            </w: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216"/>
        </w:trPr>
        <w:tc>
          <w:tcPr>
            <w:tcW w:w="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540" w:type="dxa"/>
            <w:vAlign w:val="bottom"/>
          </w:tcPr>
          <w:p>
            <w:pPr>
              <w:jc w:val="center"/>
              <w:ind w:left="310"/>
              <w:spacing w:after="0"/>
              <w:rPr>
                <w:sz w:val="20"/>
                <w:szCs w:val="20"/>
                <w:color w:val="auto"/>
              </w:rPr>
            </w:pPr>
            <w:r>
              <w:rPr>
                <w:rFonts w:ascii="Arial" w:cs="Arial" w:eastAsia="Arial" w:hAnsi="Arial"/>
                <w:sz w:val="18"/>
                <w:szCs w:val="18"/>
                <w:color w:val="auto"/>
                <w:w w:val="88"/>
              </w:rPr>
              <w:t>Nashville, Tennessee 37214</w:t>
            </w: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16"/>
        </w:trPr>
        <w:tc>
          <w:tcPr>
            <w:tcW w:w="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540" w:type="dxa"/>
            <w:vAlign w:val="bottom"/>
          </w:tcPr>
          <w:p>
            <w:pPr>
              <w:jc w:val="center"/>
              <w:ind w:left="310"/>
              <w:spacing w:after="0"/>
              <w:rPr>
                <w:sz w:val="20"/>
                <w:szCs w:val="20"/>
                <w:color w:val="auto"/>
              </w:rPr>
            </w:pPr>
            <w:r>
              <w:rPr>
                <w:rFonts w:ascii="Arial" w:cs="Arial" w:eastAsia="Arial" w:hAnsi="Arial"/>
                <w:sz w:val="18"/>
                <w:szCs w:val="18"/>
                <w:color w:val="auto"/>
                <w:w w:val="92"/>
              </w:rPr>
              <w:t>(Address of Principal Executive Offices)</w:t>
            </w: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30"/>
        </w:trPr>
        <w:tc>
          <w:tcPr>
            <w:tcW w:w="7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540" w:type="dxa"/>
            <w:vAlign w:val="bottom"/>
          </w:tcPr>
          <w:p>
            <w:pPr>
              <w:jc w:val="center"/>
              <w:ind w:left="330"/>
              <w:spacing w:after="0"/>
              <w:rPr>
                <w:sz w:val="20"/>
                <w:szCs w:val="20"/>
                <w:color w:val="auto"/>
              </w:rPr>
            </w:pPr>
            <w:r>
              <w:rPr>
                <w:rFonts w:ascii="Arial" w:cs="Arial" w:eastAsia="Arial" w:hAnsi="Arial"/>
                <w:sz w:val="18"/>
                <w:szCs w:val="18"/>
                <w:color w:val="auto"/>
                <w:w w:val="94"/>
              </w:rPr>
              <w:t>(Zip Code)</w:t>
            </w:r>
          </w:p>
        </w:tc>
        <w:tc>
          <w:tcPr>
            <w:tcW w:w="3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40" w:type="dxa"/>
            <w:vAlign w:val="bottom"/>
          </w:tcPr>
          <w:p>
            <w:pPr>
              <w:spacing w:after="0"/>
              <w:rPr>
                <w:sz w:val="20"/>
                <w:szCs w:val="20"/>
                <w:color w:val="auto"/>
              </w:rPr>
            </w:pPr>
          </w:p>
        </w:tc>
      </w:tr>
    </w:tbl>
    <w:p>
      <w:pPr>
        <w:spacing w:after="0" w:line="134" w:lineRule="exact"/>
        <w:rPr>
          <w:sz w:val="24"/>
          <w:szCs w:val="24"/>
          <w:color w:val="auto"/>
        </w:rPr>
      </w:pPr>
    </w:p>
    <w:p>
      <w:pPr>
        <w:jc w:val="center"/>
        <w:spacing w:after="0" w:line="207" w:lineRule="exact"/>
        <w:rPr>
          <w:sz w:val="20"/>
          <w:szCs w:val="20"/>
          <w:color w:val="auto"/>
        </w:rPr>
      </w:pPr>
      <w:r>
        <w:rPr>
          <w:rFonts w:ascii="Arial" w:cs="Arial" w:eastAsia="Arial" w:hAnsi="Arial"/>
          <w:sz w:val="18"/>
          <w:szCs w:val="18"/>
          <w:u w:val="single" w:color="auto"/>
          <w:color w:val="auto"/>
        </w:rPr>
        <w:t>(615) 316</w:t>
      </w:r>
      <w:r>
        <w:rPr>
          <w:rFonts w:ascii="MS PGothic" w:cs="MS PGothic" w:eastAsia="MS PGothic" w:hAnsi="MS PGothic"/>
          <w:sz w:val="18"/>
          <w:szCs w:val="18"/>
          <w:u w:val="single" w:color="auto"/>
          <w:color w:val="auto"/>
        </w:rPr>
        <w:t>‑</w:t>
      </w:r>
      <w:r>
        <w:rPr>
          <w:rFonts w:ascii="Arial" w:cs="Arial" w:eastAsia="Arial" w:hAnsi="Arial"/>
          <w:sz w:val="18"/>
          <w:szCs w:val="18"/>
          <w:u w:val="single" w:color="auto"/>
          <w:color w:val="auto"/>
        </w:rPr>
        <w:t>6000</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130" w:lineRule="exact"/>
        <w:rPr>
          <w:sz w:val="24"/>
          <w:szCs w:val="24"/>
          <w:color w:val="auto"/>
        </w:rPr>
      </w:pPr>
    </w:p>
    <w:p>
      <w:pPr>
        <w:ind w:right="140"/>
        <w:spacing w:after="0" w:line="228" w:lineRule="exact"/>
        <w:rPr>
          <w:sz w:val="20"/>
          <w:szCs w:val="20"/>
          <w:color w:val="auto"/>
        </w:rPr>
      </w:pPr>
      <w:r>
        <w:rPr>
          <w:rFonts w:ascii="Arial" w:cs="Arial" w:eastAsia="Arial" w:hAnsi="Arial"/>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7"/>
          <w:szCs w:val="17"/>
          <w:color w:val="auto"/>
        </w:rPr>
        <w:t>☒</w:t>
      </w:r>
      <w:r>
        <w:rPr>
          <w:rFonts w:ascii="Arial" w:cs="Arial" w:eastAsia="Arial" w:hAnsi="Arial"/>
          <w:sz w:val="17"/>
          <w:szCs w:val="17"/>
          <w:color w:val="auto"/>
        </w:rPr>
        <w:t xml:space="preserve"> Yes </w:t>
      </w:r>
      <w:r>
        <w:rPr>
          <w:rFonts w:ascii="MS PGothic" w:cs="MS PGothic" w:eastAsia="MS PGothic" w:hAnsi="MS PGothic"/>
          <w:sz w:val="17"/>
          <w:szCs w:val="17"/>
          <w:color w:val="auto"/>
        </w:rPr>
        <w:t>☐</w:t>
      </w:r>
      <w:r>
        <w:rPr>
          <w:rFonts w:ascii="Arial" w:cs="Arial" w:eastAsia="Arial" w:hAnsi="Arial"/>
          <w:sz w:val="17"/>
          <w:szCs w:val="17"/>
          <w:color w:val="auto"/>
        </w:rPr>
        <w:t xml:space="preserve"> No</w:t>
      </w:r>
    </w:p>
    <w:p>
      <w:pPr>
        <w:spacing w:after="0" w:line="115" w:lineRule="exact"/>
        <w:rPr>
          <w:sz w:val="24"/>
          <w:szCs w:val="24"/>
          <w:color w:val="auto"/>
        </w:rPr>
      </w:pPr>
    </w:p>
    <w:p>
      <w:pPr>
        <w:ind w:right="28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16" w:lineRule="exact"/>
        <w:rPr>
          <w:sz w:val="24"/>
          <w:szCs w:val="24"/>
          <w:color w:val="auto"/>
        </w:rPr>
      </w:pPr>
    </w:p>
    <w:p>
      <w:pPr>
        <w:ind w:right="340"/>
        <w:spacing w:after="0" w:line="221" w:lineRule="exact"/>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w:t>
      </w:r>
      <w:r>
        <w:rPr>
          <w:rFonts w:ascii="MS PGothic" w:cs="MS PGothic" w:eastAsia="MS PGothic" w:hAnsi="MS PGothic"/>
          <w:sz w:val="16"/>
          <w:szCs w:val="16"/>
          <w:color w:val="auto"/>
        </w:rPr>
        <w:t>‑</w:t>
      </w:r>
      <w:r>
        <w:rPr>
          <w:rFonts w:ascii="Arial" w:cs="Arial" w:eastAsia="Arial" w:hAnsi="Arial"/>
          <w:sz w:val="16"/>
          <w:szCs w:val="16"/>
          <w:color w:val="auto"/>
        </w:rPr>
        <w:t>2 of the Exchange Act.</w:t>
      </w:r>
    </w:p>
    <w:p>
      <w:pPr>
        <w:spacing w:after="0" w:line="88" w:lineRule="exact"/>
        <w:rPr>
          <w:sz w:val="24"/>
          <w:szCs w:val="24"/>
          <w:color w:val="auto"/>
        </w:rPr>
      </w:pPr>
    </w:p>
    <w:p>
      <w:pPr>
        <w:ind w:right="480"/>
        <w:spacing w:after="0" w:line="250" w:lineRule="exact"/>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Non-accelerated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Smaller reporting company </w:t>
      </w:r>
      <w:r>
        <w:rPr>
          <w:rFonts w:ascii="MS PGothic" w:cs="MS PGothic" w:eastAsia="MS PGothic" w:hAnsi="MS PGothic"/>
          <w:sz w:val="18"/>
          <w:szCs w:val="18"/>
          <w:color w:val="auto"/>
        </w:rPr>
        <w:t>☐</w:t>
      </w:r>
      <w:r>
        <w:rPr>
          <w:rFonts w:ascii="Arial" w:cs="Arial" w:eastAsia="Arial" w:hAnsi="Arial"/>
          <w:sz w:val="18"/>
          <w:szCs w:val="18"/>
          <w:color w:val="auto"/>
        </w:rPr>
        <w:t xml:space="preserve"> Emerging growth company </w:t>
      </w:r>
      <w:r>
        <w:rPr>
          <w:rFonts w:ascii="MS PGothic" w:cs="MS PGothic" w:eastAsia="MS PGothic" w:hAnsi="MS PGothic"/>
          <w:sz w:val="18"/>
          <w:szCs w:val="18"/>
          <w:color w:val="auto"/>
        </w:rPr>
        <w:t>☐</w:t>
      </w:r>
    </w:p>
    <w:p>
      <w:pPr>
        <w:spacing w:after="0" w:line="82" w:lineRule="exact"/>
        <w:rPr>
          <w:sz w:val="24"/>
          <w:szCs w:val="24"/>
          <w:color w:val="auto"/>
        </w:rPr>
      </w:pPr>
    </w:p>
    <w:p>
      <w:pPr>
        <w:spacing w:after="0" w:line="196" w:lineRule="exact"/>
        <w:rPr>
          <w:sz w:val="20"/>
          <w:szCs w:val="20"/>
          <w:color w:val="auto"/>
        </w:rPr>
      </w:pPr>
      <w:r>
        <w:rPr>
          <w:rFonts w:ascii="Arial" w:cs="Arial" w:eastAsia="Arial" w:hAnsi="Arial"/>
          <w:sz w:val="17"/>
          <w:szCs w:val="17"/>
          <w:color w:val="auto"/>
        </w:rPr>
        <w:t>Indicate by check mark whether the registrant is a shell company (as defined in Rule 12b</w:t>
      </w:r>
      <w:r>
        <w:rPr>
          <w:rFonts w:ascii="MS PGothic" w:cs="MS PGothic" w:eastAsia="MS PGothic" w:hAnsi="MS PGothic"/>
          <w:sz w:val="17"/>
          <w:szCs w:val="17"/>
          <w:color w:val="auto"/>
        </w:rPr>
        <w:t>‑</w:t>
      </w:r>
      <w:r>
        <w:rPr>
          <w:rFonts w:ascii="Arial" w:cs="Arial" w:eastAsia="Arial" w:hAnsi="Arial"/>
          <w:sz w:val="17"/>
          <w:szCs w:val="17"/>
          <w:color w:val="auto"/>
        </w:rPr>
        <w:t xml:space="preserve">2 of the Exchange Act). </w:t>
      </w:r>
      <w:r>
        <w:rPr>
          <w:rFonts w:ascii="MS PGothic" w:cs="MS PGothic" w:eastAsia="MS PGothic" w:hAnsi="MS PGothic"/>
          <w:sz w:val="17"/>
          <w:szCs w:val="17"/>
          <w:color w:val="auto"/>
        </w:rPr>
        <w:t>☐</w:t>
      </w:r>
      <w:r>
        <w:rPr>
          <w:rFonts w:ascii="Arial" w:cs="Arial" w:eastAsia="Arial" w:hAnsi="Arial"/>
          <w:sz w:val="17"/>
          <w:szCs w:val="17"/>
          <w:color w:val="auto"/>
        </w:rPr>
        <w:t xml:space="preserve"> Yes</w:t>
      </w:r>
    </w:p>
    <w:p>
      <w:pPr>
        <w:spacing w:after="0" w:line="63" w:lineRule="exact"/>
        <w:rPr>
          <w:sz w:val="24"/>
          <w:szCs w:val="24"/>
          <w:color w:val="auto"/>
        </w:rPr>
      </w:pPr>
    </w:p>
    <w:p>
      <w:pPr>
        <w:ind w:left="200" w:hanging="197"/>
        <w:spacing w:after="0"/>
        <w:tabs>
          <w:tab w:leader="none" w:pos="20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No</w:t>
      </w:r>
    </w:p>
    <w:p>
      <w:pPr>
        <w:spacing w:after="0" w:line="148" w:lineRule="exact"/>
        <w:rPr>
          <w:sz w:val="24"/>
          <w:szCs w:val="24"/>
          <w:color w:val="auto"/>
        </w:rPr>
      </w:pPr>
    </w:p>
    <w:p>
      <w:pPr>
        <w:ind w:right="80"/>
        <w:spacing w:after="0" w:line="227"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03" w:lineRule="exact"/>
        <w:rPr>
          <w:sz w:val="24"/>
          <w:szCs w:val="24"/>
          <w:color w:val="auto"/>
        </w:rPr>
      </w:pPr>
    </w:p>
    <w:p>
      <w:pPr>
        <w:spacing w:after="0"/>
        <w:rPr>
          <w:sz w:val="20"/>
          <w:szCs w:val="20"/>
          <w:color w:val="auto"/>
        </w:rPr>
      </w:pPr>
      <w:r>
        <w:rPr>
          <w:rFonts w:ascii="Arial" w:cs="Arial" w:eastAsia="Arial" w:hAnsi="Arial"/>
          <w:sz w:val="16"/>
          <w:szCs w:val="16"/>
          <w:color w:val="auto"/>
        </w:rPr>
        <w:t>Indicate the number of shares outstanding of each of the issuer’s classes of common stock, as of the latest practicable date.</w:t>
      </w:r>
    </w:p>
    <w:p>
      <w:pPr>
        <w:spacing w:after="0" w:line="177"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6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Class</w:t>
            </w:r>
          </w:p>
        </w:tc>
        <w:tc>
          <w:tcPr>
            <w:tcW w:w="4420" w:type="dxa"/>
            <w:vAlign w:val="bottom"/>
          </w:tcPr>
          <w:p>
            <w:pPr>
              <w:jc w:val="center"/>
              <w:spacing w:after="0"/>
              <w:rPr>
                <w:sz w:val="20"/>
                <w:szCs w:val="20"/>
                <w:color w:val="auto"/>
              </w:rPr>
            </w:pPr>
            <w:r>
              <w:rPr>
                <w:rFonts w:ascii="Arial" w:cs="Arial" w:eastAsia="Arial" w:hAnsi="Arial"/>
                <w:sz w:val="18"/>
                <w:szCs w:val="18"/>
                <w:b w:val="1"/>
                <w:bCs w:val="1"/>
                <w:color w:val="auto"/>
                <w:w w:val="89"/>
              </w:rPr>
              <w:t>Outstanding as of October 31, 2018</w:t>
            </w:r>
          </w:p>
        </w:tc>
      </w:tr>
      <w:tr>
        <w:trPr>
          <w:trHeight w:val="224"/>
        </w:trPr>
        <w:tc>
          <w:tcPr>
            <w:tcW w:w="43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Common Stock, par value $.01</w:t>
            </w:r>
          </w:p>
        </w:tc>
        <w:tc>
          <w:tcPr>
            <w:tcW w:w="260" w:type="dxa"/>
            <w:vAlign w:val="bottom"/>
          </w:tcPr>
          <w:p>
            <w:pPr>
              <w:spacing w:after="0"/>
              <w:rPr>
                <w:sz w:val="19"/>
                <w:szCs w:val="19"/>
                <w:color w:val="auto"/>
              </w:rPr>
            </w:pPr>
          </w:p>
        </w:tc>
        <w:tc>
          <w:tcPr>
            <w:tcW w:w="44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7"/>
              </w:rPr>
              <w:t>51,333,386 shares</w:t>
            </w:r>
          </w:p>
        </w:tc>
      </w:tr>
      <w:tr>
        <w:trPr>
          <w:trHeight w:val="94"/>
        </w:trPr>
        <w:tc>
          <w:tcPr>
            <w:tcW w:w="438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4420" w:type="dxa"/>
            <w:vAlign w:val="bottom"/>
            <w:tcBorders>
              <w:bottom w:val="single" w:sz="8" w:color="auto"/>
            </w:tcBorders>
          </w:tcPr>
          <w:p>
            <w:pPr>
              <w:spacing w:after="0"/>
              <w:rPr>
                <w:sz w:val="8"/>
                <w:szCs w:val="8"/>
                <w:color w:val="auto"/>
              </w:rPr>
            </w:pPr>
          </w:p>
        </w:tc>
      </w:tr>
      <w:tr>
        <w:trPr>
          <w:trHeight w:val="41"/>
        </w:trPr>
        <w:tc>
          <w:tcPr>
            <w:tcW w:w="438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4420" w:type="dxa"/>
            <w:vAlign w:val="bottom"/>
            <w:tcBorders>
              <w:bottom w:val="single" w:sz="8" w:color="auto"/>
            </w:tcBorders>
          </w:tcPr>
          <w:p>
            <w:pPr>
              <w:spacing w:after="0"/>
              <w:rPr>
                <w:sz w:val="3"/>
                <w:szCs w:val="3"/>
                <w:color w:val="auto"/>
              </w:rPr>
            </w:pPr>
          </w:p>
        </w:tc>
      </w:tr>
      <w:tr>
        <w:trPr>
          <w:trHeight w:val="574"/>
        </w:trPr>
        <w:tc>
          <w:tcPr>
            <w:tcW w:w="43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4420" w:type="dxa"/>
            <w:vAlign w:val="bottom"/>
            <w:tcBorders>
              <w:bottom w:val="single" w:sz="8" w:color="auto"/>
            </w:tcBorders>
          </w:tcPr>
          <w:p>
            <w:pPr>
              <w:spacing w:after="0"/>
              <w:rPr>
                <w:sz w:val="24"/>
                <w:szCs w:val="24"/>
                <w:color w:val="auto"/>
              </w:rPr>
            </w:pPr>
          </w:p>
        </w:tc>
      </w:tr>
    </w:tbl>
    <w:p>
      <w:pPr>
        <w:sectPr>
          <w:pgSz w:w="11900" w:h="16838" w:orient="portrait"/>
          <w:cols w:equalWidth="0" w:num="1">
            <w:col w:w="9060"/>
          </w:cols>
          <w:pgMar w:left="1420" w:top="233" w:right="1419" w:bottom="1440" w:gutter="0" w:footer="0" w:header="0"/>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260" w:type="dxa"/>
            <w:vAlign w:val="bottom"/>
            <w:gridSpan w:val="23"/>
          </w:tcPr>
          <w:p>
            <w:pPr>
              <w:spacing w:after="0"/>
              <w:rPr>
                <w:rFonts w:ascii="Arial" w:cs="Arial" w:eastAsia="Arial" w:hAnsi="Arial"/>
                <w:sz w:val="18"/>
                <w:szCs w:val="18"/>
                <w:color w:val="0563C1"/>
              </w:rPr>
            </w:pPr>
            <w:hyperlink w:anchor="page2">
              <w:r>
                <w:rPr>
                  <w:rFonts w:ascii="Arial" w:cs="Arial" w:eastAsia="Arial" w:hAnsi="Arial"/>
                  <w:sz w:val="18"/>
                  <w:szCs w:val="18"/>
                  <w:color w:val="0563C1"/>
                </w:rPr>
                <w:t>Table of Contents</w:t>
              </w:r>
            </w:hyperlink>
          </w:p>
        </w:tc>
        <w:tc>
          <w:tcPr>
            <w:tcW w:w="800" w:type="dxa"/>
            <w:vAlign w:val="bottom"/>
          </w:tcPr>
          <w:p>
            <w:pPr>
              <w:spacing w:after="0"/>
              <w:rPr>
                <w:sz w:val="17"/>
                <w:szCs w:val="17"/>
                <w:color w:val="auto"/>
              </w:rPr>
            </w:pPr>
          </w:p>
        </w:tc>
      </w:tr>
      <w:tr>
        <w:trPr>
          <w:trHeight w:val="777"/>
        </w:trPr>
        <w:tc>
          <w:tcPr>
            <w:tcW w:w="660" w:type="dxa"/>
            <w:vAlign w:val="bottom"/>
            <w:tcBorders>
              <w:top w:val="single" w:sz="8" w:color="0563C1"/>
            </w:tcBorders>
          </w:tcPr>
          <w:p>
            <w:pPr>
              <w:spacing w:after="0"/>
              <w:rPr>
                <w:sz w:val="24"/>
                <w:szCs w:val="24"/>
                <w:color w:val="auto"/>
              </w:rPr>
            </w:pPr>
          </w:p>
        </w:tc>
        <w:tc>
          <w:tcPr>
            <w:tcW w:w="440" w:type="dxa"/>
            <w:vAlign w:val="bottom"/>
            <w:tcBorders>
              <w:top w:val="single" w:sz="8" w:color="0563C1"/>
            </w:tcBorders>
          </w:tcPr>
          <w:p>
            <w:pPr>
              <w:spacing w:after="0"/>
              <w:rPr>
                <w:sz w:val="24"/>
                <w:szCs w:val="24"/>
                <w:color w:val="auto"/>
              </w:rPr>
            </w:pPr>
          </w:p>
        </w:tc>
        <w:tc>
          <w:tcPr>
            <w:tcW w:w="100" w:type="dxa"/>
            <w:vAlign w:val="bottom"/>
            <w:tcBorders>
              <w:top w:val="single" w:sz="8" w:color="0563C1"/>
            </w:tcBorders>
          </w:tcPr>
          <w:p>
            <w:pPr>
              <w:spacing w:after="0"/>
              <w:rPr>
                <w:sz w:val="24"/>
                <w:szCs w:val="24"/>
                <w:color w:val="auto"/>
              </w:rPr>
            </w:pPr>
          </w:p>
        </w:tc>
        <w:tc>
          <w:tcPr>
            <w:tcW w:w="80" w:type="dxa"/>
            <w:vAlign w:val="bottom"/>
            <w:tcBorders>
              <w:top w:val="single" w:sz="8" w:color="0563C1"/>
            </w:tcBorders>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80" w:type="dxa"/>
            <w:vAlign w:val="bottom"/>
            <w:gridSpan w:val="13"/>
          </w:tcPr>
          <w:p>
            <w:pPr>
              <w:jc w:val="center"/>
              <w:ind w:right="1780"/>
              <w:spacing w:after="0"/>
              <w:rPr>
                <w:sz w:val="20"/>
                <w:szCs w:val="20"/>
                <w:color w:val="auto"/>
              </w:rPr>
            </w:pPr>
            <w:r>
              <w:rPr>
                <w:rFonts w:ascii="Arial" w:cs="Arial" w:eastAsia="Arial" w:hAnsi="Arial"/>
                <w:sz w:val="18"/>
                <w:szCs w:val="18"/>
                <w:b w:val="1"/>
                <w:bCs w:val="1"/>
                <w:color w:val="auto"/>
              </w:rPr>
              <w:t>RYMAN HOSPITALITY PROPERTIES, INC.</w:t>
            </w:r>
          </w:p>
        </w:tc>
        <w:tc>
          <w:tcPr>
            <w:tcW w:w="800" w:type="dxa"/>
            <w:vAlign w:val="bottom"/>
          </w:tcPr>
          <w:p>
            <w:pPr>
              <w:spacing w:after="0"/>
              <w:rPr>
                <w:sz w:val="24"/>
                <w:szCs w:val="24"/>
                <w:color w:val="auto"/>
              </w:rPr>
            </w:pPr>
          </w:p>
        </w:tc>
      </w:tr>
      <w:tr>
        <w:trPr>
          <w:trHeight w:val="392"/>
        </w:trPr>
        <w:tc>
          <w:tcPr>
            <w:tcW w:w="6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80" w:type="dxa"/>
            <w:vAlign w:val="bottom"/>
            <w:gridSpan w:val="9"/>
          </w:tcPr>
          <w:p>
            <w:pPr>
              <w:jc w:val="center"/>
              <w:ind w:right="2780"/>
              <w:spacing w:after="0" w:line="207" w:lineRule="exact"/>
              <w:rPr>
                <w:sz w:val="20"/>
                <w:szCs w:val="20"/>
                <w:color w:val="auto"/>
              </w:rPr>
            </w:pPr>
            <w:r>
              <w:rPr>
                <w:rFonts w:ascii="Arial" w:cs="Arial" w:eastAsia="Arial" w:hAnsi="Arial"/>
                <w:sz w:val="18"/>
                <w:szCs w:val="18"/>
                <w:b w:val="1"/>
                <w:bCs w:val="1"/>
                <w:color w:val="auto"/>
              </w:rPr>
              <w:t>FORM 10</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Q</w:t>
            </w:r>
          </w:p>
        </w:tc>
        <w:tc>
          <w:tcPr>
            <w:tcW w:w="800" w:type="dxa"/>
            <w:vAlign w:val="bottom"/>
          </w:tcPr>
          <w:p>
            <w:pPr>
              <w:spacing w:after="0"/>
              <w:rPr>
                <w:sz w:val="24"/>
                <w:szCs w:val="24"/>
                <w:color w:val="auto"/>
              </w:rPr>
            </w:pPr>
          </w:p>
        </w:tc>
      </w:tr>
      <w:tr>
        <w:trPr>
          <w:trHeight w:val="405"/>
        </w:trPr>
        <w:tc>
          <w:tcPr>
            <w:tcW w:w="6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500" w:type="dxa"/>
            <w:vAlign w:val="bottom"/>
            <w:gridSpan w:val="12"/>
          </w:tcPr>
          <w:p>
            <w:pPr>
              <w:jc w:val="center"/>
              <w:ind w:right="1960"/>
              <w:spacing w:after="0"/>
              <w:rPr>
                <w:sz w:val="20"/>
                <w:szCs w:val="20"/>
                <w:color w:val="auto"/>
              </w:rPr>
            </w:pPr>
            <w:r>
              <w:rPr>
                <w:rFonts w:ascii="Arial" w:cs="Arial" w:eastAsia="Arial" w:hAnsi="Arial"/>
                <w:sz w:val="18"/>
                <w:szCs w:val="18"/>
                <w:b w:val="1"/>
                <w:bCs w:val="1"/>
                <w:color w:val="auto"/>
                <w:w w:val="91"/>
              </w:rPr>
              <w:t>For the Quarter Ended September 30, 2018</w:t>
            </w:r>
          </w:p>
        </w:tc>
        <w:tc>
          <w:tcPr>
            <w:tcW w:w="800" w:type="dxa"/>
            <w:vAlign w:val="bottom"/>
          </w:tcPr>
          <w:p>
            <w:pPr>
              <w:spacing w:after="0"/>
              <w:rPr>
                <w:sz w:val="24"/>
                <w:szCs w:val="24"/>
                <w:color w:val="auto"/>
              </w:rPr>
            </w:pPr>
          </w:p>
        </w:tc>
      </w:tr>
      <w:tr>
        <w:trPr>
          <w:trHeight w:val="392"/>
        </w:trPr>
        <w:tc>
          <w:tcPr>
            <w:tcW w:w="6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80" w:type="dxa"/>
            <w:vAlign w:val="bottom"/>
            <w:gridSpan w:val="9"/>
          </w:tcPr>
          <w:p>
            <w:pPr>
              <w:jc w:val="center"/>
              <w:ind w:right="2780"/>
              <w:spacing w:after="0"/>
              <w:rPr>
                <w:sz w:val="20"/>
                <w:szCs w:val="20"/>
                <w:color w:val="auto"/>
              </w:rPr>
            </w:pPr>
            <w:r>
              <w:rPr>
                <w:rFonts w:ascii="Arial" w:cs="Arial" w:eastAsia="Arial" w:hAnsi="Arial"/>
                <w:sz w:val="18"/>
                <w:szCs w:val="18"/>
                <w:b w:val="1"/>
                <w:bCs w:val="1"/>
                <w:color w:val="auto"/>
              </w:rPr>
              <w:t>INDEX</w:t>
            </w:r>
          </w:p>
        </w:tc>
        <w:tc>
          <w:tcPr>
            <w:tcW w:w="800" w:type="dxa"/>
            <w:vAlign w:val="bottom"/>
          </w:tcPr>
          <w:p>
            <w:pPr>
              <w:spacing w:after="0"/>
              <w:rPr>
                <w:sz w:val="24"/>
                <w:szCs w:val="24"/>
                <w:color w:val="auto"/>
              </w:rPr>
            </w:pPr>
          </w:p>
        </w:tc>
      </w:tr>
      <w:tr>
        <w:trPr>
          <w:trHeight w:val="392"/>
        </w:trPr>
        <w:tc>
          <w:tcPr>
            <w:tcW w:w="6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rPr>
              <w:t>Page</w:t>
            </w:r>
          </w:p>
        </w:tc>
      </w:tr>
      <w:tr>
        <w:trPr>
          <w:trHeight w:val="385"/>
        </w:trPr>
        <w:tc>
          <w:tcPr>
            <w:tcW w:w="8260" w:type="dxa"/>
            <w:vAlign w:val="bottom"/>
            <w:gridSpan w:val="23"/>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Part I - Financial Information</w:t>
              </w:r>
            </w:hyperlink>
          </w:p>
        </w:tc>
        <w:tc>
          <w:tcPr>
            <w:tcW w:w="800" w:type="dxa"/>
            <w:vAlign w:val="bottom"/>
          </w:tcPr>
          <w:p>
            <w:pPr>
              <w:jc w:val="center"/>
              <w:spacing w:after="0"/>
              <w:rPr>
                <w:sz w:val="20"/>
                <w:szCs w:val="20"/>
                <w:color w:val="auto"/>
              </w:rPr>
            </w:pPr>
            <w:r>
              <w:rPr>
                <w:rFonts w:ascii="Arial" w:cs="Arial" w:eastAsia="Arial" w:hAnsi="Arial"/>
                <w:sz w:val="18"/>
                <w:szCs w:val="18"/>
                <w:color w:val="auto"/>
                <w:w w:val="99"/>
              </w:rPr>
              <w:t>3</w:t>
            </w:r>
          </w:p>
        </w:tc>
      </w:tr>
      <w:tr>
        <w:trPr>
          <w:trHeight w:val="20"/>
        </w:trPr>
        <w:tc>
          <w:tcPr>
            <w:tcW w:w="6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36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412"/>
        </w:trPr>
        <w:tc>
          <w:tcPr>
            <w:tcW w:w="660" w:type="dxa"/>
            <w:vAlign w:val="bottom"/>
          </w:tcPr>
          <w:p>
            <w:pPr>
              <w:spacing w:after="0"/>
              <w:rPr>
                <w:sz w:val="24"/>
                <w:szCs w:val="24"/>
                <w:color w:val="auto"/>
              </w:rPr>
            </w:pPr>
          </w:p>
        </w:tc>
        <w:tc>
          <w:tcPr>
            <w:tcW w:w="2100" w:type="dxa"/>
            <w:vAlign w:val="bottom"/>
            <w:tcBorders>
              <w:bottom w:val="single" w:sz="8" w:color="0000EE"/>
            </w:tcBorders>
            <w:gridSpan w:val="10"/>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Item 1. Financial Statements.</w:t>
              </w:r>
            </w:hyperlink>
          </w:p>
        </w:tc>
        <w:tc>
          <w:tcPr>
            <w:tcW w:w="5500" w:type="dxa"/>
            <w:vAlign w:val="bottom"/>
            <w:gridSpan w:val="12"/>
          </w:tcPr>
          <w:p>
            <w:pPr>
              <w:spacing w:after="0"/>
              <w:rPr>
                <w:sz w:val="24"/>
                <w:szCs w:val="24"/>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99"/>
              </w:rPr>
              <w:t>3</w:t>
            </w:r>
          </w:p>
        </w:tc>
      </w:tr>
      <w:tr>
        <w:trPr>
          <w:trHeight w:val="412"/>
        </w:trPr>
        <w:tc>
          <w:tcPr>
            <w:tcW w:w="6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20" w:type="dxa"/>
            <w:vAlign w:val="bottom"/>
            <w:tcBorders>
              <w:bottom w:val="single" w:sz="8" w:color="0000EE"/>
            </w:tcBorders>
            <w:gridSpan w:val="19"/>
          </w:tcPr>
          <w:p>
            <w:pPr>
              <w:spacing w:after="0"/>
              <w:rPr>
                <w:rFonts w:ascii="Arial" w:cs="Arial" w:eastAsia="Arial" w:hAnsi="Arial"/>
                <w:sz w:val="18"/>
                <w:szCs w:val="18"/>
                <w:color w:val="0000EE"/>
                <w:w w:val="88"/>
              </w:rPr>
            </w:pPr>
            <w:hyperlink w:anchor="page3">
              <w:r>
                <w:rPr>
                  <w:rFonts w:ascii="Arial" w:cs="Arial" w:eastAsia="Arial" w:hAnsi="Arial"/>
                  <w:sz w:val="18"/>
                  <w:szCs w:val="18"/>
                  <w:color w:val="0000EE"/>
                  <w:w w:val="88"/>
                </w:rPr>
                <w:t>Condensed Consolidated Balance Sheets (Unaudited) - September 30, 2018 and December 31,</w:t>
              </w:r>
            </w:hyperlink>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96"/>
        </w:trPr>
        <w:tc>
          <w:tcPr>
            <w:tcW w:w="1200" w:type="dxa"/>
            <w:vAlign w:val="bottom"/>
            <w:gridSpan w:val="3"/>
          </w:tcPr>
          <w:p>
            <w:pPr>
              <w:spacing w:after="0"/>
              <w:rPr>
                <w:sz w:val="17"/>
                <w:szCs w:val="17"/>
                <w:color w:val="auto"/>
              </w:rPr>
            </w:pPr>
          </w:p>
        </w:tc>
        <w:tc>
          <w:tcPr>
            <w:tcW w:w="360" w:type="dxa"/>
            <w:vAlign w:val="bottom"/>
            <w:tcBorders>
              <w:bottom w:val="single" w:sz="8" w:color="0000EE"/>
            </w:tcBorders>
            <w:gridSpan w:val="2"/>
          </w:tcPr>
          <w:p>
            <w:pPr>
              <w:spacing w:after="0" w:line="196" w:lineRule="exact"/>
              <w:rPr>
                <w:rFonts w:ascii="Arial" w:cs="Arial" w:eastAsia="Arial" w:hAnsi="Arial"/>
                <w:sz w:val="18"/>
                <w:szCs w:val="18"/>
                <w:color w:val="0000EE"/>
                <w:w w:val="84"/>
              </w:rPr>
            </w:pPr>
            <w:hyperlink w:anchor="page3">
              <w:r>
                <w:rPr>
                  <w:rFonts w:ascii="Arial" w:cs="Arial" w:eastAsia="Arial" w:hAnsi="Arial"/>
                  <w:sz w:val="18"/>
                  <w:szCs w:val="18"/>
                  <w:color w:val="0000EE"/>
                  <w:w w:val="84"/>
                </w:rPr>
                <w:t>2017</w:t>
              </w:r>
            </w:hyperlink>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jc w:val="center"/>
              <w:spacing w:after="0" w:line="196" w:lineRule="exact"/>
              <w:rPr>
                <w:sz w:val="20"/>
                <w:szCs w:val="20"/>
                <w:color w:val="auto"/>
              </w:rPr>
            </w:pPr>
            <w:r>
              <w:rPr>
                <w:rFonts w:ascii="Arial" w:cs="Arial" w:eastAsia="Arial" w:hAnsi="Arial"/>
                <w:sz w:val="18"/>
                <w:szCs w:val="18"/>
                <w:color w:val="auto"/>
                <w:w w:val="99"/>
              </w:rPr>
              <w:t>3</w:t>
            </w:r>
          </w:p>
        </w:tc>
      </w:tr>
      <w:tr>
        <w:trPr>
          <w:trHeight w:val="412"/>
        </w:trPr>
        <w:tc>
          <w:tcPr>
            <w:tcW w:w="6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760" w:type="dxa"/>
            <w:vAlign w:val="bottom"/>
            <w:tcBorders>
              <w:bottom w:val="single" w:sz="8" w:color="0000EE"/>
            </w:tcBorders>
            <w:gridSpan w:val="17"/>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Condensed Consolidated Statements of Operations and Comprehensive Income (Unaudited) -</w:t>
              </w:r>
            </w:hyperlink>
          </w:p>
        </w:tc>
        <w:tc>
          <w:tcPr>
            <w:tcW w:w="300" w:type="dxa"/>
            <w:vAlign w:val="bottom"/>
            <w:gridSpan w:val="3"/>
          </w:tcPr>
          <w:p>
            <w:pPr>
              <w:spacing w:after="0"/>
              <w:rPr>
                <w:sz w:val="24"/>
                <w:szCs w:val="24"/>
                <w:color w:val="auto"/>
              </w:rPr>
            </w:pPr>
          </w:p>
        </w:tc>
        <w:tc>
          <w:tcPr>
            <w:tcW w:w="800" w:type="dxa"/>
            <w:vAlign w:val="bottom"/>
          </w:tcPr>
          <w:p>
            <w:pPr>
              <w:spacing w:after="0"/>
              <w:rPr>
                <w:sz w:val="24"/>
                <w:szCs w:val="24"/>
                <w:color w:val="auto"/>
              </w:rPr>
            </w:pPr>
          </w:p>
        </w:tc>
      </w:tr>
      <w:tr>
        <w:trPr>
          <w:trHeight w:val="196"/>
        </w:trPr>
        <w:tc>
          <w:tcPr>
            <w:tcW w:w="6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60" w:type="dxa"/>
            <w:vAlign w:val="bottom"/>
            <w:gridSpan w:val="20"/>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For the Three Months and Nine Months Ended September 30, 2018 and 2017</w:t>
              </w:r>
            </w:hyperlink>
          </w:p>
        </w:tc>
        <w:tc>
          <w:tcPr>
            <w:tcW w:w="800" w:type="dxa"/>
            <w:vAlign w:val="bottom"/>
          </w:tcPr>
          <w:p>
            <w:pPr>
              <w:jc w:val="center"/>
              <w:spacing w:after="0" w:line="196" w:lineRule="exact"/>
              <w:rPr>
                <w:sz w:val="20"/>
                <w:szCs w:val="20"/>
                <w:color w:val="auto"/>
              </w:rPr>
            </w:pPr>
            <w:r>
              <w:rPr>
                <w:rFonts w:ascii="Arial" w:cs="Arial" w:eastAsia="Arial" w:hAnsi="Arial"/>
                <w:sz w:val="18"/>
                <w:szCs w:val="18"/>
                <w:color w:val="auto"/>
                <w:w w:val="99"/>
              </w:rPr>
              <w:t>4</w:t>
            </w:r>
          </w:p>
        </w:tc>
      </w:tr>
      <w:tr>
        <w:trPr>
          <w:trHeight w:val="20"/>
        </w:trPr>
        <w:tc>
          <w:tcPr>
            <w:tcW w:w="6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right w:val="single" w:sz="8" w:color="0000EE"/>
            </w:tcBorders>
            <w:gridSpan w:val="3"/>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412"/>
        </w:trPr>
        <w:tc>
          <w:tcPr>
            <w:tcW w:w="6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0" w:type="dxa"/>
            <w:vAlign w:val="bottom"/>
            <w:tcBorders>
              <w:bottom w:val="single" w:sz="8" w:color="0000EE"/>
            </w:tcBorders>
            <w:gridSpan w:val="18"/>
          </w:tcPr>
          <w:p>
            <w:pPr>
              <w:spacing w:after="0"/>
              <w:rPr>
                <w:rFonts w:ascii="Arial" w:cs="Arial" w:eastAsia="Arial" w:hAnsi="Arial"/>
                <w:sz w:val="18"/>
                <w:szCs w:val="18"/>
                <w:color w:val="0000EE"/>
                <w:w w:val="90"/>
              </w:rPr>
            </w:pPr>
            <w:hyperlink w:anchor="page5">
              <w:r>
                <w:rPr>
                  <w:rFonts w:ascii="Arial" w:cs="Arial" w:eastAsia="Arial" w:hAnsi="Arial"/>
                  <w:sz w:val="18"/>
                  <w:szCs w:val="18"/>
                  <w:color w:val="0000EE"/>
                  <w:w w:val="90"/>
                </w:rPr>
                <w:t>Condensed Consolidated Statements of Cash Flows (Unaudited) - For the Nine Months Ended</w:t>
              </w:r>
            </w:hyperlink>
          </w:p>
        </w:tc>
        <w:tc>
          <w:tcPr>
            <w:tcW w:w="260" w:type="dxa"/>
            <w:vAlign w:val="bottom"/>
            <w:gridSpan w:val="2"/>
          </w:tcPr>
          <w:p>
            <w:pPr>
              <w:spacing w:after="0"/>
              <w:rPr>
                <w:sz w:val="24"/>
                <w:szCs w:val="24"/>
                <w:color w:val="auto"/>
              </w:rPr>
            </w:pPr>
          </w:p>
        </w:tc>
        <w:tc>
          <w:tcPr>
            <w:tcW w:w="800" w:type="dxa"/>
            <w:vAlign w:val="bottom"/>
          </w:tcPr>
          <w:p>
            <w:pPr>
              <w:spacing w:after="0"/>
              <w:rPr>
                <w:sz w:val="24"/>
                <w:szCs w:val="24"/>
                <w:color w:val="auto"/>
              </w:rPr>
            </w:pPr>
          </w:p>
        </w:tc>
      </w:tr>
      <w:tr>
        <w:trPr>
          <w:trHeight w:val="196"/>
        </w:trPr>
        <w:tc>
          <w:tcPr>
            <w:tcW w:w="6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60" w:type="dxa"/>
            <w:vAlign w:val="bottom"/>
            <w:gridSpan w:val="20"/>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September 30, 2018 and 2017</w:t>
              </w:r>
            </w:hyperlink>
          </w:p>
        </w:tc>
        <w:tc>
          <w:tcPr>
            <w:tcW w:w="800" w:type="dxa"/>
            <w:vAlign w:val="bottom"/>
          </w:tcPr>
          <w:p>
            <w:pPr>
              <w:jc w:val="center"/>
              <w:spacing w:after="0" w:line="196" w:lineRule="exact"/>
              <w:rPr>
                <w:sz w:val="20"/>
                <w:szCs w:val="20"/>
                <w:color w:val="auto"/>
              </w:rPr>
            </w:pPr>
            <w:r>
              <w:rPr>
                <w:rFonts w:ascii="Arial" w:cs="Arial" w:eastAsia="Arial" w:hAnsi="Arial"/>
                <w:sz w:val="18"/>
                <w:szCs w:val="18"/>
                <w:color w:val="auto"/>
                <w:w w:val="99"/>
              </w:rPr>
              <w:t>5</w:t>
            </w:r>
          </w:p>
        </w:tc>
      </w:tr>
      <w:tr>
        <w:trPr>
          <w:trHeight w:val="20"/>
        </w:trPr>
        <w:tc>
          <w:tcPr>
            <w:tcW w:w="6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right w:val="single" w:sz="8" w:color="0000EE"/>
            </w:tcBorders>
            <w:gridSpan w:val="3"/>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412"/>
        </w:trPr>
        <w:tc>
          <w:tcPr>
            <w:tcW w:w="6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920" w:type="dxa"/>
            <w:vAlign w:val="bottom"/>
            <w:tcBorders>
              <w:bottom w:val="single" w:sz="8" w:color="0000EE"/>
            </w:tcBorders>
            <w:gridSpan w:val="14"/>
          </w:tcPr>
          <w:p>
            <w:pPr>
              <w:spacing w:after="0"/>
              <w:rPr>
                <w:rFonts w:ascii="Arial" w:cs="Arial" w:eastAsia="Arial" w:hAnsi="Arial"/>
                <w:sz w:val="18"/>
                <w:szCs w:val="18"/>
                <w:color w:val="0000EE"/>
                <w:w w:val="89"/>
              </w:rPr>
            </w:pPr>
            <w:hyperlink w:anchor="page6">
              <w:r>
                <w:rPr>
                  <w:rFonts w:ascii="Arial" w:cs="Arial" w:eastAsia="Arial" w:hAnsi="Arial"/>
                  <w:sz w:val="18"/>
                  <w:szCs w:val="18"/>
                  <w:color w:val="0000EE"/>
                  <w:w w:val="89"/>
                </w:rPr>
                <w:t>Notes to Condensed Consolidated Financial Statements (Unaudited)</w:t>
              </w:r>
            </w:hyperlink>
          </w:p>
        </w:tc>
        <w:tc>
          <w:tcPr>
            <w:tcW w:w="2140" w:type="dxa"/>
            <w:vAlign w:val="bottom"/>
            <w:gridSpan w:val="6"/>
          </w:tcPr>
          <w:p>
            <w:pPr>
              <w:spacing w:after="0"/>
              <w:rPr>
                <w:sz w:val="24"/>
                <w:szCs w:val="24"/>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99"/>
              </w:rPr>
              <w:t>6</w:t>
            </w:r>
          </w:p>
        </w:tc>
      </w:tr>
      <w:tr>
        <w:trPr>
          <w:trHeight w:val="412"/>
        </w:trPr>
        <w:tc>
          <w:tcPr>
            <w:tcW w:w="660" w:type="dxa"/>
            <w:vAlign w:val="bottom"/>
          </w:tcPr>
          <w:p>
            <w:pPr>
              <w:spacing w:after="0"/>
              <w:rPr>
                <w:sz w:val="24"/>
                <w:szCs w:val="24"/>
                <w:color w:val="auto"/>
              </w:rPr>
            </w:pPr>
          </w:p>
        </w:tc>
        <w:tc>
          <w:tcPr>
            <w:tcW w:w="7060" w:type="dxa"/>
            <w:vAlign w:val="bottom"/>
            <w:tcBorders>
              <w:bottom w:val="single" w:sz="8" w:color="0000EE"/>
            </w:tcBorders>
            <w:gridSpan w:val="18"/>
          </w:tcPr>
          <w:p>
            <w:pPr>
              <w:spacing w:after="0"/>
              <w:rPr>
                <w:rFonts w:ascii="Arial" w:cs="Arial" w:eastAsia="Arial" w:hAnsi="Arial"/>
                <w:sz w:val="18"/>
                <w:szCs w:val="18"/>
                <w:color w:val="0000EE"/>
                <w:w w:val="91"/>
              </w:rPr>
            </w:pPr>
            <w:hyperlink w:anchor="page24">
              <w:r>
                <w:rPr>
                  <w:rFonts w:ascii="Arial" w:cs="Arial" w:eastAsia="Arial" w:hAnsi="Arial"/>
                  <w:sz w:val="18"/>
                  <w:szCs w:val="18"/>
                  <w:color w:val="0000EE"/>
                  <w:w w:val="91"/>
                </w:rPr>
                <w:t>Item 2. Management’s Discussion and Analysis of Financial Condition and Results of Operations.</w:t>
              </w:r>
            </w:hyperlink>
          </w:p>
        </w:tc>
        <w:tc>
          <w:tcPr>
            <w:tcW w:w="540" w:type="dxa"/>
            <w:vAlign w:val="bottom"/>
            <w:gridSpan w:val="4"/>
          </w:tcPr>
          <w:p>
            <w:pPr>
              <w:spacing w:after="0"/>
              <w:rPr>
                <w:sz w:val="24"/>
                <w:szCs w:val="24"/>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89"/>
              </w:rPr>
              <w:t>24</w:t>
            </w:r>
          </w:p>
        </w:tc>
      </w:tr>
      <w:tr>
        <w:trPr>
          <w:trHeight w:val="412"/>
        </w:trPr>
        <w:tc>
          <w:tcPr>
            <w:tcW w:w="660" w:type="dxa"/>
            <w:vAlign w:val="bottom"/>
          </w:tcPr>
          <w:p>
            <w:pPr>
              <w:spacing w:after="0"/>
              <w:rPr>
                <w:sz w:val="24"/>
                <w:szCs w:val="24"/>
                <w:color w:val="auto"/>
              </w:rPr>
            </w:pPr>
          </w:p>
        </w:tc>
        <w:tc>
          <w:tcPr>
            <w:tcW w:w="4960" w:type="dxa"/>
            <w:vAlign w:val="bottom"/>
            <w:tcBorders>
              <w:bottom w:val="single" w:sz="8" w:color="0000EE"/>
            </w:tcBorders>
            <w:gridSpan w:val="15"/>
          </w:tcPr>
          <w:p>
            <w:pPr>
              <w:spacing w:after="0"/>
              <w:rPr>
                <w:rFonts w:ascii="Arial" w:cs="Arial" w:eastAsia="Arial" w:hAnsi="Arial"/>
                <w:sz w:val="18"/>
                <w:szCs w:val="18"/>
                <w:color w:val="0000EE"/>
                <w:w w:val="92"/>
              </w:rPr>
            </w:pPr>
            <w:hyperlink w:anchor="page46">
              <w:r>
                <w:rPr>
                  <w:rFonts w:ascii="Arial" w:cs="Arial" w:eastAsia="Arial" w:hAnsi="Arial"/>
                  <w:sz w:val="18"/>
                  <w:szCs w:val="18"/>
                  <w:color w:val="0000EE"/>
                  <w:w w:val="92"/>
                </w:rPr>
                <w:t>Item 3. Quantitative and Qualitative Disclosures About Market Risk.</w:t>
              </w:r>
            </w:hyperlink>
          </w:p>
        </w:tc>
        <w:tc>
          <w:tcPr>
            <w:tcW w:w="2640" w:type="dxa"/>
            <w:vAlign w:val="bottom"/>
            <w:gridSpan w:val="7"/>
          </w:tcPr>
          <w:p>
            <w:pPr>
              <w:spacing w:after="0"/>
              <w:rPr>
                <w:sz w:val="24"/>
                <w:szCs w:val="24"/>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89"/>
              </w:rPr>
              <w:t>46</w:t>
            </w:r>
          </w:p>
        </w:tc>
      </w:tr>
      <w:tr>
        <w:trPr>
          <w:trHeight w:val="412"/>
        </w:trPr>
        <w:tc>
          <w:tcPr>
            <w:tcW w:w="660" w:type="dxa"/>
            <w:vAlign w:val="bottom"/>
          </w:tcPr>
          <w:p>
            <w:pPr>
              <w:spacing w:after="0"/>
              <w:rPr>
                <w:sz w:val="24"/>
                <w:szCs w:val="24"/>
                <w:color w:val="auto"/>
              </w:rPr>
            </w:pPr>
          </w:p>
        </w:tc>
        <w:tc>
          <w:tcPr>
            <w:tcW w:w="7600" w:type="dxa"/>
            <w:vAlign w:val="bottom"/>
            <w:gridSpan w:val="22"/>
          </w:tcPr>
          <w:p>
            <w:pPr>
              <w:spacing w:after="0"/>
              <w:rPr>
                <w:rFonts w:ascii="Arial" w:cs="Arial" w:eastAsia="Arial" w:hAnsi="Arial"/>
                <w:sz w:val="18"/>
                <w:szCs w:val="18"/>
                <w:color w:val="0000EE"/>
              </w:rPr>
            </w:pPr>
            <w:hyperlink w:anchor="page47">
              <w:r>
                <w:rPr>
                  <w:rFonts w:ascii="Arial" w:cs="Arial" w:eastAsia="Arial" w:hAnsi="Arial"/>
                  <w:sz w:val="18"/>
                  <w:szCs w:val="18"/>
                  <w:color w:val="0000EE"/>
                </w:rPr>
                <w:t>Item 4. Controls and Procedures.</w:t>
              </w:r>
            </w:hyperlink>
          </w:p>
        </w:tc>
        <w:tc>
          <w:tcPr>
            <w:tcW w:w="800" w:type="dxa"/>
            <w:vAlign w:val="bottom"/>
          </w:tcPr>
          <w:p>
            <w:pPr>
              <w:jc w:val="center"/>
              <w:spacing w:after="0"/>
              <w:rPr>
                <w:sz w:val="20"/>
                <w:szCs w:val="20"/>
                <w:color w:val="auto"/>
              </w:rPr>
            </w:pPr>
            <w:r>
              <w:rPr>
                <w:rFonts w:ascii="Arial" w:cs="Arial" w:eastAsia="Arial" w:hAnsi="Arial"/>
                <w:sz w:val="18"/>
                <w:szCs w:val="18"/>
                <w:color w:val="auto"/>
                <w:w w:val="89"/>
              </w:rPr>
              <w:t>47</w:t>
            </w:r>
          </w:p>
        </w:tc>
      </w:tr>
      <w:tr>
        <w:trPr>
          <w:trHeight w:val="20"/>
        </w:trPr>
        <w:tc>
          <w:tcPr>
            <w:tcW w:w="66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820" w:type="dxa"/>
            <w:vAlign w:val="bottom"/>
            <w:tcBorders>
              <w:right w:val="single" w:sz="8" w:color="0000EE"/>
            </w:tcBorders>
            <w:gridSpan w:val="4"/>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660" w:type="dxa"/>
            <w:vAlign w:val="bottom"/>
            <w:gridSpan w:val="8"/>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412"/>
        </w:trPr>
        <w:tc>
          <w:tcPr>
            <w:tcW w:w="8260" w:type="dxa"/>
            <w:vAlign w:val="bottom"/>
            <w:gridSpan w:val="23"/>
          </w:tcPr>
          <w:p>
            <w:pPr>
              <w:spacing w:after="0"/>
              <w:rPr>
                <w:rFonts w:ascii="Arial" w:cs="Arial" w:eastAsia="Arial" w:hAnsi="Arial"/>
                <w:sz w:val="18"/>
                <w:szCs w:val="18"/>
                <w:color w:val="0000EE"/>
              </w:rPr>
            </w:pPr>
            <w:hyperlink w:anchor="page47">
              <w:r>
                <w:rPr>
                  <w:rFonts w:ascii="Arial" w:cs="Arial" w:eastAsia="Arial" w:hAnsi="Arial"/>
                  <w:sz w:val="18"/>
                  <w:szCs w:val="18"/>
                  <w:color w:val="0000EE"/>
                </w:rPr>
                <w:t>Part II - Other Information</w:t>
              </w:r>
            </w:hyperlink>
          </w:p>
        </w:tc>
        <w:tc>
          <w:tcPr>
            <w:tcW w:w="800" w:type="dxa"/>
            <w:vAlign w:val="bottom"/>
          </w:tcPr>
          <w:p>
            <w:pPr>
              <w:jc w:val="center"/>
              <w:spacing w:after="0"/>
              <w:rPr>
                <w:sz w:val="20"/>
                <w:szCs w:val="20"/>
                <w:color w:val="auto"/>
              </w:rPr>
            </w:pPr>
            <w:r>
              <w:rPr>
                <w:rFonts w:ascii="Arial" w:cs="Arial" w:eastAsia="Arial" w:hAnsi="Arial"/>
                <w:sz w:val="18"/>
                <w:szCs w:val="18"/>
                <w:color w:val="auto"/>
                <w:w w:val="89"/>
              </w:rPr>
              <w:t>47</w:t>
            </w:r>
          </w:p>
        </w:tc>
      </w:tr>
      <w:tr>
        <w:trPr>
          <w:trHeight w:val="20"/>
        </w:trPr>
        <w:tc>
          <w:tcPr>
            <w:tcW w:w="6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820" w:type="dxa"/>
            <w:vAlign w:val="bottom"/>
            <w:tcBorders>
              <w:right w:val="single" w:sz="8" w:color="0000EE"/>
            </w:tcBorders>
            <w:gridSpan w:val="4"/>
            <w:shd w:val="clear" w:color="auto" w:fill="0000EE"/>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660" w:type="dxa"/>
            <w:vAlign w:val="bottom"/>
            <w:gridSpan w:val="8"/>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412"/>
        </w:trPr>
        <w:tc>
          <w:tcPr>
            <w:tcW w:w="660" w:type="dxa"/>
            <w:vAlign w:val="bottom"/>
          </w:tcPr>
          <w:p>
            <w:pPr>
              <w:spacing w:after="0"/>
              <w:rPr>
                <w:sz w:val="24"/>
                <w:szCs w:val="24"/>
                <w:color w:val="auto"/>
              </w:rPr>
            </w:pPr>
          </w:p>
        </w:tc>
        <w:tc>
          <w:tcPr>
            <w:tcW w:w="7600" w:type="dxa"/>
            <w:vAlign w:val="bottom"/>
            <w:gridSpan w:val="22"/>
          </w:tcPr>
          <w:p>
            <w:pPr>
              <w:spacing w:after="0"/>
              <w:rPr>
                <w:rFonts w:ascii="Arial" w:cs="Arial" w:eastAsia="Arial" w:hAnsi="Arial"/>
                <w:sz w:val="18"/>
                <w:szCs w:val="18"/>
                <w:color w:val="0000EE"/>
              </w:rPr>
            </w:pPr>
            <w:hyperlink w:anchor="page47">
              <w:r>
                <w:rPr>
                  <w:rFonts w:ascii="Arial" w:cs="Arial" w:eastAsia="Arial" w:hAnsi="Arial"/>
                  <w:sz w:val="18"/>
                  <w:szCs w:val="18"/>
                  <w:color w:val="0000EE"/>
                </w:rPr>
                <w:t>Item 1. Legal Proceedings.</w:t>
              </w:r>
            </w:hyperlink>
          </w:p>
        </w:tc>
        <w:tc>
          <w:tcPr>
            <w:tcW w:w="800" w:type="dxa"/>
            <w:vAlign w:val="bottom"/>
          </w:tcPr>
          <w:p>
            <w:pPr>
              <w:jc w:val="center"/>
              <w:spacing w:after="0"/>
              <w:rPr>
                <w:sz w:val="20"/>
                <w:szCs w:val="20"/>
                <w:color w:val="auto"/>
              </w:rPr>
            </w:pPr>
            <w:r>
              <w:rPr>
                <w:rFonts w:ascii="Arial" w:cs="Arial" w:eastAsia="Arial" w:hAnsi="Arial"/>
                <w:sz w:val="18"/>
                <w:szCs w:val="18"/>
                <w:color w:val="auto"/>
                <w:w w:val="89"/>
              </w:rPr>
              <w:t>47</w:t>
            </w:r>
          </w:p>
        </w:tc>
      </w:tr>
      <w:tr>
        <w:trPr>
          <w:trHeight w:val="412"/>
        </w:trPr>
        <w:tc>
          <w:tcPr>
            <w:tcW w:w="660" w:type="dxa"/>
            <w:vAlign w:val="bottom"/>
          </w:tcPr>
          <w:p>
            <w:pPr>
              <w:spacing w:after="0"/>
              <w:rPr>
                <w:sz w:val="24"/>
                <w:szCs w:val="24"/>
                <w:color w:val="auto"/>
              </w:rPr>
            </w:pPr>
          </w:p>
        </w:tc>
        <w:tc>
          <w:tcPr>
            <w:tcW w:w="1920" w:type="dxa"/>
            <w:vAlign w:val="bottom"/>
            <w:tcBorders>
              <w:top w:val="single" w:sz="8" w:color="0000EE"/>
            </w:tcBorders>
            <w:gridSpan w:val="9"/>
          </w:tcPr>
          <w:p>
            <w:pPr>
              <w:spacing w:after="0"/>
              <w:rPr>
                <w:rFonts w:ascii="Arial" w:cs="Arial" w:eastAsia="Arial" w:hAnsi="Arial"/>
                <w:sz w:val="18"/>
                <w:szCs w:val="18"/>
                <w:color w:val="0000EE"/>
              </w:rPr>
            </w:pPr>
            <w:hyperlink w:anchor="page47">
              <w:r>
                <w:rPr>
                  <w:rFonts w:ascii="Arial" w:cs="Arial" w:eastAsia="Arial" w:hAnsi="Arial"/>
                  <w:sz w:val="18"/>
                  <w:szCs w:val="18"/>
                  <w:color w:val="0000EE"/>
                </w:rPr>
                <w:t>Item 1A. Risk Factors.</w:t>
              </w:r>
            </w:hyperlink>
          </w:p>
        </w:tc>
        <w:tc>
          <w:tcPr>
            <w:tcW w:w="5680" w:type="dxa"/>
            <w:vAlign w:val="bottom"/>
            <w:gridSpan w:val="13"/>
          </w:tcPr>
          <w:p>
            <w:pPr>
              <w:spacing w:after="0"/>
              <w:rPr>
                <w:sz w:val="24"/>
                <w:szCs w:val="24"/>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89"/>
              </w:rPr>
              <w:t>47</w:t>
            </w:r>
          </w:p>
        </w:tc>
      </w:tr>
      <w:tr>
        <w:trPr>
          <w:trHeight w:val="20"/>
        </w:trPr>
        <w:tc>
          <w:tcPr>
            <w:tcW w:w="66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820" w:type="dxa"/>
            <w:vAlign w:val="bottom"/>
            <w:tcBorders>
              <w:right w:val="single" w:sz="8" w:color="0000EE"/>
            </w:tcBorders>
            <w:gridSpan w:val="4"/>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gridSpan w:val="5"/>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660" w:type="dxa"/>
            <w:vAlign w:val="bottom"/>
            <w:gridSpan w:val="8"/>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412"/>
        </w:trPr>
        <w:tc>
          <w:tcPr>
            <w:tcW w:w="660" w:type="dxa"/>
            <w:vAlign w:val="bottom"/>
          </w:tcPr>
          <w:p>
            <w:pPr>
              <w:spacing w:after="0"/>
              <w:rPr>
                <w:sz w:val="24"/>
                <w:szCs w:val="24"/>
                <w:color w:val="auto"/>
              </w:rPr>
            </w:pPr>
          </w:p>
        </w:tc>
        <w:tc>
          <w:tcPr>
            <w:tcW w:w="4940" w:type="dxa"/>
            <w:vAlign w:val="bottom"/>
            <w:tcBorders>
              <w:bottom w:val="single" w:sz="8" w:color="0000EE"/>
            </w:tcBorders>
            <w:gridSpan w:val="14"/>
          </w:tcPr>
          <w:p>
            <w:pPr>
              <w:spacing w:after="0"/>
              <w:rPr>
                <w:rFonts w:ascii="Arial" w:cs="Arial" w:eastAsia="Arial" w:hAnsi="Arial"/>
                <w:sz w:val="18"/>
                <w:szCs w:val="18"/>
                <w:color w:val="0000EE"/>
                <w:w w:val="89"/>
              </w:rPr>
            </w:pPr>
            <w:hyperlink w:anchor="page48">
              <w:r>
                <w:rPr>
                  <w:rFonts w:ascii="Arial" w:cs="Arial" w:eastAsia="Arial" w:hAnsi="Arial"/>
                  <w:sz w:val="18"/>
                  <w:szCs w:val="18"/>
                  <w:color w:val="0000EE"/>
                  <w:w w:val="89"/>
                </w:rPr>
                <w:t>Item 2. Unregistered Sales of Equity Securities and Use of Proceeds.</w:t>
              </w:r>
            </w:hyperlink>
          </w:p>
        </w:tc>
        <w:tc>
          <w:tcPr>
            <w:tcW w:w="2660" w:type="dxa"/>
            <w:vAlign w:val="bottom"/>
            <w:gridSpan w:val="8"/>
          </w:tcPr>
          <w:p>
            <w:pPr>
              <w:spacing w:after="0"/>
              <w:rPr>
                <w:sz w:val="24"/>
                <w:szCs w:val="24"/>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89"/>
              </w:rPr>
              <w:t>48</w:t>
            </w:r>
          </w:p>
        </w:tc>
      </w:tr>
      <w:tr>
        <w:trPr>
          <w:trHeight w:val="412"/>
        </w:trPr>
        <w:tc>
          <w:tcPr>
            <w:tcW w:w="660" w:type="dxa"/>
            <w:vAlign w:val="bottom"/>
          </w:tcPr>
          <w:p>
            <w:pPr>
              <w:spacing w:after="0"/>
              <w:rPr>
                <w:sz w:val="24"/>
                <w:szCs w:val="24"/>
                <w:color w:val="auto"/>
              </w:rPr>
            </w:pPr>
          </w:p>
        </w:tc>
        <w:tc>
          <w:tcPr>
            <w:tcW w:w="2920" w:type="dxa"/>
            <w:vAlign w:val="bottom"/>
            <w:tcBorders>
              <w:bottom w:val="single" w:sz="8" w:color="0000EE"/>
            </w:tcBorders>
            <w:gridSpan w:val="13"/>
          </w:tcPr>
          <w:p>
            <w:pPr>
              <w:spacing w:after="0"/>
              <w:rPr>
                <w:rFonts w:ascii="Arial" w:cs="Arial" w:eastAsia="Arial" w:hAnsi="Arial"/>
                <w:sz w:val="18"/>
                <w:szCs w:val="18"/>
                <w:color w:val="0000EE"/>
                <w:w w:val="90"/>
              </w:rPr>
            </w:pPr>
            <w:hyperlink w:anchor="page48">
              <w:r>
                <w:rPr>
                  <w:rFonts w:ascii="Arial" w:cs="Arial" w:eastAsia="Arial" w:hAnsi="Arial"/>
                  <w:sz w:val="18"/>
                  <w:szCs w:val="18"/>
                  <w:color w:val="0000EE"/>
                  <w:w w:val="90"/>
                </w:rPr>
                <w:t>Item 3. Defaults Upon Senior Securities.</w:t>
              </w:r>
            </w:hyperlink>
          </w:p>
        </w:tc>
        <w:tc>
          <w:tcPr>
            <w:tcW w:w="4680" w:type="dxa"/>
            <w:vAlign w:val="bottom"/>
            <w:gridSpan w:val="9"/>
          </w:tcPr>
          <w:p>
            <w:pPr>
              <w:spacing w:after="0"/>
              <w:rPr>
                <w:sz w:val="24"/>
                <w:szCs w:val="24"/>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89"/>
              </w:rPr>
              <w:t>48</w:t>
            </w:r>
          </w:p>
        </w:tc>
      </w:tr>
      <w:tr>
        <w:trPr>
          <w:trHeight w:val="412"/>
        </w:trPr>
        <w:tc>
          <w:tcPr>
            <w:tcW w:w="660" w:type="dxa"/>
            <w:vAlign w:val="bottom"/>
          </w:tcPr>
          <w:p>
            <w:pPr>
              <w:spacing w:after="0"/>
              <w:rPr>
                <w:sz w:val="24"/>
                <w:szCs w:val="24"/>
                <w:color w:val="auto"/>
              </w:rPr>
            </w:pPr>
          </w:p>
        </w:tc>
        <w:tc>
          <w:tcPr>
            <w:tcW w:w="7600" w:type="dxa"/>
            <w:vAlign w:val="bottom"/>
            <w:gridSpan w:val="22"/>
          </w:tcPr>
          <w:p>
            <w:pPr>
              <w:spacing w:after="0"/>
              <w:rPr>
                <w:rFonts w:ascii="Arial" w:cs="Arial" w:eastAsia="Arial" w:hAnsi="Arial"/>
                <w:sz w:val="18"/>
                <w:szCs w:val="18"/>
                <w:color w:val="0000EE"/>
              </w:rPr>
            </w:pPr>
            <w:hyperlink w:anchor="page48">
              <w:r>
                <w:rPr>
                  <w:rFonts w:ascii="Arial" w:cs="Arial" w:eastAsia="Arial" w:hAnsi="Arial"/>
                  <w:sz w:val="18"/>
                  <w:szCs w:val="18"/>
                  <w:color w:val="0000EE"/>
                </w:rPr>
                <w:t>Item 4. Mine Safety Disclosures.</w:t>
              </w:r>
            </w:hyperlink>
          </w:p>
        </w:tc>
        <w:tc>
          <w:tcPr>
            <w:tcW w:w="800" w:type="dxa"/>
            <w:vAlign w:val="bottom"/>
          </w:tcPr>
          <w:p>
            <w:pPr>
              <w:jc w:val="center"/>
              <w:spacing w:after="0"/>
              <w:rPr>
                <w:sz w:val="20"/>
                <w:szCs w:val="20"/>
                <w:color w:val="auto"/>
              </w:rPr>
            </w:pPr>
            <w:r>
              <w:rPr>
                <w:rFonts w:ascii="Arial" w:cs="Arial" w:eastAsia="Arial" w:hAnsi="Arial"/>
                <w:sz w:val="18"/>
                <w:szCs w:val="18"/>
                <w:color w:val="auto"/>
                <w:w w:val="89"/>
              </w:rPr>
              <w:t>48</w:t>
            </w:r>
          </w:p>
        </w:tc>
      </w:tr>
      <w:tr>
        <w:trPr>
          <w:trHeight w:val="412"/>
        </w:trPr>
        <w:tc>
          <w:tcPr>
            <w:tcW w:w="660" w:type="dxa"/>
            <w:vAlign w:val="bottom"/>
          </w:tcPr>
          <w:p>
            <w:pPr>
              <w:spacing w:after="0"/>
              <w:rPr>
                <w:sz w:val="24"/>
                <w:szCs w:val="24"/>
                <w:color w:val="auto"/>
              </w:rPr>
            </w:pPr>
          </w:p>
        </w:tc>
        <w:tc>
          <w:tcPr>
            <w:tcW w:w="2360" w:type="dxa"/>
            <w:vAlign w:val="bottom"/>
            <w:tcBorders>
              <w:top w:val="single" w:sz="8" w:color="0000EE"/>
            </w:tcBorders>
            <w:gridSpan w:val="11"/>
          </w:tcPr>
          <w:p>
            <w:pPr>
              <w:spacing w:after="0"/>
              <w:rPr>
                <w:rFonts w:ascii="Arial" w:cs="Arial" w:eastAsia="Arial" w:hAnsi="Arial"/>
                <w:sz w:val="18"/>
                <w:szCs w:val="18"/>
                <w:color w:val="0000EE"/>
              </w:rPr>
            </w:pPr>
            <w:hyperlink w:anchor="page48">
              <w:r>
                <w:rPr>
                  <w:rFonts w:ascii="Arial" w:cs="Arial" w:eastAsia="Arial" w:hAnsi="Arial"/>
                  <w:sz w:val="18"/>
                  <w:szCs w:val="18"/>
                  <w:color w:val="0000EE"/>
                </w:rPr>
                <w:t>Item 5. Other Information.</w:t>
              </w:r>
            </w:hyperlink>
          </w:p>
        </w:tc>
        <w:tc>
          <w:tcPr>
            <w:tcW w:w="5240" w:type="dxa"/>
            <w:vAlign w:val="bottom"/>
            <w:gridSpan w:val="11"/>
          </w:tcPr>
          <w:p>
            <w:pPr>
              <w:spacing w:after="0"/>
              <w:rPr>
                <w:sz w:val="24"/>
                <w:szCs w:val="24"/>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89"/>
              </w:rPr>
              <w:t>48</w:t>
            </w:r>
          </w:p>
        </w:tc>
      </w:tr>
      <w:tr>
        <w:trPr>
          <w:trHeight w:val="412"/>
        </w:trPr>
        <w:tc>
          <w:tcPr>
            <w:tcW w:w="660" w:type="dxa"/>
            <w:vAlign w:val="bottom"/>
          </w:tcPr>
          <w:p>
            <w:pPr>
              <w:spacing w:after="0"/>
              <w:rPr>
                <w:sz w:val="24"/>
                <w:szCs w:val="24"/>
                <w:color w:val="auto"/>
              </w:rPr>
            </w:pPr>
          </w:p>
        </w:tc>
        <w:tc>
          <w:tcPr>
            <w:tcW w:w="126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95"/>
              </w:rPr>
            </w:pPr>
            <w:hyperlink w:anchor="page48">
              <w:r>
                <w:rPr>
                  <w:rFonts w:ascii="Arial" w:cs="Arial" w:eastAsia="Arial" w:hAnsi="Arial"/>
                  <w:sz w:val="18"/>
                  <w:szCs w:val="18"/>
                  <w:color w:val="0000EE"/>
                  <w:w w:val="95"/>
                </w:rPr>
                <w:t>Item 6. Exhibits.</w:t>
              </w:r>
            </w:hyperlink>
          </w:p>
        </w:tc>
        <w:tc>
          <w:tcPr>
            <w:tcW w:w="640" w:type="dxa"/>
            <w:vAlign w:val="bottom"/>
            <w:tcBorders>
              <w:top w:val="single" w:sz="8" w:color="0000EE"/>
            </w:tcBorders>
            <w:gridSpan w:val="3"/>
          </w:tcPr>
          <w:p>
            <w:pPr>
              <w:spacing w:after="0"/>
              <w:rPr>
                <w:sz w:val="24"/>
                <w:szCs w:val="24"/>
                <w:color w:val="auto"/>
              </w:rPr>
            </w:pPr>
          </w:p>
        </w:tc>
        <w:tc>
          <w:tcPr>
            <w:tcW w:w="5700" w:type="dxa"/>
            <w:vAlign w:val="bottom"/>
            <w:gridSpan w:val="14"/>
          </w:tcPr>
          <w:p>
            <w:pPr>
              <w:spacing w:after="0"/>
              <w:rPr>
                <w:sz w:val="24"/>
                <w:szCs w:val="24"/>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89"/>
              </w:rPr>
              <w:t>48</w:t>
            </w:r>
          </w:p>
        </w:tc>
      </w:tr>
      <w:tr>
        <w:trPr>
          <w:trHeight w:val="412"/>
        </w:trPr>
        <w:tc>
          <w:tcPr>
            <w:tcW w:w="8260" w:type="dxa"/>
            <w:vAlign w:val="bottom"/>
            <w:gridSpan w:val="23"/>
          </w:tcPr>
          <w:p>
            <w:pPr>
              <w:spacing w:after="0"/>
              <w:rPr>
                <w:rFonts w:ascii="Arial" w:cs="Arial" w:eastAsia="Arial" w:hAnsi="Arial"/>
                <w:sz w:val="18"/>
                <w:szCs w:val="18"/>
                <w:color w:val="0000EE"/>
              </w:rPr>
            </w:pPr>
            <w:hyperlink w:anchor="page49">
              <w:r>
                <w:rPr>
                  <w:rFonts w:ascii="Arial" w:cs="Arial" w:eastAsia="Arial" w:hAnsi="Arial"/>
                  <w:sz w:val="18"/>
                  <w:szCs w:val="18"/>
                  <w:color w:val="0000EE"/>
                </w:rPr>
                <w:t>SIGNATURES</w:t>
              </w:r>
            </w:hyperlink>
          </w:p>
        </w:tc>
        <w:tc>
          <w:tcPr>
            <w:tcW w:w="800" w:type="dxa"/>
            <w:vAlign w:val="bottom"/>
          </w:tcPr>
          <w:p>
            <w:pPr>
              <w:jc w:val="center"/>
              <w:spacing w:after="0"/>
              <w:rPr>
                <w:sz w:val="20"/>
                <w:szCs w:val="20"/>
                <w:color w:val="auto"/>
              </w:rPr>
            </w:pPr>
            <w:r>
              <w:rPr>
                <w:rFonts w:ascii="Arial" w:cs="Arial" w:eastAsia="Arial" w:hAnsi="Arial"/>
                <w:sz w:val="18"/>
                <w:szCs w:val="18"/>
                <w:color w:val="auto"/>
                <w:w w:val="89"/>
              </w:rPr>
              <w:t>49</w:t>
            </w:r>
          </w:p>
        </w:tc>
      </w:tr>
      <w:tr>
        <w:trPr>
          <w:trHeight w:val="898"/>
        </w:trPr>
        <w:tc>
          <w:tcPr>
            <w:tcW w:w="1100" w:type="dxa"/>
            <w:vAlign w:val="bottom"/>
            <w:tcBorders>
              <w:top w:val="single" w:sz="8" w:color="0000EE"/>
            </w:tcBorders>
            <w:gridSpan w:val="2"/>
          </w:tcPr>
          <w:p>
            <w:pPr>
              <w:spacing w:after="0"/>
              <w:rPr>
                <w:sz w:val="24"/>
                <w:szCs w:val="24"/>
                <w:color w:val="auto"/>
              </w:rPr>
            </w:pPr>
          </w:p>
        </w:tc>
        <w:tc>
          <w:tcPr>
            <w:tcW w:w="4500" w:type="dxa"/>
            <w:vAlign w:val="bottom"/>
            <w:gridSpan w:val="13"/>
          </w:tcPr>
          <w:p>
            <w:pPr>
              <w:jc w:val="center"/>
              <w:ind w:left="2270"/>
              <w:spacing w:after="0"/>
              <w:rPr>
                <w:sz w:val="20"/>
                <w:szCs w:val="20"/>
                <w:color w:val="auto"/>
              </w:rPr>
            </w:pPr>
            <w:r>
              <w:rPr>
                <w:rFonts w:ascii="Arial" w:cs="Arial" w:eastAsia="Arial" w:hAnsi="Arial"/>
                <w:sz w:val="18"/>
                <w:szCs w:val="18"/>
                <w:color w:val="auto"/>
                <w:w w:val="99"/>
              </w:rPr>
              <w:t>2</w:t>
            </w: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29"/>
        </w:trPr>
        <w:tc>
          <w:tcPr>
            <w:tcW w:w="66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20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r>
    </w:tbl>
    <w:p>
      <w:pPr>
        <w:sectPr>
          <w:pgSz w:w="11900" w:h="16838" w:orient="portrait"/>
          <w:cols w:equalWidth="0" w:num="1">
            <w:col w:w="9060"/>
          </w:cols>
          <w:pgMar w:left="1420" w:top="108" w:right="1419" w:bottom="1440" w:gutter="0" w:footer="0" w:header="0"/>
        </w:sectPr>
      </w:pPr>
    </w:p>
    <w:bookmarkStart w:id="2" w:name="page3"/>
    <w:bookmarkEnd w:id="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 FINANCIAL STATEMENTS.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RYMAN HOSPITALITY PROPERTIES,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w w:val="96"/>
              </w:rPr>
              <w:t>September 30,</w:t>
            </w:r>
          </w:p>
        </w:tc>
        <w:tc>
          <w:tcPr>
            <w:tcW w:w="100" w:type="dxa"/>
            <w:vAlign w:val="bottom"/>
          </w:tcPr>
          <w:p>
            <w:pPr>
              <w:spacing w:after="0"/>
              <w:rPr>
                <w:sz w:val="14"/>
                <w:szCs w:val="14"/>
                <w:color w:val="auto"/>
              </w:rPr>
            </w:pPr>
          </w:p>
        </w:tc>
        <w:tc>
          <w:tcPr>
            <w:tcW w:w="1020" w:type="dxa"/>
            <w:vAlign w:val="bottom"/>
            <w:gridSpan w:val="2"/>
          </w:tcPr>
          <w:p>
            <w:pPr>
              <w:jc w:val="right"/>
              <w:ind w:right="11"/>
              <w:spacing w:after="0"/>
              <w:rPr>
                <w:sz w:val="20"/>
                <w:szCs w:val="20"/>
                <w:color w:val="auto"/>
              </w:rPr>
            </w:pPr>
            <w:r>
              <w:rPr>
                <w:rFonts w:ascii="Arial" w:cs="Arial" w:eastAsia="Arial" w:hAnsi="Arial"/>
                <w:sz w:val="14"/>
                <w:szCs w:val="14"/>
                <w:b w:val="1"/>
                <w:bCs w:val="1"/>
                <w:color w:val="auto"/>
                <w:w w:val="98"/>
              </w:rPr>
              <w:t>December 31,</w:t>
            </w:r>
          </w:p>
        </w:tc>
      </w:tr>
      <w:tr>
        <w:trPr>
          <w:trHeight w:val="171"/>
        </w:trPr>
        <w:tc>
          <w:tcPr>
            <w:tcW w:w="656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2017</w:t>
            </w:r>
          </w:p>
        </w:tc>
      </w:tr>
      <w:tr>
        <w:trPr>
          <w:trHeight w:val="210"/>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16"/>
        </w:trPr>
        <w:tc>
          <w:tcPr>
            <w:tcW w:w="6560" w:type="dxa"/>
            <w:vAlign w:val="bottom"/>
          </w:tcPr>
          <w:p>
            <w:pPr>
              <w:ind w:left="120"/>
              <w:spacing w:after="0"/>
              <w:rPr>
                <w:sz w:val="20"/>
                <w:szCs w:val="20"/>
                <w:color w:val="auto"/>
              </w:rPr>
            </w:pPr>
            <w:r>
              <w:rPr>
                <w:rFonts w:ascii="Arial" w:cs="Arial" w:eastAsia="Arial" w:hAnsi="Arial"/>
                <w:sz w:val="18"/>
                <w:szCs w:val="18"/>
                <w:color w:val="auto"/>
              </w:rPr>
              <w:t>Property and equipment, net of accumulated depreciation</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w w:val="94"/>
              </w:rPr>
              <w:t>2,126,764</w:t>
            </w:r>
          </w:p>
        </w:tc>
        <w:tc>
          <w:tcPr>
            <w:tcW w:w="120" w:type="dxa"/>
            <w:vAlign w:val="bottom"/>
          </w:tcPr>
          <w:p>
            <w:pPr>
              <w:spacing w:after="0"/>
              <w:rPr>
                <w:sz w:val="18"/>
                <w:szCs w:val="18"/>
                <w:color w:val="auto"/>
              </w:rPr>
            </w:pPr>
          </w:p>
        </w:tc>
        <w:tc>
          <w:tcPr>
            <w:tcW w:w="260" w:type="dxa"/>
            <w:vAlign w:val="bottom"/>
            <w:gridSpan w:val="2"/>
          </w:tcPr>
          <w:p>
            <w:pPr>
              <w:jc w:val="right"/>
              <w:ind w:right="6"/>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w w:val="99"/>
              </w:rPr>
              <w:t>2,065,657</w:t>
            </w:r>
          </w:p>
        </w:tc>
      </w:tr>
      <w:tr>
        <w:trPr>
          <w:trHeight w:val="216"/>
        </w:trPr>
        <w:tc>
          <w:tcPr>
            <w:tcW w:w="65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Cash and cash equivalents - unrestricted</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86,025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57,557</w:t>
            </w:r>
          </w:p>
        </w:tc>
      </w:tr>
      <w:tr>
        <w:trPr>
          <w:trHeight w:val="216"/>
        </w:trPr>
        <w:tc>
          <w:tcPr>
            <w:tcW w:w="6560" w:type="dxa"/>
            <w:vAlign w:val="bottom"/>
          </w:tcPr>
          <w:p>
            <w:pPr>
              <w:ind w:left="120"/>
              <w:spacing w:after="0"/>
              <w:rPr>
                <w:sz w:val="20"/>
                <w:szCs w:val="20"/>
                <w:color w:val="auto"/>
              </w:rPr>
            </w:pPr>
            <w:r>
              <w:rPr>
                <w:rFonts w:ascii="Arial" w:cs="Arial" w:eastAsia="Arial" w:hAnsi="Arial"/>
                <w:sz w:val="18"/>
                <w:szCs w:val="18"/>
                <w:color w:val="auto"/>
              </w:rPr>
              <w:t>Cash and cash equivalents - restricted</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38,372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21,153</w:t>
            </w:r>
          </w:p>
        </w:tc>
      </w:tr>
      <w:tr>
        <w:trPr>
          <w:trHeight w:val="216"/>
        </w:trPr>
        <w:tc>
          <w:tcPr>
            <w:tcW w:w="65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Notes receivable</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108,696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111,423</w:t>
            </w:r>
          </w:p>
        </w:tc>
      </w:tr>
      <w:tr>
        <w:trPr>
          <w:trHeight w:val="216"/>
        </w:trPr>
        <w:tc>
          <w:tcPr>
            <w:tcW w:w="6560" w:type="dxa"/>
            <w:vAlign w:val="bottom"/>
          </w:tcPr>
          <w:p>
            <w:pPr>
              <w:ind w:left="120"/>
              <w:spacing w:after="0"/>
              <w:rPr>
                <w:sz w:val="20"/>
                <w:szCs w:val="20"/>
                <w:color w:val="auto"/>
              </w:rPr>
            </w:pPr>
            <w:r>
              <w:rPr>
                <w:rFonts w:ascii="Arial" w:cs="Arial" w:eastAsia="Arial" w:hAnsi="Arial"/>
                <w:sz w:val="18"/>
                <w:szCs w:val="18"/>
                <w:color w:val="auto"/>
              </w:rPr>
              <w:t>Investment in Gaylord Rockies joint venture</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89,403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88,685</w:t>
            </w:r>
          </w:p>
        </w:tc>
      </w:tr>
      <w:tr>
        <w:trPr>
          <w:trHeight w:val="216"/>
        </w:trPr>
        <w:tc>
          <w:tcPr>
            <w:tcW w:w="65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Trade receivables, less allowance of $820 and $651, respectively</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80,595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57,520</w:t>
            </w:r>
          </w:p>
        </w:tc>
      </w:tr>
      <w:tr>
        <w:trPr>
          <w:trHeight w:val="216"/>
        </w:trPr>
        <w:tc>
          <w:tcPr>
            <w:tcW w:w="6560" w:type="dxa"/>
            <w:vAlign w:val="bottom"/>
          </w:tcPr>
          <w:p>
            <w:pPr>
              <w:ind w:left="120"/>
              <w:spacing w:after="0"/>
              <w:rPr>
                <w:sz w:val="20"/>
                <w:szCs w:val="20"/>
                <w:color w:val="auto"/>
              </w:rPr>
            </w:pPr>
            <w:r>
              <w:rPr>
                <w:rFonts w:ascii="Arial" w:cs="Arial" w:eastAsia="Arial" w:hAnsi="Arial"/>
                <w:sz w:val="18"/>
                <w:szCs w:val="18"/>
                <w:color w:val="auto"/>
              </w:rPr>
              <w:t>Deferred income tax assets, net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40,449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50,117</w:t>
            </w:r>
          </w:p>
        </w:tc>
      </w:tr>
      <w:tr>
        <w:trPr>
          <w:trHeight w:val="216"/>
        </w:trPr>
        <w:tc>
          <w:tcPr>
            <w:tcW w:w="65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Prepaid expenses and other assets</w:t>
            </w:r>
          </w:p>
        </w:tc>
        <w:tc>
          <w:tcPr>
            <w:tcW w:w="2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74,341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72,116</w:t>
            </w:r>
          </w:p>
        </w:tc>
      </w:tr>
      <w:tr>
        <w:trPr>
          <w:trHeight w:val="217"/>
        </w:trPr>
        <w:tc>
          <w:tcPr>
            <w:tcW w:w="656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Total assets</w:t>
            </w:r>
          </w:p>
        </w:tc>
        <w:tc>
          <w:tcPr>
            <w:tcW w:w="2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2,644,645</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2,524,228</w:t>
            </w:r>
          </w:p>
        </w:tc>
      </w:tr>
      <w:tr>
        <w:trPr>
          <w:trHeight w:val="216"/>
        </w:trPr>
        <w:tc>
          <w:tcPr>
            <w:tcW w:w="6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16"/>
        </w:trPr>
        <w:tc>
          <w:tcPr>
            <w:tcW w:w="6560" w:type="dxa"/>
            <w:vAlign w:val="bottom"/>
          </w:tcPr>
          <w:p>
            <w:pPr>
              <w:spacing w:after="0"/>
              <w:rPr>
                <w:sz w:val="20"/>
                <w:szCs w:val="20"/>
                <w:color w:val="auto"/>
              </w:rPr>
            </w:pPr>
            <w:r>
              <w:rPr>
                <w:rFonts w:ascii="Arial" w:cs="Arial" w:eastAsia="Arial" w:hAnsi="Arial"/>
                <w:sz w:val="18"/>
                <w:szCs w:val="18"/>
                <w:color w:val="auto"/>
              </w:rPr>
              <w:t>LIABILITIES AND STOCKHOLDERS' EQUITY:</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65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Debt and capital lease obligations</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1,693,427</w:t>
            </w:r>
          </w:p>
        </w:tc>
        <w:tc>
          <w:tcPr>
            <w:tcW w:w="1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6"/>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1,591,392</w:t>
            </w:r>
          </w:p>
        </w:tc>
      </w:tr>
      <w:tr>
        <w:trPr>
          <w:trHeight w:val="216"/>
        </w:trPr>
        <w:tc>
          <w:tcPr>
            <w:tcW w:w="6560" w:type="dxa"/>
            <w:vAlign w:val="bottom"/>
          </w:tcPr>
          <w:p>
            <w:pPr>
              <w:ind w:left="120"/>
              <w:spacing w:after="0"/>
              <w:rPr>
                <w:sz w:val="20"/>
                <w:szCs w:val="20"/>
                <w:color w:val="auto"/>
              </w:rPr>
            </w:pPr>
            <w:r>
              <w:rPr>
                <w:rFonts w:ascii="Arial" w:cs="Arial" w:eastAsia="Arial" w:hAnsi="Arial"/>
                <w:sz w:val="18"/>
                <w:szCs w:val="18"/>
                <w:color w:val="auto"/>
              </w:rPr>
              <w:t>Accounts payable and accrued liabilities</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214,711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179,649</w:t>
            </w:r>
          </w:p>
        </w:tc>
      </w:tr>
      <w:tr>
        <w:trPr>
          <w:trHeight w:val="216"/>
        </w:trPr>
        <w:tc>
          <w:tcPr>
            <w:tcW w:w="65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Dividends payable</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44,668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42,129</w:t>
            </w:r>
          </w:p>
        </w:tc>
      </w:tr>
      <w:tr>
        <w:trPr>
          <w:trHeight w:val="216"/>
        </w:trPr>
        <w:tc>
          <w:tcPr>
            <w:tcW w:w="6560" w:type="dxa"/>
            <w:vAlign w:val="bottom"/>
          </w:tcPr>
          <w:p>
            <w:pPr>
              <w:ind w:left="120"/>
              <w:spacing w:after="0"/>
              <w:rPr>
                <w:sz w:val="20"/>
                <w:szCs w:val="20"/>
                <w:color w:val="auto"/>
              </w:rPr>
            </w:pPr>
            <w:r>
              <w:rPr>
                <w:rFonts w:ascii="Arial" w:cs="Arial" w:eastAsia="Arial" w:hAnsi="Arial"/>
                <w:sz w:val="18"/>
                <w:szCs w:val="18"/>
                <w:color w:val="auto"/>
              </w:rPr>
              <w:t>Deferred management rights proceeds</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174,784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177,057</w:t>
            </w:r>
          </w:p>
        </w:tc>
      </w:tr>
      <w:tr>
        <w:trPr>
          <w:trHeight w:val="216"/>
        </w:trPr>
        <w:tc>
          <w:tcPr>
            <w:tcW w:w="65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 liabilities</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159,560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155,845</w:t>
            </w:r>
          </w:p>
        </w:tc>
      </w:tr>
      <w:tr>
        <w:trPr>
          <w:trHeight w:val="216"/>
        </w:trPr>
        <w:tc>
          <w:tcPr>
            <w:tcW w:w="6560" w:type="dxa"/>
            <w:vAlign w:val="bottom"/>
          </w:tcPr>
          <w:p>
            <w:pPr>
              <w:ind w:left="120"/>
              <w:spacing w:after="0"/>
              <w:rPr>
                <w:sz w:val="20"/>
                <w:szCs w:val="20"/>
                <w:color w:val="auto"/>
              </w:rPr>
            </w:pPr>
            <w:r>
              <w:rPr>
                <w:rFonts w:ascii="Arial" w:cs="Arial" w:eastAsia="Arial" w:hAnsi="Arial"/>
                <w:sz w:val="18"/>
                <w:szCs w:val="18"/>
                <w:color w:val="auto"/>
              </w:rPr>
              <w:t>Commitments and contingencies</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65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Stockholders' equity:</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02"/>
        </w:trPr>
        <w:tc>
          <w:tcPr>
            <w:tcW w:w="6560" w:type="dxa"/>
            <w:vAlign w:val="bottom"/>
          </w:tcPr>
          <w:p>
            <w:pPr>
              <w:ind w:left="220"/>
              <w:spacing w:after="0" w:line="201" w:lineRule="exact"/>
              <w:rPr>
                <w:sz w:val="20"/>
                <w:szCs w:val="20"/>
                <w:color w:val="auto"/>
              </w:rPr>
            </w:pPr>
            <w:r>
              <w:rPr>
                <w:rFonts w:ascii="Arial" w:cs="Arial" w:eastAsia="Arial" w:hAnsi="Arial"/>
                <w:sz w:val="18"/>
                <w:szCs w:val="18"/>
                <w:color w:val="auto"/>
                <w:w w:val="99"/>
              </w:rPr>
              <w:t>Preferred stock, $.01 par value, 100,000 shares authorized, no shares issued or</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30"/>
        </w:trPr>
        <w:tc>
          <w:tcPr>
            <w:tcW w:w="6560" w:type="dxa"/>
            <w:vAlign w:val="bottom"/>
          </w:tcPr>
          <w:p>
            <w:pPr>
              <w:ind w:left="340"/>
              <w:spacing w:after="0"/>
              <w:rPr>
                <w:sz w:val="20"/>
                <w:szCs w:val="20"/>
                <w:color w:val="auto"/>
              </w:rPr>
            </w:pPr>
            <w:r>
              <w:rPr>
                <w:rFonts w:ascii="Arial" w:cs="Arial" w:eastAsia="Arial" w:hAnsi="Arial"/>
                <w:sz w:val="18"/>
                <w:szCs w:val="18"/>
                <w:color w:val="auto"/>
              </w:rPr>
              <w:t>outstanding</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02"/>
        </w:trPr>
        <w:tc>
          <w:tcPr>
            <w:tcW w:w="6560" w:type="dxa"/>
            <w:vAlign w:val="bottom"/>
            <w:shd w:val="clear" w:color="auto" w:fill="CCEEFF"/>
          </w:tcPr>
          <w:p>
            <w:pPr>
              <w:ind w:left="220"/>
              <w:spacing w:after="0" w:line="201" w:lineRule="exact"/>
              <w:rPr>
                <w:sz w:val="20"/>
                <w:szCs w:val="20"/>
                <w:color w:val="auto"/>
              </w:rPr>
            </w:pPr>
            <w:r>
              <w:rPr>
                <w:rFonts w:ascii="Arial" w:cs="Arial" w:eastAsia="Arial" w:hAnsi="Arial"/>
                <w:sz w:val="18"/>
                <w:szCs w:val="18"/>
                <w:color w:val="auto"/>
                <w:w w:val="92"/>
              </w:rPr>
              <w:t>Common stock, $.01 par value, 400,000 shares authorized, 51,333 and 51,198 shares</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r>
      <w:tr>
        <w:trPr>
          <w:trHeight w:val="230"/>
        </w:trPr>
        <w:tc>
          <w:tcPr>
            <w:tcW w:w="6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issued and outstanding, respectively</w:t>
            </w:r>
          </w:p>
        </w:tc>
        <w:tc>
          <w:tcPr>
            <w:tcW w:w="2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w:t>
            </w:r>
          </w:p>
        </w:tc>
      </w:tr>
      <w:tr>
        <w:trPr>
          <w:trHeight w:val="216"/>
        </w:trPr>
        <w:tc>
          <w:tcPr>
            <w:tcW w:w="6560" w:type="dxa"/>
            <w:vAlign w:val="bottom"/>
          </w:tcPr>
          <w:p>
            <w:pPr>
              <w:ind w:left="220"/>
              <w:spacing w:after="0"/>
              <w:rPr>
                <w:sz w:val="20"/>
                <w:szCs w:val="20"/>
                <w:color w:val="auto"/>
              </w:rPr>
            </w:pPr>
            <w:r>
              <w:rPr>
                <w:rFonts w:ascii="Arial" w:cs="Arial" w:eastAsia="Arial" w:hAnsi="Arial"/>
                <w:sz w:val="18"/>
                <w:szCs w:val="18"/>
                <w:color w:val="auto"/>
              </w:rPr>
              <w:t>Additional paid-in capital</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898,845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896,759</w:t>
            </w:r>
          </w:p>
        </w:tc>
      </w:tr>
      <w:tr>
        <w:trPr>
          <w:trHeight w:val="216"/>
        </w:trPr>
        <w:tc>
          <w:tcPr>
            <w:tcW w:w="6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Treasury stock of 579 and 567 shares, at cost</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(14,195)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(13,253)</w:t>
            </w:r>
          </w:p>
        </w:tc>
      </w:tr>
      <w:tr>
        <w:trPr>
          <w:trHeight w:val="216"/>
        </w:trPr>
        <w:tc>
          <w:tcPr>
            <w:tcW w:w="6560" w:type="dxa"/>
            <w:vAlign w:val="bottom"/>
          </w:tcPr>
          <w:p>
            <w:pPr>
              <w:ind w:left="220"/>
              <w:spacing w:after="0"/>
              <w:rPr>
                <w:sz w:val="20"/>
                <w:szCs w:val="20"/>
                <w:color w:val="auto"/>
              </w:rPr>
            </w:pPr>
            <w:r>
              <w:rPr>
                <w:rFonts w:ascii="Arial" w:cs="Arial" w:eastAsia="Arial" w:hAnsi="Arial"/>
                <w:sz w:val="18"/>
                <w:szCs w:val="18"/>
                <w:color w:val="auto"/>
              </w:rPr>
              <w:t>Accumulated deficit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(504,577)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(479,170)</w:t>
            </w:r>
          </w:p>
        </w:tc>
      </w:tr>
      <w:tr>
        <w:trPr>
          <w:trHeight w:val="216"/>
        </w:trPr>
        <w:tc>
          <w:tcPr>
            <w:tcW w:w="6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Accumulated other comprehensive loss</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(23,091)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(26,692)</w:t>
            </w:r>
          </w:p>
        </w:tc>
      </w:tr>
      <w:tr>
        <w:trPr>
          <w:trHeight w:val="210"/>
        </w:trPr>
        <w:tc>
          <w:tcPr>
            <w:tcW w:w="656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Total stockholders' equity</w:t>
            </w:r>
          </w:p>
        </w:tc>
        <w:tc>
          <w:tcPr>
            <w:tcW w:w="24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357,495</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378,156</w:t>
            </w:r>
          </w:p>
        </w:tc>
      </w:tr>
      <w:tr>
        <w:trPr>
          <w:trHeight w:val="217"/>
        </w:trPr>
        <w:tc>
          <w:tcPr>
            <w:tcW w:w="65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liabilities and stockholders' equity</w:t>
            </w:r>
          </w:p>
        </w:tc>
        <w:tc>
          <w:tcPr>
            <w:tcW w:w="2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2,644,645</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2,524,228</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 w:name="page4"/>
    <w:bookmarkEnd w:id="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line="263" w:lineRule="auto"/>
        <w:rPr>
          <w:sz w:val="20"/>
          <w:szCs w:val="20"/>
          <w:color w:val="auto"/>
        </w:rPr>
      </w:pPr>
      <w:r>
        <w:rPr>
          <w:rFonts w:ascii="Arial" w:cs="Arial" w:eastAsia="Arial" w:hAnsi="Arial"/>
          <w:sz w:val="18"/>
          <w:szCs w:val="18"/>
          <w:b w:val="1"/>
          <w:bCs w:val="1"/>
          <w:color w:val="auto"/>
        </w:rPr>
        <w:t>RYMAN HOSPITALITY PROPERTIES, INC. AND SUBSIDIARIES CONDENSED CONSOLIDATED STATEMENTS OF OPERATIONS AND COMPREHENSIVE INCOME (Unaudited)</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00" w:type="dxa"/>
            <w:vAlign w:val="bottom"/>
            <w:gridSpan w:val="6"/>
          </w:tcPr>
          <w:p>
            <w:pPr>
              <w:jc w:val="center"/>
              <w:ind w:right="180"/>
              <w:spacing w:after="0"/>
              <w:rPr>
                <w:sz w:val="20"/>
                <w:szCs w:val="20"/>
                <w:color w:val="auto"/>
              </w:rPr>
            </w:pPr>
            <w:r>
              <w:rPr>
                <w:rFonts w:ascii="Arial" w:cs="Arial" w:eastAsia="Arial" w:hAnsi="Arial"/>
                <w:sz w:val="14"/>
                <w:szCs w:val="14"/>
                <w:b w:val="1"/>
                <w:bCs w:val="1"/>
                <w:color w:val="auto"/>
                <w:w w:val="95"/>
              </w:rPr>
              <w:t>Three Months Ended</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20" w:type="dxa"/>
            <w:vAlign w:val="bottom"/>
            <w:gridSpan w:val="4"/>
          </w:tcPr>
          <w:p>
            <w:pPr>
              <w:jc w:val="right"/>
              <w:ind w:right="171"/>
              <w:spacing w:after="0"/>
              <w:rPr>
                <w:sz w:val="20"/>
                <w:szCs w:val="20"/>
                <w:color w:val="auto"/>
              </w:rPr>
            </w:pPr>
            <w:r>
              <w:rPr>
                <w:rFonts w:ascii="Arial" w:cs="Arial" w:eastAsia="Arial" w:hAnsi="Arial"/>
                <w:sz w:val="14"/>
                <w:szCs w:val="14"/>
                <w:b w:val="1"/>
                <w:bCs w:val="1"/>
                <w:color w:val="auto"/>
              </w:rPr>
              <w:t>Nine Months Ended</w:t>
            </w:r>
          </w:p>
        </w:tc>
      </w:tr>
      <w:tr>
        <w:trPr>
          <w:trHeight w:val="171"/>
        </w:trPr>
        <w:tc>
          <w:tcPr>
            <w:tcW w:w="5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00" w:type="dxa"/>
            <w:vAlign w:val="bottom"/>
            <w:gridSpan w:val="6"/>
          </w:tcPr>
          <w:p>
            <w:pPr>
              <w:jc w:val="center"/>
              <w:ind w:right="220"/>
              <w:spacing w:after="0"/>
              <w:rPr>
                <w:sz w:val="20"/>
                <w:szCs w:val="20"/>
                <w:color w:val="auto"/>
              </w:rPr>
            </w:pPr>
            <w:r>
              <w:rPr>
                <w:rFonts w:ascii="Arial" w:cs="Arial" w:eastAsia="Arial" w:hAnsi="Arial"/>
                <w:sz w:val="14"/>
                <w:szCs w:val="14"/>
                <w:b w:val="1"/>
                <w:bCs w:val="1"/>
                <w:color w:val="auto"/>
                <w:w w:val="91"/>
              </w:rPr>
              <w:t>September 30,</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20" w:type="dxa"/>
            <w:vAlign w:val="bottom"/>
            <w:gridSpan w:val="4"/>
          </w:tcPr>
          <w:p>
            <w:pPr>
              <w:jc w:val="right"/>
              <w:ind w:right="351"/>
              <w:spacing w:after="0"/>
              <w:rPr>
                <w:sz w:val="20"/>
                <w:szCs w:val="20"/>
                <w:color w:val="auto"/>
              </w:rPr>
            </w:pPr>
            <w:r>
              <w:rPr>
                <w:rFonts w:ascii="Arial" w:cs="Arial" w:eastAsia="Arial" w:hAnsi="Arial"/>
                <w:sz w:val="14"/>
                <w:szCs w:val="14"/>
                <w:b w:val="1"/>
                <w:bCs w:val="1"/>
                <w:color w:val="auto"/>
              </w:rPr>
              <w:t>September 30,</w:t>
            </w:r>
          </w:p>
        </w:tc>
      </w:tr>
      <w:tr>
        <w:trPr>
          <w:trHeight w:val="142"/>
        </w:trPr>
        <w:tc>
          <w:tcPr>
            <w:tcW w:w="542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2018</w:t>
            </w:r>
          </w:p>
        </w:tc>
        <w:tc>
          <w:tcPr>
            <w:tcW w:w="8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rPr>
              <w:t>2017</w:t>
            </w:r>
          </w:p>
        </w:tc>
        <w:tc>
          <w:tcPr>
            <w:tcW w:w="6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2018</w:t>
            </w:r>
          </w:p>
        </w:tc>
        <w:tc>
          <w:tcPr>
            <w:tcW w:w="14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51"/>
              <w:spacing w:after="0" w:line="142" w:lineRule="exact"/>
              <w:rPr>
                <w:sz w:val="20"/>
                <w:szCs w:val="20"/>
                <w:color w:val="auto"/>
              </w:rPr>
            </w:pPr>
            <w:r>
              <w:rPr>
                <w:rFonts w:ascii="Arial" w:cs="Arial" w:eastAsia="Arial" w:hAnsi="Arial"/>
                <w:sz w:val="14"/>
                <w:szCs w:val="14"/>
                <w:b w:val="1"/>
                <w:bCs w:val="1"/>
                <w:color w:val="auto"/>
              </w:rPr>
              <w:t>2017</w:t>
            </w:r>
          </w:p>
        </w:tc>
      </w:tr>
      <w:tr>
        <w:trPr>
          <w:trHeight w:val="210"/>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r>
      <w:tr>
        <w:trPr>
          <w:trHeight w:val="216"/>
        </w:trPr>
        <w:tc>
          <w:tcPr>
            <w:tcW w:w="5420" w:type="dxa"/>
            <w:vAlign w:val="bottom"/>
          </w:tcPr>
          <w:p>
            <w:pPr>
              <w:ind w:left="120"/>
              <w:spacing w:after="0"/>
              <w:rPr>
                <w:sz w:val="20"/>
                <w:szCs w:val="20"/>
                <w:color w:val="auto"/>
              </w:rPr>
            </w:pPr>
            <w:r>
              <w:rPr>
                <w:rFonts w:ascii="Arial" w:cs="Arial" w:eastAsia="Arial" w:hAnsi="Arial"/>
                <w:sz w:val="18"/>
                <w:szCs w:val="18"/>
                <w:color w:val="auto"/>
              </w:rPr>
              <w:t>Rooms</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5"/>
              </w:rPr>
              <w:t>103,181</w:t>
            </w:r>
          </w:p>
        </w:tc>
        <w:tc>
          <w:tcPr>
            <w:tcW w:w="8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2"/>
              </w:rPr>
              <w:t>100,534</w:t>
            </w:r>
          </w:p>
        </w:tc>
        <w:tc>
          <w:tcPr>
            <w:tcW w:w="6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2"/>
              </w:rPr>
              <w:t>332,490</w:t>
            </w:r>
          </w:p>
        </w:tc>
        <w:tc>
          <w:tcPr>
            <w:tcW w:w="1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2"/>
              </w:rPr>
              <w:t>314,577</w:t>
            </w:r>
          </w:p>
        </w:tc>
      </w:tr>
      <w:tr>
        <w:trPr>
          <w:trHeight w:val="216"/>
        </w:trPr>
        <w:tc>
          <w:tcPr>
            <w:tcW w:w="54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Food and beverage</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118,496</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104,437</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392,488</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359,047</w:t>
            </w:r>
          </w:p>
        </w:tc>
      </w:tr>
      <w:tr>
        <w:trPr>
          <w:trHeight w:val="216"/>
        </w:trPr>
        <w:tc>
          <w:tcPr>
            <w:tcW w:w="5420" w:type="dxa"/>
            <w:vAlign w:val="bottom"/>
          </w:tcPr>
          <w:p>
            <w:pPr>
              <w:ind w:left="120"/>
              <w:spacing w:after="0"/>
              <w:rPr>
                <w:sz w:val="20"/>
                <w:szCs w:val="20"/>
                <w:color w:val="auto"/>
              </w:rPr>
            </w:pPr>
            <w:r>
              <w:rPr>
                <w:rFonts w:ascii="Arial" w:cs="Arial" w:eastAsia="Arial" w:hAnsi="Arial"/>
                <w:sz w:val="18"/>
                <w:szCs w:val="18"/>
                <w:color w:val="auto"/>
              </w:rPr>
              <w:t>Other hotel revenue</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27,563</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24,619</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81,129</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73,493</w:t>
            </w:r>
          </w:p>
        </w:tc>
      </w:tr>
      <w:tr>
        <w:trPr>
          <w:trHeight w:val="216"/>
        </w:trPr>
        <w:tc>
          <w:tcPr>
            <w:tcW w:w="54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Entertainment</w:t>
            </w: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43,009</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35,134</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108,446</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92,427</w:t>
            </w:r>
          </w:p>
        </w:tc>
      </w:tr>
      <w:tr>
        <w:trPr>
          <w:trHeight w:val="210"/>
        </w:trPr>
        <w:tc>
          <w:tcPr>
            <w:tcW w:w="5420" w:type="dxa"/>
            <w:vAlign w:val="bottom"/>
          </w:tcPr>
          <w:p>
            <w:pPr>
              <w:ind w:left="220"/>
              <w:spacing w:after="0"/>
              <w:rPr>
                <w:sz w:val="20"/>
                <w:szCs w:val="20"/>
                <w:color w:val="auto"/>
              </w:rPr>
            </w:pPr>
            <w:r>
              <w:rPr>
                <w:rFonts w:ascii="Arial" w:cs="Arial" w:eastAsia="Arial" w:hAnsi="Arial"/>
                <w:sz w:val="18"/>
                <w:szCs w:val="18"/>
                <w:color w:val="auto"/>
              </w:rPr>
              <w:t>Total revenues</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5"/>
              </w:rPr>
              <w:t>292,249</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2"/>
              </w:rPr>
              <w:t>264,724</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2"/>
              </w:rPr>
              <w:t>914,553</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2"/>
              </w:rPr>
              <w:t>839,544</w:t>
            </w:r>
          </w:p>
        </w:tc>
      </w:tr>
      <w:tr>
        <w:trPr>
          <w:trHeight w:val="216"/>
        </w:trPr>
        <w:tc>
          <w:tcPr>
            <w:tcW w:w="5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r>
      <w:tr>
        <w:trPr>
          <w:trHeight w:val="216"/>
        </w:trPr>
        <w:tc>
          <w:tcPr>
            <w:tcW w:w="5420" w:type="dxa"/>
            <w:vAlign w:val="bottom"/>
          </w:tcPr>
          <w:p>
            <w:pPr>
              <w:spacing w:after="0"/>
              <w:rPr>
                <w:sz w:val="20"/>
                <w:szCs w:val="20"/>
                <w:color w:val="auto"/>
              </w:rPr>
            </w:pPr>
            <w:r>
              <w:rPr>
                <w:rFonts w:ascii="Arial" w:cs="Arial" w:eastAsia="Arial" w:hAnsi="Arial"/>
                <w:sz w:val="18"/>
                <w:szCs w:val="18"/>
                <w:color w:val="auto"/>
              </w:rPr>
              <w:t>Operating expenses:</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16"/>
        </w:trPr>
        <w:tc>
          <w:tcPr>
            <w:tcW w:w="54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Rooms</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29,563</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27,575</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88,550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83,962</w:t>
            </w:r>
          </w:p>
        </w:tc>
      </w:tr>
      <w:tr>
        <w:trPr>
          <w:trHeight w:val="216"/>
        </w:trPr>
        <w:tc>
          <w:tcPr>
            <w:tcW w:w="5420" w:type="dxa"/>
            <w:vAlign w:val="bottom"/>
          </w:tcPr>
          <w:p>
            <w:pPr>
              <w:ind w:left="120"/>
              <w:spacing w:after="0"/>
              <w:rPr>
                <w:sz w:val="20"/>
                <w:szCs w:val="20"/>
                <w:color w:val="auto"/>
              </w:rPr>
            </w:pPr>
            <w:r>
              <w:rPr>
                <w:rFonts w:ascii="Arial" w:cs="Arial" w:eastAsia="Arial" w:hAnsi="Arial"/>
                <w:sz w:val="18"/>
                <w:szCs w:val="18"/>
                <w:color w:val="auto"/>
              </w:rPr>
              <w:t>Food and beverage</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67,305</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62,649</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2"/>
              </w:rPr>
              <w:t>211,677</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2"/>
              </w:rPr>
              <w:t>200,091</w:t>
            </w:r>
          </w:p>
        </w:tc>
      </w:tr>
      <w:tr>
        <w:trPr>
          <w:trHeight w:val="216"/>
        </w:trPr>
        <w:tc>
          <w:tcPr>
            <w:tcW w:w="54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 hotel expenses</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74,350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72,299</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226,965</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220,073</w:t>
            </w:r>
          </w:p>
        </w:tc>
      </w:tr>
      <w:tr>
        <w:trPr>
          <w:trHeight w:val="216"/>
        </w:trPr>
        <w:tc>
          <w:tcPr>
            <w:tcW w:w="542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Management fees, net</w:t>
            </w: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6,558</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4,708</w:t>
            </w:r>
          </w:p>
        </w:tc>
        <w:tc>
          <w:tcPr>
            <w:tcW w:w="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22,323</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16,417</w:t>
            </w:r>
          </w:p>
        </w:tc>
      </w:tr>
      <w:tr>
        <w:trPr>
          <w:trHeight w:val="210"/>
        </w:trPr>
        <w:tc>
          <w:tcPr>
            <w:tcW w:w="54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hotel operating expenses</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177,776</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167,231</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549,515</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520,543</w:t>
            </w:r>
          </w:p>
        </w:tc>
      </w:tr>
      <w:tr>
        <w:trPr>
          <w:trHeight w:val="216"/>
        </w:trPr>
        <w:tc>
          <w:tcPr>
            <w:tcW w:w="5420" w:type="dxa"/>
            <w:vAlign w:val="bottom"/>
          </w:tcPr>
          <w:p>
            <w:pPr>
              <w:ind w:left="120"/>
              <w:spacing w:after="0"/>
              <w:rPr>
                <w:sz w:val="20"/>
                <w:szCs w:val="20"/>
                <w:color w:val="auto"/>
              </w:rPr>
            </w:pPr>
            <w:r>
              <w:rPr>
                <w:rFonts w:ascii="Arial" w:cs="Arial" w:eastAsia="Arial" w:hAnsi="Arial"/>
                <w:sz w:val="18"/>
                <w:szCs w:val="18"/>
                <w:color w:val="auto"/>
              </w:rPr>
              <w:t>Entertainment</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31,327</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22,651</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80,947</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61,637</w:t>
            </w:r>
          </w:p>
        </w:tc>
      </w:tr>
      <w:tr>
        <w:trPr>
          <w:trHeight w:val="216"/>
        </w:trPr>
        <w:tc>
          <w:tcPr>
            <w:tcW w:w="54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Corporate</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7,212</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7,909</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23,181</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22,786</w:t>
            </w:r>
          </w:p>
        </w:tc>
      </w:tr>
      <w:tr>
        <w:trPr>
          <w:trHeight w:val="216"/>
        </w:trPr>
        <w:tc>
          <w:tcPr>
            <w:tcW w:w="5420" w:type="dxa"/>
            <w:vAlign w:val="bottom"/>
          </w:tcPr>
          <w:p>
            <w:pPr>
              <w:ind w:left="120"/>
              <w:spacing w:after="0"/>
              <w:rPr>
                <w:sz w:val="20"/>
                <w:szCs w:val="20"/>
                <w:color w:val="auto"/>
              </w:rPr>
            </w:pPr>
            <w:r>
              <w:rPr>
                <w:rFonts w:ascii="Arial" w:cs="Arial" w:eastAsia="Arial" w:hAnsi="Arial"/>
                <w:sz w:val="18"/>
                <w:szCs w:val="18"/>
                <w:color w:val="auto"/>
              </w:rPr>
              <w:t>Preopening costs</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300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877</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3,972</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1,587</w:t>
            </w:r>
          </w:p>
        </w:tc>
      </w:tr>
      <w:tr>
        <w:trPr>
          <w:trHeight w:val="216"/>
        </w:trPr>
        <w:tc>
          <w:tcPr>
            <w:tcW w:w="54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Depreciation and amortization</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30,994</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28,546</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89,655</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83,862</w:t>
            </w:r>
          </w:p>
        </w:tc>
      </w:tr>
      <w:tr>
        <w:trPr>
          <w:trHeight w:val="216"/>
        </w:trPr>
        <w:tc>
          <w:tcPr>
            <w:tcW w:w="5420" w:type="dxa"/>
            <w:vAlign w:val="bottom"/>
          </w:tcPr>
          <w:p>
            <w:pPr>
              <w:ind w:left="120"/>
              <w:spacing w:after="0"/>
              <w:rPr>
                <w:sz w:val="20"/>
                <w:szCs w:val="20"/>
                <w:color w:val="auto"/>
              </w:rPr>
            </w:pPr>
            <w:r>
              <w:rPr>
                <w:rFonts w:ascii="Arial" w:cs="Arial" w:eastAsia="Arial" w:hAnsi="Arial"/>
                <w:sz w:val="18"/>
                <w:szCs w:val="18"/>
                <w:color w:val="auto"/>
              </w:rPr>
              <w:t>Impairment and other charges</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4,540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4,540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0"/>
        </w:trPr>
        <w:tc>
          <w:tcPr>
            <w:tcW w:w="542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operating expenses</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252,149</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227,214</w:t>
            </w: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751,810</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690,415</w:t>
            </w:r>
          </w:p>
        </w:tc>
      </w:tr>
      <w:tr>
        <w:trPr>
          <w:trHeight w:val="210"/>
        </w:trPr>
        <w:tc>
          <w:tcPr>
            <w:tcW w:w="5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16"/>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40,100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37,510</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162,743</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149,129</w:t>
            </w:r>
          </w:p>
        </w:tc>
      </w:tr>
      <w:tr>
        <w:trPr>
          <w:trHeight w:val="216"/>
        </w:trPr>
        <w:tc>
          <w:tcPr>
            <w:tcW w:w="5420" w:type="dxa"/>
            <w:vAlign w:val="bottom"/>
          </w:tcPr>
          <w:p>
            <w:pPr>
              <w:spacing w:after="0"/>
              <w:rPr>
                <w:sz w:val="20"/>
                <w:szCs w:val="20"/>
                <w:color w:val="auto"/>
              </w:rPr>
            </w:pPr>
            <w:r>
              <w:rPr>
                <w:rFonts w:ascii="Arial" w:cs="Arial" w:eastAsia="Arial" w:hAnsi="Arial"/>
                <w:sz w:val="18"/>
                <w:szCs w:val="18"/>
                <w:color w:val="auto"/>
              </w:rPr>
              <w:t>Interest expense</w:t>
            </w:r>
          </w:p>
        </w:tc>
        <w:tc>
          <w:tcPr>
            <w:tcW w:w="12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w w:val="98"/>
              </w:rPr>
              <w:t>(19,220)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(16,621)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w w:val="98"/>
              </w:rPr>
              <w:t>(55,574)</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5"/>
              </w:rPr>
              <w:t>(49,640)</w:t>
            </w:r>
          </w:p>
        </w:tc>
      </w:tr>
      <w:tr>
        <w:trPr>
          <w:trHeight w:val="216"/>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2,678</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2,957</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8,197</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8,874</w:t>
            </w:r>
          </w:p>
        </w:tc>
      </w:tr>
      <w:tr>
        <w:trPr>
          <w:trHeight w:val="216"/>
        </w:trPr>
        <w:tc>
          <w:tcPr>
            <w:tcW w:w="5420" w:type="dxa"/>
            <w:vAlign w:val="bottom"/>
          </w:tcPr>
          <w:p>
            <w:pPr>
              <w:spacing w:after="0"/>
              <w:rPr>
                <w:sz w:val="20"/>
                <w:szCs w:val="20"/>
                <w:color w:val="auto"/>
              </w:rPr>
            </w:pPr>
            <w:r>
              <w:rPr>
                <w:rFonts w:ascii="Arial" w:cs="Arial" w:eastAsia="Arial" w:hAnsi="Arial"/>
                <w:sz w:val="18"/>
                <w:szCs w:val="18"/>
                <w:color w:val="auto"/>
              </w:rPr>
              <w:t>Loss from joint ventures</w:t>
            </w:r>
          </w:p>
        </w:tc>
        <w:tc>
          <w:tcPr>
            <w:tcW w:w="12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(985)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(899)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(2,227)</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(2,616)</w:t>
            </w:r>
          </w:p>
        </w:tc>
      </w:tr>
      <w:tr>
        <w:trPr>
          <w:trHeight w:val="216"/>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Other gains and (losses), net</w:t>
            </w: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1,881</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1,453</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2,085</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w:t>
            </w:r>
          </w:p>
        </w:tc>
      </w:tr>
      <w:tr>
        <w:trPr>
          <w:trHeight w:val="210"/>
        </w:trPr>
        <w:tc>
          <w:tcPr>
            <w:tcW w:w="5420" w:type="dxa"/>
            <w:vAlign w:val="bottom"/>
          </w:tcPr>
          <w:p>
            <w:pPr>
              <w:ind w:left="120"/>
              <w:spacing w:after="0"/>
              <w:rPr>
                <w:sz w:val="20"/>
                <w:szCs w:val="20"/>
                <w:color w:val="auto"/>
              </w:rPr>
            </w:pPr>
            <w:r>
              <w:rPr>
                <w:rFonts w:ascii="Arial" w:cs="Arial" w:eastAsia="Arial" w:hAnsi="Arial"/>
                <w:sz w:val="18"/>
                <w:szCs w:val="18"/>
                <w:color w:val="auto"/>
              </w:rPr>
              <w:t>Income before income taxes</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24,454</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24,400</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2"/>
              </w:rPr>
              <w:t>115,224</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2"/>
              </w:rPr>
              <w:t>105,804</w:t>
            </w:r>
          </w:p>
        </w:tc>
      </w:tr>
      <w:tr>
        <w:trPr>
          <w:trHeight w:val="216"/>
        </w:trPr>
        <w:tc>
          <w:tcPr>
            <w:tcW w:w="5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r>
      <w:tr>
        <w:trPr>
          <w:trHeight w:val="216"/>
        </w:trPr>
        <w:tc>
          <w:tcPr>
            <w:tcW w:w="542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2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(1,863)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(530)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(9,748)</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(2,022)</w:t>
            </w:r>
          </w:p>
        </w:tc>
      </w:tr>
      <w:tr>
        <w:trPr>
          <w:trHeight w:val="217"/>
        </w:trPr>
        <w:tc>
          <w:tcPr>
            <w:tcW w:w="542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Net income</w:t>
            </w: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22,591</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23,870</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105,476</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103,782</w:t>
            </w:r>
          </w:p>
        </w:tc>
      </w:tr>
      <w:tr>
        <w:trPr>
          <w:trHeight w:val="216"/>
        </w:trPr>
        <w:tc>
          <w:tcPr>
            <w:tcW w:w="5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36"/>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Basic income per share</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0.44</w:t>
            </w:r>
          </w:p>
        </w:tc>
        <w:tc>
          <w:tcPr>
            <w:tcW w:w="80" w:type="dxa"/>
            <w:vAlign w:val="bottom"/>
            <w:shd w:val="clear" w:color="auto" w:fill="CCEEFF"/>
          </w:tcPr>
          <w:p>
            <w:pPr>
              <w:spacing w:after="0"/>
              <w:rPr>
                <w:sz w:val="20"/>
                <w:szCs w:val="20"/>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0.47</w:t>
            </w:r>
          </w:p>
        </w:tc>
        <w:tc>
          <w:tcPr>
            <w:tcW w:w="60" w:type="dxa"/>
            <w:vAlign w:val="bottom"/>
            <w:shd w:val="clear" w:color="auto" w:fill="CCEEFF"/>
          </w:tcPr>
          <w:p>
            <w:pPr>
              <w:spacing w:after="0"/>
              <w:rPr>
                <w:sz w:val="20"/>
                <w:szCs w:val="20"/>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w:t>
            </w:r>
          </w:p>
        </w:tc>
      </w:tr>
      <w:tr>
        <w:trPr>
          <w:trHeight w:val="210"/>
        </w:trPr>
        <w:tc>
          <w:tcPr>
            <w:tcW w:w="542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Fully diluted income per share</w:t>
            </w:r>
          </w:p>
        </w:tc>
        <w:tc>
          <w:tcPr>
            <w:tcW w:w="120" w:type="dxa"/>
            <w:vAlign w:val="bottom"/>
            <w:tcBorders>
              <w:top w:val="single" w:sz="8" w:color="auto"/>
              <w:bottom w:val="single" w:sz="8" w:color="auto"/>
            </w:tcBorders>
          </w:tcPr>
          <w:p>
            <w:pPr>
              <w:spacing w:after="0" w:line="203" w:lineRule="exact"/>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0.44</w:t>
            </w:r>
          </w:p>
        </w:tc>
        <w:tc>
          <w:tcPr>
            <w:tcW w:w="8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0.46</w:t>
            </w:r>
          </w:p>
        </w:tc>
        <w:tc>
          <w:tcPr>
            <w:tcW w:w="6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2.05</w:t>
            </w:r>
          </w:p>
        </w:tc>
        <w:tc>
          <w:tcPr>
            <w:tcW w:w="14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2.02</w:t>
            </w:r>
          </w:p>
        </w:tc>
      </w:tr>
      <w:tr>
        <w:trPr>
          <w:trHeight w:val="216"/>
        </w:trPr>
        <w:tc>
          <w:tcPr>
            <w:tcW w:w="5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r>
      <w:tr>
        <w:trPr>
          <w:trHeight w:val="223"/>
        </w:trPr>
        <w:tc>
          <w:tcPr>
            <w:tcW w:w="5420" w:type="dxa"/>
            <w:vAlign w:val="bottom"/>
          </w:tcPr>
          <w:p>
            <w:pPr>
              <w:ind w:left="120"/>
              <w:spacing w:after="0"/>
              <w:rPr>
                <w:sz w:val="20"/>
                <w:szCs w:val="20"/>
                <w:color w:val="auto"/>
              </w:rPr>
            </w:pPr>
            <w:r>
              <w:rPr>
                <w:rFonts w:ascii="Arial" w:cs="Arial" w:eastAsia="Arial" w:hAnsi="Arial"/>
                <w:sz w:val="18"/>
                <w:szCs w:val="18"/>
                <w:color w:val="auto"/>
              </w:rPr>
              <w:t>Dividends declared per common share</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0.85</w:t>
            </w:r>
          </w:p>
        </w:tc>
        <w:tc>
          <w:tcPr>
            <w:tcW w:w="8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0.80</w:t>
            </w:r>
          </w:p>
        </w:tc>
        <w:tc>
          <w:tcPr>
            <w:tcW w:w="6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2.55</w:t>
            </w:r>
          </w:p>
        </w:tc>
        <w:tc>
          <w:tcPr>
            <w:tcW w:w="1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2.40</w:t>
            </w:r>
          </w:p>
        </w:tc>
      </w:tr>
      <w:tr>
        <w:trPr>
          <w:trHeight w:val="216"/>
        </w:trPr>
        <w:tc>
          <w:tcPr>
            <w:tcW w:w="54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r>
      <w:tr>
        <w:trPr>
          <w:trHeight w:val="216"/>
        </w:trPr>
        <w:tc>
          <w:tcPr>
            <w:tcW w:w="5420" w:type="dxa"/>
            <w:vAlign w:val="bottom"/>
          </w:tcPr>
          <w:p>
            <w:pPr>
              <w:ind w:left="120"/>
              <w:spacing w:after="0"/>
              <w:rPr>
                <w:sz w:val="20"/>
                <w:szCs w:val="20"/>
                <w:color w:val="auto"/>
              </w:rPr>
            </w:pPr>
            <w:r>
              <w:rPr>
                <w:rFonts w:ascii="Arial" w:cs="Arial" w:eastAsia="Arial" w:hAnsi="Arial"/>
                <w:sz w:val="18"/>
                <w:szCs w:val="18"/>
                <w:color w:val="auto"/>
              </w:rPr>
              <w:t>Comprehensive income, net of taxes</w:t>
            </w:r>
          </w:p>
        </w:tc>
        <w:tc>
          <w:tcPr>
            <w:tcW w:w="120" w:type="dxa"/>
            <w:vAlign w:val="bottom"/>
          </w:tcPr>
          <w:p>
            <w:pPr>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26,030</w:t>
            </w:r>
          </w:p>
        </w:tc>
        <w:tc>
          <w:tcPr>
            <w:tcW w:w="8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25,434</w:t>
            </w:r>
          </w:p>
        </w:tc>
        <w:tc>
          <w:tcPr>
            <w:tcW w:w="6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2"/>
              </w:rPr>
              <w:t>109,077</w:t>
            </w:r>
          </w:p>
        </w:tc>
        <w:tc>
          <w:tcPr>
            <w:tcW w:w="1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2"/>
              </w:rPr>
              <w:t>105,391</w:t>
            </w:r>
          </w:p>
        </w:tc>
      </w:tr>
      <w:tr>
        <w:trPr>
          <w:trHeight w:val="27"/>
        </w:trPr>
        <w:tc>
          <w:tcPr>
            <w:tcW w:w="5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 w:name="page5"/>
    <w:bookmarkEnd w:id="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RYMAN HOSPITALITY PROPERTIES,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2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90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94"/>
              </w:rPr>
              <w:t>Nine Months Ended</w:t>
            </w:r>
          </w:p>
        </w:tc>
        <w:tc>
          <w:tcPr>
            <w:tcW w:w="0" w:type="dxa"/>
            <w:vAlign w:val="bottom"/>
          </w:tcPr>
          <w:p>
            <w:pPr>
              <w:spacing w:after="0"/>
              <w:rPr>
                <w:sz w:val="1"/>
                <w:szCs w:val="1"/>
                <w:color w:val="auto"/>
              </w:rPr>
            </w:pPr>
          </w:p>
        </w:tc>
      </w:tr>
      <w:tr>
        <w:trPr>
          <w:trHeight w:val="201"/>
        </w:trPr>
        <w:tc>
          <w:tcPr>
            <w:tcW w:w="6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90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142"/>
        </w:trPr>
        <w:tc>
          <w:tcPr>
            <w:tcW w:w="6280" w:type="dxa"/>
            <w:vAlign w:val="bottom"/>
            <w:tcBorders>
              <w:bottom w:val="single" w:sz="8" w:color="CCEEFF"/>
            </w:tcBorders>
          </w:tcPr>
          <w:p>
            <w:pPr>
              <w:spacing w:after="0"/>
              <w:rPr>
                <w:sz w:val="12"/>
                <w:szCs w:val="12"/>
                <w:color w:val="auto"/>
              </w:rPr>
            </w:pPr>
          </w:p>
        </w:tc>
        <w:tc>
          <w:tcPr>
            <w:tcW w:w="74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40"/>
              <w:spacing w:after="0" w:line="142" w:lineRule="exact"/>
              <w:rPr>
                <w:sz w:val="20"/>
                <w:szCs w:val="20"/>
                <w:color w:val="auto"/>
              </w:rPr>
            </w:pPr>
            <w:r>
              <w:rPr>
                <w:rFonts w:ascii="Arial" w:cs="Arial" w:eastAsia="Arial" w:hAnsi="Arial"/>
                <w:sz w:val="14"/>
                <w:szCs w:val="14"/>
                <w:b w:val="1"/>
                <w:bCs w:val="1"/>
                <w:color w:val="auto"/>
              </w:rPr>
              <w:t>2018</w:t>
            </w:r>
          </w:p>
        </w:tc>
        <w:tc>
          <w:tcPr>
            <w:tcW w:w="22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39"/>
              <w:spacing w:after="0" w:line="142" w:lineRule="exact"/>
              <w:rPr>
                <w:sz w:val="20"/>
                <w:szCs w:val="20"/>
                <w:color w:val="auto"/>
              </w:rPr>
            </w:pPr>
            <w:r>
              <w:rPr>
                <w:rFonts w:ascii="Arial" w:cs="Arial" w:eastAsia="Arial" w:hAnsi="Arial"/>
                <w:sz w:val="14"/>
                <w:szCs w:val="14"/>
                <w:b w:val="1"/>
                <w:bCs w:val="1"/>
                <w:color w:val="auto"/>
              </w:rPr>
              <w:t>2017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6280" w:type="dxa"/>
            <w:vAlign w:val="bottom"/>
            <w:shd w:val="clear" w:color="auto" w:fill="CCEEFF"/>
          </w:tcPr>
          <w:p>
            <w:pPr>
              <w:spacing w:after="0"/>
              <w:rPr>
                <w:sz w:val="20"/>
                <w:szCs w:val="20"/>
                <w:color w:val="auto"/>
              </w:rPr>
            </w:pPr>
            <w:r>
              <w:rPr>
                <w:rFonts w:ascii="Arial" w:cs="Arial" w:eastAsia="Arial" w:hAnsi="Arial"/>
                <w:sz w:val="16"/>
                <w:szCs w:val="16"/>
                <w:color w:val="auto"/>
              </w:rPr>
              <w:t>Cash Flows from Operating Activities:</w:t>
            </w: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80" w:type="dxa"/>
            <w:vAlign w:val="bottom"/>
          </w:tcPr>
          <w:p>
            <w:pPr>
              <w:ind w:left="120"/>
              <w:spacing w:after="0"/>
              <w:rPr>
                <w:sz w:val="20"/>
                <w:szCs w:val="20"/>
                <w:color w:val="auto"/>
              </w:rPr>
            </w:pPr>
            <w:r>
              <w:rPr>
                <w:rFonts w:ascii="Arial" w:cs="Arial" w:eastAsia="Arial" w:hAnsi="Arial"/>
                <w:sz w:val="16"/>
                <w:szCs w:val="16"/>
                <w:color w:val="auto"/>
              </w:rPr>
              <w:t>Net income</w:t>
            </w:r>
          </w:p>
        </w:tc>
        <w:tc>
          <w:tcPr>
            <w:tcW w:w="900" w:type="dxa"/>
            <w:vAlign w:val="bottom"/>
            <w:gridSpan w:val="2"/>
          </w:tcPr>
          <w:p>
            <w:pPr>
              <w:jc w:val="right"/>
              <w:ind w:right="4"/>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105,476</w:t>
            </w:r>
          </w:p>
        </w:tc>
        <w:tc>
          <w:tcPr>
            <w:tcW w:w="220" w:type="dxa"/>
            <w:vAlign w:val="bottom"/>
          </w:tcPr>
          <w:p>
            <w:pPr>
              <w:spacing w:after="0"/>
              <w:rPr>
                <w:sz w:val="17"/>
                <w:szCs w:val="17"/>
                <w:color w:val="auto"/>
              </w:rPr>
            </w:pP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103,782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Amounts to reconcile net income to net cash flows provided by operating activities:</w:t>
            </w: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80" w:type="dxa"/>
            <w:vAlign w:val="bottom"/>
          </w:tcPr>
          <w:p>
            <w:pPr>
              <w:ind w:left="220"/>
              <w:spacing w:after="0"/>
              <w:rPr>
                <w:sz w:val="20"/>
                <w:szCs w:val="20"/>
                <w:color w:val="auto"/>
              </w:rPr>
            </w:pPr>
            <w:r>
              <w:rPr>
                <w:rFonts w:ascii="Arial" w:cs="Arial" w:eastAsia="Arial" w:hAnsi="Arial"/>
                <w:sz w:val="16"/>
                <w:szCs w:val="16"/>
                <w:color w:val="auto"/>
              </w:rPr>
              <w:t>Provision (benefit) for deferred income taxes</w:t>
            </w: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8,591</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(500)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Depreciation and amortization</w:t>
            </w: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89,655</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83,862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80" w:type="dxa"/>
            <w:vAlign w:val="bottom"/>
          </w:tcPr>
          <w:p>
            <w:pPr>
              <w:ind w:left="220"/>
              <w:spacing w:after="0"/>
              <w:rPr>
                <w:sz w:val="20"/>
                <w:szCs w:val="20"/>
                <w:color w:val="auto"/>
              </w:rPr>
            </w:pPr>
            <w:r>
              <w:rPr>
                <w:rFonts w:ascii="Arial" w:cs="Arial" w:eastAsia="Arial" w:hAnsi="Arial"/>
                <w:sz w:val="16"/>
                <w:szCs w:val="16"/>
                <w:color w:val="auto"/>
              </w:rPr>
              <w:t>Amortization of deferred financing costs</w:t>
            </w: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4,237</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3,958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Impairment and other charges</w:t>
            </w: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4,540</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80" w:type="dxa"/>
            <w:vAlign w:val="bottom"/>
          </w:tcPr>
          <w:p>
            <w:pPr>
              <w:ind w:left="220"/>
              <w:spacing w:after="0"/>
              <w:rPr>
                <w:sz w:val="20"/>
                <w:szCs w:val="20"/>
                <w:color w:val="auto"/>
              </w:rPr>
            </w:pPr>
            <w:r>
              <w:rPr>
                <w:rFonts w:ascii="Arial" w:cs="Arial" w:eastAsia="Arial" w:hAnsi="Arial"/>
                <w:sz w:val="16"/>
                <w:szCs w:val="16"/>
                <w:color w:val="auto"/>
              </w:rPr>
              <w:t>Write-off of deferred financing costs</w:t>
            </w: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1,956</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925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Stock-based compensation expense</w:t>
            </w: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5,824</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4,954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80" w:type="dxa"/>
            <w:vAlign w:val="bottom"/>
          </w:tcPr>
          <w:p>
            <w:pPr>
              <w:ind w:left="220"/>
              <w:spacing w:after="0"/>
              <w:rPr>
                <w:sz w:val="20"/>
                <w:szCs w:val="20"/>
                <w:color w:val="auto"/>
              </w:rPr>
            </w:pPr>
            <w:r>
              <w:rPr>
                <w:rFonts w:ascii="Arial" w:cs="Arial" w:eastAsia="Arial" w:hAnsi="Arial"/>
                <w:sz w:val="16"/>
                <w:szCs w:val="16"/>
                <w:color w:val="auto"/>
              </w:rPr>
              <w:t>Changes in:</w:t>
            </w: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80" w:type="dxa"/>
            <w:vAlign w:val="bottom"/>
            <w:shd w:val="clear" w:color="auto" w:fill="CCEEFF"/>
          </w:tcPr>
          <w:p>
            <w:pPr>
              <w:ind w:left="320"/>
              <w:spacing w:after="0"/>
              <w:rPr>
                <w:sz w:val="20"/>
                <w:szCs w:val="20"/>
                <w:color w:val="auto"/>
              </w:rPr>
            </w:pPr>
            <w:r>
              <w:rPr>
                <w:rFonts w:ascii="Arial" w:cs="Arial" w:eastAsia="Arial" w:hAnsi="Arial"/>
                <w:sz w:val="16"/>
                <w:szCs w:val="16"/>
                <w:color w:val="auto"/>
              </w:rPr>
              <w:t>Trade receivables</w:t>
            </w: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(22,975)</w:t>
            </w: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(8,865)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80" w:type="dxa"/>
            <w:vAlign w:val="bottom"/>
          </w:tcPr>
          <w:p>
            <w:pPr>
              <w:ind w:left="320"/>
              <w:spacing w:after="0"/>
              <w:rPr>
                <w:sz w:val="20"/>
                <w:szCs w:val="20"/>
                <w:color w:val="auto"/>
              </w:rPr>
            </w:pPr>
            <w:r>
              <w:rPr>
                <w:rFonts w:ascii="Arial" w:cs="Arial" w:eastAsia="Arial" w:hAnsi="Arial"/>
                <w:sz w:val="16"/>
                <w:szCs w:val="16"/>
                <w:color w:val="auto"/>
              </w:rPr>
              <w:t>Accounts payable and accrued liabilities</w:t>
            </w: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34,679</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31,994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80" w:type="dxa"/>
            <w:vAlign w:val="bottom"/>
            <w:shd w:val="clear" w:color="auto" w:fill="CCEEFF"/>
          </w:tcPr>
          <w:p>
            <w:pPr>
              <w:ind w:left="320"/>
              <w:spacing w:after="0"/>
              <w:rPr>
                <w:sz w:val="20"/>
                <w:szCs w:val="20"/>
                <w:color w:val="auto"/>
              </w:rPr>
            </w:pPr>
            <w:r>
              <w:rPr>
                <w:rFonts w:ascii="Arial" w:cs="Arial" w:eastAsia="Arial" w:hAnsi="Arial"/>
                <w:sz w:val="16"/>
                <w:szCs w:val="16"/>
                <w:color w:val="auto"/>
              </w:rPr>
              <w:t>Other assets and liabilities</w:t>
            </w: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(6,707)</w:t>
            </w: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(4,340)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28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Net cash flows provided by operating activities</w:t>
            </w:r>
          </w:p>
        </w:tc>
        <w:tc>
          <w:tcPr>
            <w:tcW w:w="74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225,276</w:t>
            </w:r>
          </w:p>
        </w:tc>
        <w:tc>
          <w:tcPr>
            <w:tcW w:w="22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215,770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2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80" w:type="dxa"/>
            <w:vAlign w:val="bottom"/>
          </w:tcPr>
          <w:p>
            <w:pPr>
              <w:spacing w:after="0"/>
              <w:rPr>
                <w:sz w:val="20"/>
                <w:szCs w:val="20"/>
                <w:color w:val="auto"/>
              </w:rPr>
            </w:pPr>
            <w:r>
              <w:rPr>
                <w:rFonts w:ascii="Arial" w:cs="Arial" w:eastAsia="Arial" w:hAnsi="Arial"/>
                <w:sz w:val="16"/>
                <w:szCs w:val="16"/>
                <w:color w:val="auto"/>
              </w:rPr>
              <w:t>Cash Flows from Investing Activities:</w:t>
            </w: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Purchases of property and equipment</w:t>
            </w: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(132,804)</w:t>
            </w: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(127,148)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80" w:type="dxa"/>
            <w:vAlign w:val="bottom"/>
          </w:tcPr>
          <w:p>
            <w:pPr>
              <w:ind w:left="120"/>
              <w:spacing w:after="0"/>
              <w:rPr>
                <w:sz w:val="20"/>
                <w:szCs w:val="20"/>
                <w:color w:val="auto"/>
              </w:rPr>
            </w:pPr>
            <w:r>
              <w:rPr>
                <w:rFonts w:ascii="Arial" w:cs="Arial" w:eastAsia="Arial" w:hAnsi="Arial"/>
                <w:sz w:val="16"/>
                <w:szCs w:val="16"/>
                <w:color w:val="auto"/>
              </w:rPr>
              <w:t>Investment in Gaylord Rockies joint venture</w:t>
            </w: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(16,309)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Investment in other joint ventures</w:t>
            </w: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(2,199)</w:t>
            </w: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(6,819)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80" w:type="dxa"/>
            <w:vAlign w:val="bottom"/>
          </w:tcPr>
          <w:p>
            <w:pPr>
              <w:ind w:left="120"/>
              <w:spacing w:after="0"/>
              <w:rPr>
                <w:sz w:val="20"/>
                <w:szCs w:val="20"/>
                <w:color w:val="auto"/>
              </w:rPr>
            </w:pPr>
            <w:r>
              <w:rPr>
                <w:rFonts w:ascii="Arial" w:cs="Arial" w:eastAsia="Arial" w:hAnsi="Arial"/>
                <w:sz w:val="16"/>
                <w:szCs w:val="16"/>
                <w:color w:val="auto"/>
              </w:rPr>
              <w:t>Purchase of remaining interest in Opry City Stage</w:t>
            </w: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(3,948)</w:t>
            </w: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Other investing activities</w:t>
            </w: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(3,591)</w:t>
            </w: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(4,139)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28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Net cash flows used in investing activities</w:t>
            </w:r>
          </w:p>
        </w:tc>
        <w:tc>
          <w:tcPr>
            <w:tcW w:w="74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(142,542)</w:t>
            </w:r>
          </w:p>
        </w:tc>
        <w:tc>
          <w:tcPr>
            <w:tcW w:w="22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(154,415)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2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80" w:type="dxa"/>
            <w:vAlign w:val="bottom"/>
          </w:tcPr>
          <w:p>
            <w:pPr>
              <w:spacing w:after="0"/>
              <w:rPr>
                <w:sz w:val="20"/>
                <w:szCs w:val="20"/>
                <w:color w:val="auto"/>
              </w:rPr>
            </w:pPr>
            <w:r>
              <w:rPr>
                <w:rFonts w:ascii="Arial" w:cs="Arial" w:eastAsia="Arial" w:hAnsi="Arial"/>
                <w:sz w:val="16"/>
                <w:szCs w:val="16"/>
                <w:color w:val="auto"/>
              </w:rPr>
              <w:t>Cash Flows from Financing Activities:</w:t>
            </w: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Net borrowings (repayments) under revolving credit facility</w:t>
            </w: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99,000</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(235,900)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80" w:type="dxa"/>
            <w:vAlign w:val="bottom"/>
          </w:tcPr>
          <w:p>
            <w:pPr>
              <w:ind w:left="120"/>
              <w:spacing w:after="0"/>
              <w:rPr>
                <w:sz w:val="20"/>
                <w:szCs w:val="20"/>
                <w:color w:val="auto"/>
              </w:rPr>
            </w:pPr>
            <w:r>
              <w:rPr>
                <w:rFonts w:ascii="Arial" w:cs="Arial" w:eastAsia="Arial" w:hAnsi="Arial"/>
                <w:sz w:val="16"/>
                <w:szCs w:val="16"/>
                <w:color w:val="auto"/>
              </w:rPr>
              <w:t>Borrowings under term loan A</w:t>
            </w: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200,000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Borrowings under term loan B</w:t>
            </w: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500,000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80" w:type="dxa"/>
            <w:vAlign w:val="bottom"/>
          </w:tcPr>
          <w:p>
            <w:pPr>
              <w:ind w:left="120"/>
              <w:spacing w:after="0"/>
              <w:rPr>
                <w:sz w:val="20"/>
                <w:szCs w:val="20"/>
                <w:color w:val="auto"/>
              </w:rPr>
            </w:pPr>
            <w:r>
              <w:rPr>
                <w:rFonts w:ascii="Arial" w:cs="Arial" w:eastAsia="Arial" w:hAnsi="Arial"/>
                <w:sz w:val="16"/>
                <w:szCs w:val="16"/>
                <w:color w:val="auto"/>
              </w:rPr>
              <w:t>Repayments under term loan B</w:t>
            </w: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(2,500)</w:t>
            </w: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(392,500)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Deferred financing costs paid</w:t>
            </w: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(642)</w:t>
            </w: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(12,268)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80" w:type="dxa"/>
            <w:vAlign w:val="bottom"/>
          </w:tcPr>
          <w:p>
            <w:pPr>
              <w:ind w:left="120"/>
              <w:spacing w:after="0"/>
              <w:rPr>
                <w:sz w:val="20"/>
                <w:szCs w:val="20"/>
                <w:color w:val="auto"/>
              </w:rPr>
            </w:pPr>
            <w:r>
              <w:rPr>
                <w:rFonts w:ascii="Arial" w:cs="Arial" w:eastAsia="Arial" w:hAnsi="Arial"/>
                <w:sz w:val="16"/>
                <w:szCs w:val="16"/>
                <w:color w:val="auto"/>
              </w:rPr>
              <w:t>Payment of dividends</w:t>
            </w: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(128,769)</w:t>
            </w: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(120,740)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Payment of tax withholdings for share-based compensation</w:t>
            </w: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(4,121)</w:t>
            </w: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(3,775)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80" w:type="dxa"/>
            <w:vAlign w:val="bottom"/>
          </w:tcPr>
          <w:p>
            <w:pPr>
              <w:ind w:left="120"/>
              <w:spacing w:after="0"/>
              <w:rPr>
                <w:sz w:val="20"/>
                <w:szCs w:val="20"/>
                <w:color w:val="auto"/>
              </w:rPr>
            </w:pPr>
            <w:r>
              <w:rPr>
                <w:rFonts w:ascii="Arial" w:cs="Arial" w:eastAsia="Arial" w:hAnsi="Arial"/>
                <w:sz w:val="16"/>
                <w:szCs w:val="16"/>
                <w:color w:val="auto"/>
              </w:rPr>
              <w:t>Other financing activities</w:t>
            </w: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(15)</w:t>
            </w: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28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Net cash flows used in financing activities</w:t>
            </w:r>
          </w:p>
        </w:tc>
        <w:tc>
          <w:tcPr>
            <w:tcW w:w="7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(37,047)</w:t>
            </w:r>
          </w:p>
        </w:tc>
        <w:tc>
          <w:tcPr>
            <w:tcW w:w="2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(65,170)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80" w:type="dxa"/>
            <w:vAlign w:val="bottom"/>
            <w:shd w:val="clear" w:color="auto" w:fill="CCEEFF"/>
          </w:tcPr>
          <w:p>
            <w:pPr>
              <w:spacing w:after="0"/>
              <w:rPr>
                <w:sz w:val="20"/>
                <w:szCs w:val="20"/>
                <w:color w:val="auto"/>
              </w:rPr>
            </w:pPr>
            <w:r>
              <w:rPr>
                <w:rFonts w:ascii="Arial" w:cs="Arial" w:eastAsia="Arial" w:hAnsi="Arial"/>
                <w:sz w:val="16"/>
                <w:szCs w:val="16"/>
                <w:color w:val="auto"/>
              </w:rPr>
              <w:t>Net change in cash, cash equivalents, and restricted cash</w:t>
            </w: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45,687</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(3,815)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8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Cash, cash equivalents, and restricted cash, beginning of period</w:t>
            </w:r>
          </w:p>
        </w:tc>
        <w:tc>
          <w:tcPr>
            <w:tcW w:w="74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78,710</w:t>
            </w:r>
          </w:p>
        </w:tc>
        <w:tc>
          <w:tcPr>
            <w:tcW w:w="2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81,190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Cash, cash equivalents, and restricted cash, end of period</w:t>
            </w:r>
          </w:p>
        </w:tc>
        <w:tc>
          <w:tcPr>
            <w:tcW w:w="7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124,397</w:t>
            </w:r>
          </w:p>
        </w:tc>
        <w:tc>
          <w:tcPr>
            <w:tcW w:w="2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77,375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80" w:type="dxa"/>
            <w:vAlign w:val="bottom"/>
            <w:shd w:val="clear" w:color="auto" w:fill="CCEEFF"/>
          </w:tcPr>
          <w:p>
            <w:pPr>
              <w:spacing w:after="0"/>
              <w:rPr>
                <w:sz w:val="20"/>
                <w:szCs w:val="20"/>
                <w:color w:val="auto"/>
              </w:rPr>
            </w:pPr>
            <w:r>
              <w:rPr>
                <w:rFonts w:ascii="Arial" w:cs="Arial" w:eastAsia="Arial" w:hAnsi="Arial"/>
                <w:sz w:val="16"/>
                <w:szCs w:val="16"/>
                <w:color w:val="auto"/>
              </w:rPr>
              <w:t>Reconciliation of cash, cash equivalents, and restricted cash to balance sheet:</w:t>
            </w: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80" w:type="dxa"/>
            <w:vAlign w:val="bottom"/>
          </w:tcPr>
          <w:p>
            <w:pPr>
              <w:ind w:left="120"/>
              <w:spacing w:after="0"/>
              <w:rPr>
                <w:sz w:val="20"/>
                <w:szCs w:val="20"/>
                <w:color w:val="auto"/>
              </w:rPr>
            </w:pPr>
            <w:r>
              <w:rPr>
                <w:rFonts w:ascii="Arial" w:cs="Arial" w:eastAsia="Arial" w:hAnsi="Arial"/>
                <w:sz w:val="16"/>
                <w:szCs w:val="16"/>
                <w:color w:val="auto"/>
              </w:rPr>
              <w:t>Cash and cash equivalents - unrestricted</w:t>
            </w:r>
          </w:p>
        </w:tc>
        <w:tc>
          <w:tcPr>
            <w:tcW w:w="900" w:type="dxa"/>
            <w:vAlign w:val="bottom"/>
            <w:gridSpan w:val="2"/>
          </w:tcPr>
          <w:p>
            <w:pPr>
              <w:jc w:val="right"/>
              <w:ind w:right="4"/>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86,025</w:t>
            </w:r>
          </w:p>
        </w:tc>
        <w:tc>
          <w:tcPr>
            <w:tcW w:w="220" w:type="dxa"/>
            <w:vAlign w:val="bottom"/>
          </w:tcPr>
          <w:p>
            <w:pPr>
              <w:spacing w:after="0"/>
              <w:rPr>
                <w:sz w:val="17"/>
                <w:szCs w:val="17"/>
                <w:color w:val="auto"/>
              </w:rPr>
            </w:pP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62,672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Cash and cash equivalents - restricted</w:t>
            </w:r>
          </w:p>
        </w:tc>
        <w:tc>
          <w:tcPr>
            <w:tcW w:w="74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38,372</w:t>
            </w:r>
          </w:p>
        </w:tc>
        <w:tc>
          <w:tcPr>
            <w:tcW w:w="2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14,703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80" w:type="dxa"/>
            <w:vAlign w:val="bottom"/>
          </w:tcPr>
          <w:p>
            <w:pPr>
              <w:ind w:left="120"/>
              <w:spacing w:after="0"/>
              <w:rPr>
                <w:sz w:val="20"/>
                <w:szCs w:val="20"/>
                <w:color w:val="auto"/>
              </w:rPr>
            </w:pPr>
            <w:r>
              <w:rPr>
                <w:rFonts w:ascii="Arial" w:cs="Arial" w:eastAsia="Arial" w:hAnsi="Arial"/>
                <w:sz w:val="16"/>
                <w:szCs w:val="16"/>
                <w:color w:val="auto"/>
              </w:rPr>
              <w:t>Cash, cash equivalents, and restricted cash, end of period</w:t>
            </w:r>
          </w:p>
        </w:tc>
        <w:tc>
          <w:tcPr>
            <w:tcW w:w="740" w:type="dxa"/>
            <w:vAlign w:val="bottom"/>
          </w:tcPr>
          <w:p>
            <w:pPr>
              <w:spacing w:after="0"/>
              <w:rPr>
                <w:sz w:val="17"/>
                <w:szCs w:val="17"/>
                <w:color w:val="auto"/>
              </w:rPr>
            </w:pPr>
          </w:p>
        </w:tc>
        <w:tc>
          <w:tcPr>
            <w:tcW w:w="1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124,397</w:t>
            </w:r>
          </w:p>
        </w:tc>
        <w:tc>
          <w:tcPr>
            <w:tcW w:w="220" w:type="dxa"/>
            <w:vAlign w:val="bottom"/>
          </w:tcPr>
          <w:p>
            <w:pPr>
              <w:spacing w:after="0"/>
              <w:rPr>
                <w:sz w:val="17"/>
                <w:szCs w:val="17"/>
                <w:color w:val="auto"/>
              </w:rPr>
            </w:pPr>
          </w:p>
        </w:tc>
        <w:tc>
          <w:tcPr>
            <w:tcW w:w="18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77,375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5" w:name="page6"/>
    <w:bookmarkEnd w:id="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left="1460" w:right="1540"/>
        <w:spacing w:after="0" w:line="266" w:lineRule="auto"/>
        <w:rPr>
          <w:sz w:val="20"/>
          <w:szCs w:val="20"/>
          <w:color w:val="auto"/>
        </w:rPr>
      </w:pPr>
      <w:r>
        <w:rPr>
          <w:rFonts w:ascii="Arial" w:cs="Arial" w:eastAsia="Arial" w:hAnsi="Arial"/>
          <w:sz w:val="18"/>
          <w:szCs w:val="18"/>
          <w:b w:val="1"/>
          <w:bCs w:val="1"/>
          <w:color w:val="auto"/>
        </w:rPr>
        <w:t>RYMAN HOSPITALITY PROPERTIES, INC. AND SUBSIDIARIES NOTES TO CONDENSED CONSOLIDATED FINANCIAL STATEMENTS (UNAUDITED)</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On January 1, 2013, Ryman Hospitality Properties, Inc. (“Ryman”) and its subsidiaries (collectively with Ryman, the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“Company”) began operating as a real estate investment trust (“REIT”) for federal income tax purposes, specializing in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group-oriented, destination hotel assets in urban and resort markets. The Company’s owned assets include a network of</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upscale, meetings-focused resorts that are managed by Marriott International, Inc. (“Marriott”) under the Gaylord Hotels</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brand. These resorts, which the Company refers to as the Gaylord Hotels properties, consist of the Gaylord Opryland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Resort &amp; Convention Center in Nashville, Tennessee (“Gaylord Opryland”), the Gaylord Palms Resort &amp; Convention Center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near Orlando, Florida (“Gaylord Palms”), the Gaylord Texan Resort &amp; Convention Center near Dallas, Texas (“Gaylord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Texan”) and the Gaylord National Resort &amp; Convention Center near Washington D.C. (“Gaylord National”). The Company’s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other owned hotel assets managed by Marriott include the Inn at Opryland, an overflow hotel adjacent to Gaylord Opryland,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and the AC Hotel at National Harbor, Washington D.C. (“AC Hotel”), an overflow hotel adjacent to Gaylord National.</w:t>
      </w:r>
    </w:p>
    <w:p>
      <w:pPr>
        <w:spacing w:after="0" w:line="195" w:lineRule="exact"/>
        <w:rPr>
          <w:sz w:val="20"/>
          <w:szCs w:val="20"/>
          <w:color w:val="auto"/>
        </w:rPr>
      </w:pPr>
    </w:p>
    <w:p>
      <w:pPr>
        <w:ind w:right="79"/>
        <w:spacing w:after="0" w:line="287" w:lineRule="auto"/>
        <w:rPr>
          <w:sz w:val="20"/>
          <w:szCs w:val="20"/>
          <w:color w:val="auto"/>
        </w:rPr>
      </w:pPr>
      <w:r>
        <w:rPr>
          <w:rFonts w:ascii="Arial" w:cs="Arial" w:eastAsia="Arial" w:hAnsi="Arial"/>
          <w:sz w:val="16"/>
          <w:szCs w:val="16"/>
          <w:color w:val="auto"/>
        </w:rPr>
        <w:t>The Company also owns a 35% interest in a joint venture (the “Gaylord Rockies joint venture”) that is developing and owns Gaylord Rockies Resort &amp; Convention Center near Denver, Colorado (“Gaylord Rockies”), which is scheduled to open in late 2018 and will be managed by Marriott. On September 13, 2018, the Company entered into a purchase agreement (“Purchase Agreement”) with Aurora Convention Center Hotel Partners, LLC and certain affiliates of the other Gaylord Rockies joint venture partners to increase the Company’s ownership interest in the Gaylord Rockies joint venture to approximately 62.3% for a purchase price of approximately $242 million in cash. The Company expects the transaction to close by the end of 2018, subject to the satisfaction or waiver of the various closing conditions in the Purchase Agreement, including required consent of the Gaylord Rockies joint venture lender and Marriott, the release of certain guarantees and indemnities (which may involve the substitution of the Company on such guarantees and indemnities), no occurrence of any material casualty to Gaylord Rockies and other customary closing conditions. The Company has sufficient cash on hand and availability under its existing credit facility to finance the cash purchase price.</w:t>
      </w:r>
    </w:p>
    <w:p>
      <w:pPr>
        <w:spacing w:after="0" w:line="132" w:lineRule="exact"/>
        <w:rPr>
          <w:sz w:val="20"/>
          <w:szCs w:val="20"/>
          <w:color w:val="auto"/>
        </w:rPr>
      </w:pPr>
    </w:p>
    <w:p>
      <w:pPr>
        <w:ind w:right="79"/>
        <w:spacing w:after="0" w:line="276" w:lineRule="auto"/>
        <w:rPr>
          <w:sz w:val="20"/>
          <w:szCs w:val="20"/>
          <w:color w:val="auto"/>
        </w:rPr>
      </w:pPr>
      <w:r>
        <w:rPr>
          <w:rFonts w:ascii="Arial" w:cs="Arial" w:eastAsia="Arial" w:hAnsi="Arial"/>
          <w:sz w:val="17"/>
          <w:szCs w:val="17"/>
          <w:color w:val="auto"/>
        </w:rPr>
        <w:t>The Company also owns a number of media and entertainment assets, including the Grand Ole Opry, the legendary weekly showcase of country music’s finest performers; the Ryman Auditorium, the storied live music venue and former home of the Grand Ole Opry; WSM-AM, the Opry’s radio home; Ole Red, a brand of Blake Shelton-themed bar, music venue and event spaces, with a flagship location in Nashville that opened in May 2018; and three Nashville-based assets managed by Marriott – Gaylord Springs Golf Links, the Wildhorse Saloon, and the General Jackson Showboat.</w:t>
      </w:r>
    </w:p>
    <w:p>
      <w:pPr>
        <w:spacing w:after="0" w:line="132" w:lineRule="exact"/>
        <w:rPr>
          <w:sz w:val="20"/>
          <w:szCs w:val="20"/>
          <w:color w:val="auto"/>
        </w:rPr>
      </w:pPr>
    </w:p>
    <w:p>
      <w:pPr>
        <w:ind w:right="79"/>
        <w:spacing w:after="0" w:line="269" w:lineRule="auto"/>
        <w:rPr>
          <w:sz w:val="20"/>
          <w:szCs w:val="20"/>
          <w:color w:val="auto"/>
        </w:rPr>
      </w:pPr>
      <w:r>
        <w:rPr>
          <w:rFonts w:ascii="Arial" w:cs="Arial" w:eastAsia="Arial" w:hAnsi="Arial"/>
          <w:sz w:val="17"/>
          <w:szCs w:val="17"/>
          <w:color w:val="auto"/>
        </w:rPr>
        <w:t>The Company also owns Opry City Stage, a four-level entertainment complex in Times Square that opened in December 2017 under a joint venture agreement for which the Company owned 50%. In the second quarter of 2018, the Company acquired the remaining 50% joint venture interest in Opry City Stage for a combination of $3.9 million in cash and the forgiveness of a note receivable previously due to the Company from the other joint venture partner of $7.9 million. Subsequent to the Company’s purchase of the remaining 50% joint venture interest, the Company determined that current ongoing operations were not meeting the revenue expectations from the time of purchase. In September 2018, the Company announced that it was temporarily suspending operations at Opry City Stage to appropriately reposition the venue and its operations. As a result, the Company performed an impairment assessment of the carrying amount of Opry City Stage assets based on the related estimated total future net cash flows and determined that an impairment charge of $4.5 million was warranted, which is reflected as impairment and other charges in the accompanying condensed consolidated statements of operations and comprehensive income.</w:t>
      </w:r>
    </w:p>
    <w:p>
      <w:pPr>
        <w:spacing w:after="0" w:line="156" w:lineRule="exact"/>
        <w:rPr>
          <w:sz w:val="20"/>
          <w:szCs w:val="20"/>
          <w:color w:val="auto"/>
        </w:rPr>
      </w:pPr>
    </w:p>
    <w:p>
      <w:pPr>
        <w:ind w:right="59"/>
        <w:spacing w:after="0" w:line="218" w:lineRule="exact"/>
        <w:rPr>
          <w:sz w:val="20"/>
          <w:szCs w:val="20"/>
          <w:color w:val="auto"/>
        </w:rPr>
      </w:pPr>
      <w:r>
        <w:rPr>
          <w:rFonts w:ascii="Arial" w:cs="Arial" w:eastAsia="Arial" w:hAnsi="Arial"/>
          <w:sz w:val="16"/>
          <w:szCs w:val="16"/>
          <w:color w:val="auto"/>
        </w:rPr>
        <w:t>The condensed consolidated financial statements include the accounts of Ryman and its subsidiaries and have been prepared by the Company, without audit, pursuant to the rules and regulations of the Securities and Exchange Commission (the “SEC”). Certain information and footnote disclosures normally included in annual financial statements prepared in accordance with generally accepted accounting principles have been condensed or omitted from this report pursuant to such rules and regulations. These condensed consolidated financial statements should be read in conjunction with the audited consolidated financial statements and the notes thereto included in the Company’s Annual Report on Form 10</w:t>
      </w:r>
      <w:r>
        <w:rPr>
          <w:rFonts w:ascii="MS PGothic" w:cs="MS PGothic" w:eastAsia="MS PGothic" w:hAnsi="MS PGothic"/>
          <w:sz w:val="16"/>
          <w:szCs w:val="16"/>
          <w:color w:val="auto"/>
        </w:rPr>
        <w:t>‑</w:t>
      </w:r>
      <w:r>
        <w:rPr>
          <w:rFonts w:ascii="Arial" w:cs="Arial" w:eastAsia="Arial" w:hAnsi="Arial"/>
          <w:sz w:val="16"/>
          <w:szCs w:val="16"/>
          <w:color w:val="auto"/>
        </w:rPr>
        <w:t>K for the year ended December 31, 2017. In the opinion of management, all adjustments necessary for a fair statement of the results of operations for the interim periods have been included. All adjustments are of a normal,</w:t>
      </w:r>
    </w:p>
    <w:p>
      <w:pPr>
        <w:spacing w:after="0" w:line="200" w:lineRule="exact"/>
        <w:rPr>
          <w:sz w:val="20"/>
          <w:szCs w:val="20"/>
          <w:color w:val="auto"/>
        </w:rPr>
      </w:pPr>
    </w:p>
    <w:p>
      <w:pPr>
        <w:spacing w:after="0" w:line="21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sectPr>
      </w:pPr>
    </w:p>
    <w:bookmarkStart w:id="6" w:name="page7"/>
    <w:bookmarkEnd w:id="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recurring nature. The results of operations for such interim periods are not necessarily indicative of the results for the full year because of seasonal and short-term variations.</w:t>
      </w:r>
    </w:p>
    <w:p>
      <w:pPr>
        <w:spacing w:after="0" w:line="130" w:lineRule="exact"/>
        <w:rPr>
          <w:sz w:val="20"/>
          <w:szCs w:val="20"/>
          <w:color w:val="auto"/>
        </w:rPr>
      </w:pPr>
    </w:p>
    <w:p>
      <w:pPr>
        <w:spacing w:after="0" w:line="217" w:lineRule="exact"/>
        <w:rPr>
          <w:sz w:val="20"/>
          <w:szCs w:val="20"/>
          <w:color w:val="auto"/>
        </w:rPr>
      </w:pPr>
      <w:r>
        <w:rPr>
          <w:rFonts w:ascii="Arial" w:cs="Arial" w:eastAsia="Arial" w:hAnsi="Arial"/>
          <w:sz w:val="17"/>
          <w:szCs w:val="17"/>
          <w:color w:val="auto"/>
        </w:rPr>
        <w:t>The Company conducts its business through an umbrella partnership REIT, in which all of its assets are held by, and all of its operations are conducted through, RHP Hotel Properties, LP, a subsidiary operating partnership (the “Operating Partnership”) that the Company formed in connection with its REIT conversion. Ryman is the sole limited partner of the Operating Partnership and currently owns, either directly or indirectly, all of the partnership units of the Operating Partnership. RHP Finance Corporation, a Delaware corporation (“Finco”), was formed as a wholly-owned subsidiary of the Operating Partnership for the sole purpose of being a co-issuer of debt securities with the Operating Partnership. Neither Ryman nor Finco has any material assets, other than Ryman’s investment in the Operating Partnership and its 100%-owned subsidiaries. As 100%-owned subsidiaries of Ryman, neither the Operating Partnership nor Finco has any business, operations, financial results or other material information, other than the business, operations, financial results and other material information described in this Quarterly Report on Form 10</w:t>
      </w:r>
      <w:r>
        <w:rPr>
          <w:rFonts w:ascii="MS PGothic" w:cs="MS PGothic" w:eastAsia="MS PGothic" w:hAnsi="MS PGothic"/>
          <w:sz w:val="17"/>
          <w:szCs w:val="17"/>
          <w:color w:val="auto"/>
        </w:rPr>
        <w:t>‑</w:t>
      </w:r>
      <w:r>
        <w:rPr>
          <w:rFonts w:ascii="Arial" w:cs="Arial" w:eastAsia="Arial" w:hAnsi="Arial"/>
          <w:sz w:val="17"/>
          <w:szCs w:val="17"/>
          <w:color w:val="auto"/>
        </w:rPr>
        <w:t>Q and Ryman’s other reports, documents or other information filed with the SEC pursuant to the Securities Exchange Act of 1934, as amended.</w:t>
      </w:r>
    </w:p>
    <w:p>
      <w:pPr>
        <w:spacing w:after="0" w:line="183"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The Company principally operates, through its subsidiaries and its property managers, as applicable, in the following business segments: Hospitality, Entertainment, and Corporate and Other.</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Newly Issued Accounting Standards</w:t>
      </w:r>
    </w:p>
    <w:p>
      <w:pPr>
        <w:spacing w:after="0" w:line="185" w:lineRule="exact"/>
        <w:rPr>
          <w:sz w:val="20"/>
          <w:szCs w:val="20"/>
          <w:color w:val="auto"/>
        </w:rPr>
      </w:pPr>
    </w:p>
    <w:p>
      <w:pPr>
        <w:ind w:right="160"/>
        <w:spacing w:after="0" w:line="217" w:lineRule="exact"/>
        <w:rPr>
          <w:sz w:val="20"/>
          <w:szCs w:val="20"/>
          <w:color w:val="auto"/>
        </w:rPr>
      </w:pPr>
      <w:r>
        <w:rPr>
          <w:rFonts w:ascii="Arial" w:cs="Arial" w:eastAsia="Arial" w:hAnsi="Arial"/>
          <w:sz w:val="16"/>
          <w:szCs w:val="16"/>
          <w:color w:val="auto"/>
        </w:rPr>
        <w:t>In May 2014, the Financial Accounting Standards Board (the “FASB”) issued Accounting Standards Update (“ASU”) No. 2014</w:t>
      </w:r>
      <w:r>
        <w:rPr>
          <w:rFonts w:ascii="MS PGothic" w:cs="MS PGothic" w:eastAsia="MS PGothic" w:hAnsi="MS PGothic"/>
          <w:sz w:val="16"/>
          <w:szCs w:val="16"/>
          <w:color w:val="auto"/>
        </w:rPr>
        <w:t>‑</w:t>
      </w:r>
      <w:r>
        <w:rPr>
          <w:rFonts w:ascii="Arial" w:cs="Arial" w:eastAsia="Arial" w:hAnsi="Arial"/>
          <w:sz w:val="16"/>
          <w:szCs w:val="16"/>
          <w:color w:val="auto"/>
        </w:rPr>
        <w:t>09,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the core principle of which is that a company will recognize revenue when it transfers promised goods or services to customers in an amount that reflects the consideration to which the company expects to be entitled in exchange for those goods or services. Under this guidance, companies will need to use more judgment and make more estimates than under previous guidance. These judgments may include identifying performance obligations in the contract, estimating the amount of variable consideration to include in the transaction price and allocating the transaction price to each separate performance obligation. Due to the short-term, day-to-day nature of the Company’s hospitality and entertainment segment revenues, the pattern of revenue recognition did not change significantly upon adoption. The Company adopted this ASU in the first quarter of 2018 using the modified retrospective approach and has applied the standard to all contracts at the date of initial application. As such, prior period amounts have not been restated, and the Company recorded a transition adjustment to retained earnings of $0.1 million, which is reflected in the condensed consolidated balance sheet for September 30, 2018 included herein. See Note 2, “Revenues,” to the condensed consolidated financial statements included herein for further disclosures.</w:t>
      </w:r>
    </w:p>
    <w:p>
      <w:pPr>
        <w:spacing w:after="0" w:line="178" w:lineRule="exact"/>
        <w:rPr>
          <w:sz w:val="20"/>
          <w:szCs w:val="20"/>
          <w:color w:val="auto"/>
        </w:rPr>
      </w:pPr>
    </w:p>
    <w:p>
      <w:pPr>
        <w:spacing w:after="0" w:line="217" w:lineRule="exact"/>
        <w:rPr>
          <w:sz w:val="20"/>
          <w:szCs w:val="20"/>
          <w:color w:val="auto"/>
        </w:rPr>
      </w:pPr>
      <w:r>
        <w:rPr>
          <w:rFonts w:ascii="Arial" w:cs="Arial" w:eastAsia="Arial" w:hAnsi="Arial"/>
          <w:sz w:val="16"/>
          <w:szCs w:val="16"/>
          <w:color w:val="auto"/>
        </w:rPr>
        <w:t>In February 2016, the FASB issued ASU No. 2016</w:t>
      </w:r>
      <w:r>
        <w:rPr>
          <w:rFonts w:ascii="MS PGothic" w:cs="MS PGothic" w:eastAsia="MS PGothic" w:hAnsi="MS PGothic"/>
          <w:sz w:val="16"/>
          <w:szCs w:val="16"/>
          <w:color w:val="auto"/>
        </w:rPr>
        <w:t>‑</w:t>
      </w:r>
      <w:r>
        <w:rPr>
          <w:rFonts w:ascii="Arial" w:cs="Arial" w:eastAsia="Arial" w:hAnsi="Arial"/>
          <w:sz w:val="16"/>
          <w:szCs w:val="16"/>
          <w:color w:val="auto"/>
        </w:rPr>
        <w:t>02, “</w:t>
      </w:r>
      <w:r>
        <w:rPr>
          <w:rFonts w:ascii="Arial" w:cs="Arial" w:eastAsia="Arial" w:hAnsi="Arial"/>
          <w:sz w:val="16"/>
          <w:szCs w:val="16"/>
          <w:i w:val="1"/>
          <w:iCs w:val="1"/>
          <w:color w:val="auto"/>
        </w:rPr>
        <w:t>Leases</w:t>
      </w:r>
      <w:r>
        <w:rPr>
          <w:rFonts w:ascii="Arial" w:cs="Arial" w:eastAsia="Arial" w:hAnsi="Arial"/>
          <w:sz w:val="16"/>
          <w:szCs w:val="16"/>
          <w:color w:val="auto"/>
        </w:rPr>
        <w:t>,” that requires lessees to record most leases on their balance sheet, but recognize expenses on their income statements in a manner similar to previous accounting. The ASU also eliminates the required use of bright-line tests for determining lease classification. The ASU is effective for the Company in the first quarter of 2019, and the Company plans to adopt this standard at that time using the modified retrospective approach, with a cumulative-effect adjustment, if any, to retained earnings in the period of adoption. Prior period amounts will not be restated. In July 2018, the FASB issued ASU 2018-10, “</w:t>
      </w:r>
      <w:r>
        <w:rPr>
          <w:rFonts w:ascii="Arial" w:cs="Arial" w:eastAsia="Arial" w:hAnsi="Arial"/>
          <w:sz w:val="16"/>
          <w:szCs w:val="16"/>
          <w:i w:val="1"/>
          <w:iCs w:val="1"/>
          <w:color w:val="auto"/>
        </w:rPr>
        <w:t>Codification Improvements to Topic 842, Leases</w:t>
      </w:r>
      <w:r>
        <w:rPr>
          <w:rFonts w:ascii="Arial" w:cs="Arial" w:eastAsia="Arial" w:hAnsi="Arial"/>
          <w:sz w:val="16"/>
          <w:szCs w:val="16"/>
          <w:color w:val="auto"/>
        </w:rPr>
        <w:t>,” and ASU 2018-11, “</w:t>
      </w:r>
      <w:r>
        <w:rPr>
          <w:rFonts w:ascii="Arial" w:cs="Arial" w:eastAsia="Arial" w:hAnsi="Arial"/>
          <w:sz w:val="16"/>
          <w:szCs w:val="16"/>
          <w:i w:val="1"/>
          <w:iCs w:val="1"/>
          <w:color w:val="auto"/>
        </w:rPr>
        <w:t>Leases (Topic 842): Targeted Improvements</w:t>
      </w:r>
      <w:r>
        <w:rPr>
          <w:rFonts w:ascii="Arial" w:cs="Arial" w:eastAsia="Arial" w:hAnsi="Arial"/>
          <w:sz w:val="16"/>
          <w:szCs w:val="16"/>
          <w:color w:val="auto"/>
        </w:rPr>
        <w:t>,” both of which provide practical expedients that the Company intends to adopt. By adopting these practical expedients, the Company will not be required to reassess (i) whether an expired or existing contract meets the definition of a lease; (ii) the lease classification at the adoption date for existing leases; and (iii) whether costs previously capitalized as initial direct costs would continue to be amortized. The Company is evaluating its inventory of leases and determining the appropriate discount rates that will be used to determine the right-of-use assets and lease liabilities to be recorded, and the primary impact of the adoption is estimated to be the inclusion of the Company’s 75</w:t>
      </w:r>
      <w:r>
        <w:rPr>
          <w:rFonts w:ascii="MS PGothic" w:cs="MS PGothic" w:eastAsia="MS PGothic" w:hAnsi="MS PGothic"/>
          <w:sz w:val="16"/>
          <w:szCs w:val="16"/>
          <w:color w:val="auto"/>
        </w:rPr>
        <w:t>‑</w:t>
      </w:r>
      <w:r>
        <w:rPr>
          <w:rFonts w:ascii="Arial" w:cs="Arial" w:eastAsia="Arial" w:hAnsi="Arial"/>
          <w:sz w:val="16"/>
          <w:szCs w:val="16"/>
          <w:color w:val="auto"/>
        </w:rPr>
        <w:t>year ground lease at Gaylord Palms on its balance sheet. See Note 12, “Commitments and Contingencies,” to the consolidated financial statements included in the Company’s Annual Report on Form 10</w:t>
      </w:r>
      <w:r>
        <w:rPr>
          <w:rFonts w:ascii="MS PGothic" w:cs="MS PGothic" w:eastAsia="MS PGothic" w:hAnsi="MS PGothic"/>
          <w:sz w:val="16"/>
          <w:szCs w:val="16"/>
          <w:color w:val="auto"/>
        </w:rPr>
        <w:t>‑</w:t>
      </w:r>
      <w:r>
        <w:rPr>
          <w:rFonts w:ascii="Arial" w:cs="Arial" w:eastAsia="Arial" w:hAnsi="Arial"/>
          <w:sz w:val="16"/>
          <w:szCs w:val="16"/>
          <w:color w:val="auto"/>
        </w:rPr>
        <w:t>K for the year ended December 31, 2017 for a further disclosure of the Company’s outstanding leases.</w:t>
      </w:r>
    </w:p>
    <w:p>
      <w:pPr>
        <w:spacing w:after="0" w:line="163" w:lineRule="exact"/>
        <w:rPr>
          <w:sz w:val="20"/>
          <w:szCs w:val="20"/>
          <w:color w:val="auto"/>
        </w:rPr>
      </w:pPr>
    </w:p>
    <w:p>
      <w:pPr>
        <w:ind w:right="20"/>
        <w:spacing w:after="0" w:line="219" w:lineRule="exact"/>
        <w:rPr>
          <w:sz w:val="20"/>
          <w:szCs w:val="20"/>
          <w:color w:val="auto"/>
        </w:rPr>
      </w:pPr>
      <w:r>
        <w:rPr>
          <w:rFonts w:ascii="Arial" w:cs="Arial" w:eastAsia="Arial" w:hAnsi="Arial"/>
          <w:sz w:val="17"/>
          <w:szCs w:val="17"/>
          <w:color w:val="auto"/>
        </w:rPr>
        <w:t>In June 2016, the FASB issued ASU No. 2016</w:t>
      </w:r>
      <w:r>
        <w:rPr>
          <w:rFonts w:ascii="MS PGothic" w:cs="MS PGothic" w:eastAsia="MS PGothic" w:hAnsi="MS PGothic"/>
          <w:sz w:val="17"/>
          <w:szCs w:val="17"/>
          <w:color w:val="auto"/>
        </w:rPr>
        <w:t>‑</w:t>
      </w:r>
      <w:r>
        <w:rPr>
          <w:rFonts w:ascii="Arial" w:cs="Arial" w:eastAsia="Arial" w:hAnsi="Arial"/>
          <w:sz w:val="17"/>
          <w:szCs w:val="17"/>
          <w:color w:val="auto"/>
        </w:rPr>
        <w:t>13, “</w:t>
      </w:r>
      <w:r>
        <w:rPr>
          <w:rFonts w:ascii="Arial" w:cs="Arial" w:eastAsia="Arial" w:hAnsi="Arial"/>
          <w:sz w:val="17"/>
          <w:szCs w:val="17"/>
          <w:i w:val="1"/>
          <w:iCs w:val="1"/>
          <w:color w:val="auto"/>
        </w:rPr>
        <w:t>Financial Instruments – Credit Losses – Measurement of Credit Losses</w:t>
      </w:r>
      <w:r>
        <w:rPr>
          <w:rFonts w:ascii="Arial" w:cs="Arial" w:eastAsia="Arial" w:hAnsi="Arial"/>
          <w:sz w:val="17"/>
          <w:szCs w:val="17"/>
          <w:color w:val="auto"/>
        </w:rPr>
        <w:t xml:space="preserve"> </w:t>
      </w:r>
      <w:r>
        <w:rPr>
          <w:rFonts w:ascii="Arial" w:cs="Arial" w:eastAsia="Arial" w:hAnsi="Arial"/>
          <w:sz w:val="17"/>
          <w:szCs w:val="17"/>
          <w:i w:val="1"/>
          <w:iCs w:val="1"/>
          <w:color w:val="auto"/>
        </w:rPr>
        <w:t>on Financial Instruments</w:t>
      </w:r>
      <w:r>
        <w:rPr>
          <w:rFonts w:ascii="Arial" w:cs="Arial" w:eastAsia="Arial" w:hAnsi="Arial"/>
          <w:sz w:val="17"/>
          <w:szCs w:val="17"/>
          <w:color w:val="auto"/>
        </w:rPr>
        <w:t>,” which will change how entities measure credit losses for most financial assets and certain other</w:t>
      </w:r>
      <w:r>
        <w:rPr>
          <w:rFonts w:ascii="Arial" w:cs="Arial" w:eastAsia="Arial" w:hAnsi="Arial"/>
          <w:sz w:val="17"/>
          <w:szCs w:val="17"/>
          <w:i w:val="1"/>
          <w:iCs w:val="1"/>
          <w:color w:val="auto"/>
        </w:rPr>
        <w:t xml:space="preserve"> </w:t>
      </w:r>
      <w:r>
        <w:rPr>
          <w:rFonts w:ascii="Arial" w:cs="Arial" w:eastAsia="Arial" w:hAnsi="Arial"/>
          <w:sz w:val="17"/>
          <w:szCs w:val="17"/>
          <w:color w:val="auto"/>
        </w:rPr>
        <w:t>instruments that are not measured at fair value through net income. The ASU will replace the current “incurred loss” approach with an “expected loss” model for instruments measured at amortized cost. For trade and other receivables, held-to-maturity debt securities, loans and other instruments, entities will be required to use a new forward-</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7" w:name="page8"/>
    <w:bookmarkEnd w:id="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looking “expected loss” model that generally will result in the earlier recognition of allowances for losses. The ASU is effective for the Company in the first quarter of 2020. The Company is currently evaluating the effects of this ASU on its financial statements, and such effects have not yet been determined.</w:t>
      </w:r>
    </w:p>
    <w:p>
      <w:pPr>
        <w:spacing w:after="0" w:line="141" w:lineRule="exact"/>
        <w:rPr>
          <w:sz w:val="20"/>
          <w:szCs w:val="20"/>
          <w:color w:val="auto"/>
        </w:rPr>
      </w:pPr>
    </w:p>
    <w:p>
      <w:pPr>
        <w:spacing w:after="0" w:line="219" w:lineRule="exact"/>
        <w:rPr>
          <w:sz w:val="20"/>
          <w:szCs w:val="20"/>
          <w:color w:val="auto"/>
        </w:rPr>
      </w:pPr>
      <w:r>
        <w:rPr>
          <w:rFonts w:ascii="Arial" w:cs="Arial" w:eastAsia="Arial" w:hAnsi="Arial"/>
          <w:sz w:val="18"/>
          <w:szCs w:val="18"/>
          <w:color w:val="auto"/>
        </w:rPr>
        <w:t>In November 2016, the FASB issued ASU No. 2016</w:t>
      </w:r>
      <w:r>
        <w:rPr>
          <w:rFonts w:ascii="MS PGothic" w:cs="MS PGothic" w:eastAsia="MS PGothic" w:hAnsi="MS PGothic"/>
          <w:sz w:val="18"/>
          <w:szCs w:val="18"/>
          <w:color w:val="auto"/>
        </w:rPr>
        <w:t>‑</w:t>
      </w:r>
      <w:r>
        <w:rPr>
          <w:rFonts w:ascii="Arial" w:cs="Arial" w:eastAsia="Arial" w:hAnsi="Arial"/>
          <w:sz w:val="18"/>
          <w:szCs w:val="18"/>
          <w:color w:val="auto"/>
        </w:rPr>
        <w:t>18, “</w:t>
      </w:r>
      <w:r>
        <w:rPr>
          <w:rFonts w:ascii="Arial" w:cs="Arial" w:eastAsia="Arial" w:hAnsi="Arial"/>
          <w:sz w:val="18"/>
          <w:szCs w:val="18"/>
          <w:i w:val="1"/>
          <w:iCs w:val="1"/>
          <w:color w:val="auto"/>
        </w:rPr>
        <w:t>Restricted Cash</w:t>
      </w:r>
      <w:r>
        <w:rPr>
          <w:rFonts w:ascii="Arial" w:cs="Arial" w:eastAsia="Arial" w:hAnsi="Arial"/>
          <w:sz w:val="18"/>
          <w:szCs w:val="18"/>
          <w:color w:val="auto"/>
        </w:rPr>
        <w:t>,” which requires entities to disclose changes in the total of cash and restricted cash in the statement of cash flows. As a result, entities no longer present transfers between cash and restricted cash in the statement of cash flows, and present a reconciliation of the totals in the statement of cash flows to the related captions on the balance sheet. The Company adopted this ASU in the first quarter of 2018, and this adoption did not have a material impact on the Company’s financial statements. The prior period presentation has been updated to conform to the current year presentation.</w:t>
      </w:r>
    </w:p>
    <w:p>
      <w:pPr>
        <w:spacing w:after="0" w:line="176" w:lineRule="exact"/>
        <w:rPr>
          <w:sz w:val="20"/>
          <w:szCs w:val="20"/>
          <w:color w:val="auto"/>
        </w:rPr>
      </w:pPr>
    </w:p>
    <w:p>
      <w:pPr>
        <w:spacing w:after="0" w:line="217" w:lineRule="exact"/>
        <w:rPr>
          <w:sz w:val="20"/>
          <w:szCs w:val="20"/>
          <w:color w:val="auto"/>
        </w:rPr>
      </w:pPr>
      <w:r>
        <w:rPr>
          <w:rFonts w:ascii="Arial" w:cs="Arial" w:eastAsia="Arial" w:hAnsi="Arial"/>
          <w:sz w:val="16"/>
          <w:szCs w:val="16"/>
          <w:color w:val="auto"/>
        </w:rPr>
        <w:t>In March 2017, the FASB issued ASU No. 2017</w:t>
      </w:r>
      <w:r>
        <w:rPr>
          <w:rFonts w:ascii="MS PGothic" w:cs="MS PGothic" w:eastAsia="MS PGothic" w:hAnsi="MS PGothic"/>
          <w:sz w:val="16"/>
          <w:szCs w:val="16"/>
          <w:color w:val="auto"/>
        </w:rPr>
        <w:t>‑</w:t>
      </w:r>
      <w:r>
        <w:rPr>
          <w:rFonts w:ascii="Arial" w:cs="Arial" w:eastAsia="Arial" w:hAnsi="Arial"/>
          <w:sz w:val="16"/>
          <w:szCs w:val="16"/>
          <w:color w:val="auto"/>
        </w:rPr>
        <w:t>07, “</w:t>
      </w:r>
      <w:r>
        <w:rPr>
          <w:rFonts w:ascii="Arial" w:cs="Arial" w:eastAsia="Arial" w:hAnsi="Arial"/>
          <w:sz w:val="16"/>
          <w:szCs w:val="16"/>
          <w:i w:val="1"/>
          <w:iCs w:val="1"/>
          <w:color w:val="auto"/>
        </w:rPr>
        <w:t>Compensation – Retirement Benefits: Improving the Presentation of</w:t>
      </w:r>
      <w:r>
        <w:rPr>
          <w:rFonts w:ascii="Arial" w:cs="Arial" w:eastAsia="Arial" w:hAnsi="Arial"/>
          <w:sz w:val="16"/>
          <w:szCs w:val="16"/>
          <w:color w:val="auto"/>
        </w:rPr>
        <w:t xml:space="preserve"> </w:t>
      </w:r>
      <w:r>
        <w:rPr>
          <w:rFonts w:ascii="Arial" w:cs="Arial" w:eastAsia="Arial" w:hAnsi="Arial"/>
          <w:sz w:val="16"/>
          <w:szCs w:val="16"/>
          <w:i w:val="1"/>
          <w:iCs w:val="1"/>
          <w:color w:val="auto"/>
        </w:rPr>
        <w:t>Net Periodic Pension Cost and Net Periodic Postretirement Benefit Cost</w:t>
      </w:r>
      <w:r>
        <w:rPr>
          <w:rFonts w:ascii="Arial" w:cs="Arial" w:eastAsia="Arial" w:hAnsi="Arial"/>
          <w:sz w:val="16"/>
          <w:szCs w:val="16"/>
          <w:color w:val="auto"/>
        </w:rPr>
        <w:t>,” which changes how employers that sponsor</w:t>
      </w:r>
      <w:r>
        <w:rPr>
          <w:rFonts w:ascii="Arial" w:cs="Arial" w:eastAsia="Arial" w:hAnsi="Arial"/>
          <w:sz w:val="16"/>
          <w:szCs w:val="16"/>
          <w:i w:val="1"/>
          <w:iCs w:val="1"/>
          <w:color w:val="auto"/>
        </w:rPr>
        <w:t xml:space="preserve"> </w:t>
      </w:r>
      <w:r>
        <w:rPr>
          <w:rFonts w:ascii="Arial" w:cs="Arial" w:eastAsia="Arial" w:hAnsi="Arial"/>
          <w:sz w:val="16"/>
          <w:szCs w:val="16"/>
          <w:color w:val="auto"/>
        </w:rPr>
        <w:t>defined benefit pension and/or other postretirement benefit plans present the cost of benefits in the income statement. Under the new guidance, the service cost component of net periodic benefit cost is presented in the same income statement line items as other employee compensation costs. In addition, the other components of net periodic benefit cost are presented separately from service cost and outside of operating income, which the Company has included in other gains and (losses), net in the accompanying condensed consolidated statements of operations and comprehensive income. The Company adopted this ASU in the first quarter of 2018, and this adoption did not have a material impact on the Company’s financial statements. The prior period presentation has been updated to conform to the current year presentation.</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REVENUES:</w:t>
      </w:r>
    </w:p>
    <w:p>
      <w:pPr>
        <w:spacing w:after="0" w:line="189"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Revenues from occupied hotel rooms are recognized over time as the daily hotel stay is provided to hotel groups and guests. Revenues from concessions, food and beverage sales, and group meeting services are recognized over the period or at the point in time those goods or services are delivered to the hotel group or guest. Revenues from ancillary services at the Company’s hotels, such as spa, parking, and transportation services, are generally recognized at the time the goods or services are provided. Cancellation fees and attrition fees, which are charged to groups when they do not fulfill the minimum number of room nights or minimum food and beverage spending requirements originally contracted for, are generally recognized as revenue in the period the Company determines it is probable that a significant reversal in the amount of revenue recognized will not occur, which is the period these fees are collected. The Company generally recognizes revenues from the Entertainment segment at the point in time that services are provided or goods are delivered or shipped to the customer, as applicable. Almost all of the Company’s revenues are either cash-based or, for meeting and convention groups who meet the Company’s credit criteria, billed and collected on a short-term receivables basis. The Company is required to collect certain taxes from customers on behalf of government agencies and remit these to the applicable governmental entity on a periodic basis. These taxes are collected from customers at the time of purchase, but are not included in revenue. The Company records a liability upon collection of such taxes from the customer and relieves the liability when payments are remitted to the applicable governmental agency.</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8" w:name="page9"/>
    <w:bookmarkEnd w:id="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The Company’s revenues disaggregated by major source are as follows (in thousands):</w:t>
      </w:r>
    </w:p>
    <w:p>
      <w:pPr>
        <w:spacing w:after="0" w:line="17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20" w:type="dxa"/>
            <w:vAlign w:val="bottom"/>
            <w:gridSpan w:val="4"/>
          </w:tcPr>
          <w:p>
            <w:pPr>
              <w:jc w:val="right"/>
              <w:ind w:right="132"/>
              <w:spacing w:after="0"/>
              <w:rPr>
                <w:sz w:val="20"/>
                <w:szCs w:val="20"/>
                <w:color w:val="auto"/>
              </w:rPr>
            </w:pPr>
            <w:r>
              <w:rPr>
                <w:rFonts w:ascii="Arial" w:cs="Arial" w:eastAsia="Arial" w:hAnsi="Arial"/>
                <w:sz w:val="14"/>
                <w:szCs w:val="14"/>
                <w:b w:val="1"/>
                <w:bCs w:val="1"/>
                <w:color w:val="auto"/>
                <w:w w:val="99"/>
              </w:rPr>
              <w:t>Three Months Ended</w:t>
            </w:r>
          </w:p>
        </w:tc>
        <w:tc>
          <w:tcPr>
            <w:tcW w:w="160" w:type="dxa"/>
            <w:vAlign w:val="bottom"/>
          </w:tcPr>
          <w:p>
            <w:pPr>
              <w:spacing w:after="0"/>
              <w:rPr>
                <w:sz w:val="14"/>
                <w:szCs w:val="14"/>
                <w:color w:val="auto"/>
              </w:rPr>
            </w:pPr>
          </w:p>
        </w:tc>
        <w:tc>
          <w:tcPr>
            <w:tcW w:w="1760" w:type="dxa"/>
            <w:vAlign w:val="bottom"/>
            <w:gridSpan w:val="4"/>
          </w:tcPr>
          <w:p>
            <w:pPr>
              <w:jc w:val="right"/>
              <w:ind w:right="192"/>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4"/>
          </w:tcPr>
          <w:p>
            <w:pPr>
              <w:jc w:val="right"/>
              <w:ind w:right="372"/>
              <w:spacing w:after="0"/>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14"/>
                <w:szCs w:val="14"/>
                <w:color w:val="auto"/>
              </w:rPr>
            </w:pPr>
          </w:p>
        </w:tc>
        <w:tc>
          <w:tcPr>
            <w:tcW w:w="1760" w:type="dxa"/>
            <w:vAlign w:val="bottom"/>
            <w:tcBorders>
              <w:bottom w:val="single" w:sz="8" w:color="auto"/>
            </w:tcBorders>
            <w:gridSpan w:val="4"/>
          </w:tcPr>
          <w:p>
            <w:pPr>
              <w:jc w:val="right"/>
              <w:ind w:right="392"/>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2018</w:t>
            </w:r>
          </w:p>
        </w:tc>
        <w:tc>
          <w:tcPr>
            <w:tcW w:w="1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2"/>
                <w:szCs w:val="12"/>
                <w:color w:val="auto"/>
              </w:rPr>
            </w:pPr>
          </w:p>
        </w:tc>
        <w:tc>
          <w:tcPr>
            <w:tcW w:w="780" w:type="dxa"/>
            <w:vAlign w:val="bottom"/>
            <w:tcBorders>
              <w:bottom w:val="single" w:sz="8" w:color="auto"/>
            </w:tcBorders>
          </w:tcPr>
          <w:p>
            <w:pPr>
              <w:jc w:val="right"/>
              <w:ind w:right="184"/>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92"/>
              <w:spacing w:after="0" w:line="142" w:lineRule="exact"/>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0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Hotel group rooms</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69,258</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66,758</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$ 241,804</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228,122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tcPr>
          <w:p>
            <w:pPr>
              <w:spacing w:after="0"/>
              <w:rPr>
                <w:sz w:val="20"/>
                <w:szCs w:val="20"/>
                <w:color w:val="auto"/>
              </w:rPr>
            </w:pPr>
            <w:r>
              <w:rPr>
                <w:rFonts w:ascii="Arial" w:cs="Arial" w:eastAsia="Arial" w:hAnsi="Arial"/>
                <w:sz w:val="18"/>
                <w:szCs w:val="18"/>
                <w:color w:val="auto"/>
              </w:rPr>
              <w:t>Hotel transient rooms</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33,923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33,776</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90,686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86,455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Hotel food and beverage - banquets</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82,742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69,820</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280,729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251,362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tcPr>
          <w:p>
            <w:pPr>
              <w:spacing w:after="0"/>
              <w:rPr>
                <w:sz w:val="20"/>
                <w:szCs w:val="20"/>
                <w:color w:val="auto"/>
              </w:rPr>
            </w:pPr>
            <w:r>
              <w:rPr>
                <w:rFonts w:ascii="Arial" w:cs="Arial" w:eastAsia="Arial" w:hAnsi="Arial"/>
                <w:sz w:val="18"/>
                <w:szCs w:val="18"/>
                <w:color w:val="auto"/>
              </w:rPr>
              <w:t>Hotel food and beverage - outlets</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35,754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34,617</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111,759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5"/>
              </w:rPr>
              <w:t>107,685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Hotel other</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27,563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24,619</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81,129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73,493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tcPr>
          <w:p>
            <w:pPr>
              <w:spacing w:after="0"/>
              <w:rPr>
                <w:sz w:val="20"/>
                <w:szCs w:val="20"/>
                <w:color w:val="auto"/>
              </w:rPr>
            </w:pPr>
            <w:r>
              <w:rPr>
                <w:rFonts w:ascii="Arial" w:cs="Arial" w:eastAsia="Arial" w:hAnsi="Arial"/>
                <w:sz w:val="18"/>
                <w:szCs w:val="18"/>
                <w:color w:val="auto"/>
              </w:rPr>
              <w:t>Entertainment admissions/ticketing</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19,215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19,167</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51,282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47,465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Entertainment food and beverage</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14,606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8,305</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33,000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tcPr>
          <w:p>
            <w:pPr>
              <w:spacing w:after="0"/>
              <w:rPr>
                <w:sz w:val="20"/>
                <w:szCs w:val="20"/>
                <w:color w:val="auto"/>
              </w:rPr>
            </w:pPr>
            <w:r>
              <w:rPr>
                <w:rFonts w:ascii="Arial" w:cs="Arial" w:eastAsia="Arial" w:hAnsi="Arial"/>
                <w:sz w:val="18"/>
                <w:szCs w:val="18"/>
                <w:color w:val="auto"/>
              </w:rPr>
              <w:t>Entertainment retail and other</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9,188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7,662</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24,164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22,139</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0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5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292,249</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264,724</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$ 914,553</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839,544</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Company’s Hospitality segment revenues disaggregated by location are as follows (in thousands):</w:t>
      </w:r>
    </w:p>
    <w:p>
      <w:pPr>
        <w:spacing w:after="0" w:line="19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20" w:type="dxa"/>
            <w:vAlign w:val="bottom"/>
            <w:gridSpan w:val="4"/>
          </w:tcPr>
          <w:p>
            <w:pPr>
              <w:jc w:val="right"/>
              <w:ind w:right="132"/>
              <w:spacing w:after="0"/>
              <w:rPr>
                <w:sz w:val="20"/>
                <w:szCs w:val="20"/>
                <w:color w:val="auto"/>
              </w:rPr>
            </w:pPr>
            <w:r>
              <w:rPr>
                <w:rFonts w:ascii="Arial" w:cs="Arial" w:eastAsia="Arial" w:hAnsi="Arial"/>
                <w:sz w:val="14"/>
                <w:szCs w:val="14"/>
                <w:b w:val="1"/>
                <w:bCs w:val="1"/>
                <w:color w:val="auto"/>
                <w:w w:val="99"/>
              </w:rPr>
              <w:t>Three Months Ended</w:t>
            </w:r>
          </w:p>
        </w:tc>
        <w:tc>
          <w:tcPr>
            <w:tcW w:w="160" w:type="dxa"/>
            <w:vAlign w:val="bottom"/>
          </w:tcPr>
          <w:p>
            <w:pPr>
              <w:spacing w:after="0"/>
              <w:rPr>
                <w:sz w:val="14"/>
                <w:szCs w:val="14"/>
                <w:color w:val="auto"/>
              </w:rPr>
            </w:pPr>
          </w:p>
        </w:tc>
        <w:tc>
          <w:tcPr>
            <w:tcW w:w="1760" w:type="dxa"/>
            <w:vAlign w:val="bottom"/>
            <w:gridSpan w:val="4"/>
          </w:tcPr>
          <w:p>
            <w:pPr>
              <w:jc w:val="right"/>
              <w:ind w:right="192"/>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4"/>
          </w:tcPr>
          <w:p>
            <w:pPr>
              <w:jc w:val="right"/>
              <w:ind w:right="372"/>
              <w:spacing w:after="0"/>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14"/>
                <w:szCs w:val="14"/>
                <w:color w:val="auto"/>
              </w:rPr>
            </w:pPr>
          </w:p>
        </w:tc>
        <w:tc>
          <w:tcPr>
            <w:tcW w:w="1760" w:type="dxa"/>
            <w:vAlign w:val="bottom"/>
            <w:tcBorders>
              <w:bottom w:val="single" w:sz="8" w:color="auto"/>
            </w:tcBorders>
            <w:gridSpan w:val="4"/>
          </w:tcPr>
          <w:p>
            <w:pPr>
              <w:jc w:val="right"/>
              <w:ind w:right="392"/>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75"/>
              <w:spacing w:after="0" w:line="142" w:lineRule="exact"/>
              <w:rPr>
                <w:sz w:val="20"/>
                <w:szCs w:val="20"/>
                <w:color w:val="auto"/>
              </w:rPr>
            </w:pPr>
            <w:r>
              <w:rPr>
                <w:rFonts w:ascii="Arial" w:cs="Arial" w:eastAsia="Arial" w:hAnsi="Arial"/>
                <w:sz w:val="14"/>
                <w:szCs w:val="14"/>
                <w:b w:val="1"/>
                <w:bCs w:val="1"/>
                <w:color w:val="auto"/>
              </w:rPr>
              <w:t>2018</w:t>
            </w:r>
          </w:p>
        </w:tc>
        <w:tc>
          <w:tcPr>
            <w:tcW w:w="1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2"/>
                <w:szCs w:val="12"/>
                <w:color w:val="auto"/>
              </w:rPr>
            </w:pPr>
          </w:p>
        </w:tc>
        <w:tc>
          <w:tcPr>
            <w:tcW w:w="780" w:type="dxa"/>
            <w:vAlign w:val="bottom"/>
            <w:tcBorders>
              <w:bottom w:val="single" w:sz="8" w:color="auto"/>
            </w:tcBorders>
          </w:tcPr>
          <w:p>
            <w:pPr>
              <w:jc w:val="right"/>
              <w:ind w:right="184"/>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92"/>
              <w:spacing w:after="0" w:line="142" w:lineRule="exact"/>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0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Gaylord Opryland</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80,591</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76,237</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$ 258,251</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231,459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tcPr>
          <w:p>
            <w:pPr>
              <w:spacing w:after="0"/>
              <w:rPr>
                <w:sz w:val="20"/>
                <w:szCs w:val="20"/>
                <w:color w:val="auto"/>
              </w:rPr>
            </w:pPr>
            <w:r>
              <w:rPr>
                <w:rFonts w:ascii="Arial" w:cs="Arial" w:eastAsia="Arial" w:hAnsi="Arial"/>
                <w:sz w:val="18"/>
                <w:szCs w:val="18"/>
                <w:color w:val="auto"/>
              </w:rPr>
              <w:t>Gaylord Palms</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38,901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37,238</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147,071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5"/>
              </w:rPr>
              <w:t>139,619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Gaylord Texan</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62,826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50,166</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179,794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159,683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tcPr>
          <w:p>
            <w:pPr>
              <w:spacing w:after="0"/>
              <w:rPr>
                <w:sz w:val="20"/>
                <w:szCs w:val="20"/>
                <w:color w:val="auto"/>
              </w:rPr>
            </w:pPr>
            <w:r>
              <w:rPr>
                <w:rFonts w:ascii="Arial" w:cs="Arial" w:eastAsia="Arial" w:hAnsi="Arial"/>
                <w:sz w:val="18"/>
                <w:szCs w:val="18"/>
                <w:color w:val="auto"/>
              </w:rPr>
              <w:t>Gaylord National</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60,304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58,936</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200,747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5"/>
              </w:rPr>
              <w:t>195,388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AC Hotel</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2,928</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8,378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tcPr>
          <w:p>
            <w:pPr>
              <w:spacing w:after="0"/>
              <w:rPr>
                <w:sz w:val="20"/>
                <w:szCs w:val="20"/>
                <w:color w:val="auto"/>
              </w:rPr>
            </w:pPr>
            <w:r>
              <w:rPr>
                <w:rFonts w:ascii="Arial" w:cs="Arial" w:eastAsia="Arial" w:hAnsi="Arial"/>
                <w:sz w:val="18"/>
                <w:szCs w:val="18"/>
                <w:color w:val="auto"/>
              </w:rPr>
              <w:t>Inn at Opryland and other</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4,122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4,085</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11,866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11,902</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0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Hospitality segment revenues</w:t>
            </w:r>
          </w:p>
        </w:tc>
        <w:tc>
          <w:tcPr>
            <w:tcW w:w="5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249,240</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229,590</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$ 806,107</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747,117</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Almost all of the Company’s Entertainment segment revenues are concentrated in Nashville, Tennessee.</w:t>
      </w:r>
    </w:p>
    <w:p>
      <w:pPr>
        <w:spacing w:after="0" w:line="185" w:lineRule="exact"/>
        <w:rPr>
          <w:sz w:val="20"/>
          <w:szCs w:val="20"/>
          <w:color w:val="auto"/>
        </w:rPr>
      </w:pPr>
    </w:p>
    <w:p>
      <w:pPr>
        <w:ind w:right="39"/>
        <w:spacing w:after="0" w:line="273" w:lineRule="auto"/>
        <w:rPr>
          <w:sz w:val="20"/>
          <w:szCs w:val="20"/>
          <w:color w:val="auto"/>
        </w:rPr>
      </w:pPr>
      <w:r>
        <w:rPr>
          <w:rFonts w:ascii="Arial" w:cs="Arial" w:eastAsia="Arial" w:hAnsi="Arial"/>
          <w:sz w:val="17"/>
          <w:szCs w:val="17"/>
          <w:color w:val="auto"/>
        </w:rPr>
        <w:t>The Company records deferred revenues when cash payments are received in advance of its performance obligations, primarily related to advanced deposits on hotel rooms in its Hospitality segment and advanced ticketing in its Entertainment segment. At September 30, 2018 and December 31, 2017, the Company had $72.6 million and $51.2 million, respectively, in deferred revenues, which are included in accounts payable and accrued liabilities in the accompanying condensed consolidated balance sheets. Of the amount outstanding at December 31, 2017, approximately $44.2 million was recognized in revenue during the nine months ended September 30, 2018.</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INCOME PER SHARE:</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weighted average number of common shares outstanding is calculated as follows (in thousands):</w:t>
      </w:r>
    </w:p>
    <w:p>
      <w:pPr>
        <w:spacing w:after="0" w:line="17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340" w:type="dxa"/>
            <w:vAlign w:val="bottom"/>
          </w:tcPr>
          <w:p>
            <w:pPr>
              <w:spacing w:after="0"/>
              <w:rPr>
                <w:sz w:val="14"/>
                <w:szCs w:val="14"/>
                <w:color w:val="auto"/>
              </w:rPr>
            </w:pPr>
          </w:p>
        </w:tc>
        <w:tc>
          <w:tcPr>
            <w:tcW w:w="150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93"/>
              </w:rPr>
              <w:t>Three Months Ended</w:t>
            </w:r>
          </w:p>
        </w:tc>
        <w:tc>
          <w:tcPr>
            <w:tcW w:w="1400" w:type="dxa"/>
            <w:vAlign w:val="bottom"/>
            <w:gridSpan w:val="3"/>
          </w:tcPr>
          <w:p>
            <w:pPr>
              <w:jc w:val="right"/>
              <w:spacing w:after="0"/>
              <w:rPr>
                <w:sz w:val="20"/>
                <w:szCs w:val="20"/>
                <w:color w:val="auto"/>
              </w:rPr>
            </w:pPr>
            <w:r>
              <w:rPr>
                <w:rFonts w:ascii="Arial" w:cs="Arial" w:eastAsia="Arial" w:hAnsi="Arial"/>
                <w:sz w:val="14"/>
                <w:szCs w:val="14"/>
                <w:b w:val="1"/>
                <w:bCs w:val="1"/>
                <w:color w:val="auto"/>
                <w:w w:val="99"/>
              </w:rPr>
              <w:t>Nine Months Ended</w:t>
            </w:r>
          </w:p>
        </w:tc>
      </w:tr>
      <w:tr>
        <w:trPr>
          <w:trHeight w:val="171"/>
        </w:trPr>
        <w:tc>
          <w:tcPr>
            <w:tcW w:w="4340" w:type="dxa"/>
            <w:vAlign w:val="bottom"/>
          </w:tcPr>
          <w:p>
            <w:pPr>
              <w:spacing w:after="0"/>
              <w:rPr>
                <w:sz w:val="14"/>
                <w:szCs w:val="14"/>
                <w:color w:val="auto"/>
              </w:rPr>
            </w:pPr>
          </w:p>
        </w:tc>
        <w:tc>
          <w:tcPr>
            <w:tcW w:w="150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91"/>
              </w:rPr>
              <w:t>September 30,</w:t>
            </w:r>
          </w:p>
        </w:tc>
        <w:tc>
          <w:tcPr>
            <w:tcW w:w="1400" w:type="dxa"/>
            <w:vAlign w:val="bottom"/>
            <w:gridSpan w:val="3"/>
          </w:tcPr>
          <w:p>
            <w:pPr>
              <w:jc w:val="right"/>
              <w:ind w:right="194"/>
              <w:spacing w:after="0"/>
              <w:rPr>
                <w:sz w:val="20"/>
                <w:szCs w:val="20"/>
                <w:color w:val="auto"/>
              </w:rPr>
            </w:pPr>
            <w:r>
              <w:rPr>
                <w:rFonts w:ascii="Arial" w:cs="Arial" w:eastAsia="Arial" w:hAnsi="Arial"/>
                <w:sz w:val="14"/>
                <w:szCs w:val="14"/>
                <w:b w:val="1"/>
                <w:bCs w:val="1"/>
                <w:color w:val="auto"/>
              </w:rPr>
              <w:t>September 30,</w:t>
            </w:r>
          </w:p>
        </w:tc>
      </w:tr>
      <w:tr>
        <w:trPr>
          <w:trHeight w:val="142"/>
        </w:trPr>
        <w:tc>
          <w:tcPr>
            <w:tcW w:w="4340" w:type="dxa"/>
            <w:vAlign w:val="bottom"/>
            <w:tcBorders>
              <w:bottom w:val="single" w:sz="8" w:color="CCEEFF"/>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79"/>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Borders>
              <w:top w:val="single" w:sz="8" w:color="auto"/>
              <w:bottom w:val="single" w:sz="8" w:color="CCEEFF"/>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2017</w:t>
            </w:r>
          </w:p>
        </w:tc>
        <w:tc>
          <w:tcPr>
            <w:tcW w:w="140" w:type="dxa"/>
            <w:vAlign w:val="bottom"/>
            <w:tcBorders>
              <w:bottom w:val="single" w:sz="8" w:color="CCEEFF"/>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79"/>
              <w:spacing w:after="0" w:line="142" w:lineRule="exact"/>
              <w:rPr>
                <w:sz w:val="20"/>
                <w:szCs w:val="20"/>
                <w:color w:val="auto"/>
              </w:rPr>
            </w:pPr>
            <w:r>
              <w:rPr>
                <w:rFonts w:ascii="Arial" w:cs="Arial" w:eastAsia="Arial" w:hAnsi="Arial"/>
                <w:sz w:val="14"/>
                <w:szCs w:val="14"/>
                <w:b w:val="1"/>
                <w:bCs w:val="1"/>
                <w:color w:val="auto"/>
              </w:rPr>
              <w:t>2018</w:t>
            </w:r>
          </w:p>
        </w:tc>
        <w:tc>
          <w:tcPr>
            <w:tcW w:w="140" w:type="dxa"/>
            <w:vAlign w:val="bottom"/>
            <w:tcBorders>
              <w:top w:val="single" w:sz="8" w:color="auto"/>
              <w:bottom w:val="single" w:sz="8" w:color="CCEEFF"/>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2017</w:t>
            </w:r>
          </w:p>
        </w:tc>
      </w:tr>
      <w:tr>
        <w:trPr>
          <w:trHeight w:val="210"/>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outstanding - basic</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51,325</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51,191</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51,281</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51,131</w:t>
            </w:r>
          </w:p>
        </w:tc>
      </w:tr>
      <w:tr>
        <w:trPr>
          <w:trHeight w:val="216"/>
        </w:trPr>
        <w:tc>
          <w:tcPr>
            <w:tcW w:w="43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Effect of dilutive stock-based compensation</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w:t>
            </w:r>
          </w:p>
        </w:tc>
        <w:tc>
          <w:tcPr>
            <w:tcW w:w="16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w:t>
            </w:r>
          </w:p>
        </w:tc>
        <w:tc>
          <w:tcPr>
            <w:tcW w:w="140" w:type="dxa"/>
            <w:vAlign w:val="bottom"/>
            <w:tcBorders>
              <w:bottom w:val="single" w:sz="8" w:color="CCEEFF"/>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w:t>
            </w:r>
          </w:p>
        </w:tc>
        <w:tc>
          <w:tcPr>
            <w:tcW w:w="140" w:type="dxa"/>
            <w:vAlign w:val="bottom"/>
            <w:tcBorders>
              <w:bottom w:val="single" w:sz="8" w:color="CCEEFF"/>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w:t>
            </w:r>
          </w:p>
        </w:tc>
      </w:tr>
      <w:tr>
        <w:trPr>
          <w:trHeight w:val="217"/>
        </w:trPr>
        <w:tc>
          <w:tcPr>
            <w:tcW w:w="4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Weighted average shares outstanding - diluted</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51,519</w:t>
            </w:r>
          </w:p>
        </w:tc>
        <w:tc>
          <w:tcPr>
            <w:tcW w:w="16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51,376</w:t>
            </w:r>
          </w:p>
        </w:tc>
        <w:tc>
          <w:tcPr>
            <w:tcW w:w="14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51,476</w:t>
            </w:r>
          </w:p>
        </w:tc>
        <w:tc>
          <w:tcPr>
            <w:tcW w:w="14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51,331</w:t>
            </w: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ACCUMULATED OTHER COMPREHENSIVE LOSS:</w:t>
      </w:r>
    </w:p>
    <w:p>
      <w:pPr>
        <w:spacing w:after="0" w:line="189" w:lineRule="exact"/>
        <w:rPr>
          <w:sz w:val="20"/>
          <w:szCs w:val="20"/>
          <w:color w:val="auto"/>
        </w:rPr>
      </w:pPr>
    </w:p>
    <w:p>
      <w:pPr>
        <w:ind w:right="39"/>
        <w:spacing w:after="0" w:line="279" w:lineRule="auto"/>
        <w:rPr>
          <w:sz w:val="20"/>
          <w:szCs w:val="20"/>
          <w:color w:val="auto"/>
        </w:rPr>
      </w:pPr>
      <w:r>
        <w:rPr>
          <w:rFonts w:ascii="Arial" w:cs="Arial" w:eastAsia="Arial" w:hAnsi="Arial"/>
          <w:sz w:val="17"/>
          <w:szCs w:val="17"/>
          <w:color w:val="auto"/>
        </w:rPr>
        <w:t>The Company’s balance in accumulated other comprehensive loss is comprised of amounts related to the Company’s minimum pension liability and amounts related to an other-than-temporary impairment of a held-to-maturity investment with respect to the notes receivable discussed in Note 6, “Notes Receivable,” to the condensed consolidated financial statements included herein, and Note 3, “Notes Receivable,” to the consolidated financial statements included in the</w:t>
      </w:r>
    </w:p>
    <w:p>
      <w:pPr>
        <w:spacing w:after="0" w:line="38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sectPr>
      </w:pPr>
    </w:p>
    <w:bookmarkStart w:id="9" w:name="page10"/>
    <w:bookmarkEnd w:id="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280"/>
        <w:spacing w:after="0" w:line="221" w:lineRule="exact"/>
        <w:rPr>
          <w:sz w:val="20"/>
          <w:szCs w:val="20"/>
          <w:color w:val="auto"/>
        </w:rPr>
      </w:pPr>
      <w:r>
        <w:rPr>
          <w:rFonts w:ascii="Arial" w:cs="Arial" w:eastAsia="Arial" w:hAnsi="Arial"/>
          <w:sz w:val="18"/>
          <w:szCs w:val="18"/>
          <w:color w:val="auto"/>
        </w:rPr>
        <w:t>Company’s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for the year ended December 31, 2017. Changes in accumulated other comprehensive loss by component for the nine months ended September 30, 2018 and 2017 consisted of the following (in thousands):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rPr>
              <w:t>Minimum</w:t>
            </w:r>
          </w:p>
        </w:tc>
        <w:tc>
          <w:tcPr>
            <w:tcW w:w="106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7"/>
              </w:rPr>
              <w:t>Other-Than-</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Temporary</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4"/>
              </w:rPr>
              <w:t>Pension</w:t>
            </w:r>
          </w:p>
        </w:tc>
        <w:tc>
          <w:tcPr>
            <w:tcW w:w="106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7"/>
              </w:rPr>
              <w:t>Impairment of</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vMerge w:val="restart"/>
          </w:tcPr>
          <w:p>
            <w:pPr>
              <w:jc w:val="right"/>
              <w:ind w:right="23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5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Liability</w:t>
            </w:r>
          </w:p>
        </w:tc>
        <w:tc>
          <w:tcPr>
            <w:tcW w:w="120" w:type="dxa"/>
            <w:vAlign w:val="bottom"/>
          </w:tcPr>
          <w:p>
            <w:pPr>
              <w:spacing w:after="0"/>
              <w:rPr>
                <w:sz w:val="14"/>
                <w:szCs w:val="14"/>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Investment</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December 31, 2017</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(20,149)</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(6,543)</w:t>
            </w: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(26,692)</w:t>
            </w:r>
          </w:p>
        </w:tc>
        <w:tc>
          <w:tcPr>
            <w:tcW w:w="0" w:type="dxa"/>
            <w:vAlign w:val="bottom"/>
          </w:tcPr>
          <w:p>
            <w:pPr>
              <w:spacing w:after="0"/>
              <w:rPr>
                <w:sz w:val="1"/>
                <w:szCs w:val="1"/>
                <w:color w:val="auto"/>
              </w:rPr>
            </w:pP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Amounts reclassified from accumulated other comprehensive loss</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4,429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249</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4,678</w:t>
            </w: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(1,077)</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(1,077)</w:t>
            </w:r>
          </w:p>
        </w:tc>
        <w:tc>
          <w:tcPr>
            <w:tcW w:w="0" w:type="dxa"/>
            <w:vAlign w:val="bottom"/>
          </w:tcPr>
          <w:p>
            <w:pPr>
              <w:spacing w:after="0"/>
              <w:rPr>
                <w:sz w:val="1"/>
                <w:szCs w:val="1"/>
                <w:color w:val="auto"/>
              </w:rPr>
            </w:pPr>
          </w:p>
        </w:tc>
      </w:tr>
      <w:tr>
        <w:trPr>
          <w:trHeight w:val="210"/>
        </w:trPr>
        <w:tc>
          <w:tcPr>
            <w:tcW w:w="58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other comprehensive income</w:t>
            </w:r>
          </w:p>
        </w:tc>
        <w:tc>
          <w:tcPr>
            <w:tcW w:w="14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3,352</w:t>
            </w:r>
          </w:p>
        </w:tc>
        <w:tc>
          <w:tcPr>
            <w:tcW w:w="18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249</w:t>
            </w:r>
          </w:p>
        </w:tc>
        <w:tc>
          <w:tcPr>
            <w:tcW w:w="10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3,601</w:t>
            </w:r>
          </w:p>
        </w:tc>
        <w:tc>
          <w:tcPr>
            <w:tcW w:w="0" w:type="dxa"/>
            <w:vAlign w:val="bottom"/>
          </w:tcPr>
          <w:p>
            <w:pPr>
              <w:spacing w:after="0"/>
              <w:rPr>
                <w:sz w:val="1"/>
                <w:szCs w:val="1"/>
                <w:color w:val="auto"/>
              </w:rPr>
            </w:pPr>
          </w:p>
        </w:tc>
      </w:tr>
      <w:tr>
        <w:trPr>
          <w:trHeight w:val="217"/>
        </w:trPr>
        <w:tc>
          <w:tcPr>
            <w:tcW w:w="5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September 30, 2018</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(16,797)</w:t>
            </w:r>
          </w:p>
        </w:tc>
        <w:tc>
          <w:tcPr>
            <w:tcW w:w="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(6,294)</w:t>
            </w:r>
          </w:p>
        </w:tc>
        <w:tc>
          <w:tcPr>
            <w:tcW w:w="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(23,091)</w:t>
            </w:r>
          </w:p>
        </w:tc>
        <w:tc>
          <w:tcPr>
            <w:tcW w:w="0" w:type="dxa"/>
            <w:vAlign w:val="bottom"/>
          </w:tcPr>
          <w:p>
            <w:pPr>
              <w:spacing w:after="0"/>
              <w:rPr>
                <w:sz w:val="1"/>
                <w:szCs w:val="1"/>
                <w:color w:val="auto"/>
              </w:rPr>
            </w:pPr>
          </w:p>
        </w:tc>
      </w:tr>
      <w:tr>
        <w:trPr>
          <w:trHeight w:val="355"/>
        </w:trPr>
        <w:tc>
          <w:tcPr>
            <w:tcW w:w="5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rPr>
              <w:t>Minimum</w:t>
            </w:r>
          </w:p>
        </w:tc>
        <w:tc>
          <w:tcPr>
            <w:tcW w:w="106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7"/>
              </w:rPr>
              <w:t>Other-Than-</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5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Temporary</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4"/>
              </w:rPr>
              <w:t>Pension</w:t>
            </w:r>
          </w:p>
        </w:tc>
        <w:tc>
          <w:tcPr>
            <w:tcW w:w="106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7"/>
              </w:rPr>
              <w:t>Impairment of</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vMerge w:val="restart"/>
          </w:tcPr>
          <w:p>
            <w:pPr>
              <w:jc w:val="right"/>
              <w:ind w:right="23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5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Liability</w:t>
            </w:r>
          </w:p>
        </w:tc>
        <w:tc>
          <w:tcPr>
            <w:tcW w:w="120" w:type="dxa"/>
            <w:vAlign w:val="bottom"/>
          </w:tcPr>
          <w:p>
            <w:pPr>
              <w:spacing w:after="0"/>
              <w:rPr>
                <w:sz w:val="14"/>
                <w:szCs w:val="14"/>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Investment</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December 31, 2016</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(22,268)</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(22,268)</w:t>
            </w:r>
          </w:p>
        </w:tc>
        <w:tc>
          <w:tcPr>
            <w:tcW w:w="0" w:type="dxa"/>
            <w:vAlign w:val="bottom"/>
          </w:tcPr>
          <w:p>
            <w:pPr>
              <w:spacing w:after="0"/>
              <w:rPr>
                <w:sz w:val="1"/>
                <w:szCs w:val="1"/>
                <w:color w:val="auto"/>
              </w:rPr>
            </w:pP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Amounts reclassified from accumulated other comprehensive loss</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1,609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1,609</w:t>
            </w: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58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other comprehensive income</w:t>
            </w:r>
          </w:p>
        </w:tc>
        <w:tc>
          <w:tcPr>
            <w:tcW w:w="14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1,609</w:t>
            </w:r>
          </w:p>
        </w:tc>
        <w:tc>
          <w:tcPr>
            <w:tcW w:w="18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1,609</w:t>
            </w:r>
          </w:p>
        </w:tc>
        <w:tc>
          <w:tcPr>
            <w:tcW w:w="0" w:type="dxa"/>
            <w:vAlign w:val="bottom"/>
          </w:tcPr>
          <w:p>
            <w:pPr>
              <w:spacing w:after="0"/>
              <w:rPr>
                <w:sz w:val="1"/>
                <w:szCs w:val="1"/>
                <w:color w:val="auto"/>
              </w:rPr>
            </w:pPr>
          </w:p>
        </w:tc>
      </w:tr>
      <w:tr>
        <w:trPr>
          <w:trHeight w:val="217"/>
        </w:trPr>
        <w:tc>
          <w:tcPr>
            <w:tcW w:w="5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September 30, 2017</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(20,659)</w:t>
            </w:r>
          </w:p>
        </w:tc>
        <w:tc>
          <w:tcPr>
            <w:tcW w:w="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(20,659)</w:t>
            </w:r>
          </w:p>
        </w:tc>
        <w:tc>
          <w:tcPr>
            <w:tcW w:w="0" w:type="dxa"/>
            <w:vAlign w:val="bottom"/>
          </w:tcPr>
          <w:p>
            <w:pPr>
              <w:spacing w:after="0"/>
              <w:rPr>
                <w:sz w:val="1"/>
                <w:szCs w:val="1"/>
                <w:color w:val="auto"/>
              </w:rPr>
            </w:pPr>
          </w:p>
        </w:tc>
      </w:tr>
    </w:tbl>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PROPERTY AND EQUIPMENT:</w:t>
      </w:r>
    </w:p>
    <w:p>
      <w:pPr>
        <w:spacing w:after="0" w:line="189" w:lineRule="exact"/>
        <w:rPr>
          <w:sz w:val="20"/>
          <w:szCs w:val="20"/>
          <w:color w:val="auto"/>
        </w:rPr>
      </w:pPr>
    </w:p>
    <w:p>
      <w:pPr>
        <w:jc w:val="both"/>
        <w:ind w:right="300"/>
        <w:spacing w:after="0" w:line="277" w:lineRule="auto"/>
        <w:rPr>
          <w:sz w:val="20"/>
          <w:szCs w:val="20"/>
          <w:color w:val="auto"/>
        </w:rPr>
      </w:pPr>
      <w:r>
        <w:rPr>
          <w:rFonts w:ascii="Arial" w:cs="Arial" w:eastAsia="Arial" w:hAnsi="Arial"/>
          <w:sz w:val="18"/>
          <w:szCs w:val="18"/>
          <w:color w:val="auto"/>
        </w:rPr>
        <w:t>Property and equipment at September 30, 2018 and December 31, 2017 is recorded at cost and summarized as follows (in thousands):</w:t>
      </w:r>
    </w:p>
    <w:p>
      <w:pPr>
        <w:spacing w:after="0" w:line="123"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060" w:type="dxa"/>
            <w:vAlign w:val="bottom"/>
          </w:tcPr>
          <w:p>
            <w:pPr>
              <w:spacing w:after="0"/>
              <w:rPr>
                <w:sz w:val="14"/>
                <w:szCs w:val="14"/>
                <w:color w:val="auto"/>
              </w:rPr>
            </w:pPr>
          </w:p>
        </w:tc>
        <w:tc>
          <w:tcPr>
            <w:tcW w:w="1000" w:type="dxa"/>
            <w:vAlign w:val="bottom"/>
            <w:gridSpan w:val="2"/>
          </w:tcPr>
          <w:p>
            <w:pPr>
              <w:jc w:val="right"/>
              <w:spacing w:after="0"/>
              <w:rPr>
                <w:sz w:val="20"/>
                <w:szCs w:val="20"/>
                <w:color w:val="auto"/>
              </w:rPr>
            </w:pPr>
            <w:r>
              <w:rPr>
                <w:rFonts w:ascii="Arial" w:cs="Arial" w:eastAsia="Arial" w:hAnsi="Arial"/>
                <w:sz w:val="14"/>
                <w:szCs w:val="14"/>
                <w:b w:val="1"/>
                <w:bCs w:val="1"/>
                <w:color w:val="auto"/>
                <w:w w:val="93"/>
              </w:rPr>
              <w:t>September 30,</w:t>
            </w:r>
          </w:p>
        </w:tc>
        <w:tc>
          <w:tcPr>
            <w:tcW w:w="160" w:type="dxa"/>
            <w:vAlign w:val="bottom"/>
          </w:tcPr>
          <w:p>
            <w:pPr>
              <w:spacing w:after="0"/>
              <w:rPr>
                <w:sz w:val="14"/>
                <w:szCs w:val="14"/>
                <w:color w:val="auto"/>
              </w:rPr>
            </w:pPr>
          </w:p>
        </w:tc>
        <w:tc>
          <w:tcPr>
            <w:tcW w:w="1020" w:type="dxa"/>
            <w:vAlign w:val="bottom"/>
            <w:gridSpan w:val="2"/>
          </w:tcPr>
          <w:p>
            <w:pPr>
              <w:jc w:val="right"/>
              <w:ind w:right="32"/>
              <w:spacing w:after="0"/>
              <w:rPr>
                <w:sz w:val="20"/>
                <w:szCs w:val="20"/>
                <w:color w:val="auto"/>
              </w:rPr>
            </w:pPr>
            <w:r>
              <w:rPr>
                <w:rFonts w:ascii="Arial" w:cs="Arial" w:eastAsia="Arial" w:hAnsi="Arial"/>
                <w:sz w:val="14"/>
                <w:szCs w:val="14"/>
                <w:b w:val="1"/>
                <w:bCs w:val="1"/>
                <w:color w:val="auto"/>
                <w:w w:val="96"/>
              </w:rPr>
              <w:t>December 31,</w:t>
            </w:r>
          </w:p>
        </w:tc>
      </w:tr>
      <w:tr>
        <w:trPr>
          <w:trHeight w:val="171"/>
        </w:trPr>
        <w:tc>
          <w:tcPr>
            <w:tcW w:w="50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2018</w:t>
            </w:r>
          </w:p>
        </w:tc>
        <w:tc>
          <w:tcPr>
            <w:tcW w:w="1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2017</w:t>
            </w:r>
          </w:p>
        </w:tc>
      </w:tr>
      <w:tr>
        <w:trPr>
          <w:trHeight w:val="210"/>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Land and land improvements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268,521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267,051</w:t>
            </w: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Buildings</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9"/>
              </w:rPr>
              <w:t>2,556,311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2,440,471</w:t>
            </w:r>
          </w:p>
        </w:tc>
      </w:tr>
      <w:tr>
        <w:trPr>
          <w:trHeight w:val="216"/>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Furniture, fixtures and equipment</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715,507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647,988</w:t>
            </w:r>
          </w:p>
        </w:tc>
      </w:tr>
      <w:tr>
        <w:trPr>
          <w:trHeight w:val="216"/>
        </w:trPr>
        <w:tc>
          <w:tcPr>
            <w:tcW w:w="50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Construction-in-progress</w:t>
            </w: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99,887</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138,702</w:t>
            </w:r>
          </w:p>
        </w:tc>
      </w:tr>
      <w:tr>
        <w:trPr>
          <w:trHeight w:val="210"/>
        </w:trPr>
        <w:tc>
          <w:tcPr>
            <w:tcW w:w="5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3,640,226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3,494,212</w:t>
            </w:r>
          </w:p>
        </w:tc>
      </w:tr>
      <w:tr>
        <w:trPr>
          <w:trHeight w:val="216"/>
        </w:trPr>
        <w:tc>
          <w:tcPr>
            <w:tcW w:w="50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Accumulated depreciation</w:t>
            </w: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(1,513,462)</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(1,428,555)</w:t>
            </w:r>
          </w:p>
        </w:tc>
      </w:tr>
      <w:tr>
        <w:trPr>
          <w:trHeight w:val="217"/>
        </w:trPr>
        <w:tc>
          <w:tcPr>
            <w:tcW w:w="5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2,126,764</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2,065,657</w:t>
            </w: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NOTES RECEIVABLE:</w:t>
      </w:r>
    </w:p>
    <w:p>
      <w:pPr>
        <w:spacing w:after="0" w:line="202" w:lineRule="exact"/>
        <w:rPr>
          <w:sz w:val="20"/>
          <w:szCs w:val="20"/>
          <w:color w:val="auto"/>
        </w:rPr>
      </w:pPr>
    </w:p>
    <w:p>
      <w:pPr>
        <w:ind w:right="40"/>
        <w:spacing w:after="0" w:line="219" w:lineRule="exact"/>
        <w:rPr>
          <w:sz w:val="20"/>
          <w:szCs w:val="20"/>
          <w:color w:val="auto"/>
        </w:rPr>
      </w:pPr>
      <w:r>
        <w:rPr>
          <w:rFonts w:ascii="Arial" w:cs="Arial" w:eastAsia="Arial" w:hAnsi="Arial"/>
          <w:sz w:val="17"/>
          <w:szCs w:val="17"/>
          <w:color w:val="auto"/>
        </w:rPr>
        <w:t>As further discussed in the Company’s Annual Report on Form 10</w:t>
      </w:r>
      <w:r>
        <w:rPr>
          <w:rFonts w:ascii="MS PGothic" w:cs="MS PGothic" w:eastAsia="MS PGothic" w:hAnsi="MS PGothic"/>
          <w:sz w:val="17"/>
          <w:szCs w:val="17"/>
          <w:color w:val="auto"/>
        </w:rPr>
        <w:t>‑</w:t>
      </w:r>
      <w:r>
        <w:rPr>
          <w:rFonts w:ascii="Arial" w:cs="Arial" w:eastAsia="Arial" w:hAnsi="Arial"/>
          <w:sz w:val="17"/>
          <w:szCs w:val="17"/>
          <w:color w:val="auto"/>
        </w:rPr>
        <w:t>K for the year ended December 31, 2017, in connection with the development of Gaylord National, the Company is currently holding two issuances of governmental bonds and receives debt service and principle payments thereon, payable from property tax increments, hotel taxes and special hotel rental taxes generated from Gaylord National through the maturity dates of July 1, 2034 and September 1, 2037, respectively. The Company records interest income over the life of the notes using the effective interest method.</w:t>
      </w:r>
    </w:p>
    <w:p>
      <w:pPr>
        <w:spacing w:after="0" w:line="165"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During the three months ended September 30, 2018 and 2017, the Company recorded interest income of $2.6 million and $2.9 million, respectively, on these bonds. During the nine months ended September 30, 2018 and 2017, the Company recorded interest income of $7.9 million and $8.7 million, respectively, on these bonds. The Company received payments of $10.9 million and $11.1 million during the nine months ended September 30, 2018 and 2017, respectively, relating to these notes receivable.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0" w:name="page11"/>
    <w:bookmarkEnd w:id="1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DEBT:</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color w:val="auto"/>
        </w:rPr>
        <w:t>The Company’s debt and capital lease obligations at September 30, 2018 and December 31, 2017 consisted of (in thousands):</w:t>
      </w:r>
    </w:p>
    <w:p>
      <w:pPr>
        <w:spacing w:after="0" w:line="214" w:lineRule="exact"/>
        <w:rPr>
          <w:sz w:val="20"/>
          <w:szCs w:val="20"/>
          <w:color w:val="auto"/>
        </w:rPr>
      </w:pPr>
    </w:p>
    <w:tbl>
      <w:tblPr>
        <w:tblLayout w:type="fixed"/>
        <w:tblInd w:w="280" w:type="dxa"/>
        <w:tblCellMar>
          <w:top w:w="0" w:type="dxa"/>
          <w:left w:w="0" w:type="dxa"/>
          <w:bottom w:w="0" w:type="dxa"/>
          <w:right w:w="0" w:type="dxa"/>
        </w:tblCellMar>
      </w:tblPr>
      <w:tr>
        <w:trPr>
          <w:trHeight w:val="161"/>
        </w:trPr>
        <w:tc>
          <w:tcPr>
            <w:tcW w:w="6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tcPr>
          <w:p>
            <w:pPr>
              <w:jc w:val="right"/>
              <w:spacing w:after="0"/>
              <w:rPr>
                <w:sz w:val="20"/>
                <w:szCs w:val="20"/>
                <w:color w:val="auto"/>
              </w:rPr>
            </w:pPr>
            <w:r>
              <w:rPr>
                <w:rFonts w:ascii="Arial" w:cs="Arial" w:eastAsia="Arial" w:hAnsi="Arial"/>
                <w:sz w:val="14"/>
                <w:szCs w:val="14"/>
                <w:b w:val="1"/>
                <w:bCs w:val="1"/>
                <w:color w:val="auto"/>
                <w:w w:val="93"/>
              </w:rPr>
              <w:t>September 30,</w:t>
            </w:r>
          </w:p>
        </w:tc>
        <w:tc>
          <w:tcPr>
            <w:tcW w:w="140" w:type="dxa"/>
            <w:vAlign w:val="bottom"/>
          </w:tcPr>
          <w:p>
            <w:pPr>
              <w:spacing w:after="0"/>
              <w:rPr>
                <w:sz w:val="14"/>
                <w:szCs w:val="14"/>
                <w:color w:val="auto"/>
              </w:rPr>
            </w:pPr>
          </w:p>
        </w:tc>
        <w:tc>
          <w:tcPr>
            <w:tcW w:w="940" w:type="dxa"/>
            <w:vAlign w:val="bottom"/>
            <w:gridSpan w:val="2"/>
          </w:tcPr>
          <w:p>
            <w:pPr>
              <w:jc w:val="right"/>
              <w:spacing w:after="0"/>
              <w:rPr>
                <w:sz w:val="20"/>
                <w:szCs w:val="20"/>
                <w:color w:val="auto"/>
              </w:rPr>
            </w:pPr>
            <w:r>
              <w:rPr>
                <w:rFonts w:ascii="Arial" w:cs="Arial" w:eastAsia="Arial" w:hAnsi="Arial"/>
                <w:sz w:val="14"/>
                <w:szCs w:val="14"/>
                <w:b w:val="1"/>
                <w:bCs w:val="1"/>
                <w:color w:val="auto"/>
                <w:w w:val="92"/>
              </w:rPr>
              <w:t>December 31,</w:t>
            </w:r>
          </w:p>
        </w:tc>
      </w:tr>
      <w:tr>
        <w:trPr>
          <w:trHeight w:val="171"/>
        </w:trPr>
        <w:tc>
          <w:tcPr>
            <w:tcW w:w="630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2018</w:t>
            </w:r>
          </w:p>
        </w:tc>
        <w:tc>
          <w:tcPr>
            <w:tcW w:w="1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2017</w:t>
            </w:r>
          </w:p>
        </w:tc>
      </w:tr>
      <w:tr>
        <w:trPr>
          <w:trHeight w:val="182"/>
        </w:trPr>
        <w:tc>
          <w:tcPr>
            <w:tcW w:w="630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w w:val="95"/>
              </w:rPr>
              <w:t>$700 Million Revolving Credit Facility, interest at LIBOR plus 1.55%, maturing May</w:t>
            </w: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r>
      <w:tr>
        <w:trPr>
          <w:trHeight w:val="230"/>
        </w:trPr>
        <w:tc>
          <w:tcPr>
            <w:tcW w:w="63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23, 2021, less unamortized deferred financing costs of $7,185 and $9,076</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262,815</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161,924</w:t>
            </w:r>
          </w:p>
        </w:tc>
      </w:tr>
      <w:tr>
        <w:trPr>
          <w:trHeight w:val="202"/>
        </w:trPr>
        <w:tc>
          <w:tcPr>
            <w:tcW w:w="6300" w:type="dxa"/>
            <w:vAlign w:val="bottom"/>
          </w:tcPr>
          <w:p>
            <w:pPr>
              <w:spacing w:after="0" w:line="201" w:lineRule="exact"/>
              <w:rPr>
                <w:sz w:val="20"/>
                <w:szCs w:val="20"/>
                <w:color w:val="auto"/>
              </w:rPr>
            </w:pPr>
            <w:r>
              <w:rPr>
                <w:rFonts w:ascii="Arial" w:cs="Arial" w:eastAsia="Arial" w:hAnsi="Arial"/>
                <w:sz w:val="18"/>
                <w:szCs w:val="18"/>
                <w:color w:val="auto"/>
                <w:w w:val="97"/>
              </w:rPr>
              <w:t>$200 Million Term Loan A, interest at LIBOR plus 1.50%, maturing May 23, 2022,</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30"/>
        </w:trPr>
        <w:tc>
          <w:tcPr>
            <w:tcW w:w="6300" w:type="dxa"/>
            <w:vAlign w:val="bottom"/>
          </w:tcPr>
          <w:p>
            <w:pPr>
              <w:ind w:left="120"/>
              <w:spacing w:after="0"/>
              <w:rPr>
                <w:sz w:val="20"/>
                <w:szCs w:val="20"/>
                <w:color w:val="auto"/>
              </w:rPr>
            </w:pPr>
            <w:r>
              <w:rPr>
                <w:rFonts w:ascii="Arial" w:cs="Arial" w:eastAsia="Arial" w:hAnsi="Arial"/>
                <w:sz w:val="18"/>
                <w:szCs w:val="18"/>
                <w:color w:val="auto"/>
              </w:rPr>
              <w:t>less unamortized deferred financing costs of $1,305 and $1,557</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198,695</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198,443</w:t>
            </w:r>
          </w:p>
        </w:tc>
      </w:tr>
      <w:tr>
        <w:trPr>
          <w:trHeight w:val="202"/>
        </w:trPr>
        <w:tc>
          <w:tcPr>
            <w:tcW w:w="63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$500 Million Term Loan B, interest at LIBOR plus 2.00%, maturing May 11, 2024,</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r>
      <w:tr>
        <w:trPr>
          <w:trHeight w:val="230"/>
        </w:trPr>
        <w:tc>
          <w:tcPr>
            <w:tcW w:w="63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less unamortized deferred financing costs of $5,527 and $7,595</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488,223</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488,655</w:t>
            </w:r>
          </w:p>
        </w:tc>
      </w:tr>
      <w:tr>
        <w:trPr>
          <w:trHeight w:val="202"/>
        </w:trPr>
        <w:tc>
          <w:tcPr>
            <w:tcW w:w="6300" w:type="dxa"/>
            <w:vAlign w:val="bottom"/>
          </w:tcPr>
          <w:p>
            <w:pPr>
              <w:spacing w:after="0" w:line="201" w:lineRule="exact"/>
              <w:rPr>
                <w:sz w:val="20"/>
                <w:szCs w:val="20"/>
                <w:color w:val="auto"/>
              </w:rPr>
            </w:pPr>
            <w:r>
              <w:rPr>
                <w:rFonts w:ascii="Arial" w:cs="Arial" w:eastAsia="Arial" w:hAnsi="Arial"/>
                <w:sz w:val="18"/>
                <w:szCs w:val="18"/>
                <w:color w:val="auto"/>
              </w:rPr>
              <w:t>$350 Million Senior Notes, interest at 5.0%, maturing April 15, 2021, less</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30"/>
        </w:trPr>
        <w:tc>
          <w:tcPr>
            <w:tcW w:w="6300" w:type="dxa"/>
            <w:vAlign w:val="bottom"/>
          </w:tcPr>
          <w:p>
            <w:pPr>
              <w:ind w:left="120"/>
              <w:spacing w:after="0"/>
              <w:rPr>
                <w:sz w:val="20"/>
                <w:szCs w:val="20"/>
                <w:color w:val="auto"/>
              </w:rPr>
            </w:pPr>
            <w:r>
              <w:rPr>
                <w:rFonts w:ascii="Arial" w:cs="Arial" w:eastAsia="Arial" w:hAnsi="Arial"/>
                <w:sz w:val="18"/>
                <w:szCs w:val="18"/>
                <w:color w:val="auto"/>
              </w:rPr>
              <w:t>unamortized deferred financing costs of $2,624 and $3,340</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347,376</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346,660</w:t>
            </w:r>
          </w:p>
        </w:tc>
      </w:tr>
      <w:tr>
        <w:trPr>
          <w:trHeight w:val="202"/>
        </w:trPr>
        <w:tc>
          <w:tcPr>
            <w:tcW w:w="63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$400 Million Senior Notes, interest at 5.0%, maturing April 15, 2023, less</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r>
      <w:tr>
        <w:trPr>
          <w:trHeight w:val="230"/>
        </w:trPr>
        <w:tc>
          <w:tcPr>
            <w:tcW w:w="63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unamortized deferred financing costs of $4,305 and $4,929</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395,695</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395,071</w:t>
            </w:r>
          </w:p>
        </w:tc>
      </w:tr>
      <w:tr>
        <w:trPr>
          <w:trHeight w:val="216"/>
        </w:trPr>
        <w:tc>
          <w:tcPr>
            <w:tcW w:w="63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Capital lease obligations</w:t>
            </w: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623</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639</w:t>
            </w:r>
          </w:p>
        </w:tc>
      </w:tr>
      <w:tr>
        <w:trPr>
          <w:trHeight w:val="217"/>
        </w:trPr>
        <w:tc>
          <w:tcPr>
            <w:tcW w:w="63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Total debt</w:t>
            </w:r>
          </w:p>
        </w:tc>
        <w:tc>
          <w:tcPr>
            <w:tcW w:w="1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1,693,427</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1,591,392</w:t>
            </w:r>
          </w:p>
        </w:tc>
      </w:tr>
    </w:tbl>
    <w:p>
      <w:pPr>
        <w:spacing w:after="0" w:line="202" w:lineRule="exact"/>
        <w:rPr>
          <w:sz w:val="20"/>
          <w:szCs w:val="20"/>
          <w:color w:val="auto"/>
        </w:rPr>
      </w:pPr>
    </w:p>
    <w:p>
      <w:pPr>
        <w:ind w:right="100"/>
        <w:spacing w:after="0" w:line="221" w:lineRule="exact"/>
        <w:rPr>
          <w:sz w:val="20"/>
          <w:szCs w:val="20"/>
          <w:color w:val="auto"/>
        </w:rPr>
      </w:pPr>
      <w:r>
        <w:rPr>
          <w:rFonts w:ascii="Arial" w:cs="Arial" w:eastAsia="Arial" w:hAnsi="Arial"/>
          <w:sz w:val="18"/>
          <w:szCs w:val="18"/>
          <w:color w:val="auto"/>
        </w:rPr>
        <w:t>The majority of amounts due within one year consist of the amortization payments for the $500 million term loan B of 1.0% of the original principal balance, as described in the Company’s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for the year ended December 31, 2017.</w:t>
      </w:r>
    </w:p>
    <w:p>
      <w:pPr>
        <w:spacing w:after="0" w:line="161" w:lineRule="exact"/>
        <w:rPr>
          <w:sz w:val="20"/>
          <w:szCs w:val="20"/>
          <w:color w:val="auto"/>
        </w:rPr>
      </w:pPr>
    </w:p>
    <w:p>
      <w:pPr>
        <w:ind w:right="960"/>
        <w:spacing w:after="0" w:line="461" w:lineRule="auto"/>
        <w:rPr>
          <w:sz w:val="20"/>
          <w:szCs w:val="20"/>
          <w:color w:val="auto"/>
        </w:rPr>
      </w:pPr>
      <w:r>
        <w:rPr>
          <w:rFonts w:ascii="Arial" w:cs="Arial" w:eastAsia="Arial" w:hAnsi="Arial"/>
          <w:sz w:val="18"/>
          <w:szCs w:val="18"/>
          <w:color w:val="auto"/>
        </w:rPr>
        <w:t xml:space="preserve">At September 30, 2018, the Company was in compliance with all of its covenants related to its outstanding debt. </w:t>
      </w:r>
      <w:r>
        <w:rPr>
          <w:rFonts w:ascii="Arial" w:cs="Arial" w:eastAsia="Arial" w:hAnsi="Arial"/>
          <w:sz w:val="18"/>
          <w:szCs w:val="18"/>
          <w:b w:val="1"/>
          <w:bCs w:val="1"/>
          <w:i w:val="1"/>
          <w:iCs w:val="1"/>
          <w:color w:val="auto"/>
        </w:rPr>
        <w:t>$500 Million Term Loan B</w:t>
      </w:r>
    </w:p>
    <w:p>
      <w:pPr>
        <w:spacing w:after="0" w:line="2"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On June 26, 2018, the Company entered into an Amendment No. 2 (the “Amendment”) to the Company’s Fifth Amended and Restated Credit Agreement (as amended, the “Credit Agreement”). The Amendment reduces the applicable interest rate margins for borrowings under the term loan B to, at the Company’s option, either (i) LIBOR plus 2.00% or (ii) a base rate as set in the Credit Agreement. In addition, the Amendment extends the date of commencement of any excess cash flow payments by one year to December 31, 2019. The Amendment did not change the maturity dates existing under the Credit Agreement or result in any increase or decrease in outstanding borrowings.</w:t>
      </w:r>
    </w:p>
    <w:p>
      <w:pPr>
        <w:spacing w:after="0" w:line="138"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As a result of the repricing of the term loan B, the Company wrote off $2.0 million of deferred financing costs during the nine months ended September 30, 2018, which is included in interest expense in the accompanying condensed consolidated statement of operations.</w:t>
      </w:r>
    </w:p>
    <w:p>
      <w:pPr>
        <w:spacing w:after="0" w:line="141" w:lineRule="exact"/>
        <w:rPr>
          <w:sz w:val="20"/>
          <w:szCs w:val="20"/>
          <w:color w:val="auto"/>
        </w:rPr>
      </w:pPr>
    </w:p>
    <w:p>
      <w:pPr>
        <w:ind w:right="280"/>
        <w:spacing w:after="0" w:line="221" w:lineRule="exact"/>
        <w:rPr>
          <w:sz w:val="20"/>
          <w:szCs w:val="20"/>
          <w:color w:val="auto"/>
        </w:rPr>
      </w:pPr>
      <w:r>
        <w:rPr>
          <w:rFonts w:ascii="Arial" w:cs="Arial" w:eastAsia="Arial" w:hAnsi="Arial"/>
          <w:sz w:val="18"/>
          <w:szCs w:val="18"/>
          <w:color w:val="auto"/>
        </w:rPr>
        <w:t>For descriptions of the Company’s other outstanding debt obligations, see “Principal Debt Agreements” within “Liquidity and Capital Resources” in Item 2, “Management’s Discussion and Analysis of Financial Condition and Results of Operations” included in this Quarterly Report on Form 10</w:t>
      </w:r>
      <w:r>
        <w:rPr>
          <w:rFonts w:ascii="MS PGothic" w:cs="MS PGothic" w:eastAsia="MS PGothic" w:hAnsi="MS PGothic"/>
          <w:sz w:val="18"/>
          <w:szCs w:val="18"/>
          <w:color w:val="auto"/>
        </w:rPr>
        <w:t>‑</w:t>
      </w:r>
      <w:r>
        <w:rPr>
          <w:rFonts w:ascii="Arial" w:cs="Arial" w:eastAsia="Arial" w:hAnsi="Arial"/>
          <w:sz w:val="18"/>
          <w:szCs w:val="18"/>
          <w:color w:val="auto"/>
        </w:rPr>
        <w:t>Q.</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DEFERRED MANAGEMENT RIGHTS PROCEEDS:</w:t>
      </w:r>
    </w:p>
    <w:p>
      <w:pPr>
        <w:spacing w:after="0" w:line="189"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color w:val="auto"/>
        </w:rPr>
        <w:t>On October 1, 2012, the Company consummated its agreement to sell the Gaylord Hotels brand (the “IP Rights”) and rights to manage the Gaylord Hotels properties (the “Management Rights”) to Marriott for $210.0 million in cash. Effective October 1, 2012, Marriott assumed responsibility for managing the day-to-day operations of the Gaylord Hotels properties pursuant to a management agreement for each Gaylord Hotel property. The Company allocated $190.0 million of the purchase price to the Management Rights and $20.0 million to the IP Rights.</w:t>
      </w:r>
    </w:p>
    <w:p>
      <w:pPr>
        <w:spacing w:after="0" w:line="132" w:lineRule="exact"/>
        <w:rPr>
          <w:sz w:val="20"/>
          <w:szCs w:val="20"/>
          <w:color w:val="auto"/>
        </w:rPr>
      </w:pPr>
    </w:p>
    <w:p>
      <w:pPr>
        <w:jc w:val="both"/>
        <w:ind w:right="20"/>
        <w:spacing w:after="0" w:line="221" w:lineRule="exact"/>
        <w:rPr>
          <w:sz w:val="20"/>
          <w:szCs w:val="20"/>
          <w:color w:val="auto"/>
        </w:rPr>
      </w:pPr>
      <w:r>
        <w:rPr>
          <w:rFonts w:ascii="Arial" w:cs="Arial" w:eastAsia="Arial" w:hAnsi="Arial"/>
          <w:sz w:val="16"/>
          <w:szCs w:val="16"/>
          <w:color w:val="auto"/>
        </w:rPr>
        <w:t>For financial accounting purposes, the amount related to the Management Rights was deferred and is amortized on a straight line basis over the 65</w:t>
      </w:r>
      <w:r>
        <w:rPr>
          <w:rFonts w:ascii="MS PGothic" w:cs="MS PGothic" w:eastAsia="MS PGothic" w:hAnsi="MS PGothic"/>
          <w:sz w:val="16"/>
          <w:szCs w:val="16"/>
          <w:color w:val="auto"/>
        </w:rPr>
        <w:t>‑</w:t>
      </w:r>
      <w:r>
        <w:rPr>
          <w:rFonts w:ascii="Arial" w:cs="Arial" w:eastAsia="Arial" w:hAnsi="Arial"/>
          <w:sz w:val="16"/>
          <w:szCs w:val="16"/>
          <w:color w:val="auto"/>
        </w:rPr>
        <w:t>year term of the hotel management agreements, including extensions, as a reduction in management fee expense. The amount related to the IP Rights was recognized into income as other gains and losses during 2012.</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1" w:name="page12"/>
    <w:bookmarkEnd w:id="1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STOCK PLANS:</w:t>
      </w:r>
    </w:p>
    <w:p>
      <w:pPr>
        <w:spacing w:after="0" w:line="189"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During the nine months ended September 30, 2018, the Company granted 0.1 million restricted stock units with a weighted-average grant date fair value of $71.91 per award. There were 0.3 million and 0.4 million restricted stock units outstanding at September 30, 2018 and December 31, 2017, respectively.</w:t>
      </w:r>
    </w:p>
    <w:p>
      <w:pPr>
        <w:spacing w:after="0" w:line="154"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The compensation expense that has been charged against pre-tax income for all of the Company’s stock-based compensation plans was $1.9 million and $1.7 million for the three months ended September 30, 2018 and 2017, respectively, and $5.8 million and $5.0 million for the nine months ended September 30, 2018 and 2017, respectively.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PENSION AND POSTRETIREMENT BENEFITS OTHER THAN PENSION PLANS:</w:t>
      </w:r>
    </w:p>
    <w:p>
      <w:pPr>
        <w:spacing w:after="0" w:line="18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Net periodic pension expense reflected in the accompanying condensed consolidated statements of operations included the following components for the respective periods (in thousands):</w:t>
      </w:r>
    </w:p>
    <w:p>
      <w:pPr>
        <w:spacing w:after="0" w:line="136"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gridSpan w:val="4"/>
          </w:tcPr>
          <w:p>
            <w:pPr>
              <w:jc w:val="right"/>
              <w:ind w:right="13"/>
              <w:spacing w:after="0"/>
              <w:rPr>
                <w:sz w:val="20"/>
                <w:szCs w:val="20"/>
                <w:color w:val="auto"/>
              </w:rPr>
            </w:pPr>
            <w:r>
              <w:rPr>
                <w:rFonts w:ascii="Arial" w:cs="Arial" w:eastAsia="Arial" w:hAnsi="Arial"/>
                <w:sz w:val="14"/>
                <w:szCs w:val="14"/>
                <w:b w:val="1"/>
                <w:bCs w:val="1"/>
                <w:color w:val="auto"/>
                <w:w w:val="92"/>
              </w:rPr>
              <w:t>Three Months Ended</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4"/>
          </w:tcPr>
          <w:p>
            <w:pPr>
              <w:jc w:val="right"/>
              <w:ind w:right="73"/>
              <w:spacing w:after="0"/>
              <w:rPr>
                <w:sz w:val="20"/>
                <w:szCs w:val="20"/>
                <w:color w:val="auto"/>
              </w:rPr>
            </w:pPr>
            <w:r>
              <w:rPr>
                <w:rFonts w:ascii="Arial" w:cs="Arial" w:eastAsia="Arial" w:hAnsi="Arial"/>
                <w:sz w:val="14"/>
                <w:szCs w:val="14"/>
                <w:b w:val="1"/>
                <w:bCs w:val="1"/>
                <w:color w:val="auto"/>
                <w:w w:val="94"/>
              </w:rPr>
              <w:t>Nine Months Ended</w:t>
            </w:r>
          </w:p>
        </w:tc>
      </w:tr>
      <w:tr>
        <w:trPr>
          <w:trHeight w:val="171"/>
        </w:trPr>
        <w:tc>
          <w:tcPr>
            <w:tcW w:w="40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4"/>
          </w:tcPr>
          <w:p>
            <w:pPr>
              <w:jc w:val="right"/>
              <w:ind w:right="253"/>
              <w:spacing w:after="0"/>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4"/>
          </w:tcPr>
          <w:p>
            <w:pPr>
              <w:jc w:val="right"/>
              <w:ind w:right="253"/>
              <w:spacing w:after="0"/>
              <w:rPr>
                <w:sz w:val="20"/>
                <w:szCs w:val="20"/>
                <w:color w:val="auto"/>
              </w:rPr>
            </w:pPr>
            <w:r>
              <w:rPr>
                <w:rFonts w:ascii="Arial" w:cs="Arial" w:eastAsia="Arial" w:hAnsi="Arial"/>
                <w:sz w:val="14"/>
                <w:szCs w:val="14"/>
                <w:b w:val="1"/>
                <w:bCs w:val="1"/>
                <w:color w:val="auto"/>
              </w:rPr>
              <w:t>September 30,</w:t>
            </w:r>
          </w:p>
        </w:tc>
      </w:tr>
      <w:tr>
        <w:trPr>
          <w:trHeight w:val="142"/>
        </w:trPr>
        <w:tc>
          <w:tcPr>
            <w:tcW w:w="40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7"/>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7"/>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2017</w:t>
            </w:r>
          </w:p>
        </w:tc>
      </w:tr>
      <w:tr>
        <w:trPr>
          <w:trHeight w:val="210"/>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Interest cost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2,706</w:t>
            </w: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Expected return on plan assets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(1,087)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4"/>
              </w:rPr>
              <w:t>(1,051)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4"/>
              </w:rPr>
              <w:t>(3,259)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(3,098)</w:t>
            </w:r>
          </w:p>
        </w:tc>
      </w:tr>
      <w:tr>
        <w:trPr>
          <w:trHeight w:val="216"/>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net actuarial loss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861</w:t>
            </w:r>
          </w:p>
        </w:tc>
      </w:tr>
      <w:tr>
        <w:trPr>
          <w:trHeight w:val="216"/>
        </w:trPr>
        <w:tc>
          <w:tcPr>
            <w:tcW w:w="40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settlement loss</w:t>
            </w: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1,004</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1,218</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1,004</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1,218</w:t>
            </w:r>
          </w:p>
        </w:tc>
      </w:tr>
      <w:tr>
        <w:trPr>
          <w:trHeight w:val="217"/>
        </w:trPr>
        <w:tc>
          <w:tcPr>
            <w:tcW w:w="4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net periodic pension expense</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984</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1,340</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945</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1,687</w:t>
            </w:r>
          </w:p>
        </w:tc>
      </w:tr>
    </w:tbl>
    <w:p>
      <w:pPr>
        <w:spacing w:after="0" w:line="202"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As a result of increased lump-sum distributions from the Company’s qualified retirement plan during 2018 and 2017, net settlement losses of $1.0 million and $1.2 million were recognized in the three months and nine months ended September 30, 2018 and 2017, respectively.</w:t>
      </w:r>
    </w:p>
    <w:p>
      <w:pPr>
        <w:spacing w:after="0" w:line="141"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In addition, the increase in lump-sum distributions required the Company to re-measure its liability under its pension plan as of September 30, 2018. As a result of the re-measurement, as well as an increase in the pension plan’s assumed discount rate from 3.3% at December 31, 2017 to 4.0% at September 30, 2018, the Company recorded a $3.4 million decrease in its liability under the pension plan and a corresponding decrease in accumulated other comprehensive loss in the accompanying condensed consolidated balance sheet at September 30, 2018.</w:t>
      </w:r>
    </w:p>
    <w:p>
      <w:pPr>
        <w:spacing w:after="0" w:line="132"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Net postretirement benefit income reflected in the accompanying condensed consolidated statements of operations included the following components for the respective periods (in thousands):</w:t>
      </w:r>
    </w:p>
    <w:p>
      <w:pPr>
        <w:spacing w:after="0" w:line="136"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480" w:type="dxa"/>
            <w:vAlign w:val="bottom"/>
          </w:tcPr>
          <w:p>
            <w:pPr>
              <w:spacing w:after="0"/>
              <w:rPr>
                <w:sz w:val="14"/>
                <w:szCs w:val="14"/>
                <w:color w:val="auto"/>
              </w:rPr>
            </w:pPr>
          </w:p>
        </w:tc>
        <w:tc>
          <w:tcPr>
            <w:tcW w:w="1320" w:type="dxa"/>
            <w:vAlign w:val="bottom"/>
            <w:gridSpan w:val="5"/>
          </w:tcPr>
          <w:p>
            <w:pPr>
              <w:spacing w:after="0"/>
              <w:rPr>
                <w:sz w:val="20"/>
                <w:szCs w:val="20"/>
                <w:color w:val="auto"/>
              </w:rPr>
            </w:pPr>
            <w:r>
              <w:rPr>
                <w:rFonts w:ascii="Arial" w:cs="Arial" w:eastAsia="Arial" w:hAnsi="Arial"/>
                <w:sz w:val="14"/>
                <w:szCs w:val="14"/>
                <w:b w:val="1"/>
                <w:bCs w:val="1"/>
                <w:color w:val="auto"/>
                <w:w w:val="93"/>
              </w:rPr>
              <w:t>Three Months Ended</w:t>
            </w:r>
          </w:p>
        </w:tc>
        <w:tc>
          <w:tcPr>
            <w:tcW w:w="160" w:type="dxa"/>
            <w:vAlign w:val="bottom"/>
          </w:tcPr>
          <w:p>
            <w:pPr>
              <w:spacing w:after="0"/>
              <w:rPr>
                <w:sz w:val="14"/>
                <w:szCs w:val="14"/>
                <w:color w:val="auto"/>
              </w:rPr>
            </w:pPr>
          </w:p>
        </w:tc>
        <w:tc>
          <w:tcPr>
            <w:tcW w:w="1280" w:type="dxa"/>
            <w:vAlign w:val="bottom"/>
            <w:gridSpan w:val="6"/>
          </w:tcPr>
          <w:p>
            <w:pPr>
              <w:ind w:left="20"/>
              <w:spacing w:after="0"/>
              <w:rPr>
                <w:sz w:val="20"/>
                <w:szCs w:val="20"/>
                <w:color w:val="auto"/>
              </w:rPr>
            </w:pPr>
            <w:r>
              <w:rPr>
                <w:rFonts w:ascii="Arial" w:cs="Arial" w:eastAsia="Arial" w:hAnsi="Arial"/>
                <w:sz w:val="14"/>
                <w:szCs w:val="14"/>
                <w:b w:val="1"/>
                <w:bCs w:val="1"/>
                <w:color w:val="auto"/>
                <w:w w:val="94"/>
              </w:rPr>
              <w:t>Nine Months Ended</w:t>
            </w:r>
          </w:p>
        </w:tc>
      </w:tr>
      <w:tr>
        <w:trPr>
          <w:trHeight w:val="171"/>
        </w:trPr>
        <w:tc>
          <w:tcPr>
            <w:tcW w:w="44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4"/>
          </w:tcPr>
          <w:p>
            <w:pPr>
              <w:jc w:val="right"/>
              <w:ind w:right="154"/>
              <w:spacing w:after="0"/>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5"/>
          </w:tcPr>
          <w:p>
            <w:pPr>
              <w:jc w:val="right"/>
              <w:ind w:right="134"/>
              <w:spacing w:after="0"/>
              <w:rPr>
                <w:sz w:val="20"/>
                <w:szCs w:val="20"/>
                <w:color w:val="auto"/>
              </w:rPr>
            </w:pPr>
            <w:r>
              <w:rPr>
                <w:rFonts w:ascii="Arial" w:cs="Arial" w:eastAsia="Arial" w:hAnsi="Arial"/>
                <w:sz w:val="14"/>
                <w:szCs w:val="14"/>
                <w:b w:val="1"/>
                <w:bCs w:val="1"/>
                <w:color w:val="auto"/>
                <w:w w:val="98"/>
              </w:rPr>
              <w:t>September 30,</w:t>
            </w:r>
          </w:p>
        </w:tc>
      </w:tr>
      <w:tr>
        <w:trPr>
          <w:trHeight w:val="142"/>
        </w:trPr>
        <w:tc>
          <w:tcPr>
            <w:tcW w:w="44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w w:val="96"/>
              </w:rPr>
              <w:t>2018</w:t>
            </w:r>
          </w:p>
        </w:tc>
        <w:tc>
          <w:tcPr>
            <w:tcW w:w="1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w w:val="96"/>
              </w:rPr>
              <w:t>2017</w:t>
            </w:r>
          </w:p>
        </w:tc>
        <w:tc>
          <w:tcPr>
            <w:tcW w:w="1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w w:val="96"/>
              </w:rPr>
              <w:t>2018</w:t>
            </w:r>
          </w:p>
        </w:tc>
        <w:tc>
          <w:tcPr>
            <w:tcW w:w="1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w w:val="96"/>
              </w:rPr>
              <w:t>2017</w:t>
            </w:r>
          </w:p>
        </w:tc>
      </w:tr>
      <w:tr>
        <w:trPr>
          <w:trHeight w:val="210"/>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Interest cost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Amortization of net actuarial loss</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193</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184</w:t>
            </w: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prior service credit</w:t>
            </w: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(329)</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(328)</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(986)</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(985)</w:t>
            </w:r>
          </w:p>
        </w:tc>
      </w:tr>
      <w:tr>
        <w:trPr>
          <w:trHeight w:val="217"/>
        </w:trPr>
        <w:tc>
          <w:tcPr>
            <w:tcW w:w="4480" w:type="dxa"/>
            <w:vAlign w:val="bottom"/>
          </w:tcPr>
          <w:p>
            <w:pPr>
              <w:spacing w:after="0"/>
              <w:rPr>
                <w:sz w:val="20"/>
                <w:szCs w:val="20"/>
                <w:color w:val="auto"/>
              </w:rPr>
            </w:pPr>
            <w:r>
              <w:rPr>
                <w:rFonts w:ascii="Arial" w:cs="Arial" w:eastAsia="Arial" w:hAnsi="Arial"/>
                <w:sz w:val="18"/>
                <w:szCs w:val="18"/>
                <w:color w:val="auto"/>
              </w:rPr>
              <w:t>Total net postretirement benefit income</w:t>
            </w: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w:t>
            </w:r>
          </w:p>
        </w:tc>
        <w:tc>
          <w:tcPr>
            <w:tcW w:w="1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w:t>
            </w:r>
          </w:p>
        </w:tc>
        <w:tc>
          <w:tcPr>
            <w:tcW w:w="160" w:type="dxa"/>
            <w:vAlign w:val="bottom"/>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(721)</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(720)</w:t>
            </w: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INCOME TAXES:</w:t>
      </w:r>
    </w:p>
    <w:p>
      <w:pPr>
        <w:spacing w:after="0" w:line="189"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The Company has elected to be taxed as a REIT effective January 1, 2013, pursuant to the U.S. Internal Revenue Code of 1986, as amended. As a REIT, generally the Company will not be subject to federal corporate income taxes on ordinary taxable income and capital gains income from real estate investments that it distributes to its stockholders. The Company will continue to be required to pay federal and state corporate income taxes on earnings of its taxable REIT subsidiaries (“TRSs”).</w:t>
      </w:r>
    </w:p>
    <w:p>
      <w:pPr>
        <w:spacing w:after="0" w:line="114"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The Company recorded an income tax provision of $1.9 million and $0.5 million for the three months ended September 30, 2018 and 2017, respectively, and $9.7 million and $2.0 million for the nine months ended September 30, 2018 and 2017, respectively, related to the current period operations of the Company. These results differ from the</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2" w:name="page13"/>
    <w:bookmarkEnd w:id="1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statutory rate primarily due to the REIT dividends paid deduction in both periods and the change in valuation allowance required at the TRSs for the nine months ended September 30, 2017.</w:t>
      </w:r>
    </w:p>
    <w:p>
      <w:pPr>
        <w:spacing w:after="0" w:line="13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On December 22, 2017, the Tax Cuts and Jobs Act (“TCJA”) was enacted and included a reduction to the U.S. federal corporate income tax rate from 35% to 21% for tax years beginning after December 31, 2017. As discussed in SEC Staff Accounting Bulletin No. 118, the accounting for the TCJA should be completed within one year from enactment. As of September 30, 2018, the Company has completed its accounting for all of the enactment-date income tax effects of the TCJA. During the nine months ended September 30, 2018, the Company has made no adjustments to the provisional amounts recorded at December 31, 2017.</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At September 30, 2018 and December 31, 2017, the Company had no unrecognized tax benefits.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COMMITMENTS AND CONTINGENCIES:</w:t>
      </w:r>
    </w:p>
    <w:p>
      <w:pPr>
        <w:spacing w:after="0" w:line="189"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The Company currently owns a 35% interest in a joint venture that is developing and owns Gaylord Rockies, which is expected to open in late 2018. In connection with the joint venture, the Company agreed to provide guarantees of the hotel’s construction loan, including a principal repayment guarantee of up to $21 million of the total $500 million principal amount of the construction loan previously obtained from a consortium of eight banks, with such amount reducing to $14 million and further reducing to $8.75 million upon the hotel’s satisfaction of designated debt service coverage requirements following completion and opening of the hotel. The Company has also provided a completion guarantee under the construction loan capped at its pro rata share of all costs necessary to complete the project within the time specified in the joint venture’s loan documents. Further, the Company has agreed to a guarantee capped at its pro rata share of the joint venture’s obligations under the construction loan prior to the hotel’s opening related to interest accruing under the construction loan and the operating expenses of the property (estimated pro rata share of interest prior to the hotel opening is $9.8 million). In addition to guarantees related to the construction loan, the Company agreed to provide a guarantee of the mezzanine debt related to the hotel including a payment guarantee capped at $8.75 million for which the Company is only liable in the event there is a casualty or condemnation event at the hotel and the construction lenders elect to apply those proceeds to the construction loan balance and release the construction loan guarantees and liens. The guarantee related to the mezzanine debt also includes an uncapped completion guarantee and an uncapped guarantee of the Gaylord Rockies joint venture’s obligations under the mezzanine loan prior to the hotel’s opening related to interest accruing under the mezzanine loan and the operating expenses of the property to the extent not already satisfied by the parties under the guarantees related to the construction loan. As of September 30, 2018, the Company had not recorded any liability in the consolidated balance sheet associated with these guarantees.</w:t>
      </w:r>
    </w:p>
    <w:p>
      <w:pPr>
        <w:spacing w:after="0" w:line="163"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Company has entered into employment agreements with certain officers, which provide for severance payments upon certain events, including certain terminations in connection with a change of control.</w:t>
      </w:r>
    </w:p>
    <w:p>
      <w:pPr>
        <w:spacing w:after="0" w:line="130"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The Company, in the ordinary course of business, is involved in certain legal actions and claims on a variety of matters. It is the opinion of management that such contingencies will not have a material effect on the financial statements of the Company.</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STOCKHOLDERS’ EQUITY:</w:t>
      </w:r>
    </w:p>
    <w:p>
      <w:pPr>
        <w:spacing w:after="0" w:line="202" w:lineRule="exact"/>
        <w:rPr>
          <w:sz w:val="20"/>
          <w:szCs w:val="20"/>
          <w:color w:val="auto"/>
        </w:rPr>
      </w:pPr>
    </w:p>
    <w:p>
      <w:pPr>
        <w:jc w:val="both"/>
        <w:ind w:right="400"/>
        <w:spacing w:after="0" w:line="286" w:lineRule="auto"/>
        <w:rPr>
          <w:sz w:val="20"/>
          <w:szCs w:val="20"/>
          <w:color w:val="auto"/>
        </w:rPr>
      </w:pPr>
      <w:r>
        <w:rPr>
          <w:rFonts w:ascii="Arial" w:cs="Arial" w:eastAsia="Arial" w:hAnsi="Arial"/>
          <w:sz w:val="17"/>
          <w:szCs w:val="17"/>
          <w:color w:val="auto"/>
        </w:rPr>
        <w:t>On February 23, 2018, the Company’s board of directors declared the Company’s first quarter 2018 cash dividend in the amount of $0.85 per share of common stock, or an aggregate of approximately $43.6 million in cash, which was paid on April 16, 2018 to stockholders of record as of the close of business on March 30, 2018.</w:t>
      </w:r>
    </w:p>
    <w:p>
      <w:pPr>
        <w:spacing w:after="0" w:line="125" w:lineRule="exact"/>
        <w:rPr>
          <w:sz w:val="20"/>
          <w:szCs w:val="20"/>
          <w:color w:val="auto"/>
        </w:rPr>
      </w:pPr>
    </w:p>
    <w:p>
      <w:pPr>
        <w:ind w:right="400"/>
        <w:spacing w:after="0" w:line="286" w:lineRule="auto"/>
        <w:rPr>
          <w:sz w:val="20"/>
          <w:szCs w:val="20"/>
          <w:color w:val="auto"/>
        </w:rPr>
      </w:pPr>
      <w:r>
        <w:rPr>
          <w:rFonts w:ascii="Arial" w:cs="Arial" w:eastAsia="Arial" w:hAnsi="Arial"/>
          <w:sz w:val="17"/>
          <w:szCs w:val="17"/>
          <w:color w:val="auto"/>
        </w:rPr>
        <w:t>On June 18, 2018, the Company’s board of directors declared the Company’s second quarter 2018 cash dividend in the amount of $0.85 per share of common stock, or an aggregate of approximately $43.6 million in cash, which was paid on July 16, 2018 to stockholders of record as of the close of business on June 29, 2018.</w:t>
      </w:r>
    </w:p>
    <w:p>
      <w:pPr>
        <w:spacing w:after="0" w:line="125" w:lineRule="exact"/>
        <w:rPr>
          <w:sz w:val="20"/>
          <w:szCs w:val="20"/>
          <w:color w:val="auto"/>
        </w:rPr>
      </w:pPr>
    </w:p>
    <w:p>
      <w:pPr>
        <w:ind w:right="220"/>
        <w:spacing w:after="0" w:line="286" w:lineRule="auto"/>
        <w:rPr>
          <w:sz w:val="20"/>
          <w:szCs w:val="20"/>
          <w:color w:val="auto"/>
        </w:rPr>
      </w:pPr>
      <w:r>
        <w:rPr>
          <w:rFonts w:ascii="Arial" w:cs="Arial" w:eastAsia="Arial" w:hAnsi="Arial"/>
          <w:sz w:val="17"/>
          <w:szCs w:val="17"/>
          <w:color w:val="auto"/>
        </w:rPr>
        <w:t>On September 17, 2018, the Company’s board of directors declared the Company’s third quarter 2018 cash dividend in the amount of $0.85 per share of common stock, or an aggregate of approximately $43.6 million in cash, which was paid on October 15, 2018 to stockholders of record as of the close of business on September 28, 2018.</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3" w:name="page14"/>
    <w:bookmarkEnd w:id="1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FAIR VALUE MEASUREMENTS:</w:t>
      </w:r>
    </w:p>
    <w:p>
      <w:pPr>
        <w:spacing w:after="0" w:line="189" w:lineRule="exact"/>
        <w:rPr>
          <w:sz w:val="20"/>
          <w:szCs w:val="20"/>
          <w:color w:val="auto"/>
        </w:rPr>
      </w:pPr>
    </w:p>
    <w:p>
      <w:pPr>
        <w:ind w:right="180"/>
        <w:spacing w:after="0" w:line="302" w:lineRule="auto"/>
        <w:rPr>
          <w:sz w:val="20"/>
          <w:szCs w:val="20"/>
          <w:color w:val="auto"/>
        </w:rPr>
      </w:pPr>
      <w:r>
        <w:rPr>
          <w:rFonts w:ascii="Arial" w:cs="Arial" w:eastAsia="Arial" w:hAnsi="Arial"/>
          <w:sz w:val="16"/>
          <w:szCs w:val="16"/>
          <w:color w:val="auto"/>
        </w:rPr>
        <w:t>The Company uses a three-tier fair value hierarchy, which prioritizes the inputs used in measuring fair value. These tiers include: Level 1, defined as observable inputs such as quoted prices in active markets; Level 2, defined as inputs other than quoted prices in active markets that are either directly or indirectly observable; and Level 3, defined as unobservable inputs in which little or no market data exists, therefore requiring an entity to develop its own assumptions.</w:t>
      </w:r>
    </w:p>
    <w:p>
      <w:pPr>
        <w:spacing w:after="0" w:line="127"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At September 30, 2018 and December 31, 2017, the Company held certain assets that are required to be measured at fair value on a recurring basis. These included investments held in conjunction with the Company’s non-qualified contributory deferred compensation plan. These investments consist of mutual funds traded in an active market. The Company determined the fair value of these mutual funds based on the net asset value per unit of the funds or the portfolio, which is based upon quoted market prices in an active market. Therefore, the Company has categorized these investments as Level 1.</w:t>
      </w:r>
    </w:p>
    <w:p>
      <w:pPr>
        <w:spacing w:after="0" w:line="118"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Company has consistently applied the above valuation techniques in all periods presented and believes it has obtained the most accurate information available for each type of instrument.</w:t>
      </w:r>
    </w:p>
    <w:p>
      <w:pPr>
        <w:spacing w:after="0" w:line="130"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Company had no liabilities required to be measured at fair value at September 30, 2018 and December 31, 2017. The Company’s assets measured at fair value on a recurring basis at September 30, 2018 and December 31, 2017, were as follows (in thousands):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20" w:type="dxa"/>
            <w:vAlign w:val="bottom"/>
          </w:tcPr>
          <w:p>
            <w:pPr>
              <w:spacing w:after="0"/>
              <w:rPr>
                <w:sz w:val="14"/>
                <w:szCs w:val="14"/>
                <w:color w:val="auto"/>
              </w:rPr>
            </w:pPr>
          </w:p>
        </w:tc>
        <w:tc>
          <w:tcPr>
            <w:tcW w:w="940" w:type="dxa"/>
            <w:vAlign w:val="bottom"/>
            <w:gridSpan w:val="4"/>
            <w:vMerge w:val="restart"/>
          </w:tcPr>
          <w:p>
            <w:pPr>
              <w:spacing w:after="0"/>
              <w:rPr>
                <w:sz w:val="20"/>
                <w:szCs w:val="20"/>
                <w:color w:val="auto"/>
              </w:rPr>
            </w:pPr>
            <w:r>
              <w:rPr>
                <w:rFonts w:ascii="Arial" w:cs="Arial" w:eastAsia="Arial" w:hAnsi="Arial"/>
                <w:sz w:val="14"/>
                <w:szCs w:val="14"/>
                <w:b w:val="1"/>
                <w:bCs w:val="1"/>
                <w:color w:val="auto"/>
                <w:w w:val="96"/>
              </w:rPr>
              <w:t>September 30,</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8"/>
              </w:rPr>
              <w:t>Markets for</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8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1"/>
              </w:rPr>
              <w:t>Observable</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Unobservable</w:t>
            </w:r>
          </w:p>
        </w:tc>
        <w:tc>
          <w:tcPr>
            <w:tcW w:w="0" w:type="dxa"/>
            <w:vAlign w:val="bottom"/>
          </w:tcPr>
          <w:p>
            <w:pPr>
              <w:spacing w:after="0"/>
              <w:rPr>
                <w:sz w:val="1"/>
                <w:szCs w:val="1"/>
                <w:color w:val="auto"/>
              </w:rPr>
            </w:pPr>
          </w:p>
        </w:tc>
      </w:tr>
      <w:tr>
        <w:trPr>
          <w:trHeight w:val="149"/>
        </w:trPr>
        <w:tc>
          <w:tcPr>
            <w:tcW w:w="4920" w:type="dxa"/>
            <w:vAlign w:val="bottom"/>
          </w:tcPr>
          <w:p>
            <w:pPr>
              <w:spacing w:after="0"/>
              <w:rPr>
                <w:sz w:val="12"/>
                <w:szCs w:val="12"/>
                <w:color w:val="auto"/>
              </w:rPr>
            </w:pPr>
          </w:p>
        </w:tc>
        <w:tc>
          <w:tcPr>
            <w:tcW w:w="940" w:type="dxa"/>
            <w:vAlign w:val="bottom"/>
            <w:gridSpan w:val="4"/>
            <w:vMerge w:val="continue"/>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8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0"/>
              </w:rPr>
              <w:t>Identical Assets</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Inputs</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center"/>
              <w:ind w:right="39"/>
              <w:spacing w:after="0" w:line="149" w:lineRule="exact"/>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171"/>
        </w:trPr>
        <w:tc>
          <w:tcPr>
            <w:tcW w:w="492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2018</w:t>
            </w:r>
          </w:p>
        </w:tc>
        <w:tc>
          <w:tcPr>
            <w:tcW w:w="4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w w:val="94"/>
              </w:rPr>
              <w:t>(Level 1)</w:t>
            </w:r>
          </w:p>
        </w:tc>
        <w:tc>
          <w:tcPr>
            <w:tcW w:w="12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4"/>
                <w:szCs w:val="14"/>
                <w:b w:val="1"/>
                <w:bCs w:val="1"/>
                <w:color w:val="auto"/>
                <w:w w:val="94"/>
              </w:rPr>
              <w:t>(Level 2)</w:t>
            </w:r>
          </w:p>
        </w:tc>
        <w:tc>
          <w:tcPr>
            <w:tcW w:w="1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59"/>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10"/>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Deferred compensation plan investments</w:t>
            </w:r>
          </w:p>
        </w:tc>
        <w:tc>
          <w:tcPr>
            <w:tcW w:w="20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26,148</w:t>
            </w:r>
          </w:p>
        </w:tc>
        <w:tc>
          <w:tcPr>
            <w:tcW w:w="4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26,148</w:t>
            </w: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4920" w:type="dxa"/>
            <w:vAlign w:val="bottom"/>
          </w:tcPr>
          <w:p>
            <w:pPr>
              <w:spacing w:after="0"/>
              <w:rPr>
                <w:sz w:val="20"/>
                <w:szCs w:val="20"/>
                <w:color w:val="auto"/>
              </w:rPr>
            </w:pPr>
            <w:r>
              <w:rPr>
                <w:rFonts w:ascii="Arial" w:cs="Arial" w:eastAsia="Arial" w:hAnsi="Arial"/>
                <w:sz w:val="18"/>
                <w:szCs w:val="18"/>
                <w:color w:val="auto"/>
              </w:rPr>
              <w:t>Total assets measured at fair value</w:t>
            </w:r>
          </w:p>
        </w:tc>
        <w:tc>
          <w:tcPr>
            <w:tcW w:w="2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26,148</w:t>
            </w:r>
          </w:p>
        </w:tc>
        <w:tc>
          <w:tcPr>
            <w:tcW w:w="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26,148</w:t>
            </w:r>
          </w:p>
        </w:tc>
        <w:tc>
          <w:tcPr>
            <w:tcW w:w="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gridSpan w:val="2"/>
          </w:tcPr>
          <w:p>
            <w:pPr>
              <w:ind w:left="5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55"/>
        </w:trPr>
        <w:tc>
          <w:tcPr>
            <w:tcW w:w="4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gridSpan w:val="3"/>
            <w:vMerge w:val="restart"/>
          </w:tcPr>
          <w:p>
            <w:pPr>
              <w:spacing w:after="0"/>
              <w:rPr>
                <w:sz w:val="20"/>
                <w:szCs w:val="20"/>
                <w:color w:val="auto"/>
              </w:rPr>
            </w:pPr>
            <w:r>
              <w:rPr>
                <w:rFonts w:ascii="Arial" w:cs="Arial" w:eastAsia="Arial" w:hAnsi="Arial"/>
                <w:sz w:val="14"/>
                <w:szCs w:val="14"/>
                <w:b w:val="1"/>
                <w:bCs w:val="1"/>
                <w:color w:val="auto"/>
                <w:w w:val="98"/>
              </w:rPr>
              <w:t>December 31,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8"/>
              </w:rPr>
              <w:t>Markets for</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8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1"/>
              </w:rPr>
              <w:t>Observable</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Unobservable</w:t>
            </w:r>
          </w:p>
        </w:tc>
        <w:tc>
          <w:tcPr>
            <w:tcW w:w="0" w:type="dxa"/>
            <w:vAlign w:val="bottom"/>
          </w:tcPr>
          <w:p>
            <w:pPr>
              <w:spacing w:after="0"/>
              <w:rPr>
                <w:sz w:val="1"/>
                <w:szCs w:val="1"/>
                <w:color w:val="auto"/>
              </w:rPr>
            </w:pPr>
          </w:p>
        </w:tc>
      </w:tr>
      <w:tr>
        <w:trPr>
          <w:trHeight w:val="149"/>
        </w:trPr>
        <w:tc>
          <w:tcPr>
            <w:tcW w:w="4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2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w w:val="91"/>
              </w:rPr>
              <w:t>Identical Assets</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5"/>
              </w:rPr>
              <w:t>Inputs</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center"/>
              <w:ind w:right="79"/>
              <w:spacing w:after="0" w:line="149" w:lineRule="exact"/>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171"/>
        </w:trPr>
        <w:tc>
          <w:tcPr>
            <w:tcW w:w="4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ind w:right="216"/>
              <w:spacing w:after="0"/>
              <w:rPr>
                <w:sz w:val="20"/>
                <w:szCs w:val="20"/>
                <w:color w:val="auto"/>
              </w:rPr>
            </w:pPr>
            <w:r>
              <w:rPr>
                <w:rFonts w:ascii="Arial" w:cs="Arial" w:eastAsia="Arial" w:hAnsi="Arial"/>
                <w:sz w:val="14"/>
                <w:szCs w:val="14"/>
                <w:b w:val="1"/>
                <w:bCs w:val="1"/>
                <w:color w:val="auto"/>
              </w:rPr>
              <w:t>2017</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(Level 1)</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4"/>
              </w:rPr>
              <w:t>(Level 2)</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center"/>
              <w:ind w:right="59"/>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10"/>
        </w:trPr>
        <w:tc>
          <w:tcPr>
            <w:tcW w:w="49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Deferred compensation plan investments</w:t>
            </w: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25,055</w:t>
            </w: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25,055</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gridSpan w:val="2"/>
            <w:shd w:val="clear" w:color="auto" w:fill="CCEEFF"/>
          </w:tcPr>
          <w:p>
            <w:pPr>
              <w:spacing w:after="0"/>
              <w:rPr>
                <w:sz w:val="18"/>
                <w:szCs w:val="18"/>
                <w:color w:val="auto"/>
              </w:rPr>
            </w:pPr>
          </w:p>
        </w:tc>
        <w:tc>
          <w:tcPr>
            <w:tcW w:w="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4920" w:type="dxa"/>
            <w:vAlign w:val="bottom"/>
          </w:tcPr>
          <w:p>
            <w:pPr>
              <w:spacing w:after="0"/>
              <w:rPr>
                <w:sz w:val="20"/>
                <w:szCs w:val="20"/>
                <w:color w:val="auto"/>
              </w:rPr>
            </w:pPr>
            <w:r>
              <w:rPr>
                <w:rFonts w:ascii="Arial" w:cs="Arial" w:eastAsia="Arial" w:hAnsi="Arial"/>
                <w:sz w:val="18"/>
                <w:szCs w:val="18"/>
                <w:color w:val="auto"/>
              </w:rPr>
              <w:t>Total assets measured at fair value</w:t>
            </w:r>
          </w:p>
        </w:tc>
        <w:tc>
          <w:tcPr>
            <w:tcW w:w="20" w:type="dxa"/>
            <w:vAlign w:val="bottom"/>
          </w:tcPr>
          <w:p>
            <w:pPr>
              <w:spacing w:after="0"/>
              <w:rPr>
                <w:sz w:val="18"/>
                <w:szCs w:val="18"/>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25,055</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25,055</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remainder of the assets and liabilities held by the Company at September 30, 2018 are not required to be recorded at fair value, and the carrying value of these assets and liabilities approximate fair value.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FINANCIAL REPORTING BY BUSINESS SEGMENTS: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The Company’s operations are organized into three principal business segments:</w:t>
      </w:r>
    </w:p>
    <w:p>
      <w:pPr>
        <w:spacing w:after="0" w:line="198" w:lineRule="exact"/>
        <w:rPr>
          <w:sz w:val="20"/>
          <w:szCs w:val="20"/>
          <w:color w:val="auto"/>
        </w:rPr>
      </w:pPr>
    </w:p>
    <w:p>
      <w:pPr>
        <w:ind w:left="660" w:right="640" w:hanging="333"/>
        <w:spacing w:after="0" w:line="258"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Hospitality</w:t>
      </w:r>
      <w:r>
        <w:rPr>
          <w:rFonts w:ascii="Arial" w:cs="Arial" w:eastAsia="Arial" w:hAnsi="Arial"/>
          <w:sz w:val="18"/>
          <w:szCs w:val="18"/>
          <w:color w:val="auto"/>
        </w:rPr>
        <w:t>, which includes Gaylord Opryland, Gaylord Palms, Gaylord Texan, Gaylord National, the Inn at</w:t>
      </w:r>
      <w:r>
        <w:rPr>
          <w:rFonts w:ascii="Arial" w:cs="Arial" w:eastAsia="Arial" w:hAnsi="Arial"/>
          <w:sz w:val="18"/>
          <w:szCs w:val="18"/>
          <w:i w:val="1"/>
          <w:iCs w:val="1"/>
          <w:color w:val="auto"/>
        </w:rPr>
        <w:t xml:space="preserve"> </w:t>
      </w:r>
      <w:r>
        <w:rPr>
          <w:rFonts w:ascii="Arial" w:cs="Arial" w:eastAsia="Arial" w:hAnsi="Arial"/>
          <w:sz w:val="18"/>
          <w:szCs w:val="18"/>
          <w:color w:val="auto"/>
        </w:rPr>
        <w:t>Opryland, the AC Hotel, and the Company’s equity investment in Gaylord Rockies;</w:t>
      </w:r>
    </w:p>
    <w:p>
      <w:pPr>
        <w:spacing w:after="0" w:line="1" w:lineRule="exact"/>
        <w:rPr>
          <w:rFonts w:ascii="Arial" w:cs="Arial" w:eastAsia="Arial" w:hAnsi="Arial"/>
          <w:sz w:val="18"/>
          <w:szCs w:val="18"/>
          <w:color w:val="auto"/>
        </w:rPr>
      </w:pPr>
    </w:p>
    <w:p>
      <w:pPr>
        <w:ind w:left="660" w:right="120" w:hanging="333"/>
        <w:spacing w:after="0" w:line="25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Entertainment</w:t>
      </w:r>
      <w:r>
        <w:rPr>
          <w:rFonts w:ascii="Arial" w:cs="Arial" w:eastAsia="Arial" w:hAnsi="Arial"/>
          <w:sz w:val="18"/>
          <w:szCs w:val="18"/>
          <w:color w:val="auto"/>
        </w:rPr>
        <w:t>, which includes the Grand Ole Opry, the Ryman Auditorium, WSM-AM, Ole Red, Opry City Stage,</w:t>
      </w:r>
      <w:r>
        <w:rPr>
          <w:rFonts w:ascii="Arial" w:cs="Arial" w:eastAsia="Arial" w:hAnsi="Arial"/>
          <w:sz w:val="18"/>
          <w:szCs w:val="18"/>
          <w:i w:val="1"/>
          <w:iCs w:val="1"/>
          <w:color w:val="auto"/>
        </w:rPr>
        <w:t xml:space="preserve"> </w:t>
      </w:r>
      <w:r>
        <w:rPr>
          <w:rFonts w:ascii="Arial" w:cs="Arial" w:eastAsia="Arial" w:hAnsi="Arial"/>
          <w:sz w:val="18"/>
          <w:szCs w:val="18"/>
          <w:color w:val="auto"/>
        </w:rPr>
        <w:t>and the Company’s Nashville-based attractions; and</w:t>
      </w:r>
    </w:p>
    <w:p>
      <w:pPr>
        <w:ind w:left="660" w:hanging="333"/>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Corporate and Other</w:t>
      </w:r>
      <w:r>
        <w:rPr>
          <w:rFonts w:ascii="Arial" w:cs="Arial" w:eastAsia="Arial" w:hAnsi="Arial"/>
          <w:sz w:val="18"/>
          <w:szCs w:val="18"/>
          <w:color w:val="auto"/>
        </w:rPr>
        <w:t>, which includes the Company’s corporate expenses.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4" w:name="page15"/>
    <w:bookmarkEnd w:id="1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following information is derived directly from the segments’ internal financial reports used for corporate management purposes (amounts in thousands):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00" w:type="dxa"/>
            <w:vAlign w:val="bottom"/>
            <w:gridSpan w:val="6"/>
          </w:tcPr>
          <w:p>
            <w:pPr>
              <w:jc w:val="center"/>
              <w:ind w:right="180"/>
              <w:spacing w:after="0"/>
              <w:rPr>
                <w:sz w:val="20"/>
                <w:szCs w:val="20"/>
                <w:color w:val="auto"/>
              </w:rPr>
            </w:pPr>
            <w:r>
              <w:rPr>
                <w:rFonts w:ascii="Arial" w:cs="Arial" w:eastAsia="Arial" w:hAnsi="Arial"/>
                <w:sz w:val="14"/>
                <w:szCs w:val="14"/>
                <w:b w:val="1"/>
                <w:bCs w:val="1"/>
                <w:color w:val="auto"/>
                <w:w w:val="95"/>
              </w:rPr>
              <w:t>Three Months Ended</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20" w:type="dxa"/>
            <w:vAlign w:val="bottom"/>
            <w:gridSpan w:val="4"/>
          </w:tcPr>
          <w:p>
            <w:pPr>
              <w:jc w:val="right"/>
              <w:ind w:right="171"/>
              <w:spacing w:after="0"/>
              <w:rPr>
                <w:sz w:val="20"/>
                <w:szCs w:val="20"/>
                <w:color w:val="auto"/>
              </w:rPr>
            </w:pPr>
            <w:r>
              <w:rPr>
                <w:rFonts w:ascii="Arial" w:cs="Arial" w:eastAsia="Arial" w:hAnsi="Arial"/>
                <w:sz w:val="14"/>
                <w:szCs w:val="14"/>
                <w:b w:val="1"/>
                <w:bCs w:val="1"/>
                <w:color w:val="auto"/>
              </w:rPr>
              <w:t>Nine Months Ended</w:t>
            </w:r>
          </w:p>
        </w:tc>
      </w:tr>
      <w:tr>
        <w:trPr>
          <w:trHeight w:val="171"/>
        </w:trPr>
        <w:tc>
          <w:tcPr>
            <w:tcW w:w="5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00" w:type="dxa"/>
            <w:vAlign w:val="bottom"/>
            <w:gridSpan w:val="6"/>
          </w:tcPr>
          <w:p>
            <w:pPr>
              <w:jc w:val="center"/>
              <w:ind w:right="220"/>
              <w:spacing w:after="0"/>
              <w:rPr>
                <w:sz w:val="20"/>
                <w:szCs w:val="20"/>
                <w:color w:val="auto"/>
              </w:rPr>
            </w:pPr>
            <w:r>
              <w:rPr>
                <w:rFonts w:ascii="Arial" w:cs="Arial" w:eastAsia="Arial" w:hAnsi="Arial"/>
                <w:sz w:val="14"/>
                <w:szCs w:val="14"/>
                <w:b w:val="1"/>
                <w:bCs w:val="1"/>
                <w:color w:val="auto"/>
                <w:w w:val="91"/>
              </w:rPr>
              <w:t>September 30,</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20" w:type="dxa"/>
            <w:vAlign w:val="bottom"/>
            <w:gridSpan w:val="4"/>
          </w:tcPr>
          <w:p>
            <w:pPr>
              <w:jc w:val="right"/>
              <w:ind w:right="351"/>
              <w:spacing w:after="0"/>
              <w:rPr>
                <w:sz w:val="20"/>
                <w:szCs w:val="20"/>
                <w:color w:val="auto"/>
              </w:rPr>
            </w:pPr>
            <w:r>
              <w:rPr>
                <w:rFonts w:ascii="Arial" w:cs="Arial" w:eastAsia="Arial" w:hAnsi="Arial"/>
                <w:sz w:val="14"/>
                <w:szCs w:val="14"/>
                <w:b w:val="1"/>
                <w:bCs w:val="1"/>
                <w:color w:val="auto"/>
              </w:rPr>
              <w:t>September 30,</w:t>
            </w:r>
          </w:p>
        </w:tc>
      </w:tr>
      <w:tr>
        <w:trPr>
          <w:trHeight w:val="142"/>
        </w:trPr>
        <w:tc>
          <w:tcPr>
            <w:tcW w:w="542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2018</w:t>
            </w:r>
          </w:p>
        </w:tc>
        <w:tc>
          <w:tcPr>
            <w:tcW w:w="8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rPr>
              <w:t>2017</w:t>
            </w:r>
          </w:p>
        </w:tc>
        <w:tc>
          <w:tcPr>
            <w:tcW w:w="6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2018</w:t>
            </w:r>
          </w:p>
        </w:tc>
        <w:tc>
          <w:tcPr>
            <w:tcW w:w="14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51"/>
              <w:spacing w:after="0" w:line="142" w:lineRule="exact"/>
              <w:rPr>
                <w:sz w:val="20"/>
                <w:szCs w:val="20"/>
                <w:color w:val="auto"/>
              </w:rPr>
            </w:pPr>
            <w:r>
              <w:rPr>
                <w:rFonts w:ascii="Arial" w:cs="Arial" w:eastAsia="Arial" w:hAnsi="Arial"/>
                <w:sz w:val="14"/>
                <w:szCs w:val="14"/>
                <w:b w:val="1"/>
                <w:bCs w:val="1"/>
                <w:color w:val="auto"/>
              </w:rPr>
              <w:t>2017</w:t>
            </w:r>
          </w:p>
        </w:tc>
      </w:tr>
      <w:tr>
        <w:trPr>
          <w:trHeight w:val="210"/>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r>
      <w:tr>
        <w:trPr>
          <w:trHeight w:val="216"/>
        </w:trPr>
        <w:tc>
          <w:tcPr>
            <w:tcW w:w="5420" w:type="dxa"/>
            <w:vAlign w:val="bottom"/>
          </w:tcPr>
          <w:p>
            <w:pPr>
              <w:ind w:left="120"/>
              <w:spacing w:after="0"/>
              <w:rPr>
                <w:sz w:val="20"/>
                <w:szCs w:val="20"/>
                <w:color w:val="auto"/>
              </w:rPr>
            </w:pPr>
            <w:r>
              <w:rPr>
                <w:rFonts w:ascii="Arial" w:cs="Arial" w:eastAsia="Arial" w:hAnsi="Arial"/>
                <w:sz w:val="18"/>
                <w:szCs w:val="18"/>
                <w:color w:val="auto"/>
              </w:rPr>
              <w:t>Hospitality</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5"/>
              </w:rPr>
              <w:t>249,240</w:t>
            </w:r>
          </w:p>
        </w:tc>
        <w:tc>
          <w:tcPr>
            <w:tcW w:w="8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2"/>
              </w:rPr>
              <w:t>229,590</w:t>
            </w:r>
          </w:p>
        </w:tc>
        <w:tc>
          <w:tcPr>
            <w:tcW w:w="6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2"/>
              </w:rPr>
              <w:t>806,107</w:t>
            </w:r>
          </w:p>
        </w:tc>
        <w:tc>
          <w:tcPr>
            <w:tcW w:w="1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2"/>
              </w:rPr>
              <w:t>747,117</w:t>
            </w:r>
          </w:p>
        </w:tc>
      </w:tr>
      <w:tr>
        <w:trPr>
          <w:trHeight w:val="216"/>
        </w:trPr>
        <w:tc>
          <w:tcPr>
            <w:tcW w:w="54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Entertainment</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43,009</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35,134</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108,446</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92,427</w:t>
            </w:r>
          </w:p>
        </w:tc>
      </w:tr>
      <w:tr>
        <w:trPr>
          <w:trHeight w:val="216"/>
        </w:trPr>
        <w:tc>
          <w:tcPr>
            <w:tcW w:w="5420" w:type="dxa"/>
            <w:vAlign w:val="bottom"/>
          </w:tcPr>
          <w:p>
            <w:pPr>
              <w:ind w:left="120"/>
              <w:spacing w:after="0"/>
              <w:rPr>
                <w:sz w:val="20"/>
                <w:szCs w:val="20"/>
                <w:color w:val="auto"/>
              </w:rPr>
            </w:pPr>
            <w:r>
              <w:rPr>
                <w:rFonts w:ascii="Arial" w:cs="Arial" w:eastAsia="Arial" w:hAnsi="Arial"/>
                <w:sz w:val="18"/>
                <w:szCs w:val="18"/>
                <w:color w:val="auto"/>
              </w:rPr>
              <w:t>Corporate and Other</w:t>
            </w:r>
          </w:p>
        </w:tc>
        <w:tc>
          <w:tcPr>
            <w:tcW w:w="12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7"/>
        </w:trPr>
        <w:tc>
          <w:tcPr>
            <w:tcW w:w="542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292,249</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264,724</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914,553</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839,544</w:t>
            </w:r>
          </w:p>
        </w:tc>
      </w:tr>
      <w:tr>
        <w:trPr>
          <w:trHeight w:val="216"/>
        </w:trPr>
        <w:tc>
          <w:tcPr>
            <w:tcW w:w="5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16"/>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r>
      <w:tr>
        <w:trPr>
          <w:trHeight w:val="216"/>
        </w:trPr>
        <w:tc>
          <w:tcPr>
            <w:tcW w:w="5420" w:type="dxa"/>
            <w:vAlign w:val="bottom"/>
          </w:tcPr>
          <w:p>
            <w:pPr>
              <w:ind w:left="120"/>
              <w:spacing w:after="0"/>
              <w:rPr>
                <w:sz w:val="20"/>
                <w:szCs w:val="20"/>
                <w:color w:val="auto"/>
              </w:rPr>
            </w:pPr>
            <w:r>
              <w:rPr>
                <w:rFonts w:ascii="Arial" w:cs="Arial" w:eastAsia="Arial" w:hAnsi="Arial"/>
                <w:sz w:val="18"/>
                <w:szCs w:val="18"/>
                <w:color w:val="auto"/>
              </w:rPr>
              <w:t>Hospitality</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27,946</w:t>
            </w:r>
          </w:p>
        </w:tc>
        <w:tc>
          <w:tcPr>
            <w:tcW w:w="8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26,061</w:t>
            </w:r>
          </w:p>
        </w:tc>
        <w:tc>
          <w:tcPr>
            <w:tcW w:w="6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81,379</w:t>
            </w:r>
          </w:p>
        </w:tc>
        <w:tc>
          <w:tcPr>
            <w:tcW w:w="1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76,786</w:t>
            </w:r>
          </w:p>
        </w:tc>
      </w:tr>
      <w:tr>
        <w:trPr>
          <w:trHeight w:val="216"/>
        </w:trPr>
        <w:tc>
          <w:tcPr>
            <w:tcW w:w="54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Entertainment</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2,613</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1,965</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6,885</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5,465</w:t>
            </w:r>
          </w:p>
        </w:tc>
      </w:tr>
      <w:tr>
        <w:trPr>
          <w:trHeight w:val="216"/>
        </w:trPr>
        <w:tc>
          <w:tcPr>
            <w:tcW w:w="542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Corporate and Other</w:t>
            </w: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435</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520</w:t>
            </w:r>
          </w:p>
        </w:tc>
        <w:tc>
          <w:tcPr>
            <w:tcW w:w="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1,391</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1,611</w:t>
            </w:r>
          </w:p>
        </w:tc>
      </w:tr>
      <w:tr>
        <w:trPr>
          <w:trHeight w:val="217"/>
        </w:trPr>
        <w:tc>
          <w:tcPr>
            <w:tcW w:w="54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30,994</w:t>
            </w: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28,546</w:t>
            </w:r>
          </w:p>
        </w:tc>
        <w:tc>
          <w:tcPr>
            <w:tcW w:w="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89,655</w:t>
            </w: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83,862</w:t>
            </w:r>
          </w:p>
        </w:tc>
      </w:tr>
      <w:tr>
        <w:trPr>
          <w:trHeight w:val="216"/>
        </w:trPr>
        <w:tc>
          <w:tcPr>
            <w:tcW w:w="5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16"/>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r>
      <w:tr>
        <w:trPr>
          <w:trHeight w:val="216"/>
        </w:trPr>
        <w:tc>
          <w:tcPr>
            <w:tcW w:w="5420" w:type="dxa"/>
            <w:vAlign w:val="bottom"/>
          </w:tcPr>
          <w:p>
            <w:pPr>
              <w:ind w:left="120"/>
              <w:spacing w:after="0"/>
              <w:rPr>
                <w:sz w:val="20"/>
                <w:szCs w:val="20"/>
                <w:color w:val="auto"/>
              </w:rPr>
            </w:pPr>
            <w:r>
              <w:rPr>
                <w:rFonts w:ascii="Arial" w:cs="Arial" w:eastAsia="Arial" w:hAnsi="Arial"/>
                <w:sz w:val="18"/>
                <w:szCs w:val="18"/>
                <w:color w:val="auto"/>
              </w:rPr>
              <w:t>Hospitality</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43,518</w:t>
            </w:r>
          </w:p>
        </w:tc>
        <w:tc>
          <w:tcPr>
            <w:tcW w:w="8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36,298</w:t>
            </w:r>
          </w:p>
        </w:tc>
        <w:tc>
          <w:tcPr>
            <w:tcW w:w="6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2"/>
              </w:rPr>
              <w:t>175,213</w:t>
            </w:r>
          </w:p>
        </w:tc>
        <w:tc>
          <w:tcPr>
            <w:tcW w:w="1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2"/>
              </w:rPr>
              <w:t>149,788</w:t>
            </w:r>
          </w:p>
        </w:tc>
      </w:tr>
      <w:tr>
        <w:trPr>
          <w:trHeight w:val="216"/>
        </w:trPr>
        <w:tc>
          <w:tcPr>
            <w:tcW w:w="54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Entertainment</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9,069</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10,518</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20,614</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25,325</w:t>
            </w:r>
          </w:p>
        </w:tc>
      </w:tr>
      <w:tr>
        <w:trPr>
          <w:trHeight w:val="216"/>
        </w:trPr>
        <w:tc>
          <w:tcPr>
            <w:tcW w:w="5420" w:type="dxa"/>
            <w:vAlign w:val="bottom"/>
          </w:tcPr>
          <w:p>
            <w:pPr>
              <w:ind w:left="120"/>
              <w:spacing w:after="0"/>
              <w:rPr>
                <w:sz w:val="20"/>
                <w:szCs w:val="20"/>
                <w:color w:val="auto"/>
              </w:rPr>
            </w:pPr>
            <w:r>
              <w:rPr>
                <w:rFonts w:ascii="Arial" w:cs="Arial" w:eastAsia="Arial" w:hAnsi="Arial"/>
                <w:sz w:val="18"/>
                <w:szCs w:val="18"/>
                <w:color w:val="auto"/>
              </w:rPr>
              <w:t>Corporate and Other</w:t>
            </w:r>
          </w:p>
        </w:tc>
        <w:tc>
          <w:tcPr>
            <w:tcW w:w="12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(7,647)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(8,429)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w w:val="98"/>
              </w:rPr>
              <w:t>(24,572)</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5"/>
              </w:rPr>
              <w:t>(24,397)</w:t>
            </w:r>
          </w:p>
        </w:tc>
      </w:tr>
      <w:tr>
        <w:trPr>
          <w:trHeight w:val="216"/>
        </w:trPr>
        <w:tc>
          <w:tcPr>
            <w:tcW w:w="54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Preopening costs</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(877)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(3,972)</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(1,587)</w:t>
            </w:r>
          </w:p>
        </w:tc>
      </w:tr>
      <w:tr>
        <w:trPr>
          <w:trHeight w:val="216"/>
        </w:trPr>
        <w:tc>
          <w:tcPr>
            <w:tcW w:w="5420" w:type="dxa"/>
            <w:vAlign w:val="bottom"/>
          </w:tcPr>
          <w:p>
            <w:pPr>
              <w:ind w:left="120"/>
              <w:spacing w:after="0"/>
              <w:rPr>
                <w:sz w:val="20"/>
                <w:szCs w:val="20"/>
                <w:color w:val="auto"/>
              </w:rPr>
            </w:pPr>
            <w:r>
              <w:rPr>
                <w:rFonts w:ascii="Arial" w:cs="Arial" w:eastAsia="Arial" w:hAnsi="Arial"/>
                <w:sz w:val="18"/>
                <w:szCs w:val="18"/>
                <w:color w:val="auto"/>
              </w:rPr>
              <w:t>Impairment and other charges</w:t>
            </w:r>
          </w:p>
        </w:tc>
        <w:tc>
          <w:tcPr>
            <w:tcW w:w="12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(4,540)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(4,540)</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0"/>
        </w:trPr>
        <w:tc>
          <w:tcPr>
            <w:tcW w:w="54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operating income</w:t>
            </w:r>
          </w:p>
        </w:tc>
        <w:tc>
          <w:tcPr>
            <w:tcW w:w="1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40,100</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37,510</w:t>
            </w: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162,743</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149,129</w:t>
            </w:r>
          </w:p>
        </w:tc>
      </w:tr>
      <w:tr>
        <w:trPr>
          <w:trHeight w:val="216"/>
        </w:trPr>
        <w:tc>
          <w:tcPr>
            <w:tcW w:w="5420" w:type="dxa"/>
            <w:vAlign w:val="bottom"/>
          </w:tcPr>
          <w:p>
            <w:pPr>
              <w:ind w:left="120"/>
              <w:spacing w:after="0"/>
              <w:rPr>
                <w:sz w:val="20"/>
                <w:szCs w:val="20"/>
                <w:color w:val="auto"/>
              </w:rPr>
            </w:pPr>
            <w:r>
              <w:rPr>
                <w:rFonts w:ascii="Arial" w:cs="Arial" w:eastAsia="Arial" w:hAnsi="Arial"/>
                <w:sz w:val="18"/>
                <w:szCs w:val="18"/>
                <w:color w:val="auto"/>
              </w:rPr>
              <w:t>Interest expense</w:t>
            </w:r>
          </w:p>
        </w:tc>
        <w:tc>
          <w:tcPr>
            <w:tcW w:w="12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w w:val="98"/>
              </w:rPr>
              <w:t>(19,220)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(16,621)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w w:val="98"/>
              </w:rPr>
              <w:t>(55,574)</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5"/>
              </w:rPr>
              <w:t>(49,640)</w:t>
            </w:r>
          </w:p>
        </w:tc>
      </w:tr>
      <w:tr>
        <w:trPr>
          <w:trHeight w:val="216"/>
        </w:trPr>
        <w:tc>
          <w:tcPr>
            <w:tcW w:w="54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Interest income</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2,678</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2,957</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8,197</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8,874</w:t>
            </w:r>
          </w:p>
        </w:tc>
      </w:tr>
      <w:tr>
        <w:trPr>
          <w:trHeight w:val="216"/>
        </w:trPr>
        <w:tc>
          <w:tcPr>
            <w:tcW w:w="5420" w:type="dxa"/>
            <w:vAlign w:val="bottom"/>
          </w:tcPr>
          <w:p>
            <w:pPr>
              <w:ind w:left="120"/>
              <w:spacing w:after="0"/>
              <w:rPr>
                <w:sz w:val="20"/>
                <w:szCs w:val="20"/>
                <w:color w:val="auto"/>
              </w:rPr>
            </w:pPr>
            <w:r>
              <w:rPr>
                <w:rFonts w:ascii="Arial" w:cs="Arial" w:eastAsia="Arial" w:hAnsi="Arial"/>
                <w:sz w:val="18"/>
                <w:szCs w:val="18"/>
                <w:color w:val="auto"/>
              </w:rPr>
              <w:t>Loss from joint ventures</w:t>
            </w:r>
          </w:p>
        </w:tc>
        <w:tc>
          <w:tcPr>
            <w:tcW w:w="12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(985)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(899)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(2,227)</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(2,616)</w:t>
            </w:r>
          </w:p>
        </w:tc>
      </w:tr>
      <w:tr>
        <w:trPr>
          <w:trHeight w:val="216"/>
        </w:trPr>
        <w:tc>
          <w:tcPr>
            <w:tcW w:w="54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 gains and (losses), net</w:t>
            </w: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1,881</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1,453</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2,085</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w:t>
            </w:r>
          </w:p>
        </w:tc>
      </w:tr>
      <w:tr>
        <w:trPr>
          <w:trHeight w:val="217"/>
        </w:trPr>
        <w:tc>
          <w:tcPr>
            <w:tcW w:w="542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24,454</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24,400</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115,224</w:t>
            </w:r>
          </w:p>
        </w:tc>
        <w:tc>
          <w:tcPr>
            <w:tcW w:w="14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105,804</w:t>
            </w: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INFORMATION CONCERNING GUARANTOR AND NON-GUARANTOR SUBSIDIARIES:</w:t>
      </w:r>
    </w:p>
    <w:p>
      <w:pPr>
        <w:spacing w:after="0" w:line="20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$350 Million 5% Senior Notes and the $400 Million 5% Senior Notes were each issued by the Operating Partnership and Finco and are guaranteed on a senior unsecured basis by the Company, each of the Company’s four wholly-owned subsidiaries that own the Gaylord Hotels properties, and certain other of the Company’s subsidiaries, each of which guarantees the Operating Partnership’s Credit Agreement (such subsidiary guarantors, together with the Company, the “Guarantors”). The subsidiary Guarantors are 100% owned, and the guarantees are full and unconditional and joint and several. Not all of the Company’s subsidiaries have guaranteed the Company’s $350 Million 5% Senior Notes and the $400 Million 5% Senior Notes.</w:t>
      </w:r>
    </w:p>
    <w:p>
      <w:pPr>
        <w:spacing w:after="0" w:line="149"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The following condensed consolidating financial information includes certain allocations of expenses based on management’s best estimates, which are not necessarily indicative of financial position, results of operations and cash flows that these entities would have achieved on a stand-alone basis.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5" w:name="page16"/>
    <w:bookmarkEnd w:id="1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RYMAN HOSPITALITY PROPERTIES, INC. AND SUBSIDIARIES CONDENSED CONSOLIDATING BALANCE SHEET September 30, 2018</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Parent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Issuer</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w w:val="95"/>
              </w:rPr>
              <w:t>Guarantors</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Non-</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w w:val="93"/>
              </w:rPr>
              <w:t>Eliminations</w:t>
            </w:r>
          </w:p>
        </w:tc>
        <w:tc>
          <w:tcPr>
            <w:tcW w:w="92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71"/>
        </w:trPr>
        <w:tc>
          <w:tcPr>
            <w:tcW w:w="2580" w:type="dxa"/>
            <w:vAlign w:val="bottom"/>
          </w:tcPr>
          <w:p>
            <w:pPr>
              <w:spacing w:after="0"/>
              <w:rPr>
                <w:sz w:val="20"/>
                <w:szCs w:val="20"/>
                <w:color w:val="auto"/>
              </w:rPr>
            </w:pPr>
            <w:r>
              <w:rPr>
                <w:rFonts w:ascii="Arial" w:cs="Arial" w:eastAsia="Arial" w:hAnsi="Arial"/>
                <w:sz w:val="14"/>
                <w:szCs w:val="14"/>
                <w:color w:val="auto"/>
              </w:rPr>
              <w:t>(in thousands)</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97"/>
              </w:rPr>
              <w:t>Guarantor</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95"/>
              </w:rPr>
              <w:t>Guarantors</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580" w:type="dxa"/>
            <w:vAlign w:val="bottom"/>
          </w:tcPr>
          <w:p>
            <w:pPr>
              <w:spacing w:after="0" w:line="201" w:lineRule="exact"/>
              <w:rPr>
                <w:sz w:val="20"/>
                <w:szCs w:val="20"/>
                <w:color w:val="auto"/>
              </w:rPr>
            </w:pPr>
            <w:r>
              <w:rPr>
                <w:rFonts w:ascii="Arial" w:cs="Arial" w:eastAsia="Arial" w:hAnsi="Arial"/>
                <w:sz w:val="18"/>
                <w:szCs w:val="18"/>
                <w:color w:val="auto"/>
              </w:rPr>
              <w:t>Property and equipment, net of</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580" w:type="dxa"/>
            <w:vAlign w:val="bottom"/>
          </w:tcPr>
          <w:p>
            <w:pPr>
              <w:ind w:left="140"/>
              <w:spacing w:after="0"/>
              <w:rPr>
                <w:sz w:val="20"/>
                <w:szCs w:val="20"/>
                <w:color w:val="auto"/>
              </w:rPr>
            </w:pPr>
            <w:r>
              <w:rPr>
                <w:rFonts w:ascii="Arial" w:cs="Arial" w:eastAsia="Arial" w:hAnsi="Arial"/>
                <w:sz w:val="18"/>
                <w:szCs w:val="18"/>
                <w:color w:val="auto"/>
              </w:rPr>
              <w:t>accumulated depreciation</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w w:val="94"/>
              </w:rPr>
              <w:t>1,647,468</w:t>
            </w:r>
          </w:p>
        </w:tc>
        <w:tc>
          <w:tcPr>
            <w:tcW w:w="80" w:type="dxa"/>
            <w:vAlign w:val="bottom"/>
          </w:tcPr>
          <w:p>
            <w:pPr>
              <w:spacing w:after="0"/>
              <w:rPr>
                <w:sz w:val="20"/>
                <w:szCs w:val="20"/>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479,296</w:t>
            </w:r>
          </w:p>
        </w:tc>
        <w:tc>
          <w:tcPr>
            <w:tcW w:w="80" w:type="dxa"/>
            <w:vAlign w:val="bottom"/>
          </w:tcPr>
          <w:p>
            <w:pPr>
              <w:spacing w:after="0"/>
              <w:rPr>
                <w:sz w:val="20"/>
                <w:szCs w:val="20"/>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w w:val="90"/>
              </w:rPr>
              <w:t>$ 2,126,764</w:t>
            </w:r>
          </w:p>
        </w:tc>
        <w:tc>
          <w:tcPr>
            <w:tcW w:w="0" w:type="dxa"/>
            <w:vAlign w:val="bottom"/>
          </w:tcPr>
          <w:p>
            <w:pPr>
              <w:spacing w:after="0"/>
              <w:rPr>
                <w:sz w:val="1"/>
                <w:szCs w:val="1"/>
                <w:color w:val="auto"/>
              </w:rPr>
            </w:pPr>
          </w:p>
        </w:tc>
      </w:tr>
      <w:tr>
        <w:trPr>
          <w:trHeight w:val="202"/>
        </w:trPr>
        <w:tc>
          <w:tcPr>
            <w:tcW w:w="25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Cash and cash equivalents -</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5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unrestricted</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2,508</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83,267</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86,025</w:t>
            </w:r>
          </w:p>
        </w:tc>
        <w:tc>
          <w:tcPr>
            <w:tcW w:w="0" w:type="dxa"/>
            <w:vAlign w:val="bottom"/>
          </w:tcPr>
          <w:p>
            <w:pPr>
              <w:spacing w:after="0"/>
              <w:rPr>
                <w:sz w:val="1"/>
                <w:szCs w:val="1"/>
                <w:color w:val="auto"/>
              </w:rPr>
            </w:pPr>
          </w:p>
        </w:tc>
      </w:tr>
      <w:tr>
        <w:trPr>
          <w:trHeight w:val="202"/>
        </w:trPr>
        <w:tc>
          <w:tcPr>
            <w:tcW w:w="2580" w:type="dxa"/>
            <w:vAlign w:val="bottom"/>
          </w:tcPr>
          <w:p>
            <w:pPr>
              <w:spacing w:after="0" w:line="201" w:lineRule="exact"/>
              <w:rPr>
                <w:sz w:val="20"/>
                <w:szCs w:val="20"/>
                <w:color w:val="auto"/>
              </w:rPr>
            </w:pPr>
            <w:r>
              <w:rPr>
                <w:rFonts w:ascii="Arial" w:cs="Arial" w:eastAsia="Arial" w:hAnsi="Arial"/>
                <w:sz w:val="18"/>
                <w:szCs w:val="18"/>
                <w:color w:val="auto"/>
              </w:rPr>
              <w:t>Cash and cash equivalents -</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580" w:type="dxa"/>
            <w:vAlign w:val="bottom"/>
          </w:tcPr>
          <w:p>
            <w:pPr>
              <w:ind w:left="140"/>
              <w:spacing w:after="0"/>
              <w:rPr>
                <w:sz w:val="20"/>
                <w:szCs w:val="20"/>
                <w:color w:val="auto"/>
              </w:rPr>
            </w:pPr>
            <w:r>
              <w:rPr>
                <w:rFonts w:ascii="Arial" w:cs="Arial" w:eastAsia="Arial" w:hAnsi="Arial"/>
                <w:sz w:val="18"/>
                <w:szCs w:val="18"/>
                <w:color w:val="auto"/>
              </w:rPr>
              <w:t>restricted</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38,372</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38,372</w:t>
            </w:r>
          </w:p>
        </w:tc>
        <w:tc>
          <w:tcPr>
            <w:tcW w:w="0" w:type="dxa"/>
            <w:vAlign w:val="bottom"/>
          </w:tcPr>
          <w:p>
            <w:pPr>
              <w:spacing w:after="0"/>
              <w:rPr>
                <w:sz w:val="1"/>
                <w:szCs w:val="1"/>
                <w:color w:val="auto"/>
              </w:rPr>
            </w:pPr>
          </w:p>
        </w:tc>
      </w:tr>
      <w:tr>
        <w:trPr>
          <w:trHeight w:val="216"/>
        </w:trPr>
        <w:tc>
          <w:tcPr>
            <w:tcW w:w="2580" w:type="dxa"/>
            <w:vAlign w:val="bottom"/>
            <w:shd w:val="clear" w:color="auto" w:fill="CCEEFF"/>
          </w:tcPr>
          <w:p>
            <w:pPr>
              <w:spacing w:after="0"/>
              <w:rPr>
                <w:sz w:val="20"/>
                <w:szCs w:val="20"/>
                <w:color w:val="auto"/>
              </w:rPr>
            </w:pPr>
            <w:r>
              <w:rPr>
                <w:rFonts w:ascii="Arial" w:cs="Arial" w:eastAsia="Arial" w:hAnsi="Arial"/>
                <w:sz w:val="18"/>
                <w:szCs w:val="18"/>
                <w:color w:val="auto"/>
              </w:rPr>
              <w:t>Notes receivable</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108,696</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108,696</w:t>
            </w:r>
          </w:p>
        </w:tc>
        <w:tc>
          <w:tcPr>
            <w:tcW w:w="0" w:type="dxa"/>
            <w:vAlign w:val="bottom"/>
          </w:tcPr>
          <w:p>
            <w:pPr>
              <w:spacing w:after="0"/>
              <w:rPr>
                <w:sz w:val="1"/>
                <w:szCs w:val="1"/>
                <w:color w:val="auto"/>
              </w:rPr>
            </w:pPr>
          </w:p>
        </w:tc>
      </w:tr>
      <w:tr>
        <w:trPr>
          <w:trHeight w:val="202"/>
        </w:trPr>
        <w:tc>
          <w:tcPr>
            <w:tcW w:w="2580" w:type="dxa"/>
            <w:vAlign w:val="bottom"/>
          </w:tcPr>
          <w:p>
            <w:pPr>
              <w:spacing w:after="0" w:line="201" w:lineRule="exact"/>
              <w:rPr>
                <w:sz w:val="20"/>
                <w:szCs w:val="20"/>
                <w:color w:val="auto"/>
              </w:rPr>
            </w:pPr>
            <w:r>
              <w:rPr>
                <w:rFonts w:ascii="Arial" w:cs="Arial" w:eastAsia="Arial" w:hAnsi="Arial"/>
                <w:sz w:val="18"/>
                <w:szCs w:val="18"/>
                <w:color w:val="auto"/>
              </w:rPr>
              <w:t>Investment in Gaylord Rockies</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580" w:type="dxa"/>
            <w:vAlign w:val="bottom"/>
          </w:tcPr>
          <w:p>
            <w:pPr>
              <w:ind w:left="140"/>
              <w:spacing w:after="0"/>
              <w:rPr>
                <w:sz w:val="20"/>
                <w:szCs w:val="20"/>
                <w:color w:val="auto"/>
              </w:rPr>
            </w:pPr>
            <w:r>
              <w:rPr>
                <w:rFonts w:ascii="Arial" w:cs="Arial" w:eastAsia="Arial" w:hAnsi="Arial"/>
                <w:sz w:val="18"/>
                <w:szCs w:val="18"/>
                <w:color w:val="auto"/>
              </w:rPr>
              <w:t>joint venture</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89,403</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89,403</w:t>
            </w:r>
          </w:p>
        </w:tc>
        <w:tc>
          <w:tcPr>
            <w:tcW w:w="0" w:type="dxa"/>
            <w:vAlign w:val="bottom"/>
          </w:tcPr>
          <w:p>
            <w:pPr>
              <w:spacing w:after="0"/>
              <w:rPr>
                <w:sz w:val="1"/>
                <w:szCs w:val="1"/>
                <w:color w:val="auto"/>
              </w:rPr>
            </w:pPr>
          </w:p>
        </w:tc>
      </w:tr>
      <w:tr>
        <w:trPr>
          <w:trHeight w:val="216"/>
        </w:trPr>
        <w:tc>
          <w:tcPr>
            <w:tcW w:w="2580" w:type="dxa"/>
            <w:vAlign w:val="bottom"/>
            <w:shd w:val="clear" w:color="auto" w:fill="CCEEFF"/>
          </w:tcPr>
          <w:p>
            <w:pPr>
              <w:spacing w:after="0"/>
              <w:rPr>
                <w:sz w:val="20"/>
                <w:szCs w:val="20"/>
                <w:color w:val="auto"/>
              </w:rPr>
            </w:pPr>
            <w:r>
              <w:rPr>
                <w:rFonts w:ascii="Arial" w:cs="Arial" w:eastAsia="Arial" w:hAnsi="Arial"/>
                <w:sz w:val="18"/>
                <w:szCs w:val="18"/>
                <w:color w:val="auto"/>
                <w:w w:val="94"/>
              </w:rPr>
              <w:t>Trade receivables, less allowance</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80,595</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80,595</w:t>
            </w:r>
          </w:p>
        </w:tc>
        <w:tc>
          <w:tcPr>
            <w:tcW w:w="0" w:type="dxa"/>
            <w:vAlign w:val="bottom"/>
          </w:tcPr>
          <w:p>
            <w:pPr>
              <w:spacing w:after="0"/>
              <w:rPr>
                <w:sz w:val="1"/>
                <w:szCs w:val="1"/>
                <w:color w:val="auto"/>
              </w:rPr>
            </w:pPr>
          </w:p>
        </w:tc>
      </w:tr>
      <w:tr>
        <w:trPr>
          <w:trHeight w:val="216"/>
        </w:trPr>
        <w:tc>
          <w:tcPr>
            <w:tcW w:w="2580" w:type="dxa"/>
            <w:vAlign w:val="bottom"/>
          </w:tcPr>
          <w:p>
            <w:pPr>
              <w:spacing w:after="0"/>
              <w:rPr>
                <w:sz w:val="20"/>
                <w:szCs w:val="20"/>
                <w:color w:val="auto"/>
              </w:rPr>
            </w:pPr>
            <w:r>
              <w:rPr>
                <w:rFonts w:ascii="Arial" w:cs="Arial" w:eastAsia="Arial" w:hAnsi="Arial"/>
                <w:sz w:val="18"/>
                <w:szCs w:val="18"/>
                <w:color w:val="auto"/>
              </w:rPr>
              <w:t>Deferred income tax assets, net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(336)</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40,785</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40,449</w:t>
            </w:r>
          </w:p>
        </w:tc>
        <w:tc>
          <w:tcPr>
            <w:tcW w:w="0" w:type="dxa"/>
            <w:vAlign w:val="bottom"/>
          </w:tcPr>
          <w:p>
            <w:pPr>
              <w:spacing w:after="0"/>
              <w:rPr>
                <w:sz w:val="1"/>
                <w:szCs w:val="1"/>
                <w:color w:val="auto"/>
              </w:rPr>
            </w:pPr>
          </w:p>
        </w:tc>
      </w:tr>
      <w:tr>
        <w:trPr>
          <w:trHeight w:val="216"/>
        </w:trPr>
        <w:tc>
          <w:tcPr>
            <w:tcW w:w="2580" w:type="dxa"/>
            <w:vAlign w:val="bottom"/>
            <w:shd w:val="clear" w:color="auto" w:fill="CCEEFF"/>
          </w:tcPr>
          <w:p>
            <w:pPr>
              <w:spacing w:after="0"/>
              <w:rPr>
                <w:sz w:val="20"/>
                <w:szCs w:val="20"/>
                <w:color w:val="auto"/>
              </w:rPr>
            </w:pPr>
            <w:r>
              <w:rPr>
                <w:rFonts w:ascii="Arial" w:cs="Arial" w:eastAsia="Arial" w:hAnsi="Arial"/>
                <w:sz w:val="18"/>
                <w:szCs w:val="18"/>
                <w:color w:val="auto"/>
                <w:w w:val="90"/>
              </w:rPr>
              <w:t>Prepaid expenses and other assets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74,051</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74,341</w:t>
            </w:r>
          </w:p>
        </w:tc>
        <w:tc>
          <w:tcPr>
            <w:tcW w:w="0" w:type="dxa"/>
            <w:vAlign w:val="bottom"/>
          </w:tcPr>
          <w:p>
            <w:pPr>
              <w:spacing w:after="0"/>
              <w:rPr>
                <w:sz w:val="1"/>
                <w:szCs w:val="1"/>
                <w:color w:val="auto"/>
              </w:rPr>
            </w:pPr>
          </w:p>
        </w:tc>
      </w:tr>
      <w:tr>
        <w:trPr>
          <w:trHeight w:val="216"/>
        </w:trPr>
        <w:tc>
          <w:tcPr>
            <w:tcW w:w="2580" w:type="dxa"/>
            <w:vAlign w:val="bottom"/>
          </w:tcPr>
          <w:p>
            <w:pPr>
              <w:spacing w:after="0"/>
              <w:rPr>
                <w:sz w:val="20"/>
                <w:szCs w:val="20"/>
                <w:color w:val="auto"/>
              </w:rPr>
            </w:pPr>
            <w:r>
              <w:rPr>
                <w:rFonts w:ascii="Arial" w:cs="Arial" w:eastAsia="Arial" w:hAnsi="Arial"/>
                <w:sz w:val="18"/>
                <w:szCs w:val="18"/>
                <w:color w:val="auto"/>
              </w:rPr>
              <w:t>Intercompany receivables, net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4"/>
              </w:rPr>
              <w:t>1,846,754</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(1,846,754)</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580" w:type="dxa"/>
            <w:vAlign w:val="bottom"/>
            <w:shd w:val="clear" w:color="auto" w:fill="CCEEFF"/>
          </w:tcPr>
          <w:p>
            <w:pPr>
              <w:spacing w:after="0"/>
              <w:rPr>
                <w:sz w:val="20"/>
                <w:szCs w:val="20"/>
                <w:color w:val="auto"/>
              </w:rPr>
            </w:pPr>
            <w:r>
              <w:rPr>
                <w:rFonts w:ascii="Arial" w:cs="Arial" w:eastAsia="Arial" w:hAnsi="Arial"/>
                <w:sz w:val="18"/>
                <w:szCs w:val="18"/>
                <w:color w:val="auto"/>
              </w:rPr>
              <w:t>Investments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995,468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2,890,033</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650,362</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1,384,814</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(5,920,677)</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2580" w:type="dxa"/>
            <w:vAlign w:val="bottom"/>
            <w:tcBorders>
              <w:bottom w:val="single" w:sz="8" w:color="CCEEFF"/>
            </w:tcBorders>
          </w:tcPr>
          <w:p>
            <w:pPr>
              <w:ind w:left="440"/>
              <w:spacing w:after="0"/>
              <w:rPr>
                <w:sz w:val="20"/>
                <w:szCs w:val="20"/>
                <w:color w:val="auto"/>
              </w:rPr>
            </w:pPr>
            <w:r>
              <w:rPr>
                <w:rFonts w:ascii="Arial" w:cs="Arial" w:eastAsia="Arial" w:hAnsi="Arial"/>
                <w:sz w:val="18"/>
                <w:szCs w:val="18"/>
                <w:color w:val="auto"/>
              </w:rPr>
              <w:t>Total assets</w:t>
            </w:r>
          </w:p>
        </w:tc>
        <w:tc>
          <w:tcPr>
            <w:tcW w:w="10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995,756</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2,892,599</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4,144,442</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2,379,279</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(7,767,431)</w:t>
            </w:r>
          </w:p>
        </w:tc>
        <w:tc>
          <w:tcPr>
            <w:tcW w:w="160" w:type="dxa"/>
            <w:vAlign w:val="bottom"/>
            <w:tcBorders>
              <w:bottom w:val="single" w:sz="8" w:color="CCEEFF"/>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$ 2,644,645</w:t>
            </w:r>
          </w:p>
        </w:tc>
        <w:tc>
          <w:tcPr>
            <w:tcW w:w="0" w:type="dxa"/>
            <w:vAlign w:val="bottom"/>
          </w:tcPr>
          <w:p>
            <w:pPr>
              <w:spacing w:after="0"/>
              <w:rPr>
                <w:sz w:val="1"/>
                <w:szCs w:val="1"/>
                <w:color w:val="auto"/>
              </w:rPr>
            </w:pPr>
          </w:p>
        </w:tc>
      </w:tr>
      <w:tr>
        <w:trPr>
          <w:trHeight w:val="216"/>
        </w:trPr>
        <w:tc>
          <w:tcPr>
            <w:tcW w:w="2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580" w:type="dxa"/>
            <w:vAlign w:val="bottom"/>
          </w:tcPr>
          <w:p>
            <w:pPr>
              <w:spacing w:after="0" w:line="198" w:lineRule="exact"/>
              <w:rPr>
                <w:sz w:val="20"/>
                <w:szCs w:val="20"/>
                <w:color w:val="auto"/>
              </w:rPr>
            </w:pPr>
            <w:r>
              <w:rPr>
                <w:rFonts w:ascii="Arial" w:cs="Arial" w:eastAsia="Arial" w:hAnsi="Arial"/>
                <w:sz w:val="18"/>
                <w:szCs w:val="18"/>
                <w:b w:val="1"/>
                <w:bCs w:val="1"/>
                <w:color w:val="auto"/>
              </w:rPr>
              <w:t>LIABILITIES AND</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580" w:type="dxa"/>
            <w:vAlign w:val="bottom"/>
          </w:tcPr>
          <w:p>
            <w:pPr>
              <w:ind w:left="140"/>
              <w:spacing w:after="0"/>
              <w:rPr>
                <w:sz w:val="20"/>
                <w:szCs w:val="20"/>
                <w:color w:val="auto"/>
              </w:rPr>
            </w:pPr>
            <w:r>
              <w:rPr>
                <w:rFonts w:ascii="Arial" w:cs="Arial" w:eastAsia="Arial" w:hAnsi="Arial"/>
                <w:sz w:val="18"/>
                <w:szCs w:val="18"/>
                <w:b w:val="1"/>
                <w:bCs w:val="1"/>
                <w:color w:val="auto"/>
              </w:rPr>
              <w:t>STOCKHOLDERS’ EQUITY:</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580" w:type="dxa"/>
            <w:vAlign w:val="bottom"/>
            <w:shd w:val="clear" w:color="auto" w:fill="CCEEFF"/>
          </w:tcPr>
          <w:p>
            <w:pPr>
              <w:spacing w:after="0"/>
              <w:rPr>
                <w:sz w:val="20"/>
                <w:szCs w:val="20"/>
                <w:color w:val="auto"/>
              </w:rPr>
            </w:pPr>
            <w:r>
              <w:rPr>
                <w:rFonts w:ascii="Arial" w:cs="Arial" w:eastAsia="Arial" w:hAnsi="Arial"/>
                <w:sz w:val="18"/>
                <w:szCs w:val="18"/>
                <w:color w:val="auto"/>
                <w:w w:val="95"/>
              </w:rPr>
              <w:t>Debt and capital lease obligations</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1,692,803</w:t>
            </w:r>
          </w:p>
        </w:tc>
        <w:tc>
          <w:tcPr>
            <w:tcW w:w="8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w:t>
            </w:r>
          </w:p>
        </w:tc>
        <w:tc>
          <w:tcPr>
            <w:tcW w:w="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$ 1,693,427</w:t>
            </w:r>
          </w:p>
        </w:tc>
        <w:tc>
          <w:tcPr>
            <w:tcW w:w="0" w:type="dxa"/>
            <w:vAlign w:val="bottom"/>
          </w:tcPr>
          <w:p>
            <w:pPr>
              <w:spacing w:after="0"/>
              <w:rPr>
                <w:sz w:val="1"/>
                <w:szCs w:val="1"/>
                <w:color w:val="auto"/>
              </w:rPr>
            </w:pPr>
          </w:p>
        </w:tc>
      </w:tr>
      <w:tr>
        <w:trPr>
          <w:trHeight w:val="202"/>
        </w:trPr>
        <w:tc>
          <w:tcPr>
            <w:tcW w:w="2580" w:type="dxa"/>
            <w:vAlign w:val="bottom"/>
          </w:tcPr>
          <w:p>
            <w:pPr>
              <w:spacing w:after="0" w:line="201" w:lineRule="exact"/>
              <w:rPr>
                <w:sz w:val="20"/>
                <w:szCs w:val="20"/>
                <w:color w:val="auto"/>
              </w:rPr>
            </w:pPr>
            <w:r>
              <w:rPr>
                <w:rFonts w:ascii="Arial" w:cs="Arial" w:eastAsia="Arial" w:hAnsi="Arial"/>
                <w:sz w:val="18"/>
                <w:szCs w:val="18"/>
                <w:color w:val="auto"/>
              </w:rPr>
              <w:t>Accounts payable and accrued</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580" w:type="dxa"/>
            <w:vAlign w:val="bottom"/>
          </w:tcPr>
          <w:p>
            <w:pPr>
              <w:ind w:left="140"/>
              <w:spacing w:after="0"/>
              <w:rPr>
                <w:sz w:val="20"/>
                <w:szCs w:val="20"/>
                <w:color w:val="auto"/>
              </w:rPr>
            </w:pPr>
            <w:r>
              <w:rPr>
                <w:rFonts w:ascii="Arial" w:cs="Arial" w:eastAsia="Arial" w:hAnsi="Arial"/>
                <w:sz w:val="18"/>
                <w:szCs w:val="18"/>
                <w:color w:val="auto"/>
              </w:rPr>
              <w:t>liabilities</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82</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22,793</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5,376</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186,460</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214,711</w:t>
            </w:r>
          </w:p>
        </w:tc>
        <w:tc>
          <w:tcPr>
            <w:tcW w:w="0" w:type="dxa"/>
            <w:vAlign w:val="bottom"/>
          </w:tcPr>
          <w:p>
            <w:pPr>
              <w:spacing w:after="0"/>
              <w:rPr>
                <w:sz w:val="1"/>
                <w:szCs w:val="1"/>
                <w:color w:val="auto"/>
              </w:rPr>
            </w:pPr>
          </w:p>
        </w:tc>
      </w:tr>
      <w:tr>
        <w:trPr>
          <w:trHeight w:val="216"/>
        </w:trPr>
        <w:tc>
          <w:tcPr>
            <w:tcW w:w="2580" w:type="dxa"/>
            <w:vAlign w:val="bottom"/>
            <w:shd w:val="clear" w:color="auto" w:fill="CCEEFF"/>
          </w:tcPr>
          <w:p>
            <w:pPr>
              <w:spacing w:after="0"/>
              <w:rPr>
                <w:sz w:val="20"/>
                <w:szCs w:val="20"/>
                <w:color w:val="auto"/>
              </w:rPr>
            </w:pPr>
            <w:r>
              <w:rPr>
                <w:rFonts w:ascii="Arial" w:cs="Arial" w:eastAsia="Arial" w:hAnsi="Arial"/>
                <w:sz w:val="18"/>
                <w:szCs w:val="18"/>
                <w:color w:val="auto"/>
              </w:rPr>
              <w:t>Dividends payable</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44,668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44,668</w:t>
            </w:r>
          </w:p>
        </w:tc>
        <w:tc>
          <w:tcPr>
            <w:tcW w:w="0" w:type="dxa"/>
            <w:vAlign w:val="bottom"/>
          </w:tcPr>
          <w:p>
            <w:pPr>
              <w:spacing w:after="0"/>
              <w:rPr>
                <w:sz w:val="1"/>
                <w:szCs w:val="1"/>
                <w:color w:val="auto"/>
              </w:rPr>
            </w:pPr>
          </w:p>
        </w:tc>
      </w:tr>
      <w:tr>
        <w:trPr>
          <w:trHeight w:val="202"/>
        </w:trPr>
        <w:tc>
          <w:tcPr>
            <w:tcW w:w="2580" w:type="dxa"/>
            <w:vAlign w:val="bottom"/>
          </w:tcPr>
          <w:p>
            <w:pPr>
              <w:spacing w:after="0" w:line="201" w:lineRule="exact"/>
              <w:rPr>
                <w:sz w:val="20"/>
                <w:szCs w:val="20"/>
                <w:color w:val="auto"/>
              </w:rPr>
            </w:pPr>
            <w:r>
              <w:rPr>
                <w:rFonts w:ascii="Arial" w:cs="Arial" w:eastAsia="Arial" w:hAnsi="Arial"/>
                <w:sz w:val="18"/>
                <w:szCs w:val="18"/>
                <w:color w:val="auto"/>
              </w:rPr>
              <w:t>Deferred management rights</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580" w:type="dxa"/>
            <w:vAlign w:val="bottom"/>
          </w:tcPr>
          <w:p>
            <w:pPr>
              <w:ind w:left="140"/>
              <w:spacing w:after="0"/>
              <w:rPr>
                <w:sz w:val="20"/>
                <w:szCs w:val="20"/>
                <w:color w:val="auto"/>
              </w:rPr>
            </w:pPr>
            <w:r>
              <w:rPr>
                <w:rFonts w:ascii="Arial" w:cs="Arial" w:eastAsia="Arial" w:hAnsi="Arial"/>
                <w:sz w:val="18"/>
                <w:szCs w:val="18"/>
                <w:color w:val="auto"/>
              </w:rPr>
              <w:t>proceeds</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174,784</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174,784</w:t>
            </w:r>
          </w:p>
        </w:tc>
        <w:tc>
          <w:tcPr>
            <w:tcW w:w="0" w:type="dxa"/>
            <w:vAlign w:val="bottom"/>
          </w:tcPr>
          <w:p>
            <w:pPr>
              <w:spacing w:after="0"/>
              <w:rPr>
                <w:sz w:val="1"/>
                <w:szCs w:val="1"/>
                <w:color w:val="auto"/>
              </w:rPr>
            </w:pPr>
          </w:p>
        </w:tc>
      </w:tr>
      <w:tr>
        <w:trPr>
          <w:trHeight w:val="216"/>
        </w:trPr>
        <w:tc>
          <w:tcPr>
            <w:tcW w:w="258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98,821</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60,739</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159,560</w:t>
            </w:r>
          </w:p>
        </w:tc>
        <w:tc>
          <w:tcPr>
            <w:tcW w:w="0" w:type="dxa"/>
            <w:vAlign w:val="bottom"/>
          </w:tcPr>
          <w:p>
            <w:pPr>
              <w:spacing w:after="0"/>
              <w:rPr>
                <w:sz w:val="1"/>
                <w:szCs w:val="1"/>
                <w:color w:val="auto"/>
              </w:rPr>
            </w:pPr>
          </w:p>
        </w:tc>
      </w:tr>
      <w:tr>
        <w:trPr>
          <w:trHeight w:val="216"/>
        </w:trPr>
        <w:tc>
          <w:tcPr>
            <w:tcW w:w="2580" w:type="dxa"/>
            <w:vAlign w:val="bottom"/>
          </w:tcPr>
          <w:p>
            <w:pPr>
              <w:spacing w:after="0"/>
              <w:rPr>
                <w:sz w:val="20"/>
                <w:szCs w:val="20"/>
                <w:color w:val="auto"/>
              </w:rPr>
            </w:pPr>
            <w:r>
              <w:rPr>
                <w:rFonts w:ascii="Arial" w:cs="Arial" w:eastAsia="Arial" w:hAnsi="Arial"/>
                <w:sz w:val="18"/>
                <w:szCs w:val="18"/>
                <w:color w:val="auto"/>
              </w:rPr>
              <w:t>Intercompany payables, net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593,511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969,127</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284,116</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(1,846,754)</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580" w:type="dxa"/>
            <w:vAlign w:val="bottom"/>
            <w:shd w:val="clear" w:color="auto" w:fill="CCEEFF"/>
          </w:tcPr>
          <w:p>
            <w:pPr>
              <w:spacing w:after="0"/>
              <w:rPr>
                <w:sz w:val="20"/>
                <w:szCs w:val="20"/>
                <w:color w:val="auto"/>
              </w:rPr>
            </w:pPr>
            <w:r>
              <w:rPr>
                <w:rFonts w:ascii="Arial" w:cs="Arial" w:eastAsia="Arial" w:hAnsi="Arial"/>
                <w:sz w:val="18"/>
                <w:szCs w:val="18"/>
                <w:color w:val="auto"/>
                <w:w w:val="98"/>
              </w:rPr>
              <w:t>Commitments and contingencies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80" w:type="dxa"/>
            <w:vAlign w:val="bottom"/>
          </w:tcPr>
          <w:p>
            <w:pPr>
              <w:spacing w:after="0"/>
              <w:rPr>
                <w:sz w:val="20"/>
                <w:szCs w:val="20"/>
                <w:color w:val="auto"/>
              </w:rPr>
            </w:pPr>
            <w:r>
              <w:rPr>
                <w:rFonts w:ascii="Arial" w:cs="Arial" w:eastAsia="Arial" w:hAnsi="Arial"/>
                <w:sz w:val="18"/>
                <w:szCs w:val="18"/>
                <w:color w:val="auto"/>
              </w:rPr>
              <w:t>Stockholders’ equity:</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Preferred stock</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580" w:type="dxa"/>
            <w:vAlign w:val="bottom"/>
          </w:tcPr>
          <w:p>
            <w:pPr>
              <w:ind w:left="120"/>
              <w:spacing w:after="0"/>
              <w:rPr>
                <w:sz w:val="20"/>
                <w:szCs w:val="20"/>
                <w:color w:val="auto"/>
              </w:rPr>
            </w:pPr>
            <w:r>
              <w:rPr>
                <w:rFonts w:ascii="Arial" w:cs="Arial" w:eastAsia="Arial" w:hAnsi="Arial"/>
                <w:sz w:val="18"/>
                <w:szCs w:val="18"/>
                <w:color w:val="auto"/>
              </w:rPr>
              <w:t>Common stock</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513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2,387</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(2,389)</w:t>
            </w:r>
          </w:p>
        </w:tc>
        <w:tc>
          <w:tcPr>
            <w:tcW w:w="920" w:type="dxa"/>
            <w:vAlign w:val="bottom"/>
          </w:tcPr>
          <w:p>
            <w:pPr>
              <w:jc w:val="right"/>
              <w:spacing w:after="0"/>
              <w:rPr>
                <w:sz w:val="20"/>
                <w:szCs w:val="20"/>
                <w:color w:val="auto"/>
              </w:rPr>
            </w:pPr>
            <w:r>
              <w:rPr>
                <w:rFonts w:ascii="Arial" w:cs="Arial" w:eastAsia="Arial" w:hAnsi="Arial"/>
                <w:sz w:val="18"/>
                <w:szCs w:val="18"/>
                <w:color w:val="auto"/>
              </w:rPr>
              <w:t>513</w:t>
            </w:r>
          </w:p>
        </w:tc>
        <w:tc>
          <w:tcPr>
            <w:tcW w:w="0" w:type="dxa"/>
            <w:vAlign w:val="bottom"/>
          </w:tcPr>
          <w:p>
            <w:pPr>
              <w:spacing w:after="0"/>
              <w:rPr>
                <w:sz w:val="1"/>
                <w:szCs w:val="1"/>
                <w:color w:val="auto"/>
              </w:rPr>
            </w:pPr>
          </w:p>
        </w:tc>
      </w:tr>
      <w:tr>
        <w:trPr>
          <w:trHeight w:val="216"/>
        </w:trPr>
        <w:tc>
          <w:tcPr>
            <w:tcW w:w="25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Additional paid-in-capital</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898,845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542,991</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2,835,468</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2,093,818</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(5,472,277)</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898,845</w:t>
            </w:r>
          </w:p>
        </w:tc>
        <w:tc>
          <w:tcPr>
            <w:tcW w:w="0" w:type="dxa"/>
            <w:vAlign w:val="bottom"/>
          </w:tcPr>
          <w:p>
            <w:pPr>
              <w:spacing w:after="0"/>
              <w:rPr>
                <w:sz w:val="1"/>
                <w:szCs w:val="1"/>
                <w:color w:val="auto"/>
              </w:rPr>
            </w:pPr>
          </w:p>
        </w:tc>
      </w:tr>
      <w:tr>
        <w:trPr>
          <w:trHeight w:val="216"/>
        </w:trPr>
        <w:tc>
          <w:tcPr>
            <w:tcW w:w="2580" w:type="dxa"/>
            <w:vAlign w:val="bottom"/>
          </w:tcPr>
          <w:p>
            <w:pPr>
              <w:ind w:left="120"/>
              <w:spacing w:after="0"/>
              <w:rPr>
                <w:sz w:val="20"/>
                <w:szCs w:val="20"/>
                <w:color w:val="auto"/>
              </w:rPr>
            </w:pPr>
            <w:r>
              <w:rPr>
                <w:rFonts w:ascii="Arial" w:cs="Arial" w:eastAsia="Arial" w:hAnsi="Arial"/>
                <w:sz w:val="18"/>
                <w:szCs w:val="18"/>
                <w:color w:val="auto"/>
              </w:rPr>
              <w:t>Treasury stock</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(14,195)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(14,195)</w:t>
            </w:r>
          </w:p>
        </w:tc>
        <w:tc>
          <w:tcPr>
            <w:tcW w:w="0" w:type="dxa"/>
            <w:vAlign w:val="bottom"/>
          </w:tcPr>
          <w:p>
            <w:pPr>
              <w:spacing w:after="0"/>
              <w:rPr>
                <w:sz w:val="1"/>
                <w:szCs w:val="1"/>
                <w:color w:val="auto"/>
              </w:rPr>
            </w:pPr>
          </w:p>
        </w:tc>
      </w:tr>
      <w:tr>
        <w:trPr>
          <w:trHeight w:val="216"/>
        </w:trPr>
        <w:tc>
          <w:tcPr>
            <w:tcW w:w="25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Accumulated deficit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8"/>
              </w:rPr>
              <w:t>(504,577)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(335,116)</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1,204,776</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(400,558)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(469,102)</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(504,577)</w:t>
            </w:r>
          </w:p>
        </w:tc>
        <w:tc>
          <w:tcPr>
            <w:tcW w:w="0" w:type="dxa"/>
            <w:vAlign w:val="bottom"/>
          </w:tcPr>
          <w:p>
            <w:pPr>
              <w:spacing w:after="0"/>
              <w:rPr>
                <w:sz w:val="1"/>
                <w:szCs w:val="1"/>
                <w:color w:val="auto"/>
              </w:rPr>
            </w:pPr>
          </w:p>
        </w:tc>
      </w:tr>
      <w:tr>
        <w:trPr>
          <w:trHeight w:val="202"/>
        </w:trPr>
        <w:tc>
          <w:tcPr>
            <w:tcW w:w="2580" w:type="dxa"/>
            <w:vAlign w:val="bottom"/>
          </w:tcPr>
          <w:p>
            <w:pPr>
              <w:ind w:left="120"/>
              <w:spacing w:after="0" w:line="201" w:lineRule="exact"/>
              <w:rPr>
                <w:sz w:val="20"/>
                <w:szCs w:val="20"/>
                <w:color w:val="auto"/>
              </w:rPr>
            </w:pPr>
            <w:r>
              <w:rPr>
                <w:rFonts w:ascii="Arial" w:cs="Arial" w:eastAsia="Arial" w:hAnsi="Arial"/>
                <w:sz w:val="18"/>
                <w:szCs w:val="18"/>
                <w:color w:val="auto"/>
              </w:rPr>
              <w:t>Accumulated other</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580" w:type="dxa"/>
            <w:vAlign w:val="bottom"/>
          </w:tcPr>
          <w:p>
            <w:pPr>
              <w:ind w:left="240"/>
              <w:spacing w:after="0"/>
              <w:rPr>
                <w:sz w:val="20"/>
                <w:szCs w:val="20"/>
                <w:color w:val="auto"/>
              </w:rPr>
            </w:pPr>
            <w:r>
              <w:rPr>
                <w:rFonts w:ascii="Arial" w:cs="Arial" w:eastAsia="Arial" w:hAnsi="Arial"/>
                <w:sz w:val="18"/>
                <w:szCs w:val="18"/>
                <w:color w:val="auto"/>
              </w:rPr>
              <w:t>comprehensive loss</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(23,091)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(23,091)</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23,091</w:t>
            </w:r>
          </w:p>
        </w:tc>
        <w:tc>
          <w:tcPr>
            <w:tcW w:w="1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(23,091)</w:t>
            </w:r>
          </w:p>
        </w:tc>
        <w:tc>
          <w:tcPr>
            <w:tcW w:w="0" w:type="dxa"/>
            <w:vAlign w:val="bottom"/>
          </w:tcPr>
          <w:p>
            <w:pPr>
              <w:spacing w:after="0"/>
              <w:rPr>
                <w:sz w:val="1"/>
                <w:szCs w:val="1"/>
                <w:color w:val="auto"/>
              </w:rPr>
            </w:pPr>
          </w:p>
        </w:tc>
      </w:tr>
      <w:tr>
        <w:trPr>
          <w:trHeight w:val="210"/>
        </w:trPr>
        <w:tc>
          <w:tcPr>
            <w:tcW w:w="258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stockholders' equity</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357,495</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207,876</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4,040,245</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1,672,556</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(5,920,677)</w:t>
            </w:r>
          </w:p>
        </w:tc>
        <w:tc>
          <w:tcPr>
            <w:tcW w:w="16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357,495</w:t>
            </w:r>
          </w:p>
        </w:tc>
        <w:tc>
          <w:tcPr>
            <w:tcW w:w="0" w:type="dxa"/>
            <w:vAlign w:val="bottom"/>
          </w:tcPr>
          <w:p>
            <w:pPr>
              <w:spacing w:after="0"/>
              <w:rPr>
                <w:sz w:val="1"/>
                <w:szCs w:val="1"/>
                <w:color w:val="auto"/>
              </w:rPr>
            </w:pPr>
          </w:p>
        </w:tc>
      </w:tr>
      <w:tr>
        <w:trPr>
          <w:trHeight w:val="182"/>
        </w:trPr>
        <w:tc>
          <w:tcPr>
            <w:tcW w:w="2580" w:type="dxa"/>
            <w:vAlign w:val="bottom"/>
          </w:tcPr>
          <w:p>
            <w:pPr>
              <w:ind w:left="440"/>
              <w:spacing w:after="0" w:line="182" w:lineRule="exact"/>
              <w:rPr>
                <w:sz w:val="20"/>
                <w:szCs w:val="20"/>
                <w:color w:val="auto"/>
              </w:rPr>
            </w:pPr>
            <w:r>
              <w:rPr>
                <w:rFonts w:ascii="Arial" w:cs="Arial" w:eastAsia="Arial" w:hAnsi="Arial"/>
                <w:sz w:val="18"/>
                <w:szCs w:val="18"/>
                <w:color w:val="auto"/>
              </w:rPr>
              <w:t>Total liabilities and</w:t>
            </w:r>
          </w:p>
        </w:tc>
        <w:tc>
          <w:tcPr>
            <w:tcW w:w="20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995,756</w:t>
            </w:r>
          </w:p>
        </w:tc>
        <w:tc>
          <w:tcPr>
            <w:tcW w:w="80" w:type="dxa"/>
            <w:vAlign w:val="bottom"/>
          </w:tcPr>
          <w:p>
            <w:pPr>
              <w:spacing w:after="0"/>
              <w:rPr>
                <w:sz w:val="15"/>
                <w:szCs w:val="15"/>
                <w:color w:val="auto"/>
              </w:rPr>
            </w:pPr>
          </w:p>
        </w:tc>
        <w:tc>
          <w:tcPr>
            <w:tcW w:w="22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w w:val="89"/>
              </w:rPr>
              <w:t>2,892,599</w:t>
            </w:r>
          </w:p>
        </w:tc>
        <w:tc>
          <w:tcPr>
            <w:tcW w:w="80" w:type="dxa"/>
            <w:vAlign w:val="bottom"/>
          </w:tcPr>
          <w:p>
            <w:pPr>
              <w:spacing w:after="0"/>
              <w:rPr>
                <w:sz w:val="15"/>
                <w:szCs w:val="15"/>
                <w:color w:val="auto"/>
              </w:rPr>
            </w:pPr>
          </w:p>
        </w:tc>
        <w:tc>
          <w:tcPr>
            <w:tcW w:w="16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w w:val="94"/>
              </w:rPr>
              <w:t>4,144,442</w:t>
            </w:r>
          </w:p>
        </w:tc>
        <w:tc>
          <w:tcPr>
            <w:tcW w:w="80" w:type="dxa"/>
            <w:vAlign w:val="bottom"/>
          </w:tcPr>
          <w:p>
            <w:pPr>
              <w:spacing w:after="0"/>
              <w:rPr>
                <w:sz w:val="15"/>
                <w:szCs w:val="15"/>
                <w:color w:val="auto"/>
              </w:rPr>
            </w:pPr>
          </w:p>
        </w:tc>
        <w:tc>
          <w:tcPr>
            <w:tcW w:w="16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w w:val="94"/>
              </w:rPr>
              <w:t>2,379,279</w:t>
            </w:r>
          </w:p>
        </w:tc>
        <w:tc>
          <w:tcPr>
            <w:tcW w:w="80" w:type="dxa"/>
            <w:vAlign w:val="bottom"/>
          </w:tcPr>
          <w:p>
            <w:pPr>
              <w:spacing w:after="0"/>
              <w:rPr>
                <w:sz w:val="15"/>
                <w:szCs w:val="15"/>
                <w:color w:val="auto"/>
              </w:rPr>
            </w:pPr>
          </w:p>
        </w:tc>
        <w:tc>
          <w:tcPr>
            <w:tcW w:w="18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w w:val="95"/>
              </w:rPr>
              <w:t>(7,767,431)</w:t>
            </w: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w w:val="90"/>
              </w:rPr>
              <w:t>$ 2,644,645</w:t>
            </w:r>
          </w:p>
        </w:tc>
        <w:tc>
          <w:tcPr>
            <w:tcW w:w="0" w:type="dxa"/>
            <w:vAlign w:val="bottom"/>
          </w:tcPr>
          <w:p>
            <w:pPr>
              <w:spacing w:after="0"/>
              <w:rPr>
                <w:sz w:val="1"/>
                <w:szCs w:val="1"/>
                <w:color w:val="auto"/>
              </w:rPr>
            </w:pPr>
          </w:p>
        </w:tc>
      </w:tr>
      <w:tr>
        <w:trPr>
          <w:trHeight w:val="224"/>
        </w:trPr>
        <w:tc>
          <w:tcPr>
            <w:tcW w:w="2580" w:type="dxa"/>
            <w:vAlign w:val="bottom"/>
          </w:tcPr>
          <w:p>
            <w:pPr>
              <w:ind w:left="560"/>
              <w:spacing w:after="0"/>
              <w:rPr>
                <w:sz w:val="20"/>
                <w:szCs w:val="20"/>
                <w:color w:val="auto"/>
              </w:rPr>
            </w:pPr>
            <w:r>
              <w:rPr>
                <w:rFonts w:ascii="Arial" w:cs="Arial" w:eastAsia="Arial" w:hAnsi="Arial"/>
                <w:sz w:val="18"/>
                <w:szCs w:val="18"/>
                <w:color w:val="auto"/>
              </w:rPr>
              <w:t>stockholders' equity</w:t>
            </w:r>
          </w:p>
        </w:tc>
        <w:tc>
          <w:tcPr>
            <w:tcW w:w="200" w:type="dxa"/>
            <w:vAlign w:val="bottom"/>
            <w:gridSpan w:val="2"/>
            <w:vMerge w:val="continue"/>
          </w:tcPr>
          <w:p>
            <w:pPr>
              <w:spacing w:after="0"/>
              <w:rPr>
                <w:sz w:val="19"/>
                <w:szCs w:val="19"/>
                <w:color w:val="auto"/>
              </w:rPr>
            </w:pPr>
          </w:p>
        </w:tc>
        <w:tc>
          <w:tcPr>
            <w:tcW w:w="7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gridSpan w:val="2"/>
            <w:vMerge w:val="continue"/>
          </w:tcPr>
          <w:p>
            <w:pPr>
              <w:spacing w:after="0"/>
              <w:rPr>
                <w:sz w:val="19"/>
                <w:szCs w:val="19"/>
                <w:color w:val="auto"/>
              </w:rPr>
            </w:pPr>
          </w:p>
        </w:tc>
        <w:tc>
          <w:tcPr>
            <w:tcW w:w="8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gridSpan w:val="2"/>
            <w:vMerge w:val="continue"/>
          </w:tcPr>
          <w:p>
            <w:pPr>
              <w:spacing w:after="0"/>
              <w:rPr>
                <w:sz w:val="19"/>
                <w:szCs w:val="19"/>
                <w:color w:val="auto"/>
              </w:rPr>
            </w:pPr>
          </w:p>
        </w:tc>
        <w:tc>
          <w:tcPr>
            <w:tcW w:w="8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gridSpan w:val="2"/>
            <w:vMerge w:val="continue"/>
          </w:tcPr>
          <w:p>
            <w:pPr>
              <w:spacing w:after="0"/>
              <w:rPr>
                <w:sz w:val="19"/>
                <w:szCs w:val="19"/>
                <w:color w:val="auto"/>
              </w:rPr>
            </w:pPr>
          </w:p>
        </w:tc>
        <w:tc>
          <w:tcPr>
            <w:tcW w:w="8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gridSpan w:val="2"/>
            <w:vMerge w:val="continue"/>
          </w:tcPr>
          <w:p>
            <w:pPr>
              <w:spacing w:after="0"/>
              <w:rPr>
                <w:sz w:val="19"/>
                <w:szCs w:val="19"/>
                <w:color w:val="auto"/>
              </w:rPr>
            </w:pPr>
          </w:p>
        </w:tc>
        <w:tc>
          <w:tcPr>
            <w:tcW w:w="1060" w:type="dxa"/>
            <w:vAlign w:val="bottom"/>
            <w:gridSpan w:val="2"/>
            <w:vMerge w:val="continue"/>
          </w:tcPr>
          <w:p>
            <w:pPr>
              <w:spacing w:after="0"/>
              <w:rPr>
                <w:sz w:val="19"/>
                <w:szCs w:val="19"/>
                <w:color w:val="auto"/>
              </w:rPr>
            </w:pPr>
          </w:p>
        </w:tc>
        <w:tc>
          <w:tcPr>
            <w:tcW w:w="9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864"/>
        </w:trPr>
        <w:tc>
          <w:tcPr>
            <w:tcW w:w="2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5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125" w:right="1419" w:bottom="1440" w:gutter="0" w:footer="0" w:header="0"/>
        </w:sectPr>
      </w:pPr>
    </w:p>
    <w:bookmarkStart w:id="16" w:name="page17"/>
    <w:bookmarkEnd w:id="1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RYMAN HOSPITALITY PROPERTIES, INC. AND SUBSIDIARIES CONDENSED CONSOLIDATING BALANCE SHEET December 31, 2017</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Parent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Issuer</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w w:val="95"/>
              </w:rPr>
              <w:t>Guarantors</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Non-</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w w:val="93"/>
              </w:rPr>
              <w:t>Eliminations</w:t>
            </w:r>
          </w:p>
        </w:tc>
        <w:tc>
          <w:tcPr>
            <w:tcW w:w="92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71"/>
        </w:trPr>
        <w:tc>
          <w:tcPr>
            <w:tcW w:w="2600" w:type="dxa"/>
            <w:vAlign w:val="bottom"/>
          </w:tcPr>
          <w:p>
            <w:pPr>
              <w:spacing w:after="0"/>
              <w:rPr>
                <w:sz w:val="20"/>
                <w:szCs w:val="20"/>
                <w:color w:val="auto"/>
              </w:rPr>
            </w:pPr>
            <w:r>
              <w:rPr>
                <w:rFonts w:ascii="Arial" w:cs="Arial" w:eastAsia="Arial" w:hAnsi="Arial"/>
                <w:sz w:val="14"/>
                <w:szCs w:val="14"/>
                <w:color w:val="auto"/>
              </w:rPr>
              <w:t>(in thousands)</w:t>
            </w:r>
          </w:p>
        </w:tc>
        <w:tc>
          <w:tcPr>
            <w:tcW w:w="120" w:type="dxa"/>
            <w:vAlign w:val="bottom"/>
          </w:tcPr>
          <w:p>
            <w:pPr>
              <w:spacing w:after="0"/>
              <w:rPr>
                <w:sz w:val="14"/>
                <w:szCs w:val="14"/>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Guarantor</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95"/>
              </w:rPr>
              <w:t>Guarantors</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6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600" w:type="dxa"/>
            <w:vAlign w:val="bottom"/>
          </w:tcPr>
          <w:p>
            <w:pPr>
              <w:spacing w:after="0" w:line="201" w:lineRule="exact"/>
              <w:rPr>
                <w:sz w:val="20"/>
                <w:szCs w:val="20"/>
                <w:color w:val="auto"/>
              </w:rPr>
            </w:pPr>
            <w:r>
              <w:rPr>
                <w:rFonts w:ascii="Arial" w:cs="Arial" w:eastAsia="Arial" w:hAnsi="Arial"/>
                <w:sz w:val="18"/>
                <w:szCs w:val="18"/>
                <w:color w:val="auto"/>
              </w:rPr>
              <w:t>Property and equipment, net of</w:t>
            </w: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600" w:type="dxa"/>
            <w:vAlign w:val="bottom"/>
          </w:tcPr>
          <w:p>
            <w:pPr>
              <w:ind w:left="140"/>
              <w:spacing w:after="0"/>
              <w:rPr>
                <w:sz w:val="20"/>
                <w:szCs w:val="20"/>
                <w:color w:val="auto"/>
              </w:rPr>
            </w:pPr>
            <w:r>
              <w:rPr>
                <w:rFonts w:ascii="Arial" w:cs="Arial" w:eastAsia="Arial" w:hAnsi="Arial"/>
                <w:sz w:val="18"/>
                <w:szCs w:val="18"/>
                <w:color w:val="auto"/>
              </w:rPr>
              <w:t>accumulated depreciation</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w w:val="94"/>
              </w:rPr>
              <w:t>1,640,274</w:t>
            </w:r>
          </w:p>
        </w:tc>
        <w:tc>
          <w:tcPr>
            <w:tcW w:w="80" w:type="dxa"/>
            <w:vAlign w:val="bottom"/>
          </w:tcPr>
          <w:p>
            <w:pPr>
              <w:spacing w:after="0"/>
              <w:rPr>
                <w:sz w:val="20"/>
                <w:szCs w:val="20"/>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425,383</w:t>
            </w:r>
          </w:p>
        </w:tc>
        <w:tc>
          <w:tcPr>
            <w:tcW w:w="80" w:type="dxa"/>
            <w:vAlign w:val="bottom"/>
          </w:tcPr>
          <w:p>
            <w:pPr>
              <w:spacing w:after="0"/>
              <w:rPr>
                <w:sz w:val="20"/>
                <w:szCs w:val="20"/>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w w:val="90"/>
              </w:rPr>
              <w:t>$ 2,065,657</w:t>
            </w:r>
          </w:p>
        </w:tc>
        <w:tc>
          <w:tcPr>
            <w:tcW w:w="0" w:type="dxa"/>
            <w:vAlign w:val="bottom"/>
          </w:tcPr>
          <w:p>
            <w:pPr>
              <w:spacing w:after="0"/>
              <w:rPr>
                <w:sz w:val="1"/>
                <w:szCs w:val="1"/>
                <w:color w:val="auto"/>
              </w:rPr>
            </w:pPr>
          </w:p>
        </w:tc>
      </w:tr>
      <w:tr>
        <w:trPr>
          <w:trHeight w:val="202"/>
        </w:trPr>
        <w:tc>
          <w:tcPr>
            <w:tcW w:w="26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Cash and cash equivalents -</w:t>
            </w: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6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unrestricted</w:t>
            </w:r>
          </w:p>
        </w:tc>
        <w:tc>
          <w:tcPr>
            <w:tcW w:w="12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759</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56,724</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57,557</w:t>
            </w:r>
          </w:p>
        </w:tc>
        <w:tc>
          <w:tcPr>
            <w:tcW w:w="0" w:type="dxa"/>
            <w:vAlign w:val="bottom"/>
          </w:tcPr>
          <w:p>
            <w:pPr>
              <w:spacing w:after="0"/>
              <w:rPr>
                <w:sz w:val="1"/>
                <w:szCs w:val="1"/>
                <w:color w:val="auto"/>
              </w:rPr>
            </w:pPr>
          </w:p>
        </w:tc>
      </w:tr>
      <w:tr>
        <w:trPr>
          <w:trHeight w:val="202"/>
        </w:trPr>
        <w:tc>
          <w:tcPr>
            <w:tcW w:w="2600" w:type="dxa"/>
            <w:vAlign w:val="bottom"/>
          </w:tcPr>
          <w:p>
            <w:pPr>
              <w:spacing w:after="0" w:line="201" w:lineRule="exact"/>
              <w:rPr>
                <w:sz w:val="20"/>
                <w:szCs w:val="20"/>
                <w:color w:val="auto"/>
              </w:rPr>
            </w:pPr>
            <w:r>
              <w:rPr>
                <w:rFonts w:ascii="Arial" w:cs="Arial" w:eastAsia="Arial" w:hAnsi="Arial"/>
                <w:sz w:val="18"/>
                <w:szCs w:val="18"/>
                <w:color w:val="auto"/>
              </w:rPr>
              <w:t>Cash and cash equivalents -</w:t>
            </w: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600" w:type="dxa"/>
            <w:vAlign w:val="bottom"/>
          </w:tcPr>
          <w:p>
            <w:pPr>
              <w:ind w:left="140"/>
              <w:spacing w:after="0"/>
              <w:rPr>
                <w:sz w:val="20"/>
                <w:szCs w:val="20"/>
                <w:color w:val="auto"/>
              </w:rPr>
            </w:pPr>
            <w:r>
              <w:rPr>
                <w:rFonts w:ascii="Arial" w:cs="Arial" w:eastAsia="Arial" w:hAnsi="Arial"/>
                <w:sz w:val="18"/>
                <w:szCs w:val="18"/>
                <w:color w:val="auto"/>
              </w:rPr>
              <w:t>restricted</w:t>
            </w:r>
          </w:p>
        </w:tc>
        <w:tc>
          <w:tcPr>
            <w:tcW w:w="120" w:type="dxa"/>
            <w:vAlign w:val="bottom"/>
          </w:tcPr>
          <w:p>
            <w:pPr>
              <w:spacing w:after="0"/>
              <w:rPr>
                <w:sz w:val="20"/>
                <w:szCs w:val="20"/>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21,153</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21,153</w:t>
            </w:r>
          </w:p>
        </w:tc>
        <w:tc>
          <w:tcPr>
            <w:tcW w:w="0" w:type="dxa"/>
            <w:vAlign w:val="bottom"/>
          </w:tcPr>
          <w:p>
            <w:pPr>
              <w:spacing w:after="0"/>
              <w:rPr>
                <w:sz w:val="1"/>
                <w:szCs w:val="1"/>
                <w:color w:val="auto"/>
              </w:rPr>
            </w:pPr>
          </w:p>
        </w:tc>
      </w:tr>
      <w:tr>
        <w:trPr>
          <w:trHeight w:val="216"/>
        </w:trPr>
        <w:tc>
          <w:tcPr>
            <w:tcW w:w="2600" w:type="dxa"/>
            <w:vAlign w:val="bottom"/>
            <w:shd w:val="clear" w:color="auto" w:fill="CCEEFF"/>
          </w:tcPr>
          <w:p>
            <w:pPr>
              <w:spacing w:after="0"/>
              <w:rPr>
                <w:sz w:val="20"/>
                <w:szCs w:val="20"/>
                <w:color w:val="auto"/>
              </w:rPr>
            </w:pPr>
            <w:r>
              <w:rPr>
                <w:rFonts w:ascii="Arial" w:cs="Arial" w:eastAsia="Arial" w:hAnsi="Arial"/>
                <w:sz w:val="18"/>
                <w:szCs w:val="18"/>
                <w:color w:val="auto"/>
              </w:rPr>
              <w:t>Notes receivable</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111,423</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111,423</w:t>
            </w:r>
          </w:p>
        </w:tc>
        <w:tc>
          <w:tcPr>
            <w:tcW w:w="0" w:type="dxa"/>
            <w:vAlign w:val="bottom"/>
          </w:tcPr>
          <w:p>
            <w:pPr>
              <w:spacing w:after="0"/>
              <w:rPr>
                <w:sz w:val="1"/>
                <w:szCs w:val="1"/>
                <w:color w:val="auto"/>
              </w:rPr>
            </w:pPr>
          </w:p>
        </w:tc>
      </w:tr>
      <w:tr>
        <w:trPr>
          <w:trHeight w:val="202"/>
        </w:trPr>
        <w:tc>
          <w:tcPr>
            <w:tcW w:w="2600" w:type="dxa"/>
            <w:vAlign w:val="bottom"/>
          </w:tcPr>
          <w:p>
            <w:pPr>
              <w:spacing w:after="0" w:line="201" w:lineRule="exact"/>
              <w:rPr>
                <w:sz w:val="20"/>
                <w:szCs w:val="20"/>
                <w:color w:val="auto"/>
              </w:rPr>
            </w:pPr>
            <w:r>
              <w:rPr>
                <w:rFonts w:ascii="Arial" w:cs="Arial" w:eastAsia="Arial" w:hAnsi="Arial"/>
                <w:sz w:val="18"/>
                <w:szCs w:val="18"/>
                <w:color w:val="auto"/>
              </w:rPr>
              <w:t>Investment in Gaylord Rockies</w:t>
            </w: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600" w:type="dxa"/>
            <w:vAlign w:val="bottom"/>
          </w:tcPr>
          <w:p>
            <w:pPr>
              <w:ind w:left="140"/>
              <w:spacing w:after="0"/>
              <w:rPr>
                <w:sz w:val="20"/>
                <w:szCs w:val="20"/>
                <w:color w:val="auto"/>
              </w:rPr>
            </w:pPr>
            <w:r>
              <w:rPr>
                <w:rFonts w:ascii="Arial" w:cs="Arial" w:eastAsia="Arial" w:hAnsi="Arial"/>
                <w:sz w:val="18"/>
                <w:szCs w:val="18"/>
                <w:color w:val="auto"/>
              </w:rPr>
              <w:t>joint venture</w:t>
            </w:r>
          </w:p>
        </w:tc>
        <w:tc>
          <w:tcPr>
            <w:tcW w:w="120" w:type="dxa"/>
            <w:vAlign w:val="bottom"/>
          </w:tcPr>
          <w:p>
            <w:pPr>
              <w:spacing w:after="0"/>
              <w:rPr>
                <w:sz w:val="20"/>
                <w:szCs w:val="20"/>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88,685</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88,685</w:t>
            </w:r>
          </w:p>
        </w:tc>
        <w:tc>
          <w:tcPr>
            <w:tcW w:w="0" w:type="dxa"/>
            <w:vAlign w:val="bottom"/>
          </w:tcPr>
          <w:p>
            <w:pPr>
              <w:spacing w:after="0"/>
              <w:rPr>
                <w:sz w:val="1"/>
                <w:szCs w:val="1"/>
                <w:color w:val="auto"/>
              </w:rPr>
            </w:pPr>
          </w:p>
        </w:tc>
      </w:tr>
      <w:tr>
        <w:trPr>
          <w:trHeight w:val="216"/>
        </w:trPr>
        <w:tc>
          <w:tcPr>
            <w:tcW w:w="2600" w:type="dxa"/>
            <w:vAlign w:val="bottom"/>
            <w:shd w:val="clear" w:color="auto" w:fill="CCEEFF"/>
          </w:tcPr>
          <w:p>
            <w:pPr>
              <w:spacing w:after="0"/>
              <w:rPr>
                <w:sz w:val="20"/>
                <w:szCs w:val="20"/>
                <w:color w:val="auto"/>
              </w:rPr>
            </w:pPr>
            <w:r>
              <w:rPr>
                <w:rFonts w:ascii="Arial" w:cs="Arial" w:eastAsia="Arial" w:hAnsi="Arial"/>
                <w:sz w:val="18"/>
                <w:szCs w:val="18"/>
                <w:color w:val="auto"/>
                <w:w w:val="95"/>
              </w:rPr>
              <w:t>Trade receivables, less allowance</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57,520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57,520</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20"/>
                <w:szCs w:val="20"/>
                <w:color w:val="auto"/>
              </w:rPr>
            </w:pPr>
            <w:r>
              <w:rPr>
                <w:rFonts w:ascii="Arial" w:cs="Arial" w:eastAsia="Arial" w:hAnsi="Arial"/>
                <w:sz w:val="18"/>
                <w:szCs w:val="18"/>
                <w:color w:val="auto"/>
              </w:rPr>
              <w:t>Deferred income tax assets, net</w:t>
            </w:r>
          </w:p>
        </w:tc>
        <w:tc>
          <w:tcPr>
            <w:tcW w:w="12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(301)</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50,418</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50,117</w:t>
            </w:r>
          </w:p>
        </w:tc>
        <w:tc>
          <w:tcPr>
            <w:tcW w:w="0" w:type="dxa"/>
            <w:vAlign w:val="bottom"/>
          </w:tcPr>
          <w:p>
            <w:pPr>
              <w:spacing w:after="0"/>
              <w:rPr>
                <w:sz w:val="1"/>
                <w:szCs w:val="1"/>
                <w:color w:val="auto"/>
              </w:rPr>
            </w:pPr>
          </w:p>
        </w:tc>
      </w:tr>
      <w:tr>
        <w:trPr>
          <w:trHeight w:val="216"/>
        </w:trPr>
        <w:tc>
          <w:tcPr>
            <w:tcW w:w="2600" w:type="dxa"/>
            <w:vAlign w:val="bottom"/>
            <w:shd w:val="clear" w:color="auto" w:fill="CCEEFF"/>
          </w:tcPr>
          <w:p>
            <w:pPr>
              <w:spacing w:after="0"/>
              <w:rPr>
                <w:sz w:val="20"/>
                <w:szCs w:val="20"/>
                <w:color w:val="auto"/>
              </w:rPr>
            </w:pPr>
            <w:r>
              <w:rPr>
                <w:rFonts w:ascii="Arial" w:cs="Arial" w:eastAsia="Arial" w:hAnsi="Arial"/>
                <w:sz w:val="18"/>
                <w:szCs w:val="18"/>
                <w:color w:val="auto"/>
                <w:w w:val="91"/>
              </w:rPr>
              <w:t>Prepaid expenses and other assets</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72,111</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72,116</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20"/>
                <w:szCs w:val="20"/>
                <w:color w:val="auto"/>
              </w:rPr>
            </w:pPr>
            <w:r>
              <w:rPr>
                <w:rFonts w:ascii="Arial" w:cs="Arial" w:eastAsia="Arial" w:hAnsi="Arial"/>
                <w:sz w:val="18"/>
                <w:szCs w:val="18"/>
                <w:color w:val="auto"/>
              </w:rPr>
              <w:t>Intercompany receivables, net</w:t>
            </w:r>
          </w:p>
        </w:tc>
        <w:tc>
          <w:tcPr>
            <w:tcW w:w="12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4"/>
              </w:rPr>
              <w:t>1,717,157</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(1,717,157)</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600" w:type="dxa"/>
            <w:vAlign w:val="bottom"/>
            <w:shd w:val="clear" w:color="auto" w:fill="CCEEFF"/>
          </w:tcPr>
          <w:p>
            <w:pPr>
              <w:spacing w:after="0"/>
              <w:rPr>
                <w:sz w:val="20"/>
                <w:szCs w:val="20"/>
                <w:color w:val="auto"/>
              </w:rPr>
            </w:pPr>
            <w:r>
              <w:rPr>
                <w:rFonts w:ascii="Arial" w:cs="Arial" w:eastAsia="Arial" w:hAnsi="Arial"/>
                <w:sz w:val="18"/>
                <w:szCs w:val="18"/>
                <w:color w:val="auto"/>
              </w:rPr>
              <w:t>Investments</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1,006,461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2,890,032</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651,006</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1,364,814</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(5,912,313)</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2600" w:type="dxa"/>
            <w:vAlign w:val="bottom"/>
            <w:tcBorders>
              <w:bottom w:val="single" w:sz="8" w:color="CCEEFF"/>
            </w:tcBorders>
          </w:tcPr>
          <w:p>
            <w:pPr>
              <w:ind w:left="440"/>
              <w:spacing w:after="0"/>
              <w:rPr>
                <w:sz w:val="20"/>
                <w:szCs w:val="20"/>
                <w:color w:val="auto"/>
              </w:rPr>
            </w:pPr>
            <w:r>
              <w:rPr>
                <w:rFonts w:ascii="Arial" w:cs="Arial" w:eastAsia="Arial" w:hAnsi="Arial"/>
                <w:sz w:val="18"/>
                <w:szCs w:val="18"/>
                <w:color w:val="auto"/>
              </w:rPr>
              <w:t>Total assets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1,006,499</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2,890,791</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4,008,177</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2,248,231</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(7,629,470)</w:t>
            </w:r>
          </w:p>
        </w:tc>
        <w:tc>
          <w:tcPr>
            <w:tcW w:w="160" w:type="dxa"/>
            <w:vAlign w:val="bottom"/>
            <w:tcBorders>
              <w:bottom w:val="single" w:sz="8" w:color="CCEEFF"/>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$ 2,524,228</w:t>
            </w:r>
          </w:p>
        </w:tc>
        <w:tc>
          <w:tcPr>
            <w:tcW w:w="0" w:type="dxa"/>
            <w:vAlign w:val="bottom"/>
          </w:tcPr>
          <w:p>
            <w:pPr>
              <w:spacing w:after="0"/>
              <w:rPr>
                <w:sz w:val="1"/>
                <w:szCs w:val="1"/>
                <w:color w:val="auto"/>
              </w:rPr>
            </w:pPr>
          </w:p>
        </w:tc>
      </w:tr>
      <w:tr>
        <w:trPr>
          <w:trHeight w:val="216"/>
        </w:trPr>
        <w:tc>
          <w:tcPr>
            <w:tcW w:w="2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600" w:type="dxa"/>
            <w:vAlign w:val="bottom"/>
          </w:tcPr>
          <w:p>
            <w:pPr>
              <w:spacing w:after="0" w:line="198" w:lineRule="exact"/>
              <w:rPr>
                <w:sz w:val="20"/>
                <w:szCs w:val="20"/>
                <w:color w:val="auto"/>
              </w:rPr>
            </w:pPr>
            <w:r>
              <w:rPr>
                <w:rFonts w:ascii="Arial" w:cs="Arial" w:eastAsia="Arial" w:hAnsi="Arial"/>
                <w:sz w:val="18"/>
                <w:szCs w:val="18"/>
                <w:b w:val="1"/>
                <w:bCs w:val="1"/>
                <w:color w:val="auto"/>
              </w:rPr>
              <w:t>LIABILITIES AND</w:t>
            </w: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600" w:type="dxa"/>
            <w:vAlign w:val="bottom"/>
          </w:tcPr>
          <w:p>
            <w:pPr>
              <w:ind w:left="140"/>
              <w:spacing w:after="0"/>
              <w:rPr>
                <w:sz w:val="20"/>
                <w:szCs w:val="20"/>
                <w:color w:val="auto"/>
              </w:rPr>
            </w:pPr>
            <w:r>
              <w:rPr>
                <w:rFonts w:ascii="Arial" w:cs="Arial" w:eastAsia="Arial" w:hAnsi="Arial"/>
                <w:sz w:val="18"/>
                <w:szCs w:val="18"/>
                <w:b w:val="1"/>
                <w:bCs w:val="1"/>
                <w:color w:val="auto"/>
              </w:rPr>
              <w:t>STOCKHOLDERS’</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600" w:type="dxa"/>
            <w:vAlign w:val="bottom"/>
          </w:tcPr>
          <w:p>
            <w:pPr>
              <w:ind w:left="140"/>
              <w:spacing w:after="0"/>
              <w:rPr>
                <w:sz w:val="20"/>
                <w:szCs w:val="20"/>
                <w:color w:val="auto"/>
              </w:rPr>
            </w:pPr>
            <w:r>
              <w:rPr>
                <w:rFonts w:ascii="Arial" w:cs="Arial" w:eastAsia="Arial" w:hAnsi="Arial"/>
                <w:sz w:val="18"/>
                <w:szCs w:val="18"/>
                <w:b w:val="1"/>
                <w:bCs w:val="1"/>
                <w:color w:val="auto"/>
              </w:rPr>
              <w:t>EQUITY:</w:t>
            </w: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600" w:type="dxa"/>
            <w:vAlign w:val="bottom"/>
            <w:shd w:val="clear" w:color="auto" w:fill="CCEEFF"/>
          </w:tcPr>
          <w:p>
            <w:pPr>
              <w:spacing w:after="0"/>
              <w:rPr>
                <w:sz w:val="20"/>
                <w:szCs w:val="20"/>
                <w:color w:val="auto"/>
              </w:rPr>
            </w:pPr>
            <w:r>
              <w:rPr>
                <w:rFonts w:ascii="Arial" w:cs="Arial" w:eastAsia="Arial" w:hAnsi="Arial"/>
                <w:sz w:val="18"/>
                <w:szCs w:val="18"/>
                <w:color w:val="auto"/>
                <w:w w:val="95"/>
              </w:rPr>
              <w:t>Debt and capital lease obligations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1,590,753</w:t>
            </w:r>
          </w:p>
        </w:tc>
        <w:tc>
          <w:tcPr>
            <w:tcW w:w="8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639</w:t>
            </w:r>
          </w:p>
        </w:tc>
        <w:tc>
          <w:tcPr>
            <w:tcW w:w="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$ 1,591,392</w:t>
            </w:r>
          </w:p>
        </w:tc>
        <w:tc>
          <w:tcPr>
            <w:tcW w:w="0" w:type="dxa"/>
            <w:vAlign w:val="bottom"/>
          </w:tcPr>
          <w:p>
            <w:pPr>
              <w:spacing w:after="0"/>
              <w:rPr>
                <w:sz w:val="1"/>
                <w:szCs w:val="1"/>
                <w:color w:val="auto"/>
              </w:rPr>
            </w:pPr>
          </w:p>
        </w:tc>
      </w:tr>
      <w:tr>
        <w:trPr>
          <w:trHeight w:val="202"/>
        </w:trPr>
        <w:tc>
          <w:tcPr>
            <w:tcW w:w="2600" w:type="dxa"/>
            <w:vAlign w:val="bottom"/>
          </w:tcPr>
          <w:p>
            <w:pPr>
              <w:spacing w:after="0" w:line="201" w:lineRule="exact"/>
              <w:rPr>
                <w:sz w:val="20"/>
                <w:szCs w:val="20"/>
                <w:color w:val="auto"/>
              </w:rPr>
            </w:pPr>
            <w:r>
              <w:rPr>
                <w:rFonts w:ascii="Arial" w:cs="Arial" w:eastAsia="Arial" w:hAnsi="Arial"/>
                <w:sz w:val="18"/>
                <w:szCs w:val="18"/>
                <w:color w:val="auto"/>
              </w:rPr>
              <w:t>Accounts payable and accrued</w:t>
            </w: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600" w:type="dxa"/>
            <w:vAlign w:val="bottom"/>
          </w:tcPr>
          <w:p>
            <w:pPr>
              <w:ind w:left="140"/>
              <w:spacing w:after="0"/>
              <w:rPr>
                <w:sz w:val="20"/>
                <w:szCs w:val="20"/>
                <w:color w:val="auto"/>
              </w:rPr>
            </w:pPr>
            <w:r>
              <w:rPr>
                <w:rFonts w:ascii="Arial" w:cs="Arial" w:eastAsia="Arial" w:hAnsi="Arial"/>
                <w:sz w:val="18"/>
                <w:szCs w:val="18"/>
                <w:color w:val="auto"/>
              </w:rPr>
              <w:t>liabilities</w:t>
            </w: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150</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11,180</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15,795</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152,524</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179,649</w:t>
            </w:r>
          </w:p>
        </w:tc>
        <w:tc>
          <w:tcPr>
            <w:tcW w:w="0" w:type="dxa"/>
            <w:vAlign w:val="bottom"/>
          </w:tcPr>
          <w:p>
            <w:pPr>
              <w:spacing w:after="0"/>
              <w:rPr>
                <w:sz w:val="1"/>
                <w:szCs w:val="1"/>
                <w:color w:val="auto"/>
              </w:rPr>
            </w:pPr>
          </w:p>
        </w:tc>
      </w:tr>
      <w:tr>
        <w:trPr>
          <w:trHeight w:val="216"/>
        </w:trPr>
        <w:tc>
          <w:tcPr>
            <w:tcW w:w="2600" w:type="dxa"/>
            <w:vAlign w:val="bottom"/>
            <w:shd w:val="clear" w:color="auto" w:fill="CCEEFF"/>
          </w:tcPr>
          <w:p>
            <w:pPr>
              <w:spacing w:after="0"/>
              <w:rPr>
                <w:sz w:val="20"/>
                <w:szCs w:val="20"/>
                <w:color w:val="auto"/>
              </w:rPr>
            </w:pPr>
            <w:r>
              <w:rPr>
                <w:rFonts w:ascii="Arial" w:cs="Arial" w:eastAsia="Arial" w:hAnsi="Arial"/>
                <w:sz w:val="18"/>
                <w:szCs w:val="18"/>
                <w:color w:val="auto"/>
              </w:rPr>
              <w:t>Dividends payable</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42,129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42,129</w:t>
            </w:r>
          </w:p>
        </w:tc>
        <w:tc>
          <w:tcPr>
            <w:tcW w:w="0" w:type="dxa"/>
            <w:vAlign w:val="bottom"/>
          </w:tcPr>
          <w:p>
            <w:pPr>
              <w:spacing w:after="0"/>
              <w:rPr>
                <w:sz w:val="1"/>
                <w:szCs w:val="1"/>
                <w:color w:val="auto"/>
              </w:rPr>
            </w:pPr>
          </w:p>
        </w:tc>
      </w:tr>
      <w:tr>
        <w:trPr>
          <w:trHeight w:val="202"/>
        </w:trPr>
        <w:tc>
          <w:tcPr>
            <w:tcW w:w="2600" w:type="dxa"/>
            <w:vAlign w:val="bottom"/>
          </w:tcPr>
          <w:p>
            <w:pPr>
              <w:spacing w:after="0" w:line="201" w:lineRule="exact"/>
              <w:rPr>
                <w:sz w:val="20"/>
                <w:szCs w:val="20"/>
                <w:color w:val="auto"/>
              </w:rPr>
            </w:pPr>
            <w:r>
              <w:rPr>
                <w:rFonts w:ascii="Arial" w:cs="Arial" w:eastAsia="Arial" w:hAnsi="Arial"/>
                <w:sz w:val="18"/>
                <w:szCs w:val="18"/>
                <w:color w:val="auto"/>
              </w:rPr>
              <w:t>Deferred management rights</w:t>
            </w: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600" w:type="dxa"/>
            <w:vAlign w:val="bottom"/>
          </w:tcPr>
          <w:p>
            <w:pPr>
              <w:ind w:left="140"/>
              <w:spacing w:after="0"/>
              <w:rPr>
                <w:sz w:val="20"/>
                <w:szCs w:val="20"/>
                <w:color w:val="auto"/>
              </w:rPr>
            </w:pPr>
            <w:r>
              <w:rPr>
                <w:rFonts w:ascii="Arial" w:cs="Arial" w:eastAsia="Arial" w:hAnsi="Arial"/>
                <w:sz w:val="18"/>
                <w:szCs w:val="18"/>
                <w:color w:val="auto"/>
              </w:rPr>
              <w:t>proceeds</w:t>
            </w:r>
          </w:p>
        </w:tc>
        <w:tc>
          <w:tcPr>
            <w:tcW w:w="120" w:type="dxa"/>
            <w:vAlign w:val="bottom"/>
          </w:tcPr>
          <w:p>
            <w:pPr>
              <w:spacing w:after="0"/>
              <w:rPr>
                <w:sz w:val="20"/>
                <w:szCs w:val="20"/>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177,057</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177,057</w:t>
            </w:r>
          </w:p>
        </w:tc>
        <w:tc>
          <w:tcPr>
            <w:tcW w:w="0" w:type="dxa"/>
            <w:vAlign w:val="bottom"/>
          </w:tcPr>
          <w:p>
            <w:pPr>
              <w:spacing w:after="0"/>
              <w:rPr>
                <w:sz w:val="1"/>
                <w:szCs w:val="1"/>
                <w:color w:val="auto"/>
              </w:rPr>
            </w:pPr>
          </w:p>
        </w:tc>
      </w:tr>
      <w:tr>
        <w:trPr>
          <w:trHeight w:val="216"/>
        </w:trPr>
        <w:tc>
          <w:tcPr>
            <w:tcW w:w="260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95,078</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60,767</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155,845</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20"/>
                <w:szCs w:val="20"/>
                <w:color w:val="auto"/>
              </w:rPr>
            </w:pPr>
            <w:r>
              <w:rPr>
                <w:rFonts w:ascii="Arial" w:cs="Arial" w:eastAsia="Arial" w:hAnsi="Arial"/>
                <w:sz w:val="18"/>
                <w:szCs w:val="18"/>
                <w:color w:val="auto"/>
              </w:rPr>
              <w:t>Intercompany payables, net</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586,064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895,408</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235,685</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(1,717,157)</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600" w:type="dxa"/>
            <w:vAlign w:val="bottom"/>
            <w:shd w:val="clear" w:color="auto" w:fill="CCEEFF"/>
          </w:tcPr>
          <w:p>
            <w:pPr>
              <w:spacing w:after="0"/>
              <w:rPr>
                <w:sz w:val="20"/>
                <w:szCs w:val="20"/>
                <w:color w:val="auto"/>
              </w:rPr>
            </w:pPr>
            <w:r>
              <w:rPr>
                <w:rFonts w:ascii="Arial" w:cs="Arial" w:eastAsia="Arial" w:hAnsi="Arial"/>
                <w:sz w:val="18"/>
                <w:szCs w:val="18"/>
                <w:color w:val="auto"/>
                <w:w w:val="98"/>
              </w:rPr>
              <w:t>Commitments and contingencies</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0" w:type="dxa"/>
            <w:vAlign w:val="bottom"/>
          </w:tcPr>
          <w:p>
            <w:pPr>
              <w:spacing w:after="0"/>
              <w:rPr>
                <w:sz w:val="20"/>
                <w:szCs w:val="20"/>
                <w:color w:val="auto"/>
              </w:rPr>
            </w:pPr>
            <w:r>
              <w:rPr>
                <w:rFonts w:ascii="Arial" w:cs="Arial" w:eastAsia="Arial" w:hAnsi="Arial"/>
                <w:sz w:val="18"/>
                <w:szCs w:val="18"/>
                <w:color w:val="auto"/>
              </w:rPr>
              <w:t>Stockholders’ equity:</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Preferred stock</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600" w:type="dxa"/>
            <w:vAlign w:val="bottom"/>
          </w:tcPr>
          <w:p>
            <w:pPr>
              <w:ind w:left="120"/>
              <w:spacing w:after="0"/>
              <w:rPr>
                <w:sz w:val="20"/>
                <w:szCs w:val="20"/>
                <w:color w:val="auto"/>
              </w:rPr>
            </w:pPr>
            <w:r>
              <w:rPr>
                <w:rFonts w:ascii="Arial" w:cs="Arial" w:eastAsia="Arial" w:hAnsi="Arial"/>
                <w:sz w:val="18"/>
                <w:szCs w:val="18"/>
                <w:color w:val="auto"/>
              </w:rPr>
              <w:t>Common stock</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512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2,387</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(2,389)</w:t>
            </w:r>
          </w:p>
        </w:tc>
        <w:tc>
          <w:tcPr>
            <w:tcW w:w="920" w:type="dxa"/>
            <w:vAlign w:val="bottom"/>
          </w:tcPr>
          <w:p>
            <w:pPr>
              <w:jc w:val="right"/>
              <w:spacing w:after="0"/>
              <w:rPr>
                <w:sz w:val="20"/>
                <w:szCs w:val="20"/>
                <w:color w:val="auto"/>
              </w:rPr>
            </w:pPr>
            <w:r>
              <w:rPr>
                <w:rFonts w:ascii="Arial" w:cs="Arial" w:eastAsia="Arial" w:hAnsi="Arial"/>
                <w:sz w:val="18"/>
                <w:szCs w:val="18"/>
                <w:color w:val="auto"/>
              </w:rPr>
              <w:t>512</w:t>
            </w:r>
          </w:p>
        </w:tc>
        <w:tc>
          <w:tcPr>
            <w:tcW w:w="0" w:type="dxa"/>
            <w:vAlign w:val="bottom"/>
          </w:tcPr>
          <w:p>
            <w:pPr>
              <w:spacing w:after="0"/>
              <w:rPr>
                <w:sz w:val="1"/>
                <w:szCs w:val="1"/>
                <w:color w:val="auto"/>
              </w:rPr>
            </w:pPr>
          </w:p>
        </w:tc>
      </w:tr>
      <w:tr>
        <w:trPr>
          <w:trHeight w:val="216"/>
        </w:trPr>
        <w:tc>
          <w:tcPr>
            <w:tcW w:w="26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Additional paid-in-capital</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896,759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671,875</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2,835,468</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2,073,818</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(5,581,161)</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896,759</w:t>
            </w:r>
          </w:p>
        </w:tc>
        <w:tc>
          <w:tcPr>
            <w:tcW w:w="0" w:type="dxa"/>
            <w:vAlign w:val="bottom"/>
          </w:tcPr>
          <w:p>
            <w:pPr>
              <w:spacing w:after="0"/>
              <w:rPr>
                <w:sz w:val="1"/>
                <w:szCs w:val="1"/>
                <w:color w:val="auto"/>
              </w:rPr>
            </w:pPr>
          </w:p>
        </w:tc>
      </w:tr>
      <w:tr>
        <w:trPr>
          <w:trHeight w:val="216"/>
        </w:trPr>
        <w:tc>
          <w:tcPr>
            <w:tcW w:w="2600" w:type="dxa"/>
            <w:vAlign w:val="bottom"/>
          </w:tcPr>
          <w:p>
            <w:pPr>
              <w:ind w:left="120"/>
              <w:spacing w:after="0"/>
              <w:rPr>
                <w:sz w:val="20"/>
                <w:szCs w:val="20"/>
                <w:color w:val="auto"/>
              </w:rPr>
            </w:pPr>
            <w:r>
              <w:rPr>
                <w:rFonts w:ascii="Arial" w:cs="Arial" w:eastAsia="Arial" w:hAnsi="Arial"/>
                <w:sz w:val="18"/>
                <w:szCs w:val="18"/>
                <w:color w:val="auto"/>
              </w:rPr>
              <w:t>Treasury stock</w:t>
            </w:r>
          </w:p>
        </w:tc>
        <w:tc>
          <w:tcPr>
            <w:tcW w:w="12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(13,253)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(13,253)</w:t>
            </w:r>
          </w:p>
        </w:tc>
        <w:tc>
          <w:tcPr>
            <w:tcW w:w="0" w:type="dxa"/>
            <w:vAlign w:val="bottom"/>
          </w:tcPr>
          <w:p>
            <w:pPr>
              <w:spacing w:after="0"/>
              <w:rPr>
                <w:sz w:val="1"/>
                <w:szCs w:val="1"/>
                <w:color w:val="auto"/>
              </w:rPr>
            </w:pPr>
          </w:p>
        </w:tc>
      </w:tr>
      <w:tr>
        <w:trPr>
          <w:trHeight w:val="216"/>
        </w:trPr>
        <w:tc>
          <w:tcPr>
            <w:tcW w:w="26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Accumulated deficit</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(479,170)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(278,426)</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1,061,835</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(427,954)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(355,455)</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(479,170)</w:t>
            </w:r>
          </w:p>
        </w:tc>
        <w:tc>
          <w:tcPr>
            <w:tcW w:w="0" w:type="dxa"/>
            <w:vAlign w:val="bottom"/>
          </w:tcPr>
          <w:p>
            <w:pPr>
              <w:spacing w:after="0"/>
              <w:rPr>
                <w:sz w:val="1"/>
                <w:szCs w:val="1"/>
                <w:color w:val="auto"/>
              </w:rPr>
            </w:pPr>
          </w:p>
        </w:tc>
      </w:tr>
      <w:tr>
        <w:trPr>
          <w:trHeight w:val="202"/>
        </w:trPr>
        <w:tc>
          <w:tcPr>
            <w:tcW w:w="2600" w:type="dxa"/>
            <w:vAlign w:val="bottom"/>
          </w:tcPr>
          <w:p>
            <w:pPr>
              <w:ind w:left="120"/>
              <w:spacing w:after="0" w:line="201" w:lineRule="exact"/>
              <w:rPr>
                <w:sz w:val="20"/>
                <w:szCs w:val="20"/>
                <w:color w:val="auto"/>
              </w:rPr>
            </w:pPr>
            <w:r>
              <w:rPr>
                <w:rFonts w:ascii="Arial" w:cs="Arial" w:eastAsia="Arial" w:hAnsi="Arial"/>
                <w:sz w:val="18"/>
                <w:szCs w:val="18"/>
                <w:color w:val="auto"/>
              </w:rPr>
              <w:t>Accumulated other</w:t>
            </w: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600" w:type="dxa"/>
            <w:vAlign w:val="bottom"/>
          </w:tcPr>
          <w:p>
            <w:pPr>
              <w:ind w:left="240"/>
              <w:spacing w:after="0"/>
              <w:rPr>
                <w:sz w:val="20"/>
                <w:szCs w:val="20"/>
                <w:color w:val="auto"/>
              </w:rPr>
            </w:pPr>
            <w:r>
              <w:rPr>
                <w:rFonts w:ascii="Arial" w:cs="Arial" w:eastAsia="Arial" w:hAnsi="Arial"/>
                <w:sz w:val="18"/>
                <w:szCs w:val="18"/>
                <w:color w:val="auto"/>
              </w:rPr>
              <w:t>comprehensive loss</w:t>
            </w:r>
          </w:p>
        </w:tc>
        <w:tc>
          <w:tcPr>
            <w:tcW w:w="120" w:type="dxa"/>
            <w:vAlign w:val="bottom"/>
          </w:tcPr>
          <w:p>
            <w:pPr>
              <w:spacing w:after="0"/>
              <w:rPr>
                <w:sz w:val="20"/>
                <w:szCs w:val="20"/>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(26,692)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(26,692)</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26,692</w:t>
            </w:r>
          </w:p>
        </w:tc>
        <w:tc>
          <w:tcPr>
            <w:tcW w:w="1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(26,692)</w:t>
            </w:r>
          </w:p>
        </w:tc>
        <w:tc>
          <w:tcPr>
            <w:tcW w:w="0" w:type="dxa"/>
            <w:vAlign w:val="bottom"/>
          </w:tcPr>
          <w:p>
            <w:pPr>
              <w:spacing w:after="0"/>
              <w:rPr>
                <w:sz w:val="1"/>
                <w:szCs w:val="1"/>
                <w:color w:val="auto"/>
              </w:rPr>
            </w:pPr>
          </w:p>
        </w:tc>
      </w:tr>
      <w:tr>
        <w:trPr>
          <w:trHeight w:val="210"/>
        </w:trPr>
        <w:tc>
          <w:tcPr>
            <w:tcW w:w="260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stockholders' equity</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378,156</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393,450</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3,897,304</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1,621,559</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(5,912,313)</w:t>
            </w:r>
          </w:p>
        </w:tc>
        <w:tc>
          <w:tcPr>
            <w:tcW w:w="16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378,156</w:t>
            </w:r>
          </w:p>
        </w:tc>
        <w:tc>
          <w:tcPr>
            <w:tcW w:w="0" w:type="dxa"/>
            <w:vAlign w:val="bottom"/>
          </w:tcPr>
          <w:p>
            <w:pPr>
              <w:spacing w:after="0"/>
              <w:rPr>
                <w:sz w:val="1"/>
                <w:szCs w:val="1"/>
                <w:color w:val="auto"/>
              </w:rPr>
            </w:pPr>
          </w:p>
        </w:tc>
      </w:tr>
      <w:tr>
        <w:trPr>
          <w:trHeight w:val="182"/>
        </w:trPr>
        <w:tc>
          <w:tcPr>
            <w:tcW w:w="2600" w:type="dxa"/>
            <w:vAlign w:val="bottom"/>
          </w:tcPr>
          <w:p>
            <w:pPr>
              <w:ind w:left="440"/>
              <w:spacing w:after="0" w:line="182" w:lineRule="exact"/>
              <w:rPr>
                <w:sz w:val="20"/>
                <w:szCs w:val="20"/>
                <w:color w:val="auto"/>
              </w:rPr>
            </w:pPr>
            <w:r>
              <w:rPr>
                <w:rFonts w:ascii="Arial" w:cs="Arial" w:eastAsia="Arial" w:hAnsi="Arial"/>
                <w:sz w:val="18"/>
                <w:szCs w:val="18"/>
                <w:color w:val="auto"/>
              </w:rPr>
              <w:t>Total liabilities and</w:t>
            </w: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w w:val="97"/>
              </w:rPr>
              <w:t>1,006,499</w:t>
            </w:r>
          </w:p>
        </w:tc>
        <w:tc>
          <w:tcPr>
            <w:tcW w:w="80" w:type="dxa"/>
            <w:vAlign w:val="bottom"/>
          </w:tcPr>
          <w:p>
            <w:pPr>
              <w:spacing w:after="0"/>
              <w:rPr>
                <w:sz w:val="15"/>
                <w:szCs w:val="15"/>
                <w:color w:val="auto"/>
              </w:rPr>
            </w:pPr>
          </w:p>
        </w:tc>
        <w:tc>
          <w:tcPr>
            <w:tcW w:w="22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w w:val="89"/>
              </w:rPr>
              <w:t>2,890,791</w:t>
            </w:r>
          </w:p>
        </w:tc>
        <w:tc>
          <w:tcPr>
            <w:tcW w:w="80" w:type="dxa"/>
            <w:vAlign w:val="bottom"/>
          </w:tcPr>
          <w:p>
            <w:pPr>
              <w:spacing w:after="0"/>
              <w:rPr>
                <w:sz w:val="15"/>
                <w:szCs w:val="15"/>
                <w:color w:val="auto"/>
              </w:rPr>
            </w:pPr>
          </w:p>
        </w:tc>
        <w:tc>
          <w:tcPr>
            <w:tcW w:w="16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w w:val="94"/>
              </w:rPr>
              <w:t>4,008,177</w:t>
            </w:r>
          </w:p>
        </w:tc>
        <w:tc>
          <w:tcPr>
            <w:tcW w:w="80" w:type="dxa"/>
            <w:vAlign w:val="bottom"/>
          </w:tcPr>
          <w:p>
            <w:pPr>
              <w:spacing w:after="0"/>
              <w:rPr>
                <w:sz w:val="15"/>
                <w:szCs w:val="15"/>
                <w:color w:val="auto"/>
              </w:rPr>
            </w:pPr>
          </w:p>
        </w:tc>
        <w:tc>
          <w:tcPr>
            <w:tcW w:w="16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w w:val="94"/>
              </w:rPr>
              <w:t>2,248,231</w:t>
            </w:r>
          </w:p>
        </w:tc>
        <w:tc>
          <w:tcPr>
            <w:tcW w:w="80" w:type="dxa"/>
            <w:vAlign w:val="bottom"/>
          </w:tcPr>
          <w:p>
            <w:pPr>
              <w:spacing w:after="0"/>
              <w:rPr>
                <w:sz w:val="15"/>
                <w:szCs w:val="15"/>
                <w:color w:val="auto"/>
              </w:rPr>
            </w:pPr>
          </w:p>
        </w:tc>
        <w:tc>
          <w:tcPr>
            <w:tcW w:w="18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w w:val="95"/>
              </w:rPr>
              <w:t>(7,629,470)</w:t>
            </w: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w w:val="90"/>
              </w:rPr>
              <w:t>$ 2,524,228</w:t>
            </w:r>
          </w:p>
        </w:tc>
        <w:tc>
          <w:tcPr>
            <w:tcW w:w="0" w:type="dxa"/>
            <w:vAlign w:val="bottom"/>
          </w:tcPr>
          <w:p>
            <w:pPr>
              <w:spacing w:after="0"/>
              <w:rPr>
                <w:sz w:val="1"/>
                <w:szCs w:val="1"/>
                <w:color w:val="auto"/>
              </w:rPr>
            </w:pPr>
          </w:p>
        </w:tc>
      </w:tr>
      <w:tr>
        <w:trPr>
          <w:trHeight w:val="224"/>
        </w:trPr>
        <w:tc>
          <w:tcPr>
            <w:tcW w:w="2600" w:type="dxa"/>
            <w:vAlign w:val="bottom"/>
          </w:tcPr>
          <w:p>
            <w:pPr>
              <w:ind w:left="560"/>
              <w:spacing w:after="0"/>
              <w:rPr>
                <w:sz w:val="20"/>
                <w:szCs w:val="20"/>
                <w:color w:val="auto"/>
              </w:rPr>
            </w:pPr>
            <w:r>
              <w:rPr>
                <w:rFonts w:ascii="Arial" w:cs="Arial" w:eastAsia="Arial" w:hAnsi="Arial"/>
                <w:sz w:val="18"/>
                <w:szCs w:val="18"/>
                <w:color w:val="auto"/>
              </w:rPr>
              <w:t>stockholders' equity</w:t>
            </w:r>
          </w:p>
        </w:tc>
        <w:tc>
          <w:tcPr>
            <w:tcW w:w="120" w:type="dxa"/>
            <w:vAlign w:val="bottom"/>
            <w:vMerge w:val="continue"/>
          </w:tcPr>
          <w:p>
            <w:pPr>
              <w:spacing w:after="0"/>
              <w:rPr>
                <w:sz w:val="19"/>
                <w:szCs w:val="19"/>
                <w:color w:val="auto"/>
              </w:rPr>
            </w:pPr>
          </w:p>
        </w:tc>
        <w:tc>
          <w:tcPr>
            <w:tcW w:w="8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gridSpan w:val="2"/>
            <w:vMerge w:val="continue"/>
          </w:tcPr>
          <w:p>
            <w:pPr>
              <w:spacing w:after="0"/>
              <w:rPr>
                <w:sz w:val="19"/>
                <w:szCs w:val="19"/>
                <w:color w:val="auto"/>
              </w:rPr>
            </w:pPr>
          </w:p>
        </w:tc>
        <w:tc>
          <w:tcPr>
            <w:tcW w:w="8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gridSpan w:val="2"/>
            <w:vMerge w:val="continue"/>
          </w:tcPr>
          <w:p>
            <w:pPr>
              <w:spacing w:after="0"/>
              <w:rPr>
                <w:sz w:val="19"/>
                <w:szCs w:val="19"/>
                <w:color w:val="auto"/>
              </w:rPr>
            </w:pPr>
          </w:p>
        </w:tc>
        <w:tc>
          <w:tcPr>
            <w:tcW w:w="8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gridSpan w:val="2"/>
            <w:vMerge w:val="continue"/>
          </w:tcPr>
          <w:p>
            <w:pPr>
              <w:spacing w:after="0"/>
              <w:rPr>
                <w:sz w:val="19"/>
                <w:szCs w:val="19"/>
                <w:color w:val="auto"/>
              </w:rPr>
            </w:pPr>
          </w:p>
        </w:tc>
        <w:tc>
          <w:tcPr>
            <w:tcW w:w="8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gridSpan w:val="2"/>
            <w:vMerge w:val="continue"/>
          </w:tcPr>
          <w:p>
            <w:pPr>
              <w:spacing w:after="0"/>
              <w:rPr>
                <w:sz w:val="19"/>
                <w:szCs w:val="19"/>
                <w:color w:val="auto"/>
              </w:rPr>
            </w:pPr>
          </w:p>
        </w:tc>
        <w:tc>
          <w:tcPr>
            <w:tcW w:w="1060" w:type="dxa"/>
            <w:vAlign w:val="bottom"/>
            <w:gridSpan w:val="2"/>
            <w:vMerge w:val="continue"/>
          </w:tcPr>
          <w:p>
            <w:pPr>
              <w:spacing w:after="0"/>
              <w:rPr>
                <w:sz w:val="19"/>
                <w:szCs w:val="19"/>
                <w:color w:val="auto"/>
              </w:rPr>
            </w:pPr>
          </w:p>
        </w:tc>
        <w:tc>
          <w:tcPr>
            <w:tcW w:w="9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864"/>
        </w:trPr>
        <w:tc>
          <w:tcPr>
            <w:tcW w:w="26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6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125" w:right="1419" w:bottom="1440" w:gutter="0" w:footer="0" w:header="0"/>
        </w:sectPr>
      </w:pPr>
    </w:p>
    <w:bookmarkStart w:id="17" w:name="page18"/>
    <w:bookmarkEnd w:id="1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line="261" w:lineRule="auto"/>
        <w:rPr>
          <w:sz w:val="20"/>
          <w:szCs w:val="20"/>
          <w:color w:val="auto"/>
        </w:rPr>
      </w:pPr>
      <w:r>
        <w:rPr>
          <w:rFonts w:ascii="Arial" w:cs="Arial" w:eastAsia="Arial" w:hAnsi="Arial"/>
          <w:sz w:val="18"/>
          <w:szCs w:val="18"/>
          <w:b w:val="1"/>
          <w:bCs w:val="1"/>
          <w:color w:val="auto"/>
        </w:rPr>
        <w:t>RYMAN HOSPITALITY PROPERTIES, INC. AND SUBSIDIARIES CONDENSED CONSOLIDATING STATEMENT OF OPERATIONS AND COMPREHENSIVE INCOME For the Three Months Ended September 30, 2018</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gridSpan w:val="2"/>
          </w:tcPr>
          <w:p>
            <w:pPr>
              <w:ind w:left="40"/>
              <w:spacing w:after="0"/>
              <w:rPr>
                <w:sz w:val="20"/>
                <w:szCs w:val="20"/>
                <w:color w:val="auto"/>
              </w:rPr>
            </w:pPr>
            <w:r>
              <w:rPr>
                <w:rFonts w:ascii="Arial" w:cs="Arial" w:eastAsia="Arial" w:hAnsi="Arial"/>
                <w:sz w:val="14"/>
                <w:szCs w:val="14"/>
                <w:b w:val="1"/>
                <w:bCs w:val="1"/>
                <w:color w:val="auto"/>
              </w:rPr>
              <w:t>Parent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Issuer</w:t>
            </w:r>
          </w:p>
        </w:tc>
        <w:tc>
          <w:tcPr>
            <w:tcW w:w="80" w:type="dxa"/>
            <w:vAlign w:val="bottom"/>
          </w:tcPr>
          <w:p>
            <w:pPr>
              <w:spacing w:after="0"/>
              <w:rPr>
                <w:sz w:val="14"/>
                <w:szCs w:val="14"/>
                <w:color w:val="auto"/>
              </w:rPr>
            </w:pPr>
          </w:p>
        </w:tc>
        <w:tc>
          <w:tcPr>
            <w:tcW w:w="9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Guarantors</w:t>
            </w:r>
          </w:p>
        </w:tc>
        <w:tc>
          <w:tcPr>
            <w:tcW w:w="120" w:type="dxa"/>
            <w:vAlign w:val="bottom"/>
          </w:tcPr>
          <w:p>
            <w:pPr>
              <w:spacing w:after="0"/>
              <w:rPr>
                <w:sz w:val="14"/>
                <w:szCs w:val="14"/>
                <w:color w:val="auto"/>
              </w:rPr>
            </w:pPr>
          </w:p>
        </w:tc>
        <w:tc>
          <w:tcPr>
            <w:tcW w:w="7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Non-</w:t>
            </w:r>
          </w:p>
        </w:tc>
        <w:tc>
          <w:tcPr>
            <w:tcW w:w="80" w:type="dxa"/>
            <w:vAlign w:val="bottom"/>
          </w:tcPr>
          <w:p>
            <w:pPr>
              <w:spacing w:after="0"/>
              <w:rPr>
                <w:sz w:val="14"/>
                <w:szCs w:val="14"/>
                <w:color w:val="auto"/>
              </w:rPr>
            </w:pPr>
          </w:p>
        </w:tc>
        <w:tc>
          <w:tcPr>
            <w:tcW w:w="9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Eliminations</w:t>
            </w:r>
          </w:p>
        </w:tc>
        <w:tc>
          <w:tcPr>
            <w:tcW w:w="80" w:type="dxa"/>
            <w:vAlign w:val="bottom"/>
          </w:tcPr>
          <w:p>
            <w:pPr>
              <w:spacing w:after="0"/>
              <w:rPr>
                <w:sz w:val="14"/>
                <w:szCs w:val="14"/>
                <w:color w:val="auto"/>
              </w:rPr>
            </w:pPr>
          </w:p>
        </w:tc>
        <w:tc>
          <w:tcPr>
            <w:tcW w:w="8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171"/>
        </w:trPr>
        <w:tc>
          <w:tcPr>
            <w:tcW w:w="3060" w:type="dxa"/>
            <w:vAlign w:val="bottom"/>
          </w:tcPr>
          <w:p>
            <w:pPr>
              <w:spacing w:after="0"/>
              <w:rPr>
                <w:sz w:val="20"/>
                <w:szCs w:val="20"/>
                <w:color w:val="auto"/>
              </w:rPr>
            </w:pPr>
            <w:r>
              <w:rPr>
                <w:rFonts w:ascii="Arial" w:cs="Arial" w:eastAsia="Arial" w:hAnsi="Arial"/>
                <w:sz w:val="14"/>
                <w:szCs w:val="14"/>
                <w:color w:val="auto"/>
              </w:rPr>
              <w:t>(in thousands)</w:t>
            </w:r>
          </w:p>
        </w:tc>
        <w:tc>
          <w:tcPr>
            <w:tcW w:w="460" w:type="dxa"/>
            <w:vAlign w:val="bottom"/>
          </w:tcPr>
          <w:p>
            <w:pPr>
              <w:spacing w:after="0"/>
              <w:rPr>
                <w:sz w:val="14"/>
                <w:szCs w:val="14"/>
                <w:color w:val="auto"/>
              </w:rPr>
            </w:pPr>
          </w:p>
        </w:tc>
        <w:tc>
          <w:tcPr>
            <w:tcW w:w="780" w:type="dxa"/>
            <w:vAlign w:val="bottom"/>
            <w:gridSpan w:val="3"/>
          </w:tcPr>
          <w:p>
            <w:pPr>
              <w:ind w:left="20"/>
              <w:spacing w:after="0"/>
              <w:rPr>
                <w:sz w:val="20"/>
                <w:szCs w:val="20"/>
                <w:color w:val="auto"/>
              </w:rPr>
            </w:pPr>
            <w:r>
              <w:rPr>
                <w:rFonts w:ascii="Arial" w:cs="Arial" w:eastAsia="Arial" w:hAnsi="Arial"/>
                <w:sz w:val="14"/>
                <w:szCs w:val="14"/>
                <w:b w:val="1"/>
                <w:bCs w:val="1"/>
                <w:color w:val="auto"/>
              </w:rPr>
              <w:t>Guarantor</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3"/>
            <w:vMerge w:val="continue"/>
          </w:tcPr>
          <w:p>
            <w:pPr>
              <w:spacing w:after="0"/>
              <w:rPr>
                <w:sz w:val="14"/>
                <w:szCs w:val="14"/>
                <w:color w:val="auto"/>
              </w:rPr>
            </w:pPr>
          </w:p>
        </w:tc>
        <w:tc>
          <w:tcPr>
            <w:tcW w:w="88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w w:val="95"/>
              </w:rPr>
              <w:t>Guarantors</w:t>
            </w:r>
          </w:p>
        </w:tc>
        <w:tc>
          <w:tcPr>
            <w:tcW w:w="80" w:type="dxa"/>
            <w:vAlign w:val="bottom"/>
          </w:tcPr>
          <w:p>
            <w:pPr>
              <w:spacing w:after="0"/>
              <w:rPr>
                <w:sz w:val="14"/>
                <w:szCs w:val="14"/>
                <w:color w:val="auto"/>
              </w:rPr>
            </w:pPr>
          </w:p>
        </w:tc>
        <w:tc>
          <w:tcPr>
            <w:tcW w:w="92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0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60" w:type="dxa"/>
            <w:vAlign w:val="bottom"/>
          </w:tcPr>
          <w:p>
            <w:pPr>
              <w:ind w:left="120"/>
              <w:spacing w:after="0"/>
              <w:rPr>
                <w:sz w:val="20"/>
                <w:szCs w:val="20"/>
                <w:color w:val="auto"/>
              </w:rPr>
            </w:pPr>
            <w:r>
              <w:rPr>
                <w:rFonts w:ascii="Arial" w:cs="Arial" w:eastAsia="Arial" w:hAnsi="Arial"/>
                <w:sz w:val="18"/>
                <w:szCs w:val="18"/>
                <w:color w:val="auto"/>
              </w:rPr>
              <w:t>Rooms</w:t>
            </w:r>
          </w:p>
        </w:tc>
        <w:tc>
          <w:tcPr>
            <w:tcW w:w="580" w:type="dxa"/>
            <w:vAlign w:val="bottom"/>
            <w:gridSpan w:val="2"/>
          </w:tcPr>
          <w:p>
            <w:pPr>
              <w:ind w:left="460"/>
              <w:spacing w:after="0"/>
              <w:rPr>
                <w:sz w:val="20"/>
                <w:szCs w:val="20"/>
                <w:color w:val="auto"/>
              </w:rPr>
            </w:pPr>
            <w:r>
              <w:rPr>
                <w:rFonts w:ascii="Arial" w:cs="Arial" w:eastAsia="Arial" w:hAnsi="Arial"/>
                <w:sz w:val="18"/>
                <w:szCs w:val="18"/>
                <w:color w:val="auto"/>
                <w:w w:val="99"/>
              </w:rPr>
              <w:t>$</w:t>
            </w: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5"/>
              </w:rPr>
              <w:t>103,181</w:t>
            </w:r>
          </w:p>
        </w:tc>
        <w:tc>
          <w:tcPr>
            <w:tcW w:w="80" w:type="dxa"/>
            <w:vAlign w:val="bottom"/>
          </w:tcPr>
          <w:p>
            <w:pPr>
              <w:spacing w:after="0"/>
              <w:rPr>
                <w:sz w:val="18"/>
                <w:szCs w:val="18"/>
                <w:color w:val="auto"/>
              </w:rPr>
            </w:pPr>
          </w:p>
        </w:tc>
        <w:tc>
          <w:tcPr>
            <w:tcW w:w="2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ind w:right="6"/>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103,181</w:t>
            </w:r>
          </w:p>
        </w:tc>
        <w:tc>
          <w:tcPr>
            <w:tcW w:w="0" w:type="dxa"/>
            <w:vAlign w:val="bottom"/>
          </w:tcPr>
          <w:p>
            <w:pPr>
              <w:spacing w:after="0"/>
              <w:rPr>
                <w:sz w:val="1"/>
                <w:szCs w:val="1"/>
                <w:color w:val="auto"/>
              </w:rPr>
            </w:pPr>
          </w:p>
        </w:tc>
      </w:tr>
      <w:tr>
        <w:trPr>
          <w:trHeight w:val="216"/>
        </w:trPr>
        <w:tc>
          <w:tcPr>
            <w:tcW w:w="30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Food and beverage</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118,496</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118,496</w:t>
            </w:r>
          </w:p>
        </w:tc>
        <w:tc>
          <w:tcPr>
            <w:tcW w:w="0" w:type="dxa"/>
            <w:vAlign w:val="bottom"/>
          </w:tcPr>
          <w:p>
            <w:pPr>
              <w:spacing w:after="0"/>
              <w:rPr>
                <w:sz w:val="1"/>
                <w:szCs w:val="1"/>
                <w:color w:val="auto"/>
              </w:rPr>
            </w:pPr>
          </w:p>
        </w:tc>
      </w:tr>
      <w:tr>
        <w:trPr>
          <w:trHeight w:val="216"/>
        </w:trPr>
        <w:tc>
          <w:tcPr>
            <w:tcW w:w="3060" w:type="dxa"/>
            <w:vAlign w:val="bottom"/>
          </w:tcPr>
          <w:p>
            <w:pPr>
              <w:ind w:left="120"/>
              <w:spacing w:after="0"/>
              <w:rPr>
                <w:sz w:val="20"/>
                <w:szCs w:val="20"/>
                <w:color w:val="auto"/>
              </w:rPr>
            </w:pPr>
            <w:r>
              <w:rPr>
                <w:rFonts w:ascii="Arial" w:cs="Arial" w:eastAsia="Arial" w:hAnsi="Arial"/>
                <w:sz w:val="18"/>
                <w:szCs w:val="18"/>
                <w:color w:val="auto"/>
              </w:rPr>
              <w:t>Other hotel revenue</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8"/>
              </w:rPr>
              <w:t>76,592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32,691</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w w:val="98"/>
              </w:rPr>
              <w:t>(81,720)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27,563</w:t>
            </w:r>
          </w:p>
        </w:tc>
        <w:tc>
          <w:tcPr>
            <w:tcW w:w="0" w:type="dxa"/>
            <w:vAlign w:val="bottom"/>
          </w:tcPr>
          <w:p>
            <w:pPr>
              <w:spacing w:after="0"/>
              <w:rPr>
                <w:sz w:val="1"/>
                <w:szCs w:val="1"/>
                <w:color w:val="auto"/>
              </w:rPr>
            </w:pPr>
          </w:p>
        </w:tc>
      </w:tr>
      <w:tr>
        <w:trPr>
          <w:trHeight w:val="216"/>
        </w:trPr>
        <w:tc>
          <w:tcPr>
            <w:tcW w:w="30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Entertainment</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43,009</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43,009</w:t>
            </w:r>
          </w:p>
        </w:tc>
        <w:tc>
          <w:tcPr>
            <w:tcW w:w="0" w:type="dxa"/>
            <w:vAlign w:val="bottom"/>
          </w:tcPr>
          <w:p>
            <w:pPr>
              <w:spacing w:after="0"/>
              <w:rPr>
                <w:sz w:val="1"/>
                <w:szCs w:val="1"/>
                <w:color w:val="auto"/>
              </w:rPr>
            </w:pPr>
          </w:p>
        </w:tc>
      </w:tr>
      <w:tr>
        <w:trPr>
          <w:trHeight w:val="210"/>
        </w:trPr>
        <w:tc>
          <w:tcPr>
            <w:tcW w:w="3060" w:type="dxa"/>
            <w:vAlign w:val="bottom"/>
          </w:tcPr>
          <w:p>
            <w:pPr>
              <w:ind w:left="220"/>
              <w:spacing w:after="0"/>
              <w:rPr>
                <w:sz w:val="20"/>
                <w:szCs w:val="20"/>
                <w:color w:val="auto"/>
              </w:rPr>
            </w:pPr>
            <w:r>
              <w:rPr>
                <w:rFonts w:ascii="Arial" w:cs="Arial" w:eastAsia="Arial" w:hAnsi="Arial"/>
                <w:sz w:val="18"/>
                <w:szCs w:val="18"/>
                <w:color w:val="auto"/>
              </w:rPr>
              <w:t>Total revenues</w:t>
            </w:r>
          </w:p>
        </w:tc>
        <w:tc>
          <w:tcPr>
            <w:tcW w:w="4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76,592</w:t>
            </w: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297,377</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(81,720)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292,249</w:t>
            </w:r>
          </w:p>
        </w:tc>
        <w:tc>
          <w:tcPr>
            <w:tcW w:w="0" w:type="dxa"/>
            <w:vAlign w:val="bottom"/>
          </w:tcPr>
          <w:p>
            <w:pPr>
              <w:spacing w:after="0"/>
              <w:rPr>
                <w:sz w:val="1"/>
                <w:szCs w:val="1"/>
                <w:color w:val="auto"/>
              </w:rPr>
            </w:pPr>
          </w:p>
        </w:tc>
      </w:tr>
      <w:tr>
        <w:trPr>
          <w:trHeight w:val="216"/>
        </w:trPr>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60" w:type="dxa"/>
            <w:vAlign w:val="bottom"/>
          </w:tcPr>
          <w:p>
            <w:pPr>
              <w:ind w:left="120"/>
              <w:spacing w:after="0"/>
              <w:rPr>
                <w:sz w:val="20"/>
                <w:szCs w:val="20"/>
                <w:color w:val="auto"/>
              </w:rPr>
            </w:pPr>
            <w:r>
              <w:rPr>
                <w:rFonts w:ascii="Arial" w:cs="Arial" w:eastAsia="Arial" w:hAnsi="Arial"/>
                <w:sz w:val="18"/>
                <w:szCs w:val="18"/>
                <w:color w:val="auto"/>
              </w:rPr>
              <w:t>Rooms</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29,563</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29,563</w:t>
            </w:r>
          </w:p>
        </w:tc>
        <w:tc>
          <w:tcPr>
            <w:tcW w:w="0" w:type="dxa"/>
            <w:vAlign w:val="bottom"/>
          </w:tcPr>
          <w:p>
            <w:pPr>
              <w:spacing w:after="0"/>
              <w:rPr>
                <w:sz w:val="1"/>
                <w:szCs w:val="1"/>
                <w:color w:val="auto"/>
              </w:rPr>
            </w:pPr>
          </w:p>
        </w:tc>
      </w:tr>
      <w:tr>
        <w:trPr>
          <w:trHeight w:val="216"/>
        </w:trPr>
        <w:tc>
          <w:tcPr>
            <w:tcW w:w="30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Food and beverage</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67,305</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67,305</w:t>
            </w:r>
          </w:p>
        </w:tc>
        <w:tc>
          <w:tcPr>
            <w:tcW w:w="0" w:type="dxa"/>
            <w:vAlign w:val="bottom"/>
          </w:tcPr>
          <w:p>
            <w:pPr>
              <w:spacing w:after="0"/>
              <w:rPr>
                <w:sz w:val="1"/>
                <w:szCs w:val="1"/>
                <w:color w:val="auto"/>
              </w:rPr>
            </w:pPr>
          </w:p>
        </w:tc>
      </w:tr>
      <w:tr>
        <w:trPr>
          <w:trHeight w:val="216"/>
        </w:trPr>
        <w:tc>
          <w:tcPr>
            <w:tcW w:w="3060" w:type="dxa"/>
            <w:vAlign w:val="bottom"/>
          </w:tcPr>
          <w:p>
            <w:pPr>
              <w:ind w:left="120"/>
              <w:spacing w:after="0"/>
              <w:rPr>
                <w:sz w:val="20"/>
                <w:szCs w:val="20"/>
                <w:color w:val="auto"/>
              </w:rPr>
            </w:pPr>
            <w:r>
              <w:rPr>
                <w:rFonts w:ascii="Arial" w:cs="Arial" w:eastAsia="Arial" w:hAnsi="Arial"/>
                <w:sz w:val="18"/>
                <w:szCs w:val="18"/>
                <w:color w:val="auto"/>
              </w:rPr>
              <w:t>Other hotel expenses</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8"/>
              </w:rPr>
              <w:t>11,510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5"/>
              </w:rPr>
              <w:t>139,318</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w w:val="98"/>
              </w:rPr>
              <w:t>(76,478)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74,350</w:t>
            </w:r>
          </w:p>
        </w:tc>
        <w:tc>
          <w:tcPr>
            <w:tcW w:w="0" w:type="dxa"/>
            <w:vAlign w:val="bottom"/>
          </w:tcPr>
          <w:p>
            <w:pPr>
              <w:spacing w:after="0"/>
              <w:rPr>
                <w:sz w:val="1"/>
                <w:szCs w:val="1"/>
                <w:color w:val="auto"/>
              </w:rPr>
            </w:pPr>
          </w:p>
        </w:tc>
      </w:tr>
      <w:tr>
        <w:trPr>
          <w:trHeight w:val="216"/>
        </w:trPr>
        <w:tc>
          <w:tcPr>
            <w:tcW w:w="30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Management fees, net</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6,558</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6,558</w:t>
            </w:r>
          </w:p>
        </w:tc>
        <w:tc>
          <w:tcPr>
            <w:tcW w:w="0" w:type="dxa"/>
            <w:vAlign w:val="bottom"/>
          </w:tcPr>
          <w:p>
            <w:pPr>
              <w:spacing w:after="0"/>
              <w:rPr>
                <w:sz w:val="1"/>
                <w:szCs w:val="1"/>
                <w:color w:val="auto"/>
              </w:rPr>
            </w:pPr>
          </w:p>
        </w:tc>
      </w:tr>
      <w:tr>
        <w:trPr>
          <w:trHeight w:val="210"/>
        </w:trPr>
        <w:tc>
          <w:tcPr>
            <w:tcW w:w="3060" w:type="dxa"/>
            <w:vAlign w:val="bottom"/>
          </w:tcPr>
          <w:p>
            <w:pPr>
              <w:ind w:left="220"/>
              <w:spacing w:after="0"/>
              <w:rPr>
                <w:sz w:val="20"/>
                <w:szCs w:val="20"/>
                <w:color w:val="auto"/>
              </w:rPr>
            </w:pPr>
            <w:r>
              <w:rPr>
                <w:rFonts w:ascii="Arial" w:cs="Arial" w:eastAsia="Arial" w:hAnsi="Arial"/>
                <w:sz w:val="18"/>
                <w:szCs w:val="18"/>
                <w:color w:val="auto"/>
              </w:rPr>
              <w:t>Total hotel operating expenses</w:t>
            </w:r>
          </w:p>
        </w:tc>
        <w:tc>
          <w:tcPr>
            <w:tcW w:w="4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11,510</w:t>
            </w: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242,744</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(76,478)</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177,776</w:t>
            </w:r>
          </w:p>
        </w:tc>
        <w:tc>
          <w:tcPr>
            <w:tcW w:w="0" w:type="dxa"/>
            <w:vAlign w:val="bottom"/>
          </w:tcPr>
          <w:p>
            <w:pPr>
              <w:spacing w:after="0"/>
              <w:rPr>
                <w:sz w:val="1"/>
                <w:szCs w:val="1"/>
                <w:color w:val="auto"/>
              </w:rPr>
            </w:pPr>
          </w:p>
        </w:tc>
      </w:tr>
      <w:tr>
        <w:trPr>
          <w:trHeight w:val="216"/>
        </w:trPr>
        <w:tc>
          <w:tcPr>
            <w:tcW w:w="30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Entertainment</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31,327</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31,327</w:t>
            </w:r>
          </w:p>
        </w:tc>
        <w:tc>
          <w:tcPr>
            <w:tcW w:w="0" w:type="dxa"/>
            <w:vAlign w:val="bottom"/>
          </w:tcPr>
          <w:p>
            <w:pPr>
              <w:spacing w:after="0"/>
              <w:rPr>
                <w:sz w:val="1"/>
                <w:szCs w:val="1"/>
                <w:color w:val="auto"/>
              </w:rPr>
            </w:pPr>
          </w:p>
        </w:tc>
      </w:tr>
      <w:tr>
        <w:trPr>
          <w:trHeight w:val="216"/>
        </w:trPr>
        <w:tc>
          <w:tcPr>
            <w:tcW w:w="3060" w:type="dxa"/>
            <w:vAlign w:val="bottom"/>
          </w:tcPr>
          <w:p>
            <w:pPr>
              <w:ind w:left="120"/>
              <w:spacing w:after="0"/>
              <w:rPr>
                <w:sz w:val="20"/>
                <w:szCs w:val="20"/>
                <w:color w:val="auto"/>
              </w:rPr>
            </w:pPr>
            <w:r>
              <w:rPr>
                <w:rFonts w:ascii="Arial" w:cs="Arial" w:eastAsia="Arial" w:hAnsi="Arial"/>
                <w:sz w:val="18"/>
                <w:szCs w:val="18"/>
                <w:color w:val="auto"/>
              </w:rPr>
              <w:t>Corporate</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63</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410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6,739</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7,212</w:t>
            </w:r>
          </w:p>
        </w:tc>
        <w:tc>
          <w:tcPr>
            <w:tcW w:w="0" w:type="dxa"/>
            <w:vAlign w:val="bottom"/>
          </w:tcPr>
          <w:p>
            <w:pPr>
              <w:spacing w:after="0"/>
              <w:rPr>
                <w:sz w:val="1"/>
                <w:szCs w:val="1"/>
                <w:color w:val="auto"/>
              </w:rPr>
            </w:pPr>
          </w:p>
        </w:tc>
      </w:tr>
      <w:tr>
        <w:trPr>
          <w:trHeight w:val="216"/>
        </w:trPr>
        <w:tc>
          <w:tcPr>
            <w:tcW w:w="30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Preopening costs</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16"/>
        </w:trPr>
        <w:tc>
          <w:tcPr>
            <w:tcW w:w="3060" w:type="dxa"/>
            <w:vAlign w:val="bottom"/>
          </w:tcPr>
          <w:p>
            <w:pPr>
              <w:ind w:left="120"/>
              <w:spacing w:after="0"/>
              <w:rPr>
                <w:sz w:val="20"/>
                <w:szCs w:val="20"/>
                <w:color w:val="auto"/>
              </w:rPr>
            </w:pPr>
            <w:r>
              <w:rPr>
                <w:rFonts w:ascii="Arial" w:cs="Arial" w:eastAsia="Arial" w:hAnsi="Arial"/>
                <w:sz w:val="18"/>
                <w:szCs w:val="18"/>
                <w:color w:val="auto"/>
              </w:rPr>
              <w:t>Corporate overhead allocation</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2,873</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2,369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(5,242)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0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Depreciation and amortization</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15,548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15,446</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30,994</w:t>
            </w:r>
          </w:p>
        </w:tc>
        <w:tc>
          <w:tcPr>
            <w:tcW w:w="0" w:type="dxa"/>
            <w:vAlign w:val="bottom"/>
          </w:tcPr>
          <w:p>
            <w:pPr>
              <w:spacing w:after="0"/>
              <w:rPr>
                <w:sz w:val="1"/>
                <w:szCs w:val="1"/>
                <w:color w:val="auto"/>
              </w:rPr>
            </w:pPr>
          </w:p>
        </w:tc>
      </w:tr>
      <w:tr>
        <w:trPr>
          <w:trHeight w:val="216"/>
        </w:trPr>
        <w:tc>
          <w:tcPr>
            <w:tcW w:w="3060" w:type="dxa"/>
            <w:vAlign w:val="bottom"/>
          </w:tcPr>
          <w:p>
            <w:pPr>
              <w:ind w:left="120"/>
              <w:spacing w:after="0"/>
              <w:rPr>
                <w:sz w:val="20"/>
                <w:szCs w:val="20"/>
                <w:color w:val="auto"/>
              </w:rPr>
            </w:pPr>
            <w:r>
              <w:rPr>
                <w:rFonts w:ascii="Arial" w:cs="Arial" w:eastAsia="Arial" w:hAnsi="Arial"/>
                <w:sz w:val="18"/>
                <w:szCs w:val="18"/>
                <w:color w:val="auto"/>
              </w:rPr>
              <w:t>Impairment and other charges</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4,540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4,540</w:t>
            </w:r>
          </w:p>
        </w:tc>
        <w:tc>
          <w:tcPr>
            <w:tcW w:w="0" w:type="dxa"/>
            <w:vAlign w:val="bottom"/>
          </w:tcPr>
          <w:p>
            <w:pPr>
              <w:spacing w:after="0"/>
              <w:rPr>
                <w:sz w:val="1"/>
                <w:szCs w:val="1"/>
                <w:color w:val="auto"/>
              </w:rPr>
            </w:pPr>
          </w:p>
        </w:tc>
      </w:tr>
      <w:tr>
        <w:trPr>
          <w:trHeight w:val="210"/>
        </w:trPr>
        <w:tc>
          <w:tcPr>
            <w:tcW w:w="306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operating expenses</w:t>
            </w:r>
          </w:p>
        </w:tc>
        <w:tc>
          <w:tcPr>
            <w:tcW w:w="4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2,936</w:t>
            </w: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410</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29,427</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301,096</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(81,720)</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252,149</w:t>
            </w:r>
          </w:p>
        </w:tc>
        <w:tc>
          <w:tcPr>
            <w:tcW w:w="0" w:type="dxa"/>
            <w:vAlign w:val="bottom"/>
          </w:tcPr>
          <w:p>
            <w:pPr>
              <w:spacing w:after="0"/>
              <w:rPr>
                <w:sz w:val="1"/>
                <w:szCs w:val="1"/>
                <w:color w:val="auto"/>
              </w:rPr>
            </w:pPr>
          </w:p>
        </w:tc>
      </w:tr>
      <w:tr>
        <w:trPr>
          <w:trHeight w:val="210"/>
        </w:trPr>
        <w:tc>
          <w:tcPr>
            <w:tcW w:w="30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Operating income (loss)</w:t>
            </w:r>
          </w:p>
        </w:tc>
        <w:tc>
          <w:tcPr>
            <w:tcW w:w="4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(2,936)</w:t>
            </w:r>
          </w:p>
        </w:tc>
        <w:tc>
          <w:tcPr>
            <w:tcW w:w="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(410)</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47,165</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(3,719)</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40,100</w:t>
            </w:r>
          </w:p>
        </w:tc>
        <w:tc>
          <w:tcPr>
            <w:tcW w:w="0" w:type="dxa"/>
            <w:vAlign w:val="bottom"/>
          </w:tcPr>
          <w:p>
            <w:pPr>
              <w:spacing w:after="0"/>
              <w:rPr>
                <w:sz w:val="1"/>
                <w:szCs w:val="1"/>
                <w:color w:val="auto"/>
              </w:rPr>
            </w:pPr>
          </w:p>
        </w:tc>
      </w:tr>
      <w:tr>
        <w:trPr>
          <w:trHeight w:val="210"/>
        </w:trPr>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(19,214)</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(19,220)</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20"/>
                <w:szCs w:val="20"/>
                <w:color w:val="auto"/>
              </w:rPr>
            </w:pPr>
            <w:r>
              <w:rPr>
                <w:rFonts w:ascii="Arial" w:cs="Arial" w:eastAsia="Arial" w:hAnsi="Arial"/>
                <w:sz w:val="18"/>
                <w:szCs w:val="18"/>
                <w:color w:val="auto"/>
              </w:rPr>
              <w:t>Interest income</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2,678</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2,678</w:t>
            </w:r>
          </w:p>
        </w:tc>
        <w:tc>
          <w:tcPr>
            <w:tcW w:w="0" w:type="dxa"/>
            <w:vAlign w:val="bottom"/>
          </w:tcPr>
          <w:p>
            <w:pPr>
              <w:spacing w:after="0"/>
              <w:rPr>
                <w:sz w:val="1"/>
                <w:szCs w:val="1"/>
                <w:color w:val="auto"/>
              </w:rPr>
            </w:pPr>
          </w:p>
        </w:tc>
      </w:tr>
      <w:tr>
        <w:trPr>
          <w:trHeight w:val="216"/>
        </w:trPr>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Loss from joint ventures</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(985)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(985)</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20"/>
                <w:szCs w:val="20"/>
                <w:color w:val="auto"/>
              </w:rPr>
            </w:pPr>
            <w:r>
              <w:rPr>
                <w:rFonts w:ascii="Arial" w:cs="Arial" w:eastAsia="Arial" w:hAnsi="Arial"/>
                <w:sz w:val="18"/>
                <w:szCs w:val="18"/>
                <w:color w:val="auto"/>
              </w:rPr>
              <w:t>Other gains and (losses), net</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1,881</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1,881</w:t>
            </w:r>
          </w:p>
        </w:tc>
        <w:tc>
          <w:tcPr>
            <w:tcW w:w="0" w:type="dxa"/>
            <w:vAlign w:val="bottom"/>
          </w:tcPr>
          <w:p>
            <w:pPr>
              <w:spacing w:after="0"/>
              <w:rPr>
                <w:sz w:val="1"/>
                <w:szCs w:val="1"/>
                <w:color w:val="auto"/>
              </w:rPr>
            </w:pPr>
          </w:p>
        </w:tc>
      </w:tr>
      <w:tr>
        <w:trPr>
          <w:trHeight w:val="210"/>
        </w:trPr>
        <w:tc>
          <w:tcPr>
            <w:tcW w:w="30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(loss) before income taxes</w:t>
            </w:r>
          </w:p>
        </w:tc>
        <w:tc>
          <w:tcPr>
            <w:tcW w:w="4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(2,936)</w:t>
            </w: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(19,624)</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47,165</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24,454</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(1,785)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(1,863)</w:t>
            </w:r>
          </w:p>
        </w:tc>
        <w:tc>
          <w:tcPr>
            <w:tcW w:w="0" w:type="dxa"/>
            <w:vAlign w:val="bottom"/>
          </w:tcPr>
          <w:p>
            <w:pPr>
              <w:spacing w:after="0"/>
              <w:rPr>
                <w:sz w:val="1"/>
                <w:szCs w:val="1"/>
                <w:color w:val="auto"/>
              </w:rPr>
            </w:pPr>
          </w:p>
        </w:tc>
      </w:tr>
      <w:tr>
        <w:trPr>
          <w:trHeight w:val="216"/>
        </w:trPr>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Equity in subsidiaries’ earnings, net</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25,527</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8"/>
              </w:rPr>
              <w:t>(25,527)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306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Net income (loss)</w:t>
            </w:r>
          </w:p>
        </w:tc>
        <w:tc>
          <w:tcPr>
            <w:tcW w:w="46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22,591</w:t>
            </w:r>
          </w:p>
        </w:tc>
        <w:tc>
          <w:tcPr>
            <w:tcW w:w="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(19,624)</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47,087</w:t>
            </w:r>
          </w:p>
        </w:tc>
        <w:tc>
          <w:tcPr>
            <w:tcW w:w="16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(1,936)</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(25,527)</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22,591</w:t>
            </w:r>
          </w:p>
        </w:tc>
        <w:tc>
          <w:tcPr>
            <w:tcW w:w="0" w:type="dxa"/>
            <w:vAlign w:val="bottom"/>
          </w:tcPr>
          <w:p>
            <w:pPr>
              <w:spacing w:after="0"/>
              <w:rPr>
                <w:sz w:val="1"/>
                <w:szCs w:val="1"/>
                <w:color w:val="auto"/>
              </w:rPr>
            </w:pPr>
          </w:p>
        </w:tc>
      </w:tr>
      <w:tr>
        <w:trPr>
          <w:trHeight w:val="223"/>
        </w:trPr>
        <w:tc>
          <w:tcPr>
            <w:tcW w:w="30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Comprehensive income (loss)</w:t>
            </w:r>
          </w:p>
        </w:tc>
        <w:tc>
          <w:tcPr>
            <w:tcW w:w="4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26,030</w:t>
            </w:r>
          </w:p>
        </w:tc>
        <w:tc>
          <w:tcPr>
            <w:tcW w:w="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(19,624)</w:t>
            </w:r>
          </w:p>
        </w:tc>
        <w:tc>
          <w:tcPr>
            <w:tcW w:w="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47,087</w:t>
            </w:r>
          </w:p>
        </w:tc>
        <w:tc>
          <w:tcPr>
            <w:tcW w:w="1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1,503</w:t>
            </w:r>
          </w:p>
        </w:tc>
        <w:tc>
          <w:tcPr>
            <w:tcW w:w="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(28,966)</w:t>
            </w:r>
          </w:p>
        </w:tc>
        <w:tc>
          <w:tcPr>
            <w:tcW w:w="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26,030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8" w:name="page19"/>
    <w:bookmarkEnd w:id="1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line="261" w:lineRule="auto"/>
        <w:rPr>
          <w:sz w:val="20"/>
          <w:szCs w:val="20"/>
          <w:color w:val="auto"/>
        </w:rPr>
      </w:pPr>
      <w:r>
        <w:rPr>
          <w:rFonts w:ascii="Arial" w:cs="Arial" w:eastAsia="Arial" w:hAnsi="Arial"/>
          <w:sz w:val="18"/>
          <w:szCs w:val="18"/>
          <w:b w:val="1"/>
          <w:bCs w:val="1"/>
          <w:color w:val="auto"/>
        </w:rPr>
        <w:t>RYMAN HOSPITALITY PROPERTIES, INC. AND SUBSIDIARIES CONDENSED CONSOLIDATING STATEMENT OF OPERATIONS AND COMPREHENSIVE INCOME For the Three Months Ended September 30, 2017</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gridSpan w:val="2"/>
          </w:tcPr>
          <w:p>
            <w:pPr>
              <w:ind w:left="40"/>
              <w:spacing w:after="0"/>
              <w:rPr>
                <w:sz w:val="20"/>
                <w:szCs w:val="20"/>
                <w:color w:val="auto"/>
              </w:rPr>
            </w:pPr>
            <w:r>
              <w:rPr>
                <w:rFonts w:ascii="Arial" w:cs="Arial" w:eastAsia="Arial" w:hAnsi="Arial"/>
                <w:sz w:val="14"/>
                <w:szCs w:val="14"/>
                <w:b w:val="1"/>
                <w:bCs w:val="1"/>
                <w:color w:val="auto"/>
              </w:rPr>
              <w:t>Parent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Issuer</w:t>
            </w:r>
          </w:p>
        </w:tc>
        <w:tc>
          <w:tcPr>
            <w:tcW w:w="80" w:type="dxa"/>
            <w:vAlign w:val="bottom"/>
          </w:tcPr>
          <w:p>
            <w:pPr>
              <w:spacing w:after="0"/>
              <w:rPr>
                <w:sz w:val="14"/>
                <w:szCs w:val="14"/>
                <w:color w:val="auto"/>
              </w:rPr>
            </w:pPr>
          </w:p>
        </w:tc>
        <w:tc>
          <w:tcPr>
            <w:tcW w:w="9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Guarantors</w:t>
            </w:r>
          </w:p>
        </w:tc>
        <w:tc>
          <w:tcPr>
            <w:tcW w:w="120" w:type="dxa"/>
            <w:vAlign w:val="bottom"/>
          </w:tcPr>
          <w:p>
            <w:pPr>
              <w:spacing w:after="0"/>
              <w:rPr>
                <w:sz w:val="14"/>
                <w:szCs w:val="14"/>
                <w:color w:val="auto"/>
              </w:rPr>
            </w:pPr>
          </w:p>
        </w:tc>
        <w:tc>
          <w:tcPr>
            <w:tcW w:w="7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Non-</w:t>
            </w:r>
          </w:p>
        </w:tc>
        <w:tc>
          <w:tcPr>
            <w:tcW w:w="80" w:type="dxa"/>
            <w:vAlign w:val="bottom"/>
          </w:tcPr>
          <w:p>
            <w:pPr>
              <w:spacing w:after="0"/>
              <w:rPr>
                <w:sz w:val="14"/>
                <w:szCs w:val="14"/>
                <w:color w:val="auto"/>
              </w:rPr>
            </w:pPr>
          </w:p>
        </w:tc>
        <w:tc>
          <w:tcPr>
            <w:tcW w:w="10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Eliminations</w:t>
            </w:r>
          </w:p>
        </w:tc>
        <w:tc>
          <w:tcPr>
            <w:tcW w:w="20" w:type="dxa"/>
            <w:vAlign w:val="bottom"/>
          </w:tcPr>
          <w:p>
            <w:pPr>
              <w:spacing w:after="0"/>
              <w:rPr>
                <w:sz w:val="14"/>
                <w:szCs w:val="14"/>
                <w:color w:val="auto"/>
              </w:rPr>
            </w:pPr>
          </w:p>
        </w:tc>
        <w:tc>
          <w:tcPr>
            <w:tcW w:w="86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71"/>
        </w:trPr>
        <w:tc>
          <w:tcPr>
            <w:tcW w:w="3060" w:type="dxa"/>
            <w:vAlign w:val="bottom"/>
          </w:tcPr>
          <w:p>
            <w:pPr>
              <w:spacing w:after="0"/>
              <w:rPr>
                <w:sz w:val="20"/>
                <w:szCs w:val="20"/>
                <w:color w:val="auto"/>
              </w:rPr>
            </w:pPr>
            <w:r>
              <w:rPr>
                <w:rFonts w:ascii="Arial" w:cs="Arial" w:eastAsia="Arial" w:hAnsi="Arial"/>
                <w:sz w:val="14"/>
                <w:szCs w:val="14"/>
                <w:color w:val="auto"/>
              </w:rPr>
              <w:t>(in thousands)</w:t>
            </w:r>
          </w:p>
        </w:tc>
        <w:tc>
          <w:tcPr>
            <w:tcW w:w="460" w:type="dxa"/>
            <w:vAlign w:val="bottom"/>
          </w:tcPr>
          <w:p>
            <w:pPr>
              <w:spacing w:after="0"/>
              <w:rPr>
                <w:sz w:val="14"/>
                <w:szCs w:val="14"/>
                <w:color w:val="auto"/>
              </w:rPr>
            </w:pPr>
          </w:p>
        </w:tc>
        <w:tc>
          <w:tcPr>
            <w:tcW w:w="780" w:type="dxa"/>
            <w:vAlign w:val="bottom"/>
            <w:gridSpan w:val="3"/>
          </w:tcPr>
          <w:p>
            <w:pPr>
              <w:ind w:left="20"/>
              <w:spacing w:after="0"/>
              <w:rPr>
                <w:sz w:val="20"/>
                <w:szCs w:val="20"/>
                <w:color w:val="auto"/>
              </w:rPr>
            </w:pPr>
            <w:r>
              <w:rPr>
                <w:rFonts w:ascii="Arial" w:cs="Arial" w:eastAsia="Arial" w:hAnsi="Arial"/>
                <w:sz w:val="14"/>
                <w:szCs w:val="14"/>
                <w:b w:val="1"/>
                <w:bCs w:val="1"/>
                <w:color w:val="auto"/>
              </w:rPr>
              <w:t>Guarantor</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3"/>
            <w:vMerge w:val="continue"/>
          </w:tcPr>
          <w:p>
            <w:pPr>
              <w:spacing w:after="0"/>
              <w:rPr>
                <w:sz w:val="14"/>
                <w:szCs w:val="14"/>
                <w:color w:val="auto"/>
              </w:rPr>
            </w:pPr>
          </w:p>
        </w:tc>
        <w:tc>
          <w:tcPr>
            <w:tcW w:w="88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w w:val="95"/>
              </w:rPr>
              <w:t>Guarantors</w:t>
            </w:r>
          </w:p>
        </w:tc>
        <w:tc>
          <w:tcPr>
            <w:tcW w:w="80" w:type="dxa"/>
            <w:vAlign w:val="bottom"/>
          </w:tcPr>
          <w:p>
            <w:pPr>
              <w:spacing w:after="0"/>
              <w:rPr>
                <w:sz w:val="14"/>
                <w:szCs w:val="14"/>
                <w:color w:val="auto"/>
              </w:rPr>
            </w:pPr>
          </w:p>
        </w:tc>
        <w:tc>
          <w:tcPr>
            <w:tcW w:w="100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0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60" w:type="dxa"/>
            <w:vAlign w:val="bottom"/>
          </w:tcPr>
          <w:p>
            <w:pPr>
              <w:ind w:left="120"/>
              <w:spacing w:after="0"/>
              <w:rPr>
                <w:sz w:val="20"/>
                <w:szCs w:val="20"/>
                <w:color w:val="auto"/>
              </w:rPr>
            </w:pPr>
            <w:r>
              <w:rPr>
                <w:rFonts w:ascii="Arial" w:cs="Arial" w:eastAsia="Arial" w:hAnsi="Arial"/>
                <w:sz w:val="18"/>
                <w:szCs w:val="18"/>
                <w:color w:val="auto"/>
              </w:rPr>
              <w:t>Rooms</w:t>
            </w:r>
          </w:p>
        </w:tc>
        <w:tc>
          <w:tcPr>
            <w:tcW w:w="580" w:type="dxa"/>
            <w:vAlign w:val="bottom"/>
            <w:gridSpan w:val="2"/>
          </w:tcPr>
          <w:p>
            <w:pPr>
              <w:ind w:left="460"/>
              <w:spacing w:after="0"/>
              <w:rPr>
                <w:sz w:val="20"/>
                <w:szCs w:val="20"/>
                <w:color w:val="auto"/>
              </w:rPr>
            </w:pPr>
            <w:r>
              <w:rPr>
                <w:rFonts w:ascii="Arial" w:cs="Arial" w:eastAsia="Arial" w:hAnsi="Arial"/>
                <w:sz w:val="18"/>
                <w:szCs w:val="18"/>
                <w:color w:val="auto"/>
                <w:w w:val="99"/>
              </w:rPr>
              <w:t>$</w:t>
            </w: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5"/>
              </w:rPr>
              <w:t>100,534</w:t>
            </w:r>
          </w:p>
        </w:tc>
        <w:tc>
          <w:tcPr>
            <w:tcW w:w="80" w:type="dxa"/>
            <w:vAlign w:val="bottom"/>
          </w:tcPr>
          <w:p>
            <w:pPr>
              <w:spacing w:after="0"/>
              <w:rPr>
                <w:sz w:val="18"/>
                <w:szCs w:val="18"/>
                <w:color w:val="auto"/>
              </w:rPr>
            </w:pPr>
          </w:p>
        </w:tc>
        <w:tc>
          <w:tcPr>
            <w:tcW w:w="2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gridSpan w:val="2"/>
          </w:tcPr>
          <w:p>
            <w:pPr>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100,534</w:t>
            </w:r>
          </w:p>
        </w:tc>
        <w:tc>
          <w:tcPr>
            <w:tcW w:w="0" w:type="dxa"/>
            <w:vAlign w:val="bottom"/>
          </w:tcPr>
          <w:p>
            <w:pPr>
              <w:spacing w:after="0"/>
              <w:rPr>
                <w:sz w:val="1"/>
                <w:szCs w:val="1"/>
                <w:color w:val="auto"/>
              </w:rPr>
            </w:pPr>
          </w:p>
        </w:tc>
      </w:tr>
      <w:tr>
        <w:trPr>
          <w:trHeight w:val="216"/>
        </w:trPr>
        <w:tc>
          <w:tcPr>
            <w:tcW w:w="30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Food and beverage</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104,437</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104,437</w:t>
            </w:r>
          </w:p>
        </w:tc>
        <w:tc>
          <w:tcPr>
            <w:tcW w:w="0" w:type="dxa"/>
            <w:vAlign w:val="bottom"/>
          </w:tcPr>
          <w:p>
            <w:pPr>
              <w:spacing w:after="0"/>
              <w:rPr>
                <w:sz w:val="1"/>
                <w:szCs w:val="1"/>
                <w:color w:val="auto"/>
              </w:rPr>
            </w:pPr>
          </w:p>
        </w:tc>
      </w:tr>
      <w:tr>
        <w:trPr>
          <w:trHeight w:val="216"/>
        </w:trPr>
        <w:tc>
          <w:tcPr>
            <w:tcW w:w="3060" w:type="dxa"/>
            <w:vAlign w:val="bottom"/>
          </w:tcPr>
          <w:p>
            <w:pPr>
              <w:ind w:left="120"/>
              <w:spacing w:after="0"/>
              <w:rPr>
                <w:sz w:val="20"/>
                <w:szCs w:val="20"/>
                <w:color w:val="auto"/>
              </w:rPr>
            </w:pPr>
            <w:r>
              <w:rPr>
                <w:rFonts w:ascii="Arial" w:cs="Arial" w:eastAsia="Arial" w:hAnsi="Arial"/>
                <w:sz w:val="18"/>
                <w:szCs w:val="18"/>
                <w:color w:val="auto"/>
              </w:rPr>
              <w:t>Other hotel revenue</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8"/>
              </w:rPr>
              <w:t>78,196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28,701</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(82,278)</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24,619</w:t>
            </w:r>
          </w:p>
        </w:tc>
        <w:tc>
          <w:tcPr>
            <w:tcW w:w="0" w:type="dxa"/>
            <w:vAlign w:val="bottom"/>
          </w:tcPr>
          <w:p>
            <w:pPr>
              <w:spacing w:after="0"/>
              <w:rPr>
                <w:sz w:val="1"/>
                <w:szCs w:val="1"/>
                <w:color w:val="auto"/>
              </w:rPr>
            </w:pPr>
          </w:p>
        </w:tc>
      </w:tr>
      <w:tr>
        <w:trPr>
          <w:trHeight w:val="216"/>
        </w:trPr>
        <w:tc>
          <w:tcPr>
            <w:tcW w:w="30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Entertainment</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35,134</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35,134</w:t>
            </w:r>
          </w:p>
        </w:tc>
        <w:tc>
          <w:tcPr>
            <w:tcW w:w="0" w:type="dxa"/>
            <w:vAlign w:val="bottom"/>
          </w:tcPr>
          <w:p>
            <w:pPr>
              <w:spacing w:after="0"/>
              <w:rPr>
                <w:sz w:val="1"/>
                <w:szCs w:val="1"/>
                <w:color w:val="auto"/>
              </w:rPr>
            </w:pPr>
          </w:p>
        </w:tc>
      </w:tr>
      <w:tr>
        <w:trPr>
          <w:trHeight w:val="210"/>
        </w:trPr>
        <w:tc>
          <w:tcPr>
            <w:tcW w:w="3060" w:type="dxa"/>
            <w:vAlign w:val="bottom"/>
          </w:tcPr>
          <w:p>
            <w:pPr>
              <w:ind w:left="220"/>
              <w:spacing w:after="0"/>
              <w:rPr>
                <w:sz w:val="20"/>
                <w:szCs w:val="20"/>
                <w:color w:val="auto"/>
              </w:rPr>
            </w:pPr>
            <w:r>
              <w:rPr>
                <w:rFonts w:ascii="Arial" w:cs="Arial" w:eastAsia="Arial" w:hAnsi="Arial"/>
                <w:sz w:val="18"/>
                <w:szCs w:val="18"/>
                <w:color w:val="auto"/>
              </w:rPr>
              <w:t>Total revenues</w:t>
            </w:r>
          </w:p>
        </w:tc>
        <w:tc>
          <w:tcPr>
            <w:tcW w:w="4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78,196</w:t>
            </w: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268,806</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(82,278)</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264,724</w:t>
            </w:r>
          </w:p>
        </w:tc>
        <w:tc>
          <w:tcPr>
            <w:tcW w:w="0" w:type="dxa"/>
            <w:vAlign w:val="bottom"/>
          </w:tcPr>
          <w:p>
            <w:pPr>
              <w:spacing w:after="0"/>
              <w:rPr>
                <w:sz w:val="1"/>
                <w:szCs w:val="1"/>
                <w:color w:val="auto"/>
              </w:rPr>
            </w:pPr>
          </w:p>
        </w:tc>
      </w:tr>
      <w:tr>
        <w:trPr>
          <w:trHeight w:val="216"/>
        </w:trPr>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60" w:type="dxa"/>
            <w:vAlign w:val="bottom"/>
          </w:tcPr>
          <w:p>
            <w:pPr>
              <w:ind w:left="120"/>
              <w:spacing w:after="0"/>
              <w:rPr>
                <w:sz w:val="20"/>
                <w:szCs w:val="20"/>
                <w:color w:val="auto"/>
              </w:rPr>
            </w:pPr>
            <w:r>
              <w:rPr>
                <w:rFonts w:ascii="Arial" w:cs="Arial" w:eastAsia="Arial" w:hAnsi="Arial"/>
                <w:sz w:val="18"/>
                <w:szCs w:val="18"/>
                <w:color w:val="auto"/>
              </w:rPr>
              <w:t>Rooms</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27,575</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27,575</w:t>
            </w:r>
          </w:p>
        </w:tc>
        <w:tc>
          <w:tcPr>
            <w:tcW w:w="0" w:type="dxa"/>
            <w:vAlign w:val="bottom"/>
          </w:tcPr>
          <w:p>
            <w:pPr>
              <w:spacing w:after="0"/>
              <w:rPr>
                <w:sz w:val="1"/>
                <w:szCs w:val="1"/>
                <w:color w:val="auto"/>
              </w:rPr>
            </w:pPr>
          </w:p>
        </w:tc>
      </w:tr>
      <w:tr>
        <w:trPr>
          <w:trHeight w:val="216"/>
        </w:trPr>
        <w:tc>
          <w:tcPr>
            <w:tcW w:w="30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Food and beverage</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62,649</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62,649</w:t>
            </w:r>
          </w:p>
        </w:tc>
        <w:tc>
          <w:tcPr>
            <w:tcW w:w="0" w:type="dxa"/>
            <w:vAlign w:val="bottom"/>
          </w:tcPr>
          <w:p>
            <w:pPr>
              <w:spacing w:after="0"/>
              <w:rPr>
                <w:sz w:val="1"/>
                <w:szCs w:val="1"/>
                <w:color w:val="auto"/>
              </w:rPr>
            </w:pPr>
          </w:p>
        </w:tc>
      </w:tr>
      <w:tr>
        <w:trPr>
          <w:trHeight w:val="216"/>
        </w:trPr>
        <w:tc>
          <w:tcPr>
            <w:tcW w:w="3060" w:type="dxa"/>
            <w:vAlign w:val="bottom"/>
          </w:tcPr>
          <w:p>
            <w:pPr>
              <w:ind w:left="120"/>
              <w:spacing w:after="0"/>
              <w:rPr>
                <w:sz w:val="20"/>
                <w:szCs w:val="20"/>
                <w:color w:val="auto"/>
              </w:rPr>
            </w:pPr>
            <w:r>
              <w:rPr>
                <w:rFonts w:ascii="Arial" w:cs="Arial" w:eastAsia="Arial" w:hAnsi="Arial"/>
                <w:sz w:val="18"/>
                <w:szCs w:val="18"/>
                <w:color w:val="auto"/>
              </w:rPr>
              <w:t>Other hotel expenses</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8"/>
              </w:rPr>
              <w:t>11,177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5"/>
              </w:rPr>
              <w:t>139,209</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(78,087)</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72,299</w:t>
            </w:r>
          </w:p>
        </w:tc>
        <w:tc>
          <w:tcPr>
            <w:tcW w:w="0" w:type="dxa"/>
            <w:vAlign w:val="bottom"/>
          </w:tcPr>
          <w:p>
            <w:pPr>
              <w:spacing w:after="0"/>
              <w:rPr>
                <w:sz w:val="1"/>
                <w:szCs w:val="1"/>
                <w:color w:val="auto"/>
              </w:rPr>
            </w:pPr>
          </w:p>
        </w:tc>
      </w:tr>
      <w:tr>
        <w:trPr>
          <w:trHeight w:val="216"/>
        </w:trPr>
        <w:tc>
          <w:tcPr>
            <w:tcW w:w="30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Management fees, net</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4,708</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4,708</w:t>
            </w:r>
          </w:p>
        </w:tc>
        <w:tc>
          <w:tcPr>
            <w:tcW w:w="0" w:type="dxa"/>
            <w:vAlign w:val="bottom"/>
          </w:tcPr>
          <w:p>
            <w:pPr>
              <w:spacing w:after="0"/>
              <w:rPr>
                <w:sz w:val="1"/>
                <w:szCs w:val="1"/>
                <w:color w:val="auto"/>
              </w:rPr>
            </w:pPr>
          </w:p>
        </w:tc>
      </w:tr>
      <w:tr>
        <w:trPr>
          <w:trHeight w:val="210"/>
        </w:trPr>
        <w:tc>
          <w:tcPr>
            <w:tcW w:w="3060" w:type="dxa"/>
            <w:vAlign w:val="bottom"/>
          </w:tcPr>
          <w:p>
            <w:pPr>
              <w:ind w:left="220"/>
              <w:spacing w:after="0"/>
              <w:rPr>
                <w:sz w:val="20"/>
                <w:szCs w:val="20"/>
                <w:color w:val="auto"/>
              </w:rPr>
            </w:pPr>
            <w:r>
              <w:rPr>
                <w:rFonts w:ascii="Arial" w:cs="Arial" w:eastAsia="Arial" w:hAnsi="Arial"/>
                <w:sz w:val="18"/>
                <w:szCs w:val="18"/>
                <w:color w:val="auto"/>
              </w:rPr>
              <w:t>Total hotel operating expenses</w:t>
            </w:r>
          </w:p>
        </w:tc>
        <w:tc>
          <w:tcPr>
            <w:tcW w:w="4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11,177</w:t>
            </w: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234,141</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(78,087)</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167,231</w:t>
            </w:r>
          </w:p>
        </w:tc>
        <w:tc>
          <w:tcPr>
            <w:tcW w:w="0" w:type="dxa"/>
            <w:vAlign w:val="bottom"/>
          </w:tcPr>
          <w:p>
            <w:pPr>
              <w:spacing w:after="0"/>
              <w:rPr>
                <w:sz w:val="1"/>
                <w:szCs w:val="1"/>
                <w:color w:val="auto"/>
              </w:rPr>
            </w:pPr>
          </w:p>
        </w:tc>
      </w:tr>
      <w:tr>
        <w:trPr>
          <w:trHeight w:val="216"/>
        </w:trPr>
        <w:tc>
          <w:tcPr>
            <w:tcW w:w="30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Entertainment</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22,652</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22,651</w:t>
            </w:r>
          </w:p>
        </w:tc>
        <w:tc>
          <w:tcPr>
            <w:tcW w:w="0" w:type="dxa"/>
            <w:vAlign w:val="bottom"/>
          </w:tcPr>
          <w:p>
            <w:pPr>
              <w:spacing w:after="0"/>
              <w:rPr>
                <w:sz w:val="1"/>
                <w:szCs w:val="1"/>
                <w:color w:val="auto"/>
              </w:rPr>
            </w:pPr>
          </w:p>
        </w:tc>
      </w:tr>
      <w:tr>
        <w:trPr>
          <w:trHeight w:val="216"/>
        </w:trPr>
        <w:tc>
          <w:tcPr>
            <w:tcW w:w="3060" w:type="dxa"/>
            <w:vAlign w:val="bottom"/>
          </w:tcPr>
          <w:p>
            <w:pPr>
              <w:ind w:left="120"/>
              <w:spacing w:after="0"/>
              <w:rPr>
                <w:sz w:val="20"/>
                <w:szCs w:val="20"/>
                <w:color w:val="auto"/>
              </w:rPr>
            </w:pPr>
            <w:r>
              <w:rPr>
                <w:rFonts w:ascii="Arial" w:cs="Arial" w:eastAsia="Arial" w:hAnsi="Arial"/>
                <w:sz w:val="18"/>
                <w:szCs w:val="18"/>
                <w:color w:val="auto"/>
              </w:rPr>
              <w:t>Corporate</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101</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424</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7,384</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7,909</w:t>
            </w:r>
          </w:p>
        </w:tc>
        <w:tc>
          <w:tcPr>
            <w:tcW w:w="0" w:type="dxa"/>
            <w:vAlign w:val="bottom"/>
          </w:tcPr>
          <w:p>
            <w:pPr>
              <w:spacing w:after="0"/>
              <w:rPr>
                <w:sz w:val="1"/>
                <w:szCs w:val="1"/>
                <w:color w:val="auto"/>
              </w:rPr>
            </w:pPr>
          </w:p>
        </w:tc>
      </w:tr>
      <w:tr>
        <w:trPr>
          <w:trHeight w:val="216"/>
        </w:trPr>
        <w:tc>
          <w:tcPr>
            <w:tcW w:w="30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Preopening costs</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877</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877</w:t>
            </w:r>
          </w:p>
        </w:tc>
        <w:tc>
          <w:tcPr>
            <w:tcW w:w="0" w:type="dxa"/>
            <w:vAlign w:val="bottom"/>
          </w:tcPr>
          <w:p>
            <w:pPr>
              <w:spacing w:after="0"/>
              <w:rPr>
                <w:sz w:val="1"/>
                <w:szCs w:val="1"/>
                <w:color w:val="auto"/>
              </w:rPr>
            </w:pPr>
          </w:p>
        </w:tc>
      </w:tr>
      <w:tr>
        <w:trPr>
          <w:trHeight w:val="216"/>
        </w:trPr>
        <w:tc>
          <w:tcPr>
            <w:tcW w:w="3060" w:type="dxa"/>
            <w:vAlign w:val="bottom"/>
          </w:tcPr>
          <w:p>
            <w:pPr>
              <w:ind w:left="120"/>
              <w:spacing w:after="0"/>
              <w:rPr>
                <w:sz w:val="20"/>
                <w:szCs w:val="20"/>
                <w:color w:val="auto"/>
              </w:rPr>
            </w:pPr>
            <w:r>
              <w:rPr>
                <w:rFonts w:ascii="Arial" w:cs="Arial" w:eastAsia="Arial" w:hAnsi="Arial"/>
                <w:sz w:val="18"/>
                <w:szCs w:val="18"/>
                <w:color w:val="auto"/>
              </w:rPr>
              <w:t>Corporate overhead allocation</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2,339</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1,851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(4,190)</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0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Depreciation and amortization</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14,933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13,613</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28,546</w:t>
            </w:r>
          </w:p>
        </w:tc>
        <w:tc>
          <w:tcPr>
            <w:tcW w:w="0" w:type="dxa"/>
            <w:vAlign w:val="bottom"/>
          </w:tcPr>
          <w:p>
            <w:pPr>
              <w:spacing w:after="0"/>
              <w:rPr>
                <w:sz w:val="1"/>
                <w:szCs w:val="1"/>
                <w:color w:val="auto"/>
              </w:rPr>
            </w:pPr>
          </w:p>
        </w:tc>
      </w:tr>
      <w:tr>
        <w:trPr>
          <w:trHeight w:val="210"/>
        </w:trPr>
        <w:tc>
          <w:tcPr>
            <w:tcW w:w="30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Total operating expenses</w:t>
            </w:r>
          </w:p>
        </w:tc>
        <w:tc>
          <w:tcPr>
            <w:tcW w:w="46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2,440</w:t>
            </w:r>
          </w:p>
        </w:tc>
        <w:tc>
          <w:tcPr>
            <w:tcW w:w="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424</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27,961</w:t>
            </w:r>
          </w:p>
        </w:tc>
        <w:tc>
          <w:tcPr>
            <w:tcW w:w="16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278,667</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(82,278)</w:t>
            </w: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227,214</w:t>
            </w:r>
          </w:p>
        </w:tc>
        <w:tc>
          <w:tcPr>
            <w:tcW w:w="0" w:type="dxa"/>
            <w:vAlign w:val="bottom"/>
          </w:tcPr>
          <w:p>
            <w:pPr>
              <w:spacing w:after="0"/>
              <w:rPr>
                <w:sz w:val="1"/>
                <w:szCs w:val="1"/>
                <w:color w:val="auto"/>
              </w:rPr>
            </w:pPr>
          </w:p>
        </w:tc>
      </w:tr>
      <w:tr>
        <w:trPr>
          <w:trHeight w:val="210"/>
        </w:trPr>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4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(2,440)</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(424)</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50,235</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(9,861)</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37,510</w:t>
            </w:r>
          </w:p>
        </w:tc>
        <w:tc>
          <w:tcPr>
            <w:tcW w:w="0" w:type="dxa"/>
            <w:vAlign w:val="bottom"/>
          </w:tcPr>
          <w:p>
            <w:pPr>
              <w:spacing w:after="0"/>
              <w:rPr>
                <w:sz w:val="1"/>
                <w:szCs w:val="1"/>
                <w:color w:val="auto"/>
              </w:rPr>
            </w:pPr>
          </w:p>
        </w:tc>
      </w:tr>
      <w:tr>
        <w:trPr>
          <w:trHeight w:val="210"/>
        </w:trPr>
        <w:tc>
          <w:tcPr>
            <w:tcW w:w="3060" w:type="dxa"/>
            <w:vAlign w:val="bottom"/>
          </w:tcPr>
          <w:p>
            <w:pPr>
              <w:spacing w:after="0"/>
              <w:rPr>
                <w:sz w:val="20"/>
                <w:szCs w:val="20"/>
                <w:color w:val="auto"/>
              </w:rPr>
            </w:pPr>
            <w:r>
              <w:rPr>
                <w:rFonts w:ascii="Arial" w:cs="Arial" w:eastAsia="Arial" w:hAnsi="Arial"/>
                <w:sz w:val="18"/>
                <w:szCs w:val="18"/>
                <w:color w:val="auto"/>
              </w:rPr>
              <w:t>Interest expense</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2"/>
              </w:rPr>
              <w:t>(16,614)</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(16,621)</w:t>
            </w:r>
          </w:p>
        </w:tc>
        <w:tc>
          <w:tcPr>
            <w:tcW w:w="0" w:type="dxa"/>
            <w:vAlign w:val="bottom"/>
          </w:tcPr>
          <w:p>
            <w:pPr>
              <w:spacing w:after="0"/>
              <w:rPr>
                <w:sz w:val="1"/>
                <w:szCs w:val="1"/>
                <w:color w:val="auto"/>
              </w:rPr>
            </w:pPr>
          </w:p>
        </w:tc>
      </w:tr>
      <w:tr>
        <w:trPr>
          <w:trHeight w:val="216"/>
        </w:trPr>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2,957</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2,957</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20"/>
                <w:szCs w:val="20"/>
                <w:color w:val="auto"/>
              </w:rPr>
            </w:pPr>
            <w:r>
              <w:rPr>
                <w:rFonts w:ascii="Arial" w:cs="Arial" w:eastAsia="Arial" w:hAnsi="Arial"/>
                <w:sz w:val="18"/>
                <w:szCs w:val="18"/>
                <w:color w:val="auto"/>
              </w:rPr>
              <w:t>Loss from joint ventures</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(899)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(899)</w:t>
            </w:r>
          </w:p>
        </w:tc>
        <w:tc>
          <w:tcPr>
            <w:tcW w:w="0" w:type="dxa"/>
            <w:vAlign w:val="bottom"/>
          </w:tcPr>
          <w:p>
            <w:pPr>
              <w:spacing w:after="0"/>
              <w:rPr>
                <w:sz w:val="1"/>
                <w:szCs w:val="1"/>
                <w:color w:val="auto"/>
              </w:rPr>
            </w:pPr>
          </w:p>
        </w:tc>
      </w:tr>
      <w:tr>
        <w:trPr>
          <w:trHeight w:val="216"/>
        </w:trPr>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Other gains and (losses), net</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1,453</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1,453</w:t>
            </w:r>
          </w:p>
        </w:tc>
        <w:tc>
          <w:tcPr>
            <w:tcW w:w="0" w:type="dxa"/>
            <w:vAlign w:val="bottom"/>
          </w:tcPr>
          <w:p>
            <w:pPr>
              <w:spacing w:after="0"/>
              <w:rPr>
                <w:sz w:val="1"/>
                <w:szCs w:val="1"/>
                <w:color w:val="auto"/>
              </w:rPr>
            </w:pPr>
          </w:p>
        </w:tc>
      </w:tr>
      <w:tr>
        <w:trPr>
          <w:trHeight w:val="210"/>
        </w:trPr>
        <w:tc>
          <w:tcPr>
            <w:tcW w:w="3060" w:type="dxa"/>
            <w:vAlign w:val="bottom"/>
          </w:tcPr>
          <w:p>
            <w:pPr>
              <w:spacing w:after="0"/>
              <w:rPr>
                <w:sz w:val="20"/>
                <w:szCs w:val="20"/>
                <w:color w:val="auto"/>
              </w:rPr>
            </w:pPr>
            <w:r>
              <w:rPr>
                <w:rFonts w:ascii="Arial" w:cs="Arial" w:eastAsia="Arial" w:hAnsi="Arial"/>
                <w:sz w:val="18"/>
                <w:szCs w:val="18"/>
                <w:color w:val="auto"/>
              </w:rPr>
              <w:t>Income (loss) before income taxes</w:t>
            </w:r>
          </w:p>
        </w:tc>
        <w:tc>
          <w:tcPr>
            <w:tcW w:w="4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(2,440)</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(17,038)</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50,235</w:t>
            </w: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(6,357)</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24,400</w:t>
            </w:r>
          </w:p>
        </w:tc>
        <w:tc>
          <w:tcPr>
            <w:tcW w:w="0" w:type="dxa"/>
            <w:vAlign w:val="bottom"/>
          </w:tcPr>
          <w:p>
            <w:pPr>
              <w:spacing w:after="0"/>
              <w:rPr>
                <w:sz w:val="1"/>
                <w:szCs w:val="1"/>
                <w:color w:val="auto"/>
              </w:rPr>
            </w:pPr>
          </w:p>
        </w:tc>
      </w:tr>
      <w:tr>
        <w:trPr>
          <w:trHeight w:val="216"/>
        </w:trPr>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(Provision) benefit for income taxes</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(1,120)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20"/>
                <w:szCs w:val="20"/>
                <w:color w:val="auto"/>
              </w:rPr>
            </w:pPr>
            <w:r>
              <w:rPr>
                <w:rFonts w:ascii="Arial" w:cs="Arial" w:eastAsia="Arial" w:hAnsi="Arial"/>
                <w:sz w:val="18"/>
                <w:szCs w:val="18"/>
                <w:color w:val="auto"/>
              </w:rPr>
              <w:t>Equity in subsidiaries’ earnings, net</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4"/>
              </w:rPr>
              <w:t>26,310</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(26,310)</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06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Net income (loss)</w:t>
            </w:r>
          </w:p>
        </w:tc>
        <w:tc>
          <w:tcPr>
            <w:tcW w:w="4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23,870</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(17,038)</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50,825</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(7,477)</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(26,310)</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23,870</w:t>
            </w:r>
          </w:p>
        </w:tc>
        <w:tc>
          <w:tcPr>
            <w:tcW w:w="0" w:type="dxa"/>
            <w:vAlign w:val="bottom"/>
          </w:tcPr>
          <w:p>
            <w:pPr>
              <w:spacing w:after="0"/>
              <w:rPr>
                <w:sz w:val="1"/>
                <w:szCs w:val="1"/>
                <w:color w:val="auto"/>
              </w:rPr>
            </w:pPr>
          </w:p>
        </w:tc>
      </w:tr>
      <w:tr>
        <w:trPr>
          <w:trHeight w:val="210"/>
        </w:trPr>
        <w:tc>
          <w:tcPr>
            <w:tcW w:w="3060" w:type="dxa"/>
            <w:vAlign w:val="bottom"/>
          </w:tcPr>
          <w:p>
            <w:pPr>
              <w:ind w:left="120"/>
              <w:spacing w:after="0" w:line="203" w:lineRule="exact"/>
              <w:rPr>
                <w:sz w:val="20"/>
                <w:szCs w:val="20"/>
                <w:color w:val="auto"/>
              </w:rPr>
            </w:pPr>
            <w:r>
              <w:rPr>
                <w:rFonts w:ascii="Arial" w:cs="Arial" w:eastAsia="Arial" w:hAnsi="Arial"/>
                <w:sz w:val="18"/>
                <w:szCs w:val="18"/>
                <w:color w:val="auto"/>
              </w:rPr>
              <w:t>Comprehensive income (loss)</w:t>
            </w:r>
          </w:p>
        </w:tc>
        <w:tc>
          <w:tcPr>
            <w:tcW w:w="460" w:type="dxa"/>
            <w:vAlign w:val="bottom"/>
          </w:tcPr>
          <w:p>
            <w:pPr>
              <w:spacing w:after="0"/>
              <w:rPr>
                <w:sz w:val="18"/>
                <w:szCs w:val="18"/>
                <w:color w:val="auto"/>
              </w:rPr>
            </w:pPr>
          </w:p>
        </w:tc>
        <w:tc>
          <w:tcPr>
            <w:tcW w:w="120" w:type="dxa"/>
            <w:vAlign w:val="bottom"/>
            <w:tcBorders>
              <w:bottom w:val="single" w:sz="8" w:color="auto"/>
            </w:tcBorders>
          </w:tcPr>
          <w:p>
            <w:pPr>
              <w:spacing w:after="0" w:line="203" w:lineRule="exact"/>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4"/>
              </w:rPr>
              <w:t>25,434</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2"/>
              </w:rPr>
              <w:t>(17,038)</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line="203" w:lineRule="exact"/>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8"/>
              </w:rPr>
              <w:t>50,825</w:t>
            </w:r>
          </w:p>
        </w:tc>
        <w:tc>
          <w:tcPr>
            <w:tcW w:w="1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(5,913)</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line="203" w:lineRule="exact"/>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8"/>
              </w:rPr>
              <w:t>(27,874)</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line="203" w:lineRule="exact"/>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25,434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9" w:name="page20"/>
    <w:bookmarkEnd w:id="1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line="261" w:lineRule="auto"/>
        <w:rPr>
          <w:sz w:val="20"/>
          <w:szCs w:val="20"/>
          <w:color w:val="auto"/>
        </w:rPr>
      </w:pPr>
      <w:r>
        <w:rPr>
          <w:rFonts w:ascii="Arial" w:cs="Arial" w:eastAsia="Arial" w:hAnsi="Arial"/>
          <w:sz w:val="18"/>
          <w:szCs w:val="18"/>
          <w:b w:val="1"/>
          <w:bCs w:val="1"/>
          <w:color w:val="auto"/>
        </w:rPr>
        <w:t>RYMAN HOSPITALITY PROPERTIES, INC. AND SUBSIDIARIES CONDENSED CONSOLIDATING STATEMENT OF OPERATIONS AND COMPREHENSIVE INCOME For the Nine Months Ended September 30, 2018</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Parent</w:t>
            </w:r>
          </w:p>
        </w:tc>
        <w:tc>
          <w:tcPr>
            <w:tcW w:w="120" w:type="dxa"/>
            <w:vAlign w:val="bottom"/>
          </w:tcPr>
          <w:p>
            <w:pPr>
              <w:spacing w:after="0"/>
              <w:rPr>
                <w:sz w:val="14"/>
                <w:szCs w:val="14"/>
                <w:color w:val="auto"/>
              </w:rPr>
            </w:pPr>
          </w:p>
        </w:tc>
        <w:tc>
          <w:tcPr>
            <w:tcW w:w="8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Issuer</w:t>
            </w:r>
          </w:p>
        </w:tc>
        <w:tc>
          <w:tcPr>
            <w:tcW w:w="940" w:type="dxa"/>
            <w:vAlign w:val="bottom"/>
            <w:gridSpan w:val="3"/>
            <w:vMerge w:val="restart"/>
          </w:tcPr>
          <w:p>
            <w:pPr>
              <w:jc w:val="right"/>
              <w:ind w:right="180"/>
              <w:spacing w:after="0"/>
              <w:rPr>
                <w:sz w:val="20"/>
                <w:szCs w:val="20"/>
                <w:color w:val="auto"/>
              </w:rPr>
            </w:pPr>
            <w:r>
              <w:rPr>
                <w:rFonts w:ascii="Arial" w:cs="Arial" w:eastAsia="Arial" w:hAnsi="Arial"/>
                <w:sz w:val="14"/>
                <w:szCs w:val="14"/>
                <w:b w:val="1"/>
                <w:bCs w:val="1"/>
                <w:color w:val="auto"/>
                <w:w w:val="98"/>
              </w:rPr>
              <w:t>Guarantors</w:t>
            </w:r>
          </w:p>
        </w:tc>
        <w:tc>
          <w:tcPr>
            <w:tcW w:w="140" w:type="dxa"/>
            <w:vAlign w:val="bottom"/>
          </w:tcPr>
          <w:p>
            <w:pPr>
              <w:spacing w:after="0"/>
              <w:rPr>
                <w:sz w:val="14"/>
                <w:szCs w:val="14"/>
                <w:color w:val="auto"/>
              </w:rPr>
            </w:pPr>
          </w:p>
        </w:tc>
        <w:tc>
          <w:tcPr>
            <w:tcW w:w="8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Non-</w:t>
            </w:r>
          </w:p>
        </w:tc>
        <w:tc>
          <w:tcPr>
            <w:tcW w:w="1040" w:type="dxa"/>
            <w:vAlign w:val="bottom"/>
            <w:gridSpan w:val="3"/>
            <w:vMerge w:val="restart"/>
          </w:tcPr>
          <w:p>
            <w:pPr>
              <w:jc w:val="right"/>
              <w:ind w:right="200"/>
              <w:spacing w:after="0"/>
              <w:rPr>
                <w:sz w:val="20"/>
                <w:szCs w:val="20"/>
                <w:color w:val="auto"/>
              </w:rPr>
            </w:pPr>
            <w:r>
              <w:rPr>
                <w:rFonts w:ascii="Arial" w:cs="Arial" w:eastAsia="Arial" w:hAnsi="Arial"/>
                <w:sz w:val="14"/>
                <w:szCs w:val="14"/>
                <w:b w:val="1"/>
                <w:bCs w:val="1"/>
                <w:color w:val="auto"/>
                <w:w w:val="98"/>
              </w:rPr>
              <w:t>Eliminations</w:t>
            </w:r>
          </w:p>
        </w:tc>
        <w:tc>
          <w:tcPr>
            <w:tcW w:w="8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171"/>
        </w:trPr>
        <w:tc>
          <w:tcPr>
            <w:tcW w:w="3000" w:type="dxa"/>
            <w:vAlign w:val="bottom"/>
          </w:tcPr>
          <w:p>
            <w:pPr>
              <w:spacing w:after="0"/>
              <w:rPr>
                <w:sz w:val="20"/>
                <w:szCs w:val="20"/>
                <w:color w:val="auto"/>
              </w:rPr>
            </w:pPr>
            <w:r>
              <w:rPr>
                <w:rFonts w:ascii="Arial" w:cs="Arial" w:eastAsia="Arial" w:hAnsi="Arial"/>
                <w:sz w:val="14"/>
                <w:szCs w:val="14"/>
                <w:color w:val="auto"/>
              </w:rPr>
              <w:t>(in thousands)</w:t>
            </w:r>
          </w:p>
        </w:tc>
        <w:tc>
          <w:tcPr>
            <w:tcW w:w="420" w:type="dxa"/>
            <w:vAlign w:val="bottom"/>
          </w:tcPr>
          <w:p>
            <w:pPr>
              <w:spacing w:after="0"/>
              <w:rPr>
                <w:sz w:val="14"/>
                <w:szCs w:val="14"/>
                <w:color w:val="auto"/>
              </w:rPr>
            </w:pPr>
          </w:p>
        </w:tc>
        <w:tc>
          <w:tcPr>
            <w:tcW w:w="94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rPr>
              <w:t>Guarantor</w:t>
            </w:r>
          </w:p>
        </w:tc>
        <w:tc>
          <w:tcPr>
            <w:tcW w:w="12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940" w:type="dxa"/>
            <w:vAlign w:val="bottom"/>
            <w:gridSpan w:val="3"/>
            <w:vMerge w:val="continue"/>
          </w:tcPr>
          <w:p>
            <w:pPr>
              <w:spacing w:after="0"/>
              <w:rPr>
                <w:sz w:val="14"/>
                <w:szCs w:val="14"/>
                <w:color w:val="auto"/>
              </w:rPr>
            </w:pPr>
          </w:p>
        </w:tc>
        <w:tc>
          <w:tcPr>
            <w:tcW w:w="9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5"/>
              </w:rPr>
              <w:t>Guarantors</w:t>
            </w:r>
          </w:p>
        </w:tc>
        <w:tc>
          <w:tcPr>
            <w:tcW w:w="1040" w:type="dxa"/>
            <w:vAlign w:val="bottom"/>
            <w:gridSpan w:val="3"/>
            <w:vMerge w:val="continue"/>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0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0" w:type="dxa"/>
            <w:vAlign w:val="bottom"/>
          </w:tcPr>
          <w:p>
            <w:pPr>
              <w:ind w:left="120"/>
              <w:spacing w:after="0"/>
              <w:rPr>
                <w:sz w:val="20"/>
                <w:szCs w:val="20"/>
                <w:color w:val="auto"/>
              </w:rPr>
            </w:pPr>
            <w:r>
              <w:rPr>
                <w:rFonts w:ascii="Arial" w:cs="Arial" w:eastAsia="Arial" w:hAnsi="Arial"/>
                <w:sz w:val="18"/>
                <w:szCs w:val="18"/>
                <w:color w:val="auto"/>
              </w:rPr>
              <w:t>Rooms</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2"/>
              </w:rPr>
              <w:t>332,490</w:t>
            </w:r>
          </w:p>
        </w:tc>
        <w:tc>
          <w:tcPr>
            <w:tcW w:w="1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98"/>
              </w:rPr>
              <w:t>332,490</w:t>
            </w:r>
          </w:p>
        </w:tc>
        <w:tc>
          <w:tcPr>
            <w:tcW w:w="0" w:type="dxa"/>
            <w:vAlign w:val="bottom"/>
          </w:tcPr>
          <w:p>
            <w:pPr>
              <w:spacing w:after="0"/>
              <w:rPr>
                <w:sz w:val="1"/>
                <w:szCs w:val="1"/>
                <w:color w:val="auto"/>
              </w:rPr>
            </w:pPr>
          </w:p>
        </w:tc>
      </w:tr>
      <w:tr>
        <w:trPr>
          <w:trHeight w:val="216"/>
        </w:trPr>
        <w:tc>
          <w:tcPr>
            <w:tcW w:w="30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Food and beverage</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392,488</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392,488</w:t>
            </w:r>
          </w:p>
        </w:tc>
        <w:tc>
          <w:tcPr>
            <w:tcW w:w="0" w:type="dxa"/>
            <w:vAlign w:val="bottom"/>
          </w:tcPr>
          <w:p>
            <w:pPr>
              <w:spacing w:after="0"/>
              <w:rPr>
                <w:sz w:val="1"/>
                <w:szCs w:val="1"/>
                <w:color w:val="auto"/>
              </w:rPr>
            </w:pPr>
          </w:p>
        </w:tc>
      </w:tr>
      <w:tr>
        <w:trPr>
          <w:trHeight w:val="216"/>
        </w:trPr>
        <w:tc>
          <w:tcPr>
            <w:tcW w:w="3000" w:type="dxa"/>
            <w:vAlign w:val="bottom"/>
          </w:tcPr>
          <w:p>
            <w:pPr>
              <w:ind w:left="120"/>
              <w:spacing w:after="0"/>
              <w:rPr>
                <w:sz w:val="20"/>
                <w:szCs w:val="20"/>
                <w:color w:val="auto"/>
              </w:rPr>
            </w:pPr>
            <w:r>
              <w:rPr>
                <w:rFonts w:ascii="Arial" w:cs="Arial" w:eastAsia="Arial" w:hAnsi="Arial"/>
                <w:sz w:val="18"/>
                <w:szCs w:val="18"/>
                <w:color w:val="auto"/>
              </w:rPr>
              <w:t>Other hotel revenue</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2"/>
              </w:rPr>
              <w:t>229,608</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95,305</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93"/>
              </w:rPr>
              <w:t>(243,784)</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81,129</w:t>
            </w:r>
          </w:p>
        </w:tc>
        <w:tc>
          <w:tcPr>
            <w:tcW w:w="0" w:type="dxa"/>
            <w:vAlign w:val="bottom"/>
          </w:tcPr>
          <w:p>
            <w:pPr>
              <w:spacing w:after="0"/>
              <w:rPr>
                <w:sz w:val="1"/>
                <w:szCs w:val="1"/>
                <w:color w:val="auto"/>
              </w:rPr>
            </w:pPr>
          </w:p>
        </w:tc>
      </w:tr>
      <w:tr>
        <w:trPr>
          <w:trHeight w:val="216"/>
        </w:trPr>
        <w:tc>
          <w:tcPr>
            <w:tcW w:w="30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Entertainment</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108,470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108,446</w:t>
            </w:r>
          </w:p>
        </w:tc>
        <w:tc>
          <w:tcPr>
            <w:tcW w:w="0" w:type="dxa"/>
            <w:vAlign w:val="bottom"/>
          </w:tcPr>
          <w:p>
            <w:pPr>
              <w:spacing w:after="0"/>
              <w:rPr>
                <w:sz w:val="1"/>
                <w:szCs w:val="1"/>
                <w:color w:val="auto"/>
              </w:rPr>
            </w:pPr>
          </w:p>
        </w:tc>
      </w:tr>
      <w:tr>
        <w:trPr>
          <w:trHeight w:val="210"/>
        </w:trPr>
        <w:tc>
          <w:tcPr>
            <w:tcW w:w="3000" w:type="dxa"/>
            <w:vAlign w:val="bottom"/>
          </w:tcPr>
          <w:p>
            <w:pPr>
              <w:ind w:left="220"/>
              <w:spacing w:after="0"/>
              <w:rPr>
                <w:sz w:val="20"/>
                <w:szCs w:val="20"/>
                <w:color w:val="auto"/>
              </w:rPr>
            </w:pPr>
            <w:r>
              <w:rPr>
                <w:rFonts w:ascii="Arial" w:cs="Arial" w:eastAsia="Arial" w:hAnsi="Arial"/>
                <w:sz w:val="18"/>
                <w:szCs w:val="18"/>
                <w:color w:val="auto"/>
              </w:rPr>
              <w:t>Total revenues</w:t>
            </w:r>
          </w:p>
        </w:tc>
        <w:tc>
          <w:tcPr>
            <w:tcW w:w="4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229,608</w:t>
            </w: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928,753</w:t>
            </w: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(243,808)</w:t>
            </w: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914,553</w:t>
            </w:r>
          </w:p>
        </w:tc>
        <w:tc>
          <w:tcPr>
            <w:tcW w:w="0" w:type="dxa"/>
            <w:vAlign w:val="bottom"/>
          </w:tcPr>
          <w:p>
            <w:pPr>
              <w:spacing w:after="0"/>
              <w:rPr>
                <w:sz w:val="1"/>
                <w:szCs w:val="1"/>
                <w:color w:val="auto"/>
              </w:rPr>
            </w:pPr>
          </w:p>
        </w:tc>
      </w:tr>
      <w:tr>
        <w:trPr>
          <w:trHeight w:val="216"/>
        </w:trPr>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0" w:type="dxa"/>
            <w:vAlign w:val="bottom"/>
          </w:tcPr>
          <w:p>
            <w:pPr>
              <w:ind w:left="120"/>
              <w:spacing w:after="0"/>
              <w:rPr>
                <w:sz w:val="20"/>
                <w:szCs w:val="20"/>
                <w:color w:val="auto"/>
              </w:rPr>
            </w:pPr>
            <w:r>
              <w:rPr>
                <w:rFonts w:ascii="Arial" w:cs="Arial" w:eastAsia="Arial" w:hAnsi="Arial"/>
                <w:sz w:val="18"/>
                <w:szCs w:val="18"/>
                <w:color w:val="auto"/>
              </w:rPr>
              <w:t>Rooms</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88,550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88,550</w:t>
            </w:r>
          </w:p>
        </w:tc>
        <w:tc>
          <w:tcPr>
            <w:tcW w:w="0" w:type="dxa"/>
            <w:vAlign w:val="bottom"/>
          </w:tcPr>
          <w:p>
            <w:pPr>
              <w:spacing w:after="0"/>
              <w:rPr>
                <w:sz w:val="1"/>
                <w:szCs w:val="1"/>
                <w:color w:val="auto"/>
              </w:rPr>
            </w:pPr>
          </w:p>
        </w:tc>
      </w:tr>
      <w:tr>
        <w:trPr>
          <w:trHeight w:val="216"/>
        </w:trPr>
        <w:tc>
          <w:tcPr>
            <w:tcW w:w="30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Food and beverage</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211,677</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211,677</w:t>
            </w:r>
          </w:p>
        </w:tc>
        <w:tc>
          <w:tcPr>
            <w:tcW w:w="0" w:type="dxa"/>
            <w:vAlign w:val="bottom"/>
          </w:tcPr>
          <w:p>
            <w:pPr>
              <w:spacing w:after="0"/>
              <w:rPr>
                <w:sz w:val="1"/>
                <w:szCs w:val="1"/>
                <w:color w:val="auto"/>
              </w:rPr>
            </w:pPr>
          </w:p>
        </w:tc>
      </w:tr>
      <w:tr>
        <w:trPr>
          <w:trHeight w:val="216"/>
        </w:trPr>
        <w:tc>
          <w:tcPr>
            <w:tcW w:w="3000" w:type="dxa"/>
            <w:vAlign w:val="bottom"/>
          </w:tcPr>
          <w:p>
            <w:pPr>
              <w:ind w:left="120"/>
              <w:spacing w:after="0"/>
              <w:rPr>
                <w:sz w:val="20"/>
                <w:szCs w:val="20"/>
                <w:color w:val="auto"/>
              </w:rPr>
            </w:pPr>
            <w:r>
              <w:rPr>
                <w:rFonts w:ascii="Arial" w:cs="Arial" w:eastAsia="Arial" w:hAnsi="Arial"/>
                <w:sz w:val="18"/>
                <w:szCs w:val="18"/>
                <w:color w:val="auto"/>
              </w:rPr>
              <w:t>Other hotel expenses</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34,387</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2"/>
              </w:rPr>
              <w:t>421,846</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93"/>
              </w:rPr>
              <w:t>(229,268)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8"/>
              </w:rPr>
              <w:t>226,965</w:t>
            </w:r>
          </w:p>
        </w:tc>
        <w:tc>
          <w:tcPr>
            <w:tcW w:w="0" w:type="dxa"/>
            <w:vAlign w:val="bottom"/>
          </w:tcPr>
          <w:p>
            <w:pPr>
              <w:spacing w:after="0"/>
              <w:rPr>
                <w:sz w:val="1"/>
                <w:szCs w:val="1"/>
                <w:color w:val="auto"/>
              </w:rPr>
            </w:pPr>
          </w:p>
        </w:tc>
      </w:tr>
      <w:tr>
        <w:trPr>
          <w:trHeight w:val="216"/>
        </w:trPr>
        <w:tc>
          <w:tcPr>
            <w:tcW w:w="30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Management fees, net</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22,323</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22,323</w:t>
            </w:r>
          </w:p>
        </w:tc>
        <w:tc>
          <w:tcPr>
            <w:tcW w:w="0" w:type="dxa"/>
            <w:vAlign w:val="bottom"/>
          </w:tcPr>
          <w:p>
            <w:pPr>
              <w:spacing w:after="0"/>
              <w:rPr>
                <w:sz w:val="1"/>
                <w:szCs w:val="1"/>
                <w:color w:val="auto"/>
              </w:rPr>
            </w:pPr>
          </w:p>
        </w:tc>
      </w:tr>
      <w:tr>
        <w:trPr>
          <w:trHeight w:val="210"/>
        </w:trPr>
        <w:tc>
          <w:tcPr>
            <w:tcW w:w="3000" w:type="dxa"/>
            <w:vAlign w:val="bottom"/>
          </w:tcPr>
          <w:p>
            <w:pPr>
              <w:ind w:left="220"/>
              <w:spacing w:after="0"/>
              <w:rPr>
                <w:sz w:val="20"/>
                <w:szCs w:val="20"/>
                <w:color w:val="auto"/>
              </w:rPr>
            </w:pPr>
            <w:r>
              <w:rPr>
                <w:rFonts w:ascii="Arial" w:cs="Arial" w:eastAsia="Arial" w:hAnsi="Arial"/>
                <w:sz w:val="18"/>
                <w:szCs w:val="18"/>
                <w:color w:val="auto"/>
              </w:rPr>
              <w:t>Total hotel operating expenses</w:t>
            </w:r>
          </w:p>
        </w:tc>
        <w:tc>
          <w:tcPr>
            <w:tcW w:w="4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34,387</w:t>
            </w: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744,396</w:t>
            </w: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(229,268)</w:t>
            </w: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549,515</w:t>
            </w:r>
          </w:p>
        </w:tc>
        <w:tc>
          <w:tcPr>
            <w:tcW w:w="0" w:type="dxa"/>
            <w:vAlign w:val="bottom"/>
          </w:tcPr>
          <w:p>
            <w:pPr>
              <w:spacing w:after="0"/>
              <w:rPr>
                <w:sz w:val="1"/>
                <w:szCs w:val="1"/>
                <w:color w:val="auto"/>
              </w:rPr>
            </w:pPr>
          </w:p>
        </w:tc>
      </w:tr>
      <w:tr>
        <w:trPr>
          <w:trHeight w:val="216"/>
        </w:trPr>
        <w:tc>
          <w:tcPr>
            <w:tcW w:w="30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Entertainment</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80,971</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80,947</w:t>
            </w:r>
          </w:p>
        </w:tc>
        <w:tc>
          <w:tcPr>
            <w:tcW w:w="0" w:type="dxa"/>
            <w:vAlign w:val="bottom"/>
          </w:tcPr>
          <w:p>
            <w:pPr>
              <w:spacing w:after="0"/>
              <w:rPr>
                <w:sz w:val="1"/>
                <w:szCs w:val="1"/>
                <w:color w:val="auto"/>
              </w:rPr>
            </w:pPr>
          </w:p>
        </w:tc>
      </w:tr>
      <w:tr>
        <w:trPr>
          <w:trHeight w:val="216"/>
        </w:trPr>
        <w:tc>
          <w:tcPr>
            <w:tcW w:w="3000" w:type="dxa"/>
            <w:vAlign w:val="bottom"/>
          </w:tcPr>
          <w:p>
            <w:pPr>
              <w:ind w:left="120"/>
              <w:spacing w:after="0"/>
              <w:rPr>
                <w:sz w:val="20"/>
                <w:szCs w:val="20"/>
                <w:color w:val="auto"/>
              </w:rPr>
            </w:pPr>
            <w:r>
              <w:rPr>
                <w:rFonts w:ascii="Arial" w:cs="Arial" w:eastAsia="Arial" w:hAnsi="Arial"/>
                <w:sz w:val="18"/>
                <w:szCs w:val="18"/>
                <w:color w:val="auto"/>
              </w:rPr>
              <w:t>Corporate</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188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1,135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21,856</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23,181</w:t>
            </w:r>
          </w:p>
        </w:tc>
        <w:tc>
          <w:tcPr>
            <w:tcW w:w="0" w:type="dxa"/>
            <w:vAlign w:val="bottom"/>
          </w:tcPr>
          <w:p>
            <w:pPr>
              <w:spacing w:after="0"/>
              <w:rPr>
                <w:sz w:val="1"/>
                <w:szCs w:val="1"/>
                <w:color w:val="auto"/>
              </w:rPr>
            </w:pPr>
          </w:p>
        </w:tc>
      </w:tr>
      <w:tr>
        <w:trPr>
          <w:trHeight w:val="216"/>
        </w:trPr>
        <w:tc>
          <w:tcPr>
            <w:tcW w:w="30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Preopening costs</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3,972</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3,972</w:t>
            </w:r>
          </w:p>
        </w:tc>
        <w:tc>
          <w:tcPr>
            <w:tcW w:w="0" w:type="dxa"/>
            <w:vAlign w:val="bottom"/>
          </w:tcPr>
          <w:p>
            <w:pPr>
              <w:spacing w:after="0"/>
              <w:rPr>
                <w:sz w:val="1"/>
                <w:szCs w:val="1"/>
                <w:color w:val="auto"/>
              </w:rPr>
            </w:pPr>
          </w:p>
        </w:tc>
      </w:tr>
      <w:tr>
        <w:trPr>
          <w:trHeight w:val="216"/>
        </w:trPr>
        <w:tc>
          <w:tcPr>
            <w:tcW w:w="3000" w:type="dxa"/>
            <w:vAlign w:val="bottom"/>
          </w:tcPr>
          <w:p>
            <w:pPr>
              <w:ind w:left="120"/>
              <w:spacing w:after="0"/>
              <w:rPr>
                <w:sz w:val="20"/>
                <w:szCs w:val="20"/>
                <w:color w:val="auto"/>
              </w:rPr>
            </w:pPr>
            <w:r>
              <w:rPr>
                <w:rFonts w:ascii="Arial" w:cs="Arial" w:eastAsia="Arial" w:hAnsi="Arial"/>
                <w:sz w:val="18"/>
                <w:szCs w:val="18"/>
                <w:color w:val="auto"/>
              </w:rPr>
              <w:t>Corporate overhead allocation</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7,983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6,533</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(14,516)</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0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Depreciation and amortization</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45,583</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44,072</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89,655</w:t>
            </w:r>
          </w:p>
        </w:tc>
        <w:tc>
          <w:tcPr>
            <w:tcW w:w="0" w:type="dxa"/>
            <w:vAlign w:val="bottom"/>
          </w:tcPr>
          <w:p>
            <w:pPr>
              <w:spacing w:after="0"/>
              <w:rPr>
                <w:sz w:val="1"/>
                <w:szCs w:val="1"/>
                <w:color w:val="auto"/>
              </w:rPr>
            </w:pPr>
          </w:p>
        </w:tc>
      </w:tr>
      <w:tr>
        <w:trPr>
          <w:trHeight w:val="216"/>
        </w:trPr>
        <w:tc>
          <w:tcPr>
            <w:tcW w:w="3000" w:type="dxa"/>
            <w:vAlign w:val="bottom"/>
          </w:tcPr>
          <w:p>
            <w:pPr>
              <w:ind w:left="120"/>
              <w:spacing w:after="0"/>
              <w:rPr>
                <w:sz w:val="20"/>
                <w:szCs w:val="20"/>
                <w:color w:val="auto"/>
              </w:rPr>
            </w:pPr>
            <w:r>
              <w:rPr>
                <w:rFonts w:ascii="Arial" w:cs="Arial" w:eastAsia="Arial" w:hAnsi="Arial"/>
                <w:sz w:val="18"/>
                <w:szCs w:val="18"/>
                <w:color w:val="auto"/>
              </w:rPr>
              <w:t>Impairment and other charges</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4,540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4,540</w:t>
            </w:r>
          </w:p>
        </w:tc>
        <w:tc>
          <w:tcPr>
            <w:tcW w:w="0" w:type="dxa"/>
            <w:vAlign w:val="bottom"/>
          </w:tcPr>
          <w:p>
            <w:pPr>
              <w:spacing w:after="0"/>
              <w:rPr>
                <w:sz w:val="1"/>
                <w:szCs w:val="1"/>
                <w:color w:val="auto"/>
              </w:rPr>
            </w:pPr>
          </w:p>
        </w:tc>
      </w:tr>
      <w:tr>
        <w:trPr>
          <w:trHeight w:val="210"/>
        </w:trPr>
        <w:tc>
          <w:tcPr>
            <w:tcW w:w="300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operating expenses</w:t>
            </w:r>
          </w:p>
        </w:tc>
        <w:tc>
          <w:tcPr>
            <w:tcW w:w="4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8,171</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1,135</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86,505</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899,807</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(243,808)</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751,810</w:t>
            </w:r>
          </w:p>
        </w:tc>
        <w:tc>
          <w:tcPr>
            <w:tcW w:w="0" w:type="dxa"/>
            <w:vAlign w:val="bottom"/>
          </w:tcPr>
          <w:p>
            <w:pPr>
              <w:spacing w:after="0"/>
              <w:rPr>
                <w:sz w:val="1"/>
                <w:szCs w:val="1"/>
                <w:color w:val="auto"/>
              </w:rPr>
            </w:pPr>
          </w:p>
        </w:tc>
      </w:tr>
      <w:tr>
        <w:trPr>
          <w:trHeight w:val="210"/>
        </w:trPr>
        <w:tc>
          <w:tcPr>
            <w:tcW w:w="30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Operating income (loss)</w:t>
            </w:r>
          </w:p>
        </w:tc>
        <w:tc>
          <w:tcPr>
            <w:tcW w:w="4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(8,171)</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(1,135)</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143,103</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28,946</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162,743</w:t>
            </w:r>
          </w:p>
        </w:tc>
        <w:tc>
          <w:tcPr>
            <w:tcW w:w="0" w:type="dxa"/>
            <w:vAlign w:val="bottom"/>
          </w:tcPr>
          <w:p>
            <w:pPr>
              <w:spacing w:after="0"/>
              <w:rPr>
                <w:sz w:val="1"/>
                <w:szCs w:val="1"/>
                <w:color w:val="auto"/>
              </w:rPr>
            </w:pPr>
          </w:p>
        </w:tc>
      </w:tr>
      <w:tr>
        <w:trPr>
          <w:trHeight w:val="210"/>
        </w:trPr>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(55,555)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(55,574)</w:t>
            </w:r>
          </w:p>
        </w:tc>
        <w:tc>
          <w:tcPr>
            <w:tcW w:w="0" w:type="dxa"/>
            <w:vAlign w:val="bottom"/>
          </w:tcPr>
          <w:p>
            <w:pPr>
              <w:spacing w:after="0"/>
              <w:rPr>
                <w:sz w:val="1"/>
                <w:szCs w:val="1"/>
                <w:color w:val="auto"/>
              </w:rPr>
            </w:pPr>
          </w:p>
        </w:tc>
      </w:tr>
      <w:tr>
        <w:trPr>
          <w:trHeight w:val="216"/>
        </w:trPr>
        <w:tc>
          <w:tcPr>
            <w:tcW w:w="3000" w:type="dxa"/>
            <w:vAlign w:val="bottom"/>
          </w:tcPr>
          <w:p>
            <w:pPr>
              <w:spacing w:after="0"/>
              <w:rPr>
                <w:sz w:val="20"/>
                <w:szCs w:val="20"/>
                <w:color w:val="auto"/>
              </w:rPr>
            </w:pPr>
            <w:r>
              <w:rPr>
                <w:rFonts w:ascii="Arial" w:cs="Arial" w:eastAsia="Arial" w:hAnsi="Arial"/>
                <w:sz w:val="18"/>
                <w:szCs w:val="18"/>
                <w:color w:val="auto"/>
              </w:rPr>
              <w:t>Interest income</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8,197</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8,197</w:t>
            </w:r>
          </w:p>
        </w:tc>
        <w:tc>
          <w:tcPr>
            <w:tcW w:w="0" w:type="dxa"/>
            <w:vAlign w:val="bottom"/>
          </w:tcPr>
          <w:p>
            <w:pPr>
              <w:spacing w:after="0"/>
              <w:rPr>
                <w:sz w:val="1"/>
                <w:szCs w:val="1"/>
                <w:color w:val="auto"/>
              </w:rPr>
            </w:pPr>
          </w:p>
        </w:tc>
      </w:tr>
      <w:tr>
        <w:trPr>
          <w:trHeight w:val="216"/>
        </w:trPr>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Loss from joint ventures</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(2,227)</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(2,227)</w:t>
            </w:r>
          </w:p>
        </w:tc>
        <w:tc>
          <w:tcPr>
            <w:tcW w:w="0" w:type="dxa"/>
            <w:vAlign w:val="bottom"/>
          </w:tcPr>
          <w:p>
            <w:pPr>
              <w:spacing w:after="0"/>
              <w:rPr>
                <w:sz w:val="1"/>
                <w:szCs w:val="1"/>
                <w:color w:val="auto"/>
              </w:rPr>
            </w:pPr>
          </w:p>
        </w:tc>
      </w:tr>
      <w:tr>
        <w:trPr>
          <w:trHeight w:val="216"/>
        </w:trPr>
        <w:tc>
          <w:tcPr>
            <w:tcW w:w="3000" w:type="dxa"/>
            <w:vAlign w:val="bottom"/>
          </w:tcPr>
          <w:p>
            <w:pPr>
              <w:spacing w:after="0"/>
              <w:rPr>
                <w:sz w:val="20"/>
                <w:szCs w:val="20"/>
                <w:color w:val="auto"/>
              </w:rPr>
            </w:pPr>
            <w:r>
              <w:rPr>
                <w:rFonts w:ascii="Arial" w:cs="Arial" w:eastAsia="Arial" w:hAnsi="Arial"/>
                <w:sz w:val="18"/>
                <w:szCs w:val="18"/>
                <w:color w:val="auto"/>
              </w:rPr>
              <w:t>Other gains and (losses), net</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2,085</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2,085</w:t>
            </w:r>
          </w:p>
        </w:tc>
        <w:tc>
          <w:tcPr>
            <w:tcW w:w="0" w:type="dxa"/>
            <w:vAlign w:val="bottom"/>
          </w:tcPr>
          <w:p>
            <w:pPr>
              <w:spacing w:after="0"/>
              <w:rPr>
                <w:sz w:val="1"/>
                <w:szCs w:val="1"/>
                <w:color w:val="auto"/>
              </w:rPr>
            </w:pPr>
          </w:p>
        </w:tc>
      </w:tr>
      <w:tr>
        <w:trPr>
          <w:trHeight w:val="210"/>
        </w:trPr>
        <w:tc>
          <w:tcPr>
            <w:tcW w:w="3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(loss) before income taxes</w:t>
            </w:r>
          </w:p>
        </w:tc>
        <w:tc>
          <w:tcPr>
            <w:tcW w:w="4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(8,171)</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(56,690)</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143,103</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36,982</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115,224</w:t>
            </w:r>
          </w:p>
        </w:tc>
        <w:tc>
          <w:tcPr>
            <w:tcW w:w="0" w:type="dxa"/>
            <w:vAlign w:val="bottom"/>
          </w:tcPr>
          <w:p>
            <w:pPr>
              <w:spacing w:after="0"/>
              <w:rPr>
                <w:sz w:val="1"/>
                <w:szCs w:val="1"/>
                <w:color w:val="auto"/>
              </w:rPr>
            </w:pPr>
          </w:p>
        </w:tc>
      </w:tr>
      <w:tr>
        <w:trPr>
          <w:trHeight w:val="216"/>
        </w:trPr>
        <w:tc>
          <w:tcPr>
            <w:tcW w:w="300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(162)</w:t>
            </w:r>
          </w:p>
        </w:tc>
        <w:tc>
          <w:tcPr>
            <w:tcW w:w="14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(9,586)</w:t>
            </w:r>
          </w:p>
        </w:tc>
        <w:tc>
          <w:tcPr>
            <w:tcW w:w="14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(9,748)</w:t>
            </w:r>
          </w:p>
        </w:tc>
        <w:tc>
          <w:tcPr>
            <w:tcW w:w="0" w:type="dxa"/>
            <w:vAlign w:val="bottom"/>
          </w:tcPr>
          <w:p>
            <w:pPr>
              <w:spacing w:after="0"/>
              <w:rPr>
                <w:sz w:val="1"/>
                <w:szCs w:val="1"/>
                <w:color w:val="auto"/>
              </w:rPr>
            </w:pPr>
          </w:p>
        </w:tc>
      </w:tr>
      <w:tr>
        <w:trPr>
          <w:trHeight w:val="216"/>
        </w:trPr>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Equity in subsidiaries’ earnings, net</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113,647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3"/>
              </w:rPr>
              <w:t>(113,647)</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300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Net income (loss)</w:t>
            </w:r>
          </w:p>
        </w:tc>
        <w:tc>
          <w:tcPr>
            <w:tcW w:w="42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105,476</w:t>
            </w:r>
          </w:p>
        </w:tc>
        <w:tc>
          <w:tcPr>
            <w:tcW w:w="14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(56,690)</w:t>
            </w:r>
          </w:p>
        </w:tc>
        <w:tc>
          <w:tcPr>
            <w:tcW w:w="14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142,941</w:t>
            </w:r>
          </w:p>
        </w:tc>
        <w:tc>
          <w:tcPr>
            <w:tcW w:w="14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27,396</w:t>
            </w:r>
          </w:p>
        </w:tc>
        <w:tc>
          <w:tcPr>
            <w:tcW w:w="14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(113,647)</w:t>
            </w:r>
          </w:p>
        </w:tc>
        <w:tc>
          <w:tcPr>
            <w:tcW w:w="16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105,476</w:t>
            </w:r>
          </w:p>
        </w:tc>
        <w:tc>
          <w:tcPr>
            <w:tcW w:w="0" w:type="dxa"/>
            <w:vAlign w:val="bottom"/>
          </w:tcPr>
          <w:p>
            <w:pPr>
              <w:spacing w:after="0"/>
              <w:rPr>
                <w:sz w:val="1"/>
                <w:szCs w:val="1"/>
                <w:color w:val="auto"/>
              </w:rPr>
            </w:pPr>
          </w:p>
        </w:tc>
      </w:tr>
      <w:tr>
        <w:trPr>
          <w:trHeight w:val="223"/>
        </w:trPr>
        <w:tc>
          <w:tcPr>
            <w:tcW w:w="30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Comprehensive income (loss)</w:t>
            </w:r>
          </w:p>
        </w:tc>
        <w:tc>
          <w:tcPr>
            <w:tcW w:w="4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109,077</w:t>
            </w:r>
          </w:p>
        </w:tc>
        <w:tc>
          <w:tcPr>
            <w:tcW w:w="1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(56,690)</w:t>
            </w:r>
          </w:p>
        </w:tc>
        <w:tc>
          <w:tcPr>
            <w:tcW w:w="1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142,941</w:t>
            </w:r>
          </w:p>
        </w:tc>
        <w:tc>
          <w:tcPr>
            <w:tcW w:w="1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30,997</w:t>
            </w:r>
          </w:p>
        </w:tc>
        <w:tc>
          <w:tcPr>
            <w:tcW w:w="1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(117,248)</w:t>
            </w:r>
          </w:p>
        </w:tc>
        <w:tc>
          <w:tcPr>
            <w:tcW w:w="1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109,077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0" w:name="page21"/>
    <w:bookmarkEnd w:id="2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line="261" w:lineRule="auto"/>
        <w:rPr>
          <w:sz w:val="20"/>
          <w:szCs w:val="20"/>
          <w:color w:val="auto"/>
        </w:rPr>
      </w:pPr>
      <w:r>
        <w:rPr>
          <w:rFonts w:ascii="Arial" w:cs="Arial" w:eastAsia="Arial" w:hAnsi="Arial"/>
          <w:sz w:val="18"/>
          <w:szCs w:val="18"/>
          <w:b w:val="1"/>
          <w:bCs w:val="1"/>
          <w:color w:val="auto"/>
        </w:rPr>
        <w:t>RYMAN HOSPITALITY PROPERTIES, INC. AND SUBSIDIARIES CONDENSED CONSOLIDATING STATEMENT OF OPERATIONS AND COMPREHENSIVE INCOME For the Nine Months Ended September 30, 2017</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Parent</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Issuer</w:t>
            </w:r>
          </w:p>
        </w:tc>
        <w:tc>
          <w:tcPr>
            <w:tcW w:w="80" w:type="dxa"/>
            <w:vAlign w:val="bottom"/>
          </w:tcPr>
          <w:p>
            <w:pPr>
              <w:spacing w:after="0"/>
              <w:rPr>
                <w:sz w:val="14"/>
                <w:szCs w:val="14"/>
                <w:color w:val="auto"/>
              </w:rPr>
            </w:pPr>
          </w:p>
        </w:tc>
        <w:tc>
          <w:tcPr>
            <w:tcW w:w="9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Guarantors</w:t>
            </w:r>
          </w:p>
        </w:tc>
        <w:tc>
          <w:tcPr>
            <w:tcW w:w="140" w:type="dxa"/>
            <w:vAlign w:val="bottom"/>
          </w:tcPr>
          <w:p>
            <w:pPr>
              <w:spacing w:after="0"/>
              <w:rPr>
                <w:sz w:val="14"/>
                <w:szCs w:val="14"/>
                <w:color w:val="auto"/>
              </w:rPr>
            </w:pPr>
          </w:p>
        </w:tc>
        <w:tc>
          <w:tcPr>
            <w:tcW w:w="7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Non-</w:t>
            </w:r>
          </w:p>
        </w:tc>
        <w:tc>
          <w:tcPr>
            <w:tcW w:w="60" w:type="dxa"/>
            <w:vAlign w:val="bottom"/>
          </w:tcPr>
          <w:p>
            <w:pPr>
              <w:spacing w:after="0"/>
              <w:rPr>
                <w:sz w:val="14"/>
                <w:szCs w:val="14"/>
                <w:color w:val="auto"/>
              </w:rPr>
            </w:pPr>
          </w:p>
        </w:tc>
        <w:tc>
          <w:tcPr>
            <w:tcW w:w="960" w:type="dxa"/>
            <w:vAlign w:val="bottom"/>
            <w:gridSpan w:val="3"/>
            <w:vMerge w:val="restart"/>
          </w:tcPr>
          <w:p>
            <w:pPr>
              <w:jc w:val="right"/>
              <w:ind w:right="140"/>
              <w:spacing w:after="0"/>
              <w:rPr>
                <w:sz w:val="20"/>
                <w:szCs w:val="20"/>
                <w:color w:val="auto"/>
              </w:rPr>
            </w:pPr>
            <w:r>
              <w:rPr>
                <w:rFonts w:ascii="Arial" w:cs="Arial" w:eastAsia="Arial" w:hAnsi="Arial"/>
                <w:sz w:val="14"/>
                <w:szCs w:val="14"/>
                <w:b w:val="1"/>
                <w:bCs w:val="1"/>
                <w:color w:val="auto"/>
                <w:w w:val="96"/>
              </w:rPr>
              <w:t>Eliminations</w:t>
            </w:r>
          </w:p>
        </w:tc>
        <w:tc>
          <w:tcPr>
            <w:tcW w:w="80" w:type="dxa"/>
            <w:vAlign w:val="bottom"/>
          </w:tcPr>
          <w:p>
            <w:pPr>
              <w:spacing w:after="0"/>
              <w:rPr>
                <w:sz w:val="14"/>
                <w:szCs w:val="14"/>
                <w:color w:val="auto"/>
              </w:rPr>
            </w:pPr>
          </w:p>
        </w:tc>
        <w:tc>
          <w:tcPr>
            <w:tcW w:w="8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171"/>
        </w:trPr>
        <w:tc>
          <w:tcPr>
            <w:tcW w:w="3380" w:type="dxa"/>
            <w:vAlign w:val="bottom"/>
          </w:tcPr>
          <w:p>
            <w:pPr>
              <w:spacing w:after="0"/>
              <w:rPr>
                <w:sz w:val="20"/>
                <w:szCs w:val="20"/>
                <w:color w:val="auto"/>
              </w:rPr>
            </w:pPr>
            <w:r>
              <w:rPr>
                <w:rFonts w:ascii="Arial" w:cs="Arial" w:eastAsia="Arial" w:hAnsi="Arial"/>
                <w:sz w:val="14"/>
                <w:szCs w:val="14"/>
                <w:color w:val="auto"/>
              </w:rPr>
              <w:t>(in thousands)</w:t>
            </w:r>
          </w:p>
        </w:tc>
        <w:tc>
          <w:tcPr>
            <w:tcW w:w="8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7"/>
              </w:rPr>
              <w:t>Guarantor</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3"/>
            <w:vMerge w:val="continue"/>
          </w:tcPr>
          <w:p>
            <w:pPr>
              <w:spacing w:after="0"/>
              <w:rPr>
                <w:sz w:val="14"/>
                <w:szCs w:val="14"/>
                <w:color w:val="auto"/>
              </w:rPr>
            </w:pPr>
          </w:p>
        </w:tc>
        <w:tc>
          <w:tcPr>
            <w:tcW w:w="9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5"/>
              </w:rPr>
              <w:t>Guarantors</w:t>
            </w:r>
          </w:p>
        </w:tc>
        <w:tc>
          <w:tcPr>
            <w:tcW w:w="60" w:type="dxa"/>
            <w:vAlign w:val="bottom"/>
          </w:tcPr>
          <w:p>
            <w:pPr>
              <w:spacing w:after="0"/>
              <w:rPr>
                <w:sz w:val="14"/>
                <w:szCs w:val="14"/>
                <w:color w:val="auto"/>
              </w:rPr>
            </w:pPr>
          </w:p>
        </w:tc>
        <w:tc>
          <w:tcPr>
            <w:tcW w:w="96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3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tcPr>
          <w:p>
            <w:pPr>
              <w:ind w:left="120"/>
              <w:spacing w:after="0"/>
              <w:rPr>
                <w:sz w:val="20"/>
                <w:szCs w:val="20"/>
                <w:color w:val="auto"/>
              </w:rPr>
            </w:pPr>
            <w:r>
              <w:rPr>
                <w:rFonts w:ascii="Arial" w:cs="Arial" w:eastAsia="Arial" w:hAnsi="Arial"/>
                <w:sz w:val="18"/>
                <w:szCs w:val="18"/>
                <w:color w:val="auto"/>
              </w:rPr>
              <w:t>Rooms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gridSpan w:val="2"/>
          </w:tcPr>
          <w:p>
            <w:pPr>
              <w:ind w:left="80"/>
              <w:spacing w:after="0"/>
              <w:rPr>
                <w:sz w:val="20"/>
                <w:szCs w:val="20"/>
                <w:color w:val="auto"/>
              </w:rPr>
            </w:pPr>
            <w:r>
              <w:rPr>
                <w:rFonts w:ascii="Arial" w:cs="Arial" w:eastAsia="Arial" w:hAnsi="Arial"/>
                <w:sz w:val="18"/>
                <w:szCs w:val="18"/>
                <w:color w:val="auto"/>
                <w:w w:val="99"/>
              </w:rPr>
              <w:t>$</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2"/>
              </w:rPr>
              <w:t>314,577</w:t>
            </w:r>
          </w:p>
        </w:tc>
        <w:tc>
          <w:tcPr>
            <w:tcW w:w="8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ind w:right="6"/>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314,577</w:t>
            </w:r>
          </w:p>
        </w:tc>
        <w:tc>
          <w:tcPr>
            <w:tcW w:w="0" w:type="dxa"/>
            <w:vAlign w:val="bottom"/>
          </w:tcPr>
          <w:p>
            <w:pPr>
              <w:spacing w:after="0"/>
              <w:rPr>
                <w:sz w:val="1"/>
                <w:szCs w:val="1"/>
                <w:color w:val="auto"/>
              </w:rPr>
            </w:pPr>
          </w:p>
        </w:tc>
      </w:tr>
      <w:tr>
        <w:trPr>
          <w:trHeight w:val="216"/>
        </w:trPr>
        <w:tc>
          <w:tcPr>
            <w:tcW w:w="3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Food and beverage</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359,047</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359,047</w:t>
            </w:r>
          </w:p>
        </w:tc>
        <w:tc>
          <w:tcPr>
            <w:tcW w:w="0" w:type="dxa"/>
            <w:vAlign w:val="bottom"/>
          </w:tcPr>
          <w:p>
            <w:pPr>
              <w:spacing w:after="0"/>
              <w:rPr>
                <w:sz w:val="1"/>
                <w:szCs w:val="1"/>
                <w:color w:val="auto"/>
              </w:rPr>
            </w:pPr>
          </w:p>
        </w:tc>
      </w:tr>
      <w:tr>
        <w:trPr>
          <w:trHeight w:val="216"/>
        </w:trPr>
        <w:tc>
          <w:tcPr>
            <w:tcW w:w="3380" w:type="dxa"/>
            <w:vAlign w:val="bottom"/>
          </w:tcPr>
          <w:p>
            <w:pPr>
              <w:ind w:left="120"/>
              <w:spacing w:after="0"/>
              <w:rPr>
                <w:sz w:val="20"/>
                <w:szCs w:val="20"/>
                <w:color w:val="auto"/>
              </w:rPr>
            </w:pPr>
            <w:r>
              <w:rPr>
                <w:rFonts w:ascii="Arial" w:cs="Arial" w:eastAsia="Arial" w:hAnsi="Arial"/>
                <w:sz w:val="18"/>
                <w:szCs w:val="18"/>
                <w:color w:val="auto"/>
              </w:rPr>
              <w:t>Other hotel revenue</w:t>
            </w:r>
          </w:p>
        </w:tc>
        <w:tc>
          <w:tcPr>
            <w:tcW w:w="12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2"/>
              </w:rPr>
              <w:t>236,517</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85,278</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w w:val="93"/>
              </w:rPr>
              <w:t>(248,302)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73,493</w:t>
            </w:r>
          </w:p>
        </w:tc>
        <w:tc>
          <w:tcPr>
            <w:tcW w:w="0" w:type="dxa"/>
            <w:vAlign w:val="bottom"/>
          </w:tcPr>
          <w:p>
            <w:pPr>
              <w:spacing w:after="0"/>
              <w:rPr>
                <w:sz w:val="1"/>
                <w:szCs w:val="1"/>
                <w:color w:val="auto"/>
              </w:rPr>
            </w:pPr>
          </w:p>
        </w:tc>
      </w:tr>
      <w:tr>
        <w:trPr>
          <w:trHeight w:val="216"/>
        </w:trPr>
        <w:tc>
          <w:tcPr>
            <w:tcW w:w="3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Entertainment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92,451</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92,427</w:t>
            </w:r>
          </w:p>
        </w:tc>
        <w:tc>
          <w:tcPr>
            <w:tcW w:w="0" w:type="dxa"/>
            <w:vAlign w:val="bottom"/>
          </w:tcPr>
          <w:p>
            <w:pPr>
              <w:spacing w:after="0"/>
              <w:rPr>
                <w:sz w:val="1"/>
                <w:szCs w:val="1"/>
                <w:color w:val="auto"/>
              </w:rPr>
            </w:pPr>
          </w:p>
        </w:tc>
      </w:tr>
      <w:tr>
        <w:trPr>
          <w:trHeight w:val="210"/>
        </w:trPr>
        <w:tc>
          <w:tcPr>
            <w:tcW w:w="3380" w:type="dxa"/>
            <w:vAlign w:val="bottom"/>
          </w:tcPr>
          <w:p>
            <w:pPr>
              <w:ind w:left="220"/>
              <w:spacing w:after="0"/>
              <w:rPr>
                <w:sz w:val="20"/>
                <w:szCs w:val="20"/>
                <w:color w:val="auto"/>
              </w:rPr>
            </w:pPr>
            <w:r>
              <w:rPr>
                <w:rFonts w:ascii="Arial" w:cs="Arial" w:eastAsia="Arial" w:hAnsi="Arial"/>
                <w:sz w:val="18"/>
                <w:szCs w:val="18"/>
                <w:color w:val="auto"/>
              </w:rPr>
              <w:t>Total revenues</w:t>
            </w:r>
          </w:p>
        </w:tc>
        <w:tc>
          <w:tcPr>
            <w:tcW w:w="1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236,517</w:t>
            </w: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851,353</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(248,326)</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839,544</w:t>
            </w:r>
          </w:p>
        </w:tc>
        <w:tc>
          <w:tcPr>
            <w:tcW w:w="0" w:type="dxa"/>
            <w:vAlign w:val="bottom"/>
          </w:tcPr>
          <w:p>
            <w:pPr>
              <w:spacing w:after="0"/>
              <w:rPr>
                <w:sz w:val="1"/>
                <w:szCs w:val="1"/>
                <w:color w:val="auto"/>
              </w:rPr>
            </w:pPr>
          </w:p>
        </w:tc>
      </w:tr>
      <w:tr>
        <w:trPr>
          <w:trHeight w:val="216"/>
        </w:trPr>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tcPr>
          <w:p>
            <w:pPr>
              <w:ind w:left="120"/>
              <w:spacing w:after="0"/>
              <w:rPr>
                <w:sz w:val="20"/>
                <w:szCs w:val="20"/>
                <w:color w:val="auto"/>
              </w:rPr>
            </w:pPr>
            <w:r>
              <w:rPr>
                <w:rFonts w:ascii="Arial" w:cs="Arial" w:eastAsia="Arial" w:hAnsi="Arial"/>
                <w:sz w:val="18"/>
                <w:szCs w:val="18"/>
                <w:color w:val="auto"/>
              </w:rPr>
              <w:t>Rooms</w:t>
            </w:r>
          </w:p>
        </w:tc>
        <w:tc>
          <w:tcPr>
            <w:tcW w:w="12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83,962</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83,962</w:t>
            </w:r>
          </w:p>
        </w:tc>
        <w:tc>
          <w:tcPr>
            <w:tcW w:w="0" w:type="dxa"/>
            <w:vAlign w:val="bottom"/>
          </w:tcPr>
          <w:p>
            <w:pPr>
              <w:spacing w:after="0"/>
              <w:rPr>
                <w:sz w:val="1"/>
                <w:szCs w:val="1"/>
                <w:color w:val="auto"/>
              </w:rPr>
            </w:pPr>
          </w:p>
        </w:tc>
      </w:tr>
      <w:tr>
        <w:trPr>
          <w:trHeight w:val="216"/>
        </w:trPr>
        <w:tc>
          <w:tcPr>
            <w:tcW w:w="3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Food and beverage</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200,091</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200,091</w:t>
            </w:r>
          </w:p>
        </w:tc>
        <w:tc>
          <w:tcPr>
            <w:tcW w:w="0" w:type="dxa"/>
            <w:vAlign w:val="bottom"/>
          </w:tcPr>
          <w:p>
            <w:pPr>
              <w:spacing w:after="0"/>
              <w:rPr>
                <w:sz w:val="1"/>
                <w:szCs w:val="1"/>
                <w:color w:val="auto"/>
              </w:rPr>
            </w:pPr>
          </w:p>
        </w:tc>
      </w:tr>
      <w:tr>
        <w:trPr>
          <w:trHeight w:val="216"/>
        </w:trPr>
        <w:tc>
          <w:tcPr>
            <w:tcW w:w="3380" w:type="dxa"/>
            <w:vAlign w:val="bottom"/>
          </w:tcPr>
          <w:p>
            <w:pPr>
              <w:ind w:left="120"/>
              <w:spacing w:after="0"/>
              <w:rPr>
                <w:sz w:val="20"/>
                <w:szCs w:val="20"/>
                <w:color w:val="auto"/>
              </w:rPr>
            </w:pPr>
            <w:r>
              <w:rPr>
                <w:rFonts w:ascii="Arial" w:cs="Arial" w:eastAsia="Arial" w:hAnsi="Arial"/>
                <w:sz w:val="18"/>
                <w:szCs w:val="18"/>
                <w:color w:val="auto"/>
              </w:rPr>
              <w:t>Other hotel expenses</w:t>
            </w:r>
          </w:p>
        </w:tc>
        <w:tc>
          <w:tcPr>
            <w:tcW w:w="12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33,533</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2"/>
              </w:rPr>
              <w:t>422,732</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w w:val="93"/>
              </w:rPr>
              <w:t>(236,192)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220,073</w:t>
            </w:r>
          </w:p>
        </w:tc>
        <w:tc>
          <w:tcPr>
            <w:tcW w:w="0" w:type="dxa"/>
            <w:vAlign w:val="bottom"/>
          </w:tcPr>
          <w:p>
            <w:pPr>
              <w:spacing w:after="0"/>
              <w:rPr>
                <w:sz w:val="1"/>
                <w:szCs w:val="1"/>
                <w:color w:val="auto"/>
              </w:rPr>
            </w:pPr>
          </w:p>
        </w:tc>
      </w:tr>
      <w:tr>
        <w:trPr>
          <w:trHeight w:val="216"/>
        </w:trPr>
        <w:tc>
          <w:tcPr>
            <w:tcW w:w="3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Management fees, net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16,417</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16,417</w:t>
            </w:r>
          </w:p>
        </w:tc>
        <w:tc>
          <w:tcPr>
            <w:tcW w:w="0" w:type="dxa"/>
            <w:vAlign w:val="bottom"/>
          </w:tcPr>
          <w:p>
            <w:pPr>
              <w:spacing w:after="0"/>
              <w:rPr>
                <w:sz w:val="1"/>
                <w:szCs w:val="1"/>
                <w:color w:val="auto"/>
              </w:rPr>
            </w:pPr>
          </w:p>
        </w:tc>
      </w:tr>
      <w:tr>
        <w:trPr>
          <w:trHeight w:val="210"/>
        </w:trPr>
        <w:tc>
          <w:tcPr>
            <w:tcW w:w="3380" w:type="dxa"/>
            <w:vAlign w:val="bottom"/>
          </w:tcPr>
          <w:p>
            <w:pPr>
              <w:ind w:left="220"/>
              <w:spacing w:after="0"/>
              <w:rPr>
                <w:sz w:val="20"/>
                <w:szCs w:val="20"/>
                <w:color w:val="auto"/>
              </w:rPr>
            </w:pPr>
            <w:r>
              <w:rPr>
                <w:rFonts w:ascii="Arial" w:cs="Arial" w:eastAsia="Arial" w:hAnsi="Arial"/>
                <w:sz w:val="18"/>
                <w:szCs w:val="18"/>
                <w:color w:val="auto"/>
              </w:rPr>
              <w:t>Total hotel operating expenses</w:t>
            </w:r>
          </w:p>
        </w:tc>
        <w:tc>
          <w:tcPr>
            <w:tcW w:w="1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33,533</w:t>
            </w: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723,202</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(236,192)</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520,543</w:t>
            </w:r>
          </w:p>
        </w:tc>
        <w:tc>
          <w:tcPr>
            <w:tcW w:w="0" w:type="dxa"/>
            <w:vAlign w:val="bottom"/>
          </w:tcPr>
          <w:p>
            <w:pPr>
              <w:spacing w:after="0"/>
              <w:rPr>
                <w:sz w:val="1"/>
                <w:szCs w:val="1"/>
                <w:color w:val="auto"/>
              </w:rPr>
            </w:pPr>
          </w:p>
        </w:tc>
      </w:tr>
      <w:tr>
        <w:trPr>
          <w:trHeight w:val="216"/>
        </w:trPr>
        <w:tc>
          <w:tcPr>
            <w:tcW w:w="3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Entertainment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61,661</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61,637</w:t>
            </w:r>
          </w:p>
        </w:tc>
        <w:tc>
          <w:tcPr>
            <w:tcW w:w="0" w:type="dxa"/>
            <w:vAlign w:val="bottom"/>
          </w:tcPr>
          <w:p>
            <w:pPr>
              <w:spacing w:after="0"/>
              <w:rPr>
                <w:sz w:val="1"/>
                <w:szCs w:val="1"/>
                <w:color w:val="auto"/>
              </w:rPr>
            </w:pPr>
          </w:p>
        </w:tc>
      </w:tr>
      <w:tr>
        <w:trPr>
          <w:trHeight w:val="216"/>
        </w:trPr>
        <w:tc>
          <w:tcPr>
            <w:tcW w:w="3380" w:type="dxa"/>
            <w:vAlign w:val="bottom"/>
          </w:tcPr>
          <w:p>
            <w:pPr>
              <w:ind w:left="120"/>
              <w:spacing w:after="0"/>
              <w:rPr>
                <w:sz w:val="20"/>
                <w:szCs w:val="20"/>
                <w:color w:val="auto"/>
              </w:rPr>
            </w:pPr>
            <w:r>
              <w:rPr>
                <w:rFonts w:ascii="Arial" w:cs="Arial" w:eastAsia="Arial" w:hAnsi="Arial"/>
                <w:sz w:val="18"/>
                <w:szCs w:val="18"/>
                <w:color w:val="auto"/>
              </w:rPr>
              <w:t>Corporate</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191</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1,226</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21,367</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22,786</w:t>
            </w:r>
          </w:p>
        </w:tc>
        <w:tc>
          <w:tcPr>
            <w:tcW w:w="0" w:type="dxa"/>
            <w:vAlign w:val="bottom"/>
          </w:tcPr>
          <w:p>
            <w:pPr>
              <w:spacing w:after="0"/>
              <w:rPr>
                <w:sz w:val="1"/>
                <w:szCs w:val="1"/>
                <w:color w:val="auto"/>
              </w:rPr>
            </w:pPr>
          </w:p>
        </w:tc>
      </w:tr>
      <w:tr>
        <w:trPr>
          <w:trHeight w:val="216"/>
        </w:trPr>
        <w:tc>
          <w:tcPr>
            <w:tcW w:w="3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Preopening costs</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1,587</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1,587</w:t>
            </w:r>
          </w:p>
        </w:tc>
        <w:tc>
          <w:tcPr>
            <w:tcW w:w="0" w:type="dxa"/>
            <w:vAlign w:val="bottom"/>
          </w:tcPr>
          <w:p>
            <w:pPr>
              <w:spacing w:after="0"/>
              <w:rPr>
                <w:sz w:val="1"/>
                <w:szCs w:val="1"/>
                <w:color w:val="auto"/>
              </w:rPr>
            </w:pPr>
          </w:p>
        </w:tc>
      </w:tr>
      <w:tr>
        <w:trPr>
          <w:trHeight w:val="216"/>
        </w:trPr>
        <w:tc>
          <w:tcPr>
            <w:tcW w:w="3380" w:type="dxa"/>
            <w:vAlign w:val="bottom"/>
          </w:tcPr>
          <w:p>
            <w:pPr>
              <w:ind w:left="120"/>
              <w:spacing w:after="0"/>
              <w:rPr>
                <w:sz w:val="20"/>
                <w:szCs w:val="20"/>
                <w:color w:val="auto"/>
              </w:rPr>
            </w:pPr>
            <w:r>
              <w:rPr>
                <w:rFonts w:ascii="Arial" w:cs="Arial" w:eastAsia="Arial" w:hAnsi="Arial"/>
                <w:sz w:val="18"/>
                <w:szCs w:val="18"/>
                <w:color w:val="auto"/>
              </w:rPr>
              <w:t>Corporate overhead allocation</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6,768</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5,342</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(12,110)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Depreciation and amortization</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44,617</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39,245</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83,862</w:t>
            </w:r>
          </w:p>
        </w:tc>
        <w:tc>
          <w:tcPr>
            <w:tcW w:w="0" w:type="dxa"/>
            <w:vAlign w:val="bottom"/>
          </w:tcPr>
          <w:p>
            <w:pPr>
              <w:spacing w:after="0"/>
              <w:rPr>
                <w:sz w:val="1"/>
                <w:szCs w:val="1"/>
                <w:color w:val="auto"/>
              </w:rPr>
            </w:pPr>
          </w:p>
        </w:tc>
      </w:tr>
      <w:tr>
        <w:trPr>
          <w:trHeight w:val="210"/>
        </w:trPr>
        <w:tc>
          <w:tcPr>
            <w:tcW w:w="33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Total operating expenses</w:t>
            </w:r>
          </w:p>
        </w:tc>
        <w:tc>
          <w:tcPr>
            <w:tcW w:w="12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6,959</w:t>
            </w:r>
          </w:p>
        </w:tc>
        <w:tc>
          <w:tcPr>
            <w:tcW w:w="8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1,226</w:t>
            </w:r>
          </w:p>
        </w:tc>
        <w:tc>
          <w:tcPr>
            <w:tcW w:w="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83,494</w:t>
            </w:r>
          </w:p>
        </w:tc>
        <w:tc>
          <w:tcPr>
            <w:tcW w:w="14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847,062</w:t>
            </w:r>
          </w:p>
        </w:tc>
        <w:tc>
          <w:tcPr>
            <w:tcW w:w="8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(248,326)</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690,415</w:t>
            </w:r>
          </w:p>
        </w:tc>
        <w:tc>
          <w:tcPr>
            <w:tcW w:w="0" w:type="dxa"/>
            <w:vAlign w:val="bottom"/>
          </w:tcPr>
          <w:p>
            <w:pPr>
              <w:spacing w:after="0"/>
              <w:rPr>
                <w:sz w:val="1"/>
                <w:szCs w:val="1"/>
                <w:color w:val="auto"/>
              </w:rPr>
            </w:pPr>
          </w:p>
        </w:tc>
      </w:tr>
      <w:tr>
        <w:trPr>
          <w:trHeight w:val="210"/>
        </w:trPr>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(6,959)</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(1,226)</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153,023</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4,291</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149,129</w:t>
            </w:r>
          </w:p>
        </w:tc>
        <w:tc>
          <w:tcPr>
            <w:tcW w:w="0" w:type="dxa"/>
            <w:vAlign w:val="bottom"/>
          </w:tcPr>
          <w:p>
            <w:pPr>
              <w:spacing w:after="0"/>
              <w:rPr>
                <w:sz w:val="1"/>
                <w:szCs w:val="1"/>
                <w:color w:val="auto"/>
              </w:rPr>
            </w:pPr>
          </w:p>
        </w:tc>
      </w:tr>
      <w:tr>
        <w:trPr>
          <w:trHeight w:val="210"/>
        </w:trPr>
        <w:tc>
          <w:tcPr>
            <w:tcW w:w="3380" w:type="dxa"/>
            <w:vAlign w:val="bottom"/>
          </w:tcPr>
          <w:p>
            <w:pPr>
              <w:spacing w:after="0"/>
              <w:rPr>
                <w:sz w:val="20"/>
                <w:szCs w:val="20"/>
                <w:color w:val="auto"/>
              </w:rPr>
            </w:pPr>
            <w:r>
              <w:rPr>
                <w:rFonts w:ascii="Arial" w:cs="Arial" w:eastAsia="Arial" w:hAnsi="Arial"/>
                <w:sz w:val="18"/>
                <w:szCs w:val="18"/>
                <w:color w:val="auto"/>
              </w:rPr>
              <w:t>Interest expense</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8"/>
              </w:rPr>
              <w:t>(49,620)</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(20)</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(49,640)</w:t>
            </w:r>
          </w:p>
        </w:tc>
        <w:tc>
          <w:tcPr>
            <w:tcW w:w="0" w:type="dxa"/>
            <w:vAlign w:val="bottom"/>
          </w:tcPr>
          <w:p>
            <w:pPr>
              <w:spacing w:after="0"/>
              <w:rPr>
                <w:sz w:val="1"/>
                <w:szCs w:val="1"/>
                <w:color w:val="auto"/>
              </w:rPr>
            </w:pPr>
          </w:p>
        </w:tc>
      </w:tr>
      <w:tr>
        <w:trPr>
          <w:trHeight w:val="216"/>
        </w:trPr>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8,874</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8,874</w:t>
            </w:r>
          </w:p>
        </w:tc>
        <w:tc>
          <w:tcPr>
            <w:tcW w:w="0" w:type="dxa"/>
            <w:vAlign w:val="bottom"/>
          </w:tcPr>
          <w:p>
            <w:pPr>
              <w:spacing w:after="0"/>
              <w:rPr>
                <w:sz w:val="1"/>
                <w:szCs w:val="1"/>
                <w:color w:val="auto"/>
              </w:rPr>
            </w:pPr>
          </w:p>
        </w:tc>
      </w:tr>
      <w:tr>
        <w:trPr>
          <w:trHeight w:val="216"/>
        </w:trPr>
        <w:tc>
          <w:tcPr>
            <w:tcW w:w="3380" w:type="dxa"/>
            <w:vAlign w:val="bottom"/>
          </w:tcPr>
          <w:p>
            <w:pPr>
              <w:spacing w:after="0"/>
              <w:rPr>
                <w:sz w:val="20"/>
                <w:szCs w:val="20"/>
                <w:color w:val="auto"/>
              </w:rPr>
            </w:pPr>
            <w:r>
              <w:rPr>
                <w:rFonts w:ascii="Arial" w:cs="Arial" w:eastAsia="Arial" w:hAnsi="Arial"/>
                <w:sz w:val="18"/>
                <w:szCs w:val="18"/>
                <w:color w:val="auto"/>
              </w:rPr>
              <w:t>Loss from joint ventures</w:t>
            </w:r>
          </w:p>
        </w:tc>
        <w:tc>
          <w:tcPr>
            <w:tcW w:w="12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(2,616)</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(2,616)</w:t>
            </w:r>
          </w:p>
        </w:tc>
        <w:tc>
          <w:tcPr>
            <w:tcW w:w="0" w:type="dxa"/>
            <w:vAlign w:val="bottom"/>
          </w:tcPr>
          <w:p>
            <w:pPr>
              <w:spacing w:after="0"/>
              <w:rPr>
                <w:sz w:val="1"/>
                <w:szCs w:val="1"/>
                <w:color w:val="auto"/>
              </w:rPr>
            </w:pPr>
          </w:p>
        </w:tc>
      </w:tr>
      <w:tr>
        <w:trPr>
          <w:trHeight w:val="216"/>
        </w:trPr>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Other gains and (losses), net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0"/>
        </w:trPr>
        <w:tc>
          <w:tcPr>
            <w:tcW w:w="3380" w:type="dxa"/>
            <w:vAlign w:val="bottom"/>
          </w:tcPr>
          <w:p>
            <w:pPr>
              <w:spacing w:after="0"/>
              <w:rPr>
                <w:sz w:val="20"/>
                <w:szCs w:val="20"/>
                <w:color w:val="auto"/>
              </w:rPr>
            </w:pPr>
            <w:r>
              <w:rPr>
                <w:rFonts w:ascii="Arial" w:cs="Arial" w:eastAsia="Arial" w:hAnsi="Arial"/>
                <w:sz w:val="18"/>
                <w:szCs w:val="18"/>
                <w:color w:val="auto"/>
              </w:rPr>
              <w:t>Income (loss) before income taxes</w:t>
            </w:r>
          </w:p>
        </w:tc>
        <w:tc>
          <w:tcPr>
            <w:tcW w:w="1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(6,959)</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(50,846)</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153,023</w:t>
            </w: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10,586</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105,804</w:t>
            </w:r>
          </w:p>
        </w:tc>
        <w:tc>
          <w:tcPr>
            <w:tcW w:w="0" w:type="dxa"/>
            <w:vAlign w:val="bottom"/>
          </w:tcPr>
          <w:p>
            <w:pPr>
              <w:spacing w:after="0"/>
              <w:rPr>
                <w:sz w:val="1"/>
                <w:szCs w:val="1"/>
                <w:color w:val="auto"/>
              </w:rPr>
            </w:pPr>
          </w:p>
        </w:tc>
      </w:tr>
      <w:tr>
        <w:trPr>
          <w:trHeight w:val="216"/>
        </w:trPr>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(Provision) benefit for income taxes</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(2,575)</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(2,022)</w:t>
            </w:r>
          </w:p>
        </w:tc>
        <w:tc>
          <w:tcPr>
            <w:tcW w:w="0" w:type="dxa"/>
            <w:vAlign w:val="bottom"/>
          </w:tcPr>
          <w:p>
            <w:pPr>
              <w:spacing w:after="0"/>
              <w:rPr>
                <w:sz w:val="1"/>
                <w:szCs w:val="1"/>
                <w:color w:val="auto"/>
              </w:rPr>
            </w:pPr>
          </w:p>
        </w:tc>
      </w:tr>
      <w:tr>
        <w:trPr>
          <w:trHeight w:val="216"/>
        </w:trPr>
        <w:tc>
          <w:tcPr>
            <w:tcW w:w="3380" w:type="dxa"/>
            <w:vAlign w:val="bottom"/>
          </w:tcPr>
          <w:p>
            <w:pPr>
              <w:spacing w:after="0"/>
              <w:rPr>
                <w:sz w:val="20"/>
                <w:szCs w:val="20"/>
                <w:color w:val="auto"/>
              </w:rPr>
            </w:pPr>
            <w:r>
              <w:rPr>
                <w:rFonts w:ascii="Arial" w:cs="Arial" w:eastAsia="Arial" w:hAnsi="Arial"/>
                <w:sz w:val="18"/>
                <w:szCs w:val="18"/>
                <w:color w:val="auto"/>
              </w:rPr>
              <w:t>Equity in subsidiaries’ earnings, net</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2"/>
              </w:rPr>
              <w:t>110,741</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w w:val="93"/>
              </w:rPr>
              <w:t>(110,741)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38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Net income (loss)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103,782</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(50,846)</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153,576</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8,011</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(110,741)</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103,782</w:t>
            </w:r>
          </w:p>
        </w:tc>
        <w:tc>
          <w:tcPr>
            <w:tcW w:w="0" w:type="dxa"/>
            <w:vAlign w:val="bottom"/>
          </w:tcPr>
          <w:p>
            <w:pPr>
              <w:spacing w:after="0"/>
              <w:rPr>
                <w:sz w:val="1"/>
                <w:szCs w:val="1"/>
                <w:color w:val="auto"/>
              </w:rPr>
            </w:pPr>
          </w:p>
        </w:tc>
      </w:tr>
      <w:tr>
        <w:trPr>
          <w:trHeight w:val="210"/>
        </w:trPr>
        <w:tc>
          <w:tcPr>
            <w:tcW w:w="3380" w:type="dxa"/>
            <w:vAlign w:val="bottom"/>
          </w:tcPr>
          <w:p>
            <w:pPr>
              <w:ind w:left="120"/>
              <w:spacing w:after="0" w:line="203" w:lineRule="exact"/>
              <w:rPr>
                <w:sz w:val="20"/>
                <w:szCs w:val="20"/>
                <w:color w:val="auto"/>
              </w:rPr>
            </w:pPr>
            <w:r>
              <w:rPr>
                <w:rFonts w:ascii="Arial" w:cs="Arial" w:eastAsia="Arial" w:hAnsi="Arial"/>
                <w:sz w:val="18"/>
                <w:szCs w:val="18"/>
                <w:color w:val="auto"/>
              </w:rPr>
              <w:t>Comprehensive income (loss)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2"/>
              </w:rPr>
              <w:t>105,391</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8"/>
              </w:rPr>
              <w:t>(50,846)</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line="203" w:lineRule="exact"/>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2"/>
              </w:rPr>
              <w:t>153,576</w:t>
            </w:r>
          </w:p>
        </w:tc>
        <w:tc>
          <w:tcPr>
            <w:tcW w:w="140" w:type="dxa"/>
            <w:vAlign w:val="bottom"/>
          </w:tcPr>
          <w:p>
            <w:pPr>
              <w:spacing w:after="0"/>
              <w:rPr>
                <w:sz w:val="18"/>
                <w:szCs w:val="18"/>
                <w:color w:val="auto"/>
              </w:rPr>
            </w:pPr>
          </w:p>
        </w:tc>
        <w:tc>
          <w:tcPr>
            <w:tcW w:w="1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9,620</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3"/>
              </w:rPr>
              <w:t>(112,350)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105,391</w:t>
            </w:r>
          </w:p>
        </w:tc>
        <w:tc>
          <w:tcPr>
            <w:tcW w:w="0" w:type="dxa"/>
            <w:vAlign w:val="bottom"/>
          </w:tcPr>
          <w:p>
            <w:pPr>
              <w:spacing w:after="0"/>
              <w:rPr>
                <w:sz w:val="1"/>
                <w:szCs w:val="1"/>
                <w:color w:val="auto"/>
              </w:rPr>
            </w:pPr>
          </w:p>
        </w:tc>
      </w:tr>
      <w:tr>
        <w:trPr>
          <w:trHeight w:val="864"/>
        </w:trPr>
        <w:tc>
          <w:tcPr>
            <w:tcW w:w="3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jc w:val="right"/>
              <w:ind w:right="391"/>
              <w:spacing w:after="0"/>
              <w:rPr>
                <w:sz w:val="20"/>
                <w:szCs w:val="20"/>
                <w:color w:val="auto"/>
              </w:rPr>
            </w:pPr>
            <w:r>
              <w:rPr>
                <w:rFonts w:ascii="Arial" w:cs="Arial" w:eastAsia="Arial" w:hAnsi="Arial"/>
                <w:sz w:val="18"/>
                <w:szCs w:val="18"/>
                <w:color w:val="auto"/>
                <w:w w:val="89"/>
              </w:rPr>
              <w:t>21</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33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125" w:right="1419" w:bottom="1440" w:gutter="0" w:footer="0" w:header="0"/>
        </w:sectPr>
      </w:pPr>
    </w:p>
    <w:bookmarkStart w:id="21" w:name="page22"/>
    <w:bookmarkEnd w:id="2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left="1440" w:right="1820"/>
        <w:spacing w:after="0" w:line="266" w:lineRule="auto"/>
        <w:rPr>
          <w:sz w:val="20"/>
          <w:szCs w:val="20"/>
          <w:color w:val="auto"/>
        </w:rPr>
      </w:pPr>
      <w:r>
        <w:rPr>
          <w:rFonts w:ascii="Arial" w:cs="Arial" w:eastAsia="Arial" w:hAnsi="Arial"/>
          <w:sz w:val="18"/>
          <w:szCs w:val="18"/>
          <w:b w:val="1"/>
          <w:bCs w:val="1"/>
          <w:color w:val="auto"/>
        </w:rPr>
        <w:t>RYMAN HOSPITALITY PROPERTIES, INC. AND SUBSIDIARIES CONDENSED CONSOLIDATING STATEMENT OF CASH FLOWS For the Nine Months Ended September 30, 2018</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right"/>
              <w:ind w:right="212"/>
              <w:spacing w:after="0"/>
              <w:rPr>
                <w:sz w:val="20"/>
                <w:szCs w:val="20"/>
                <w:color w:val="auto"/>
              </w:rPr>
            </w:pPr>
            <w:r>
              <w:rPr>
                <w:rFonts w:ascii="Arial" w:cs="Arial" w:eastAsia="Arial" w:hAnsi="Arial"/>
                <w:sz w:val="14"/>
                <w:szCs w:val="14"/>
                <w:b w:val="1"/>
                <w:bCs w:val="1"/>
                <w:color w:val="auto"/>
              </w:rPr>
              <w:t>Parent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w w:val="96"/>
              </w:rPr>
              <w:t>Issuer</w:t>
            </w:r>
          </w:p>
        </w:tc>
        <w:tc>
          <w:tcPr>
            <w:tcW w:w="9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Guarantors</w:t>
            </w:r>
          </w:p>
        </w:tc>
        <w:tc>
          <w:tcPr>
            <w:tcW w:w="96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Non-</w:t>
            </w:r>
          </w:p>
        </w:tc>
        <w:tc>
          <w:tcPr>
            <w:tcW w:w="80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3"/>
              </w:rPr>
              <w:t>Eliminations</w:t>
            </w:r>
          </w:p>
        </w:tc>
        <w:tc>
          <w:tcPr>
            <w:tcW w:w="140" w:type="dxa"/>
            <w:vAlign w:val="bottom"/>
          </w:tcPr>
          <w:p>
            <w:pPr>
              <w:spacing w:after="0"/>
              <w:rPr>
                <w:sz w:val="14"/>
                <w:szCs w:val="14"/>
                <w:color w:val="auto"/>
              </w:rPr>
            </w:pPr>
          </w:p>
        </w:tc>
        <w:tc>
          <w:tcPr>
            <w:tcW w:w="8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171"/>
        </w:trPr>
        <w:tc>
          <w:tcPr>
            <w:tcW w:w="3320" w:type="dxa"/>
            <w:vAlign w:val="bottom"/>
          </w:tcPr>
          <w:p>
            <w:pPr>
              <w:spacing w:after="0"/>
              <w:rPr>
                <w:sz w:val="20"/>
                <w:szCs w:val="20"/>
                <w:color w:val="auto"/>
              </w:rPr>
            </w:pPr>
            <w:r>
              <w:rPr>
                <w:rFonts w:ascii="Arial" w:cs="Arial" w:eastAsia="Arial" w:hAnsi="Arial"/>
                <w:sz w:val="14"/>
                <w:szCs w:val="14"/>
                <w:color w:val="auto"/>
              </w:rPr>
              <w:t>(in thousands)</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right"/>
              <w:ind w:right="92"/>
              <w:spacing w:after="0"/>
              <w:rPr>
                <w:sz w:val="20"/>
                <w:szCs w:val="20"/>
                <w:color w:val="auto"/>
              </w:rPr>
            </w:pPr>
            <w:r>
              <w:rPr>
                <w:rFonts w:ascii="Arial" w:cs="Arial" w:eastAsia="Arial" w:hAnsi="Arial"/>
                <w:sz w:val="14"/>
                <w:szCs w:val="14"/>
                <w:b w:val="1"/>
                <w:bCs w:val="1"/>
                <w:color w:val="auto"/>
                <w:w w:val="97"/>
              </w:rPr>
              <w:t>Guarantor</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900" w:type="dxa"/>
            <w:vAlign w:val="bottom"/>
            <w:gridSpan w:val="3"/>
            <w:vMerge w:val="continue"/>
          </w:tcPr>
          <w:p>
            <w:pPr>
              <w:spacing w:after="0"/>
              <w:rPr>
                <w:sz w:val="14"/>
                <w:szCs w:val="14"/>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Guarantor</w:t>
            </w:r>
          </w:p>
        </w:tc>
        <w:tc>
          <w:tcPr>
            <w:tcW w:w="8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02"/>
        </w:trPr>
        <w:tc>
          <w:tcPr>
            <w:tcW w:w="33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Net cash provided by (used in) operating</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activities</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tcBorders>
              <w:right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132,910</w:t>
            </w:r>
          </w:p>
        </w:tc>
        <w:tc>
          <w:tcPr>
            <w:tcW w:w="24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9"/>
              </w:rPr>
              <w:t>(94,109)</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56,336</w:t>
            </w:r>
          </w:p>
        </w:tc>
        <w:tc>
          <w:tcPr>
            <w:tcW w:w="14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$ 130,139</w:t>
            </w:r>
          </w:p>
        </w:tc>
        <w:tc>
          <w:tcPr>
            <w:tcW w:w="1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225,276</w:t>
            </w:r>
          </w:p>
        </w:tc>
        <w:tc>
          <w:tcPr>
            <w:tcW w:w="0" w:type="dxa"/>
            <w:vAlign w:val="bottom"/>
          </w:tcPr>
          <w:p>
            <w:pPr>
              <w:spacing w:after="0"/>
              <w:rPr>
                <w:sz w:val="1"/>
                <w:szCs w:val="1"/>
                <w:color w:val="auto"/>
              </w:rPr>
            </w:pPr>
          </w:p>
        </w:tc>
      </w:tr>
      <w:tr>
        <w:trPr>
          <w:trHeight w:val="210"/>
        </w:trPr>
        <w:tc>
          <w:tcPr>
            <w:tcW w:w="3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Purchases of property and equipment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tcBorders>
              <w:right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2"/>
              </w:rPr>
              <w:t>(56,180)</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(76,624)</w:t>
            </w: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(132,804)</w:t>
            </w:r>
          </w:p>
        </w:tc>
        <w:tc>
          <w:tcPr>
            <w:tcW w:w="0" w:type="dxa"/>
            <w:vAlign w:val="bottom"/>
          </w:tcPr>
          <w:p>
            <w:pPr>
              <w:spacing w:after="0"/>
              <w:rPr>
                <w:sz w:val="1"/>
                <w:szCs w:val="1"/>
                <w:color w:val="auto"/>
              </w:rPr>
            </w:pPr>
          </w:p>
        </w:tc>
      </w:tr>
      <w:tr>
        <w:trPr>
          <w:trHeight w:val="216"/>
        </w:trPr>
        <w:tc>
          <w:tcPr>
            <w:tcW w:w="3320" w:type="dxa"/>
            <w:vAlign w:val="bottom"/>
          </w:tcPr>
          <w:p>
            <w:pPr>
              <w:spacing w:after="0"/>
              <w:rPr>
                <w:sz w:val="20"/>
                <w:szCs w:val="20"/>
                <w:color w:val="auto"/>
              </w:rPr>
            </w:pPr>
            <w:r>
              <w:rPr>
                <w:rFonts w:ascii="Arial" w:cs="Arial" w:eastAsia="Arial" w:hAnsi="Arial"/>
                <w:sz w:val="18"/>
                <w:szCs w:val="18"/>
                <w:color w:val="auto"/>
              </w:rPr>
              <w:t>Investment in other joint ventures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(2,199)</w:t>
            </w:r>
          </w:p>
        </w:tc>
        <w:tc>
          <w:tcPr>
            <w:tcW w:w="320" w:type="dxa"/>
            <w:vAlign w:val="bottom"/>
          </w:tcPr>
          <w:p>
            <w:pPr>
              <w:spacing w:after="0"/>
              <w:rPr>
                <w:sz w:val="18"/>
                <w:szCs w:val="18"/>
                <w:color w:val="auto"/>
              </w:rPr>
            </w:pPr>
          </w:p>
        </w:tc>
        <w:tc>
          <w:tcPr>
            <w:tcW w:w="480" w:type="dxa"/>
            <w:vAlign w:val="bottom"/>
          </w:tcPr>
          <w:p>
            <w:pPr>
              <w:ind w:lef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(2,199)</w:t>
            </w:r>
          </w:p>
        </w:tc>
        <w:tc>
          <w:tcPr>
            <w:tcW w:w="0" w:type="dxa"/>
            <w:vAlign w:val="bottom"/>
          </w:tcPr>
          <w:p>
            <w:pPr>
              <w:spacing w:after="0"/>
              <w:rPr>
                <w:sz w:val="1"/>
                <w:szCs w:val="1"/>
                <w:color w:val="auto"/>
              </w:rPr>
            </w:pPr>
          </w:p>
        </w:tc>
      </w:tr>
      <w:tr>
        <w:trPr>
          <w:trHeight w:val="202"/>
        </w:trPr>
        <w:tc>
          <w:tcPr>
            <w:tcW w:w="33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6"/>
              </w:rPr>
              <w:t>Purchase of remaining interest in Opry City</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Stage</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tcBorders>
              <w:right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(3,948)</w:t>
            </w:r>
          </w:p>
        </w:tc>
        <w:tc>
          <w:tcPr>
            <w:tcW w:w="320" w:type="dxa"/>
            <w:vAlign w:val="bottom"/>
            <w:shd w:val="clear" w:color="auto" w:fill="CCEEFF"/>
          </w:tcPr>
          <w:p>
            <w:pPr>
              <w:spacing w:after="0"/>
              <w:rPr>
                <w:sz w:val="20"/>
                <w:szCs w:val="20"/>
                <w:color w:val="auto"/>
              </w:rPr>
            </w:pPr>
          </w:p>
        </w:tc>
        <w:tc>
          <w:tcPr>
            <w:tcW w:w="4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(3,948)</w:t>
            </w:r>
          </w:p>
        </w:tc>
        <w:tc>
          <w:tcPr>
            <w:tcW w:w="0" w:type="dxa"/>
            <w:vAlign w:val="bottom"/>
          </w:tcPr>
          <w:p>
            <w:pPr>
              <w:spacing w:after="0"/>
              <w:rPr>
                <w:sz w:val="1"/>
                <w:szCs w:val="1"/>
                <w:color w:val="auto"/>
              </w:rPr>
            </w:pPr>
          </w:p>
        </w:tc>
      </w:tr>
      <w:tr>
        <w:trPr>
          <w:trHeight w:val="216"/>
        </w:trPr>
        <w:tc>
          <w:tcPr>
            <w:tcW w:w="3320" w:type="dxa"/>
            <w:vAlign w:val="bottom"/>
          </w:tcPr>
          <w:p>
            <w:pPr>
              <w:spacing w:after="0"/>
              <w:rPr>
                <w:sz w:val="20"/>
                <w:szCs w:val="20"/>
                <w:color w:val="auto"/>
              </w:rPr>
            </w:pPr>
            <w:r>
              <w:rPr>
                <w:rFonts w:ascii="Arial" w:cs="Arial" w:eastAsia="Arial" w:hAnsi="Arial"/>
                <w:sz w:val="18"/>
                <w:szCs w:val="18"/>
                <w:color w:val="auto"/>
              </w:rPr>
              <w:t>Other investing activities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(3,591)</w:t>
            </w:r>
          </w:p>
        </w:tc>
        <w:tc>
          <w:tcPr>
            <w:tcW w:w="320" w:type="dxa"/>
            <w:vAlign w:val="bottom"/>
          </w:tcPr>
          <w:p>
            <w:pPr>
              <w:spacing w:after="0"/>
              <w:rPr>
                <w:sz w:val="18"/>
                <w:szCs w:val="18"/>
                <w:color w:val="auto"/>
              </w:rPr>
            </w:pPr>
          </w:p>
        </w:tc>
        <w:tc>
          <w:tcPr>
            <w:tcW w:w="480" w:type="dxa"/>
            <w:vAlign w:val="bottom"/>
          </w:tcPr>
          <w:p>
            <w:pPr>
              <w:ind w:lef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(3,591)</w:t>
            </w:r>
          </w:p>
        </w:tc>
        <w:tc>
          <w:tcPr>
            <w:tcW w:w="0" w:type="dxa"/>
            <w:vAlign w:val="bottom"/>
          </w:tcPr>
          <w:p>
            <w:pPr>
              <w:spacing w:after="0"/>
              <w:rPr>
                <w:sz w:val="1"/>
                <w:szCs w:val="1"/>
                <w:color w:val="auto"/>
              </w:rPr>
            </w:pPr>
          </w:p>
        </w:tc>
      </w:tr>
      <w:tr>
        <w:trPr>
          <w:trHeight w:val="210"/>
        </w:trPr>
        <w:tc>
          <w:tcPr>
            <w:tcW w:w="3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right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(56,180)</w:t>
            </w:r>
          </w:p>
        </w:tc>
        <w:tc>
          <w:tcPr>
            <w:tcW w:w="1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(86,362)</w:t>
            </w:r>
          </w:p>
        </w:tc>
        <w:tc>
          <w:tcPr>
            <w:tcW w:w="1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(142,542)</w:t>
            </w:r>
          </w:p>
        </w:tc>
        <w:tc>
          <w:tcPr>
            <w:tcW w:w="0" w:type="dxa"/>
            <w:vAlign w:val="bottom"/>
          </w:tcPr>
          <w:p>
            <w:pPr>
              <w:spacing w:after="0"/>
              <w:rPr>
                <w:sz w:val="1"/>
                <w:szCs w:val="1"/>
                <w:color w:val="auto"/>
              </w:rPr>
            </w:pPr>
          </w:p>
        </w:tc>
      </w:tr>
      <w:tr>
        <w:trPr>
          <w:trHeight w:val="210"/>
        </w:trPr>
        <w:tc>
          <w:tcPr>
            <w:tcW w:w="3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3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Net borrowings under revolving credit</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facility</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tcBorders>
              <w:right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99,000</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0"/>
                <w:szCs w:val="20"/>
                <w:color w:val="auto"/>
              </w:rPr>
            </w:pPr>
          </w:p>
        </w:tc>
        <w:tc>
          <w:tcPr>
            <w:tcW w:w="4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99,000</w:t>
            </w:r>
          </w:p>
        </w:tc>
        <w:tc>
          <w:tcPr>
            <w:tcW w:w="0" w:type="dxa"/>
            <w:vAlign w:val="bottom"/>
          </w:tcPr>
          <w:p>
            <w:pPr>
              <w:spacing w:after="0"/>
              <w:rPr>
                <w:sz w:val="1"/>
                <w:szCs w:val="1"/>
                <w:color w:val="auto"/>
              </w:rPr>
            </w:pPr>
          </w:p>
        </w:tc>
      </w:tr>
      <w:tr>
        <w:trPr>
          <w:trHeight w:val="216"/>
        </w:trPr>
        <w:tc>
          <w:tcPr>
            <w:tcW w:w="3320" w:type="dxa"/>
            <w:vAlign w:val="bottom"/>
          </w:tcPr>
          <w:p>
            <w:pPr>
              <w:spacing w:after="0"/>
              <w:rPr>
                <w:sz w:val="20"/>
                <w:szCs w:val="20"/>
                <w:color w:val="auto"/>
              </w:rPr>
            </w:pPr>
            <w:r>
              <w:rPr>
                <w:rFonts w:ascii="Arial" w:cs="Arial" w:eastAsia="Arial" w:hAnsi="Arial"/>
                <w:sz w:val="18"/>
                <w:szCs w:val="18"/>
                <w:color w:val="auto"/>
              </w:rPr>
              <w:t>Repayments under term loan B</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(2,500)</w:t>
            </w:r>
          </w:p>
        </w:tc>
        <w:tc>
          <w:tcPr>
            <w:tcW w:w="12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480" w:type="dxa"/>
            <w:vAlign w:val="bottom"/>
          </w:tcPr>
          <w:p>
            <w:pPr>
              <w:ind w:lef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(2,500)</w:t>
            </w:r>
          </w:p>
        </w:tc>
        <w:tc>
          <w:tcPr>
            <w:tcW w:w="0" w:type="dxa"/>
            <w:vAlign w:val="bottom"/>
          </w:tcPr>
          <w:p>
            <w:pPr>
              <w:spacing w:after="0"/>
              <w:rPr>
                <w:sz w:val="1"/>
                <w:szCs w:val="1"/>
                <w:color w:val="auto"/>
              </w:rPr>
            </w:pPr>
          </w:p>
        </w:tc>
      </w:tr>
      <w:tr>
        <w:trPr>
          <w:trHeight w:val="216"/>
        </w:trPr>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Deferred financing costs paid</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tcBorders>
              <w:right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(642)</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(642)</w:t>
            </w:r>
          </w:p>
        </w:tc>
        <w:tc>
          <w:tcPr>
            <w:tcW w:w="0" w:type="dxa"/>
            <w:vAlign w:val="bottom"/>
          </w:tcPr>
          <w:p>
            <w:pPr>
              <w:spacing w:after="0"/>
              <w:rPr>
                <w:sz w:val="1"/>
                <w:szCs w:val="1"/>
                <w:color w:val="auto"/>
              </w:rPr>
            </w:pPr>
          </w:p>
        </w:tc>
      </w:tr>
      <w:tr>
        <w:trPr>
          <w:trHeight w:val="216"/>
        </w:trPr>
        <w:tc>
          <w:tcPr>
            <w:tcW w:w="3320" w:type="dxa"/>
            <w:vAlign w:val="bottom"/>
          </w:tcPr>
          <w:p>
            <w:pPr>
              <w:spacing w:after="0"/>
              <w:rPr>
                <w:sz w:val="20"/>
                <w:szCs w:val="20"/>
                <w:color w:val="auto"/>
              </w:rPr>
            </w:pPr>
            <w:r>
              <w:rPr>
                <w:rFonts w:ascii="Arial" w:cs="Arial" w:eastAsia="Arial" w:hAnsi="Arial"/>
                <w:sz w:val="18"/>
                <w:szCs w:val="18"/>
                <w:color w:val="auto"/>
              </w:rPr>
              <w:t>Payment of dividends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(128,769)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480" w:type="dxa"/>
            <w:vAlign w:val="bottom"/>
          </w:tcPr>
          <w:p>
            <w:pPr>
              <w:ind w:lef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93"/>
              </w:rPr>
              <w:t>(128,769)</w:t>
            </w:r>
          </w:p>
        </w:tc>
        <w:tc>
          <w:tcPr>
            <w:tcW w:w="0" w:type="dxa"/>
            <w:vAlign w:val="bottom"/>
          </w:tcPr>
          <w:p>
            <w:pPr>
              <w:spacing w:after="0"/>
              <w:rPr>
                <w:sz w:val="1"/>
                <w:szCs w:val="1"/>
                <w:color w:val="auto"/>
              </w:rPr>
            </w:pPr>
          </w:p>
        </w:tc>
      </w:tr>
      <w:tr>
        <w:trPr>
          <w:trHeight w:val="202"/>
        </w:trPr>
        <w:tc>
          <w:tcPr>
            <w:tcW w:w="33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2"/>
              </w:rPr>
              <w:t>Payment of tax withholdings for share-based</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compensation</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(4,121)</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0"/>
                <w:szCs w:val="20"/>
                <w:color w:val="auto"/>
              </w:rPr>
            </w:pPr>
          </w:p>
        </w:tc>
        <w:tc>
          <w:tcPr>
            <w:tcW w:w="4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(4,121)</w:t>
            </w:r>
          </w:p>
        </w:tc>
        <w:tc>
          <w:tcPr>
            <w:tcW w:w="0" w:type="dxa"/>
            <w:vAlign w:val="bottom"/>
          </w:tcPr>
          <w:p>
            <w:pPr>
              <w:spacing w:after="0"/>
              <w:rPr>
                <w:sz w:val="1"/>
                <w:szCs w:val="1"/>
                <w:color w:val="auto"/>
              </w:rPr>
            </w:pPr>
          </w:p>
        </w:tc>
      </w:tr>
      <w:tr>
        <w:trPr>
          <w:trHeight w:val="216"/>
        </w:trPr>
        <w:tc>
          <w:tcPr>
            <w:tcW w:w="3320" w:type="dxa"/>
            <w:vAlign w:val="bottom"/>
          </w:tcPr>
          <w:p>
            <w:pPr>
              <w:spacing w:after="0"/>
              <w:rPr>
                <w:sz w:val="20"/>
                <w:szCs w:val="20"/>
                <w:color w:val="auto"/>
              </w:rPr>
            </w:pPr>
            <w:r>
              <w:rPr>
                <w:rFonts w:ascii="Arial" w:cs="Arial" w:eastAsia="Arial" w:hAnsi="Arial"/>
                <w:sz w:val="18"/>
                <w:szCs w:val="18"/>
                <w:color w:val="auto"/>
              </w:rPr>
              <w:t>Other financing activities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(15)</w:t>
            </w:r>
          </w:p>
        </w:tc>
        <w:tc>
          <w:tcPr>
            <w:tcW w:w="320" w:type="dxa"/>
            <w:vAlign w:val="bottom"/>
          </w:tcPr>
          <w:p>
            <w:pPr>
              <w:spacing w:after="0"/>
              <w:rPr>
                <w:sz w:val="18"/>
                <w:szCs w:val="18"/>
                <w:color w:val="auto"/>
              </w:rPr>
            </w:pPr>
          </w:p>
        </w:tc>
        <w:tc>
          <w:tcPr>
            <w:tcW w:w="480" w:type="dxa"/>
            <w:vAlign w:val="bottom"/>
          </w:tcPr>
          <w:p>
            <w:pPr>
              <w:ind w:lef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182"/>
        </w:trPr>
        <w:tc>
          <w:tcPr>
            <w:tcW w:w="332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Net cash provided by (used in) financing</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right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activities</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(132,890)</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95,858</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w:t>
            </w:r>
          </w:p>
        </w:tc>
        <w:tc>
          <w:tcPr>
            <w:tcW w:w="320" w:type="dxa"/>
            <w:vAlign w:val="bottom"/>
            <w:shd w:val="clear" w:color="auto" w:fill="CCEEFF"/>
          </w:tcPr>
          <w:p>
            <w:pPr>
              <w:spacing w:after="0"/>
              <w:rPr>
                <w:sz w:val="20"/>
                <w:szCs w:val="20"/>
                <w:color w:val="auto"/>
              </w:rPr>
            </w:pPr>
          </w:p>
        </w:tc>
        <w:tc>
          <w:tcPr>
            <w:tcW w:w="4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(37,047)</w:t>
            </w:r>
          </w:p>
        </w:tc>
        <w:tc>
          <w:tcPr>
            <w:tcW w:w="0" w:type="dxa"/>
            <w:vAlign w:val="bottom"/>
          </w:tcPr>
          <w:p>
            <w:pPr>
              <w:spacing w:after="0"/>
              <w:rPr>
                <w:sz w:val="1"/>
                <w:szCs w:val="1"/>
                <w:color w:val="auto"/>
              </w:rPr>
            </w:pPr>
          </w:p>
        </w:tc>
      </w:tr>
      <w:tr>
        <w:trPr>
          <w:trHeight w:val="210"/>
        </w:trPr>
        <w:tc>
          <w:tcPr>
            <w:tcW w:w="3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3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Net change in cash, cash equivalents, and</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restricted cash</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tcBorders>
              <w:right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1,749</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14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43,762</w:t>
            </w:r>
          </w:p>
        </w:tc>
        <w:tc>
          <w:tcPr>
            <w:tcW w:w="1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4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45,687</w:t>
            </w:r>
          </w:p>
        </w:tc>
        <w:tc>
          <w:tcPr>
            <w:tcW w:w="0" w:type="dxa"/>
            <w:vAlign w:val="bottom"/>
          </w:tcPr>
          <w:p>
            <w:pPr>
              <w:spacing w:after="0"/>
              <w:rPr>
                <w:sz w:val="1"/>
                <w:szCs w:val="1"/>
                <w:color w:val="auto"/>
              </w:rPr>
            </w:pPr>
          </w:p>
        </w:tc>
      </w:tr>
      <w:tr>
        <w:trPr>
          <w:trHeight w:val="202"/>
        </w:trPr>
        <w:tc>
          <w:tcPr>
            <w:tcW w:w="3320" w:type="dxa"/>
            <w:vAlign w:val="bottom"/>
          </w:tcPr>
          <w:p>
            <w:pPr>
              <w:spacing w:after="0" w:line="201" w:lineRule="exact"/>
              <w:rPr>
                <w:sz w:val="20"/>
                <w:szCs w:val="20"/>
                <w:color w:val="auto"/>
              </w:rPr>
            </w:pPr>
            <w:r>
              <w:rPr>
                <w:rFonts w:ascii="Arial" w:cs="Arial" w:eastAsia="Arial" w:hAnsi="Arial"/>
                <w:sz w:val="18"/>
                <w:szCs w:val="18"/>
                <w:color w:val="auto"/>
                <w:w w:val="93"/>
              </w:rPr>
              <w:t>Cash, cash equivalents, and restricted cash,</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3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beginning of period</w:t>
            </w:r>
          </w:p>
        </w:tc>
        <w:tc>
          <w:tcPr>
            <w:tcW w:w="10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759</w:t>
            </w:r>
          </w:p>
        </w:tc>
        <w:tc>
          <w:tcPr>
            <w:tcW w:w="16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140" w:type="dxa"/>
            <w:vAlign w:val="bottom"/>
            <w:tcBorders>
              <w:bottom w:val="single" w:sz="8" w:color="CCEEFF"/>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77,877</w:t>
            </w:r>
          </w:p>
        </w:tc>
        <w:tc>
          <w:tcPr>
            <w:tcW w:w="16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78,710</w:t>
            </w:r>
          </w:p>
        </w:tc>
        <w:tc>
          <w:tcPr>
            <w:tcW w:w="0" w:type="dxa"/>
            <w:vAlign w:val="bottom"/>
          </w:tcPr>
          <w:p>
            <w:pPr>
              <w:spacing w:after="0"/>
              <w:rPr>
                <w:sz w:val="1"/>
                <w:szCs w:val="1"/>
                <w:color w:val="auto"/>
              </w:rPr>
            </w:pPr>
          </w:p>
        </w:tc>
      </w:tr>
      <w:tr>
        <w:trPr>
          <w:trHeight w:val="182"/>
        </w:trPr>
        <w:tc>
          <w:tcPr>
            <w:tcW w:w="332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w w:val="93"/>
              </w:rPr>
              <w:t>Cash, cash equivalents, and restricted cash,</w:t>
            </w:r>
          </w:p>
        </w:tc>
        <w:tc>
          <w:tcPr>
            <w:tcW w:w="20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tcBorders>
              <w:right w:val="single" w:sz="8" w:color="CCEEFF"/>
            </w:tcBorders>
            <w:vMerge w:val="restart"/>
            <w:shd w:val="clear" w:color="auto" w:fill="CCEEFF"/>
          </w:tcPr>
          <w:p>
            <w:pPr>
              <w:jc w:val="right"/>
              <w:ind w:right="32"/>
              <w:spacing w:after="0"/>
              <w:rPr>
                <w:sz w:val="20"/>
                <w:szCs w:val="20"/>
                <w:color w:val="auto"/>
              </w:rPr>
            </w:pPr>
            <w:r>
              <w:rPr>
                <w:rFonts w:ascii="Arial" w:cs="Arial" w:eastAsia="Arial" w:hAnsi="Arial"/>
                <w:sz w:val="18"/>
                <w:szCs w:val="18"/>
                <w:color w:val="auto"/>
              </w:rPr>
              <w:t>58</w:t>
            </w:r>
          </w:p>
        </w:tc>
        <w:tc>
          <w:tcPr>
            <w:tcW w:w="240" w:type="dxa"/>
            <w:vAlign w:val="bottom"/>
            <w:gridSpan w:val="2"/>
            <w:vMerge w:val="restart"/>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2,508</w:t>
            </w:r>
          </w:p>
        </w:tc>
        <w:tc>
          <w:tcPr>
            <w:tcW w:w="160" w:type="dxa"/>
            <w:vAlign w:val="bottom"/>
            <w:shd w:val="clear" w:color="auto" w:fill="CCEEFF"/>
          </w:tcPr>
          <w:p>
            <w:pPr>
              <w:spacing w:after="0"/>
              <w:rPr>
                <w:sz w:val="15"/>
                <w:szCs w:val="15"/>
                <w:color w:val="auto"/>
              </w:rPr>
            </w:pPr>
          </w:p>
        </w:tc>
        <w:tc>
          <w:tcPr>
            <w:tcW w:w="120" w:type="dxa"/>
            <w:vAlign w:val="bottom"/>
            <w:vMerge w:val="restart"/>
            <w:shd w:val="clear" w:color="auto" w:fill="CCEEFF"/>
          </w:tcPr>
          <w:p>
            <w:pPr>
              <w:spacing w:after="0"/>
              <w:rPr>
                <w:sz w:val="20"/>
                <w:szCs w:val="20"/>
                <w:color w:val="auto"/>
              </w:rPr>
            </w:pPr>
            <w:r>
              <w:rPr>
                <w:rFonts w:ascii="Arial" w:cs="Arial" w:eastAsia="Arial" w:hAnsi="Arial"/>
                <w:sz w:val="18"/>
                <w:szCs w:val="18"/>
                <w:color w:val="auto"/>
                <w:w w:val="99"/>
              </w:rPr>
              <w:t>$</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14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2"/>
              </w:rPr>
              <w:t>$ 121,639</w:t>
            </w:r>
          </w:p>
        </w:tc>
        <w:tc>
          <w:tcPr>
            <w:tcW w:w="160" w:type="dxa"/>
            <w:vAlign w:val="bottom"/>
            <w:shd w:val="clear" w:color="auto" w:fill="CCEEFF"/>
          </w:tcPr>
          <w:p>
            <w:pPr>
              <w:spacing w:after="0"/>
              <w:rPr>
                <w:sz w:val="15"/>
                <w:szCs w:val="15"/>
                <w:color w:val="auto"/>
              </w:rPr>
            </w:pPr>
          </w:p>
        </w:tc>
        <w:tc>
          <w:tcPr>
            <w:tcW w:w="32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vMerge w:val="restart"/>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26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124,397</w:t>
            </w:r>
          </w:p>
        </w:tc>
        <w:tc>
          <w:tcPr>
            <w:tcW w:w="0" w:type="dxa"/>
            <w:vAlign w:val="bottom"/>
          </w:tcPr>
          <w:p>
            <w:pPr>
              <w:spacing w:after="0"/>
              <w:rPr>
                <w:sz w:val="1"/>
                <w:szCs w:val="1"/>
                <w:color w:val="auto"/>
              </w:rPr>
            </w:pPr>
          </w:p>
        </w:tc>
      </w:tr>
      <w:tr>
        <w:trPr>
          <w:trHeight w:val="217"/>
        </w:trPr>
        <w:tc>
          <w:tcPr>
            <w:tcW w:w="3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end of period</w:t>
            </w:r>
          </w:p>
        </w:tc>
        <w:tc>
          <w:tcPr>
            <w:tcW w:w="200" w:type="dxa"/>
            <w:vAlign w:val="bottom"/>
            <w:gridSpan w:val="2"/>
            <w:vMerge w:val="continue"/>
            <w:shd w:val="clear" w:color="auto" w:fill="CCEEFF"/>
          </w:tcPr>
          <w:p>
            <w:pPr>
              <w:spacing w:after="0"/>
              <w:rPr>
                <w:sz w:val="18"/>
                <w:szCs w:val="18"/>
                <w:color w:val="auto"/>
              </w:rPr>
            </w:pPr>
          </w:p>
        </w:tc>
        <w:tc>
          <w:tcPr>
            <w:tcW w:w="860" w:type="dxa"/>
            <w:vAlign w:val="bottom"/>
            <w:tcBorders>
              <w:right w:val="single" w:sz="8" w:color="CCEEFF"/>
            </w:tcBorders>
            <w:vMerge w:val="continue"/>
            <w:shd w:val="clear" w:color="auto" w:fill="CCEEFF"/>
          </w:tcPr>
          <w:p>
            <w:pPr>
              <w:spacing w:after="0"/>
              <w:rPr>
                <w:sz w:val="18"/>
                <w:szCs w:val="18"/>
                <w:color w:val="auto"/>
              </w:rPr>
            </w:pPr>
          </w:p>
        </w:tc>
        <w:tc>
          <w:tcPr>
            <w:tcW w:w="240" w:type="dxa"/>
            <w:vAlign w:val="bottom"/>
            <w:gridSpan w:val="2"/>
            <w:vMerge w:val="continue"/>
            <w:shd w:val="clear" w:color="auto" w:fill="CCEEFF"/>
          </w:tcPr>
          <w:p>
            <w:pPr>
              <w:spacing w:after="0"/>
              <w:rPr>
                <w:sz w:val="18"/>
                <w:szCs w:val="18"/>
                <w:color w:val="auto"/>
              </w:rPr>
            </w:pPr>
          </w:p>
        </w:tc>
        <w:tc>
          <w:tcPr>
            <w:tcW w:w="62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64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vMerge w:val="continue"/>
            <w:shd w:val="clear" w:color="auto" w:fill="CCEEFF"/>
          </w:tcPr>
          <w:p>
            <w:pPr>
              <w:spacing w:after="0"/>
              <w:rPr>
                <w:sz w:val="18"/>
                <w:szCs w:val="18"/>
                <w:color w:val="auto"/>
              </w:rPr>
            </w:pPr>
          </w:p>
        </w:tc>
        <w:tc>
          <w:tcPr>
            <w:tcW w:w="480" w:type="dxa"/>
            <w:vAlign w:val="bottom"/>
            <w:vMerge w:val="continue"/>
            <w:shd w:val="clear" w:color="auto" w:fill="CCEEFF"/>
          </w:tcPr>
          <w:p>
            <w:pPr>
              <w:spacing w:after="0"/>
              <w:rPr>
                <w:sz w:val="18"/>
                <w:szCs w:val="18"/>
                <w:color w:val="auto"/>
              </w:rPr>
            </w:pPr>
          </w:p>
        </w:tc>
        <w:tc>
          <w:tcPr>
            <w:tcW w:w="260" w:type="dxa"/>
            <w:vAlign w:val="bottom"/>
            <w:gridSpan w:val="2"/>
            <w:vMerge w:val="continue"/>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tcBorders>
              <w:right w:val="single" w:sz="8" w:color="CCEEFF"/>
            </w:tcBorders>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864"/>
        </w:trPr>
        <w:tc>
          <w:tcPr>
            <w:tcW w:w="3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gridSpan w:val="2"/>
          </w:tcPr>
          <w:p>
            <w:pPr>
              <w:jc w:val="center"/>
              <w:spacing w:after="0"/>
              <w:rPr>
                <w:sz w:val="20"/>
                <w:szCs w:val="20"/>
                <w:color w:val="auto"/>
              </w:rPr>
            </w:pPr>
            <w:r>
              <w:rPr>
                <w:rFonts w:ascii="Arial" w:cs="Arial" w:eastAsia="Arial" w:hAnsi="Arial"/>
                <w:sz w:val="18"/>
                <w:szCs w:val="18"/>
                <w:color w:val="auto"/>
                <w:w w:val="89"/>
              </w:rPr>
              <w:t>22</w:t>
            </w: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33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125" w:right="1419" w:bottom="1440" w:gutter="0" w:footer="0" w:header="0"/>
        </w:sectPr>
      </w:pPr>
    </w:p>
    <w:bookmarkStart w:id="22" w:name="page23"/>
    <w:bookmarkEnd w:id="2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left="1440" w:right="1820"/>
        <w:spacing w:after="0" w:line="266" w:lineRule="auto"/>
        <w:rPr>
          <w:sz w:val="20"/>
          <w:szCs w:val="20"/>
          <w:color w:val="auto"/>
        </w:rPr>
      </w:pPr>
      <w:r>
        <w:rPr>
          <w:rFonts w:ascii="Arial" w:cs="Arial" w:eastAsia="Arial" w:hAnsi="Arial"/>
          <w:sz w:val="18"/>
          <w:szCs w:val="18"/>
          <w:b w:val="1"/>
          <w:bCs w:val="1"/>
          <w:color w:val="auto"/>
        </w:rPr>
        <w:t>RYMAN HOSPITALITY PROPERTIES, INC. AND SUBSIDIARIES CONDENSED CONSOLIDATING STATEMENT OF CASH FLOWS For the Nine Months Ended September 30, 2017</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Parent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Issuer</w:t>
            </w:r>
          </w:p>
        </w:tc>
        <w:tc>
          <w:tcPr>
            <w:tcW w:w="9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Guarantors</w:t>
            </w:r>
          </w:p>
        </w:tc>
        <w:tc>
          <w:tcPr>
            <w:tcW w:w="140" w:type="dxa"/>
            <w:vAlign w:val="bottom"/>
          </w:tcPr>
          <w:p>
            <w:pPr>
              <w:spacing w:after="0"/>
              <w:rPr>
                <w:sz w:val="14"/>
                <w:szCs w:val="14"/>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Non-</w:t>
            </w:r>
          </w:p>
        </w:tc>
        <w:tc>
          <w:tcPr>
            <w:tcW w:w="80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3"/>
              </w:rPr>
              <w:t>Eliminations</w:t>
            </w:r>
          </w:p>
        </w:tc>
        <w:tc>
          <w:tcPr>
            <w:tcW w:w="160" w:type="dxa"/>
            <w:vAlign w:val="bottom"/>
          </w:tcPr>
          <w:p>
            <w:pPr>
              <w:spacing w:after="0"/>
              <w:rPr>
                <w:sz w:val="14"/>
                <w:szCs w:val="14"/>
                <w:color w:val="auto"/>
              </w:rPr>
            </w:pPr>
          </w:p>
        </w:tc>
        <w:tc>
          <w:tcPr>
            <w:tcW w:w="8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171"/>
        </w:trPr>
        <w:tc>
          <w:tcPr>
            <w:tcW w:w="3280" w:type="dxa"/>
            <w:vAlign w:val="bottom"/>
          </w:tcPr>
          <w:p>
            <w:pPr>
              <w:spacing w:after="0"/>
              <w:rPr>
                <w:sz w:val="20"/>
                <w:szCs w:val="20"/>
                <w:color w:val="auto"/>
              </w:rPr>
            </w:pPr>
            <w:r>
              <w:rPr>
                <w:rFonts w:ascii="Arial" w:cs="Arial" w:eastAsia="Arial" w:hAnsi="Arial"/>
                <w:sz w:val="14"/>
                <w:szCs w:val="14"/>
                <w:color w:val="auto"/>
              </w:rPr>
              <w:t>(in thousands)</w:t>
            </w:r>
          </w:p>
        </w:tc>
        <w:tc>
          <w:tcPr>
            <w:tcW w:w="100" w:type="dxa"/>
            <w:vAlign w:val="bottom"/>
          </w:tcPr>
          <w:p>
            <w:pPr>
              <w:spacing w:after="0"/>
              <w:rPr>
                <w:sz w:val="14"/>
                <w:szCs w:val="14"/>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94"/>
              </w:rPr>
              <w:t>Guarantor</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960" w:type="dxa"/>
            <w:vAlign w:val="bottom"/>
            <w:gridSpan w:val="3"/>
            <w:vMerge w:val="continue"/>
          </w:tcPr>
          <w:p>
            <w:pPr>
              <w:spacing w:after="0"/>
              <w:rPr>
                <w:sz w:val="14"/>
                <w:szCs w:val="14"/>
                <w:color w:val="auto"/>
              </w:rPr>
            </w:pPr>
          </w:p>
        </w:tc>
        <w:tc>
          <w:tcPr>
            <w:tcW w:w="94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Guarantor</w:t>
            </w:r>
          </w:p>
        </w:tc>
        <w:tc>
          <w:tcPr>
            <w:tcW w:w="8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2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02"/>
        </w:trPr>
        <w:tc>
          <w:tcPr>
            <w:tcW w:w="32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Net cash provided by (used in) operating</w:t>
            </w: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activities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124,589</w:t>
            </w:r>
          </w:p>
        </w:tc>
        <w:tc>
          <w:tcPr>
            <w:tcW w:w="80" w:type="dxa"/>
            <w:vAlign w:val="bottom"/>
            <w:shd w:val="clear" w:color="auto" w:fill="CCEEFF"/>
          </w:tcPr>
          <w:p>
            <w:pPr>
              <w:spacing w:after="0"/>
              <w:rPr>
                <w:sz w:val="20"/>
                <w:szCs w:val="20"/>
                <w:color w:val="auto"/>
              </w:rPr>
            </w:pP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(60,255)</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64,269</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87,167</w:t>
            </w:r>
          </w:p>
        </w:tc>
        <w:tc>
          <w:tcPr>
            <w:tcW w:w="1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215,770</w:t>
            </w:r>
          </w:p>
        </w:tc>
        <w:tc>
          <w:tcPr>
            <w:tcW w:w="0" w:type="dxa"/>
            <w:vAlign w:val="bottom"/>
          </w:tcPr>
          <w:p>
            <w:pPr>
              <w:spacing w:after="0"/>
              <w:rPr>
                <w:sz w:val="1"/>
                <w:szCs w:val="1"/>
                <w:color w:val="auto"/>
              </w:rPr>
            </w:pPr>
          </w:p>
        </w:tc>
      </w:tr>
      <w:tr>
        <w:trPr>
          <w:trHeight w:val="210"/>
        </w:trPr>
        <w:tc>
          <w:tcPr>
            <w:tcW w:w="32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Purchases of property and equipment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8"/>
              </w:rPr>
              <w:t>(63,770)</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2"/>
              </w:rPr>
              <w:t>(63,378)</w:t>
            </w: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(127,148)</w:t>
            </w:r>
          </w:p>
        </w:tc>
        <w:tc>
          <w:tcPr>
            <w:tcW w:w="0" w:type="dxa"/>
            <w:vAlign w:val="bottom"/>
          </w:tcPr>
          <w:p>
            <w:pPr>
              <w:spacing w:after="0"/>
              <w:rPr>
                <w:sz w:val="1"/>
                <w:szCs w:val="1"/>
                <w:color w:val="auto"/>
              </w:rPr>
            </w:pPr>
          </w:p>
        </w:tc>
      </w:tr>
      <w:tr>
        <w:trPr>
          <w:trHeight w:val="202"/>
        </w:trPr>
        <w:tc>
          <w:tcPr>
            <w:tcW w:w="3280" w:type="dxa"/>
            <w:vAlign w:val="bottom"/>
          </w:tcPr>
          <w:p>
            <w:pPr>
              <w:spacing w:after="0" w:line="201" w:lineRule="exact"/>
              <w:rPr>
                <w:sz w:val="20"/>
                <w:szCs w:val="20"/>
                <w:color w:val="auto"/>
              </w:rPr>
            </w:pPr>
            <w:r>
              <w:rPr>
                <w:rFonts w:ascii="Arial" w:cs="Arial" w:eastAsia="Arial" w:hAnsi="Arial"/>
                <w:sz w:val="18"/>
                <w:szCs w:val="18"/>
                <w:color w:val="auto"/>
              </w:rPr>
              <w:t>Investment in Gaylord Rockies joint</w:t>
            </w: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80" w:type="dxa"/>
            <w:vAlign w:val="bottom"/>
          </w:tcPr>
          <w:p>
            <w:pPr>
              <w:ind w:left="140"/>
              <w:spacing w:after="0"/>
              <w:rPr>
                <w:sz w:val="20"/>
                <w:szCs w:val="20"/>
                <w:color w:val="auto"/>
              </w:rPr>
            </w:pPr>
            <w:r>
              <w:rPr>
                <w:rFonts w:ascii="Arial" w:cs="Arial" w:eastAsia="Arial" w:hAnsi="Arial"/>
                <w:sz w:val="18"/>
                <w:szCs w:val="18"/>
                <w:color w:val="auto"/>
              </w:rPr>
              <w:t>venture</w:t>
            </w:r>
          </w:p>
        </w:tc>
        <w:tc>
          <w:tcPr>
            <w:tcW w:w="100" w:type="dxa"/>
            <w:vAlign w:val="bottom"/>
          </w:tcPr>
          <w:p>
            <w:pPr>
              <w:spacing w:after="0"/>
              <w:rPr>
                <w:sz w:val="20"/>
                <w:szCs w:val="20"/>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w w:val="92"/>
              </w:rPr>
              <w:t>(16,309)</w:t>
            </w:r>
          </w:p>
        </w:tc>
        <w:tc>
          <w:tcPr>
            <w:tcW w:w="320" w:type="dxa"/>
            <w:vAlign w:val="bottom"/>
          </w:tcPr>
          <w:p>
            <w:pPr>
              <w:spacing w:after="0"/>
              <w:rPr>
                <w:sz w:val="20"/>
                <w:szCs w:val="20"/>
                <w:color w:val="auto"/>
              </w:rPr>
            </w:pPr>
          </w:p>
        </w:tc>
        <w:tc>
          <w:tcPr>
            <w:tcW w:w="480" w:type="dxa"/>
            <w:vAlign w:val="bottom"/>
          </w:tcPr>
          <w:p>
            <w:pPr>
              <w:ind w:lef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(16,309)</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Investment in other joint ventures</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(6,819)</w:t>
            </w: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(6,819)</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Other investing activities</w:t>
            </w: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(4,139)</w:t>
            </w:r>
          </w:p>
        </w:tc>
        <w:tc>
          <w:tcPr>
            <w:tcW w:w="320" w:type="dxa"/>
            <w:vAlign w:val="bottom"/>
          </w:tcPr>
          <w:p>
            <w:pPr>
              <w:spacing w:after="0"/>
              <w:rPr>
                <w:sz w:val="18"/>
                <w:szCs w:val="18"/>
                <w:color w:val="auto"/>
              </w:rPr>
            </w:pPr>
          </w:p>
        </w:tc>
        <w:tc>
          <w:tcPr>
            <w:tcW w:w="480" w:type="dxa"/>
            <w:vAlign w:val="bottom"/>
          </w:tcPr>
          <w:p>
            <w:pPr>
              <w:ind w:lef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(4,139)</w:t>
            </w:r>
          </w:p>
        </w:tc>
        <w:tc>
          <w:tcPr>
            <w:tcW w:w="0" w:type="dxa"/>
            <w:vAlign w:val="bottom"/>
          </w:tcPr>
          <w:p>
            <w:pPr>
              <w:spacing w:after="0"/>
              <w:rPr>
                <w:sz w:val="1"/>
                <w:szCs w:val="1"/>
                <w:color w:val="auto"/>
              </w:rPr>
            </w:pPr>
          </w:p>
        </w:tc>
      </w:tr>
      <w:tr>
        <w:trPr>
          <w:trHeight w:val="210"/>
        </w:trPr>
        <w:tc>
          <w:tcPr>
            <w:tcW w:w="3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(63,770)</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(90,645)</w:t>
            </w:r>
          </w:p>
        </w:tc>
        <w:tc>
          <w:tcPr>
            <w:tcW w:w="1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(154,415)</w:t>
            </w:r>
          </w:p>
        </w:tc>
        <w:tc>
          <w:tcPr>
            <w:tcW w:w="0" w:type="dxa"/>
            <w:vAlign w:val="bottom"/>
          </w:tcPr>
          <w:p>
            <w:pPr>
              <w:spacing w:after="0"/>
              <w:rPr>
                <w:sz w:val="1"/>
                <w:szCs w:val="1"/>
                <w:color w:val="auto"/>
              </w:rPr>
            </w:pPr>
          </w:p>
        </w:tc>
      </w:tr>
      <w:tr>
        <w:trPr>
          <w:trHeight w:val="210"/>
        </w:trPr>
        <w:tc>
          <w:tcPr>
            <w:tcW w:w="3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2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Net repayments under revolving credit</w:t>
            </w: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facility</w:t>
            </w:r>
          </w:p>
        </w:tc>
        <w:tc>
          <w:tcPr>
            <w:tcW w:w="1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3"/>
              </w:rPr>
              <w:t>(235,900)</w:t>
            </w:r>
          </w:p>
        </w:tc>
        <w:tc>
          <w:tcPr>
            <w:tcW w:w="14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0"/>
                <w:szCs w:val="20"/>
                <w:color w:val="auto"/>
              </w:rPr>
            </w:pPr>
          </w:p>
        </w:tc>
        <w:tc>
          <w:tcPr>
            <w:tcW w:w="4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(235,900)</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Borrowings under term loan A</w:t>
            </w: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200,000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480" w:type="dxa"/>
            <w:vAlign w:val="bottom"/>
          </w:tcPr>
          <w:p>
            <w:pPr>
              <w:ind w:lef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200,000</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Borrowings under term loan B</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Repayments under term loan B</w:t>
            </w: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w w:val="93"/>
              </w:rPr>
              <w:t>(392,500)</w:t>
            </w:r>
          </w:p>
        </w:tc>
        <w:tc>
          <w:tcPr>
            <w:tcW w:w="14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480" w:type="dxa"/>
            <w:vAlign w:val="bottom"/>
          </w:tcPr>
          <w:p>
            <w:pPr>
              <w:ind w:lef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93"/>
              </w:rPr>
              <w:t>(392,500)</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Deferred financing costs paid</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(12,268)</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(12,268)</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Payment of dividends</w:t>
            </w:r>
          </w:p>
        </w:tc>
        <w:tc>
          <w:tcPr>
            <w:tcW w:w="10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w w:val="95"/>
              </w:rPr>
              <w:t>(120,740)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480" w:type="dxa"/>
            <w:vAlign w:val="bottom"/>
          </w:tcPr>
          <w:p>
            <w:pPr>
              <w:ind w:lef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93"/>
              </w:rPr>
              <w:t>(120,740)</w:t>
            </w:r>
          </w:p>
        </w:tc>
        <w:tc>
          <w:tcPr>
            <w:tcW w:w="0" w:type="dxa"/>
            <w:vAlign w:val="bottom"/>
          </w:tcPr>
          <w:p>
            <w:pPr>
              <w:spacing w:after="0"/>
              <w:rPr>
                <w:sz w:val="1"/>
                <w:szCs w:val="1"/>
                <w:color w:val="auto"/>
              </w:rPr>
            </w:pPr>
          </w:p>
        </w:tc>
      </w:tr>
      <w:tr>
        <w:trPr>
          <w:trHeight w:val="202"/>
        </w:trPr>
        <w:tc>
          <w:tcPr>
            <w:tcW w:w="32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Payment of tax withholdings for share-</w:t>
            </w: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based compensation</w:t>
            </w:r>
          </w:p>
        </w:tc>
        <w:tc>
          <w:tcPr>
            <w:tcW w:w="1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(3,775)</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0"/>
                <w:szCs w:val="20"/>
                <w:color w:val="auto"/>
              </w:rPr>
            </w:pPr>
          </w:p>
        </w:tc>
        <w:tc>
          <w:tcPr>
            <w:tcW w:w="4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(3,775)</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Other financing activities</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28</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(15)</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ind w:lef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182"/>
        </w:trPr>
        <w:tc>
          <w:tcPr>
            <w:tcW w:w="328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Net cash provided by (used in) financing</w:t>
            </w:r>
          </w:p>
        </w:tc>
        <w:tc>
          <w:tcPr>
            <w:tcW w:w="10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activities</w:t>
            </w:r>
          </w:p>
        </w:tc>
        <w:tc>
          <w:tcPr>
            <w:tcW w:w="1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5"/>
              </w:rPr>
              <w:t>(124,487)</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59,332</w:t>
            </w: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4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(65,170)</w:t>
            </w:r>
          </w:p>
        </w:tc>
        <w:tc>
          <w:tcPr>
            <w:tcW w:w="0" w:type="dxa"/>
            <w:vAlign w:val="bottom"/>
          </w:tcPr>
          <w:p>
            <w:pPr>
              <w:spacing w:after="0"/>
              <w:rPr>
                <w:sz w:val="1"/>
                <w:szCs w:val="1"/>
                <w:color w:val="auto"/>
              </w:rPr>
            </w:pPr>
          </w:p>
        </w:tc>
      </w:tr>
      <w:tr>
        <w:trPr>
          <w:trHeight w:val="210"/>
        </w:trPr>
        <w:tc>
          <w:tcPr>
            <w:tcW w:w="32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2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6"/>
              </w:rPr>
              <w:t>Net change in cash, cash equivalents, and</w:t>
            </w: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restricted cash</w:t>
            </w:r>
          </w:p>
        </w:tc>
        <w:tc>
          <w:tcPr>
            <w:tcW w:w="10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(923)</w:t>
            </w:r>
          </w:p>
        </w:tc>
        <w:tc>
          <w:tcPr>
            <w:tcW w:w="14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(3,493)</w:t>
            </w:r>
          </w:p>
        </w:tc>
        <w:tc>
          <w:tcPr>
            <w:tcW w:w="320" w:type="dxa"/>
            <w:vAlign w:val="bottom"/>
            <w:shd w:val="clear" w:color="auto" w:fill="CCEEFF"/>
          </w:tcPr>
          <w:p>
            <w:pPr>
              <w:spacing w:after="0"/>
              <w:rPr>
                <w:sz w:val="20"/>
                <w:szCs w:val="20"/>
                <w:color w:val="auto"/>
              </w:rPr>
            </w:pPr>
          </w:p>
        </w:tc>
        <w:tc>
          <w:tcPr>
            <w:tcW w:w="4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(3,815)</w:t>
            </w:r>
          </w:p>
        </w:tc>
        <w:tc>
          <w:tcPr>
            <w:tcW w:w="0" w:type="dxa"/>
            <w:vAlign w:val="bottom"/>
          </w:tcPr>
          <w:p>
            <w:pPr>
              <w:spacing w:after="0"/>
              <w:rPr>
                <w:sz w:val="1"/>
                <w:szCs w:val="1"/>
                <w:color w:val="auto"/>
              </w:rPr>
            </w:pPr>
          </w:p>
        </w:tc>
      </w:tr>
      <w:tr>
        <w:trPr>
          <w:trHeight w:val="202"/>
        </w:trPr>
        <w:tc>
          <w:tcPr>
            <w:tcW w:w="3280" w:type="dxa"/>
            <w:vAlign w:val="bottom"/>
          </w:tcPr>
          <w:p>
            <w:pPr>
              <w:spacing w:after="0" w:line="201" w:lineRule="exact"/>
              <w:rPr>
                <w:sz w:val="20"/>
                <w:szCs w:val="20"/>
                <w:color w:val="auto"/>
              </w:rPr>
            </w:pPr>
            <w:r>
              <w:rPr>
                <w:rFonts w:ascii="Arial" w:cs="Arial" w:eastAsia="Arial" w:hAnsi="Arial"/>
                <w:sz w:val="18"/>
                <w:szCs w:val="18"/>
                <w:color w:val="auto"/>
                <w:w w:val="92"/>
              </w:rPr>
              <w:t>Cash, cash equivalents, and restricted cash,</w:t>
            </w: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beginning of period</w:t>
            </w:r>
          </w:p>
        </w:tc>
        <w:tc>
          <w:tcPr>
            <w:tcW w:w="1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8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1,234</w:t>
            </w:r>
          </w:p>
        </w:tc>
        <w:tc>
          <w:tcPr>
            <w:tcW w:w="16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14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79,905</w:t>
            </w:r>
          </w:p>
        </w:tc>
        <w:tc>
          <w:tcPr>
            <w:tcW w:w="16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81,190</w:t>
            </w:r>
          </w:p>
        </w:tc>
        <w:tc>
          <w:tcPr>
            <w:tcW w:w="0" w:type="dxa"/>
            <w:vAlign w:val="bottom"/>
          </w:tcPr>
          <w:p>
            <w:pPr>
              <w:spacing w:after="0"/>
              <w:rPr>
                <w:sz w:val="1"/>
                <w:szCs w:val="1"/>
                <w:color w:val="auto"/>
              </w:rPr>
            </w:pPr>
          </w:p>
        </w:tc>
      </w:tr>
      <w:tr>
        <w:trPr>
          <w:trHeight w:val="182"/>
        </w:trPr>
        <w:tc>
          <w:tcPr>
            <w:tcW w:w="328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w w:val="92"/>
              </w:rPr>
              <w:t>Cash, cash equivalents, and restricted cash,</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80" w:type="dxa"/>
            <w:vAlign w:val="bottom"/>
            <w:shd w:val="clear" w:color="auto" w:fill="CCEEFF"/>
          </w:tcPr>
          <w:p>
            <w:pPr>
              <w:spacing w:after="0"/>
              <w:rPr>
                <w:sz w:val="15"/>
                <w:szCs w:val="15"/>
                <w:color w:val="auto"/>
              </w:rPr>
            </w:pPr>
          </w:p>
        </w:tc>
        <w:tc>
          <w:tcPr>
            <w:tcW w:w="20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311</w:t>
            </w:r>
          </w:p>
        </w:tc>
        <w:tc>
          <w:tcPr>
            <w:tcW w:w="160" w:type="dxa"/>
            <w:vAlign w:val="bottom"/>
            <w:shd w:val="clear" w:color="auto" w:fill="CCEEFF"/>
          </w:tcPr>
          <w:p>
            <w:pPr>
              <w:spacing w:after="0"/>
              <w:rPr>
                <w:sz w:val="15"/>
                <w:szCs w:val="15"/>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522</w:t>
            </w:r>
          </w:p>
        </w:tc>
        <w:tc>
          <w:tcPr>
            <w:tcW w:w="140" w:type="dxa"/>
            <w:vAlign w:val="bottom"/>
            <w:shd w:val="clear" w:color="auto" w:fill="CCEEFF"/>
          </w:tcPr>
          <w:p>
            <w:pPr>
              <w:spacing w:after="0"/>
              <w:rPr>
                <w:sz w:val="15"/>
                <w:szCs w:val="15"/>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76,412</w:t>
            </w:r>
          </w:p>
        </w:tc>
        <w:tc>
          <w:tcPr>
            <w:tcW w:w="160" w:type="dxa"/>
            <w:vAlign w:val="bottom"/>
            <w:shd w:val="clear" w:color="auto" w:fill="CCEEFF"/>
          </w:tcPr>
          <w:p>
            <w:pPr>
              <w:spacing w:after="0"/>
              <w:rPr>
                <w:sz w:val="15"/>
                <w:szCs w:val="15"/>
                <w:color w:val="auto"/>
              </w:rPr>
            </w:pPr>
          </w:p>
        </w:tc>
        <w:tc>
          <w:tcPr>
            <w:tcW w:w="32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vMerge w:val="restart"/>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30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77,375</w:t>
            </w:r>
          </w:p>
        </w:tc>
        <w:tc>
          <w:tcPr>
            <w:tcW w:w="0" w:type="dxa"/>
            <w:vAlign w:val="bottom"/>
          </w:tcPr>
          <w:p>
            <w:pPr>
              <w:spacing w:after="0"/>
              <w:rPr>
                <w:sz w:val="1"/>
                <w:szCs w:val="1"/>
                <w:color w:val="auto"/>
              </w:rPr>
            </w:pPr>
          </w:p>
        </w:tc>
      </w:tr>
      <w:tr>
        <w:trPr>
          <w:trHeight w:val="224"/>
        </w:trPr>
        <w:tc>
          <w:tcPr>
            <w:tcW w:w="3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end of period</w:t>
            </w:r>
          </w:p>
        </w:tc>
        <w:tc>
          <w:tcPr>
            <w:tcW w:w="100" w:type="dxa"/>
            <w:vAlign w:val="bottom"/>
            <w:vMerge w:val="continue"/>
            <w:shd w:val="clear" w:color="auto" w:fill="CCEEFF"/>
          </w:tcPr>
          <w:p>
            <w:pPr>
              <w:spacing w:after="0"/>
              <w:rPr>
                <w:sz w:val="19"/>
                <w:szCs w:val="19"/>
                <w:color w:val="auto"/>
              </w:rPr>
            </w:pPr>
          </w:p>
        </w:tc>
        <w:tc>
          <w:tcPr>
            <w:tcW w:w="76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gridSpan w:val="2"/>
            <w:vMerge w:val="continue"/>
            <w:shd w:val="clear" w:color="auto" w:fill="CCEEFF"/>
          </w:tcPr>
          <w:p>
            <w:pPr>
              <w:spacing w:after="0"/>
              <w:rPr>
                <w:sz w:val="19"/>
                <w:szCs w:val="19"/>
                <w:color w:val="auto"/>
              </w:rPr>
            </w:pPr>
          </w:p>
        </w:tc>
        <w:tc>
          <w:tcPr>
            <w:tcW w:w="740" w:type="dxa"/>
            <w:vAlign w:val="bottom"/>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 w:type="dxa"/>
            <w:vAlign w:val="bottom"/>
            <w:vMerge w:val="continue"/>
            <w:shd w:val="clear" w:color="auto" w:fill="CCEEFF"/>
          </w:tcPr>
          <w:p>
            <w:pPr>
              <w:spacing w:after="0"/>
              <w:rPr>
                <w:sz w:val="19"/>
                <w:szCs w:val="19"/>
                <w:color w:val="auto"/>
              </w:rPr>
            </w:pPr>
          </w:p>
        </w:tc>
        <w:tc>
          <w:tcPr>
            <w:tcW w:w="680" w:type="dxa"/>
            <w:vAlign w:val="bottom"/>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vMerge w:val="continue"/>
            <w:shd w:val="clear" w:color="auto" w:fill="CCEEFF"/>
          </w:tcPr>
          <w:p>
            <w:pPr>
              <w:spacing w:after="0"/>
              <w:rPr>
                <w:sz w:val="19"/>
                <w:szCs w:val="19"/>
                <w:color w:val="auto"/>
              </w:rPr>
            </w:pPr>
          </w:p>
        </w:tc>
        <w:tc>
          <w:tcPr>
            <w:tcW w:w="640" w:type="dxa"/>
            <w:vAlign w:val="bottom"/>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20" w:type="dxa"/>
            <w:vAlign w:val="bottom"/>
            <w:vMerge w:val="continue"/>
            <w:shd w:val="clear" w:color="auto" w:fill="CCEEFF"/>
          </w:tcPr>
          <w:p>
            <w:pPr>
              <w:spacing w:after="0"/>
              <w:rPr>
                <w:sz w:val="19"/>
                <w:szCs w:val="19"/>
                <w:color w:val="auto"/>
              </w:rPr>
            </w:pPr>
          </w:p>
        </w:tc>
        <w:tc>
          <w:tcPr>
            <w:tcW w:w="480" w:type="dxa"/>
            <w:vAlign w:val="bottom"/>
            <w:vMerge w:val="continue"/>
            <w:shd w:val="clear" w:color="auto" w:fill="CCEEFF"/>
          </w:tcPr>
          <w:p>
            <w:pPr>
              <w:spacing w:after="0"/>
              <w:rPr>
                <w:sz w:val="19"/>
                <w:szCs w:val="19"/>
                <w:color w:val="auto"/>
              </w:rPr>
            </w:pPr>
          </w:p>
        </w:tc>
        <w:tc>
          <w:tcPr>
            <w:tcW w:w="300" w:type="dxa"/>
            <w:vAlign w:val="bottom"/>
            <w:gridSpan w:val="2"/>
            <w:vMerge w:val="continue"/>
            <w:shd w:val="clear" w:color="auto" w:fill="CCEEFF"/>
          </w:tcPr>
          <w:p>
            <w:pPr>
              <w:spacing w:after="0"/>
              <w:rPr>
                <w:sz w:val="19"/>
                <w:szCs w:val="19"/>
                <w:color w:val="auto"/>
              </w:rPr>
            </w:pPr>
          </w:p>
        </w:tc>
        <w:tc>
          <w:tcPr>
            <w:tcW w:w="7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878"/>
        </w:trPr>
        <w:tc>
          <w:tcPr>
            <w:tcW w:w="328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jc w:val="right"/>
              <w:ind w:right="451"/>
              <w:spacing w:after="0"/>
              <w:rPr>
                <w:sz w:val="20"/>
                <w:szCs w:val="20"/>
                <w:color w:val="auto"/>
              </w:rPr>
            </w:pPr>
            <w:r>
              <w:rPr>
                <w:rFonts w:ascii="Arial" w:cs="Arial" w:eastAsia="Arial" w:hAnsi="Arial"/>
                <w:sz w:val="18"/>
                <w:szCs w:val="18"/>
                <w:color w:val="auto"/>
                <w:w w:val="89"/>
              </w:rPr>
              <w:t>23</w:t>
            </w:r>
          </w:p>
        </w:tc>
        <w:tc>
          <w:tcPr>
            <w:tcW w:w="16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32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125" w:right="1419" w:bottom="1440" w:gutter="0" w:footer="0" w:header="0"/>
        </w:sectPr>
      </w:pPr>
    </w:p>
    <w:bookmarkStart w:id="23" w:name="page24"/>
    <w:bookmarkEnd w:id="2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ind w:right="260"/>
        <w:spacing w:after="0" w:line="282"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5"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Ryman Hospitality Properties, Inc. (“Ryman”) is a Delaware corporation that conducts its operations so as to maintain its qualification as a real estate investment trust (“REIT”) for federal income tax purposes. The Company conducts its business through an umbrella partnership REIT, in which all of its assets are held by, and operations are conducted through, RHP Hotel Properties, LP, a subsidiary operating partnership (the “Operating Partnership”). RHP Finance Corporation, a Delaware corporation (“Finco”), was formed as a wholly-owned subsidiary of the Operating Partnership for the sole purpose of being a co-issuer of debt securities with the Operating Partnership. Neither Ryman nor Finco has any material assets, other than Ryman’s investment in the Operating Partnership and its 100%-owned subsidiaries. As 100%-owned subsidiaries of Ryman, neither the Operating Partnership nor Finco has any business, operations, financial results or other material information, other than the business, operations, financial results and other material information described in this Quarterly Report on</w:t>
      </w:r>
    </w:p>
    <w:p>
      <w:pPr>
        <w:spacing w:after="0" w:line="7" w:lineRule="exact"/>
        <w:rPr>
          <w:sz w:val="20"/>
          <w:szCs w:val="20"/>
          <w:color w:val="auto"/>
        </w:rPr>
      </w:pPr>
    </w:p>
    <w:p>
      <w:pPr>
        <w:ind w:right="160"/>
        <w:spacing w:after="0" w:line="216" w:lineRule="exact"/>
        <w:rPr>
          <w:sz w:val="20"/>
          <w:szCs w:val="20"/>
          <w:color w:val="auto"/>
        </w:rPr>
      </w:pPr>
      <w:r>
        <w:rPr>
          <w:rFonts w:ascii="Arial" w:cs="Arial" w:eastAsia="Arial" w:hAnsi="Arial"/>
          <w:sz w:val="18"/>
          <w:szCs w:val="18"/>
          <w:color w:val="auto"/>
        </w:rPr>
        <w:t>Form 10</w:t>
      </w:r>
      <w:r>
        <w:rPr>
          <w:rFonts w:ascii="MS PGothic" w:cs="MS PGothic" w:eastAsia="MS PGothic" w:hAnsi="MS PGothic"/>
          <w:sz w:val="18"/>
          <w:szCs w:val="18"/>
          <w:color w:val="auto"/>
        </w:rPr>
        <w:t>‑</w:t>
      </w:r>
      <w:r>
        <w:rPr>
          <w:rFonts w:ascii="Arial" w:cs="Arial" w:eastAsia="Arial" w:hAnsi="Arial"/>
          <w:sz w:val="18"/>
          <w:szCs w:val="18"/>
          <w:color w:val="auto"/>
        </w:rPr>
        <w:t>Q and Ryman’s other reports, documents or other information filed with the Securities and Exchange Commission (the “SEC”) pursuant to the Securities Exchange Act of 1934, as amended (the “Exchange Act”). In this report, we use the terms, the “Company,” “we” or “our” to refer to Ryman Hospitality Properties, Inc. and its subsidiaries unless the context indicates otherwise.</w:t>
      </w:r>
    </w:p>
    <w:p>
      <w:pPr>
        <w:spacing w:after="0" w:line="177" w:lineRule="exact"/>
        <w:rPr>
          <w:sz w:val="20"/>
          <w:szCs w:val="20"/>
          <w:color w:val="auto"/>
        </w:rPr>
      </w:pPr>
    </w:p>
    <w:p>
      <w:pPr>
        <w:ind w:right="240"/>
        <w:spacing w:after="0" w:line="220" w:lineRule="exact"/>
        <w:rPr>
          <w:sz w:val="20"/>
          <w:szCs w:val="20"/>
          <w:color w:val="auto"/>
        </w:rPr>
      </w:pPr>
      <w:r>
        <w:rPr>
          <w:rFonts w:ascii="Arial" w:cs="Arial" w:eastAsia="Arial" w:hAnsi="Arial"/>
          <w:sz w:val="18"/>
          <w:szCs w:val="18"/>
          <w:color w:val="auto"/>
        </w:rPr>
        <w:t>The following discussion and analysis should be read in conjunction with our condensed consolidated financial statements and related notes included elsewhere in this report and our audited consolidated financial statements and related notes for the year ended December 31, 2017, included in our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that was filed with the SEC on February 27, 2018.</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Cautionary Note Regarding Forward-Looking Statements</w:t>
      </w:r>
    </w:p>
    <w:p>
      <w:pPr>
        <w:spacing w:after="0" w:line="185" w:lineRule="exact"/>
        <w:rPr>
          <w:sz w:val="20"/>
          <w:szCs w:val="20"/>
          <w:color w:val="auto"/>
        </w:rPr>
      </w:pPr>
    </w:p>
    <w:p>
      <w:pPr>
        <w:ind w:right="120"/>
        <w:spacing w:after="0" w:line="217" w:lineRule="exact"/>
        <w:rPr>
          <w:sz w:val="20"/>
          <w:szCs w:val="20"/>
          <w:color w:val="auto"/>
        </w:rPr>
      </w:pPr>
      <w:r>
        <w:rPr>
          <w:rFonts w:ascii="Arial" w:cs="Arial" w:eastAsia="Arial" w:hAnsi="Arial"/>
          <w:sz w:val="16"/>
          <w:szCs w:val="16"/>
          <w:color w:val="auto"/>
        </w:rPr>
        <w:t>This Quarterly Report on Form 10</w:t>
      </w:r>
      <w:r>
        <w:rPr>
          <w:rFonts w:ascii="MS PGothic" w:cs="MS PGothic" w:eastAsia="MS PGothic" w:hAnsi="MS PGothic"/>
          <w:sz w:val="16"/>
          <w:szCs w:val="16"/>
          <w:color w:val="auto"/>
        </w:rPr>
        <w:t>‑</w:t>
      </w:r>
      <w:r>
        <w:rPr>
          <w:rFonts w:ascii="Arial" w:cs="Arial" w:eastAsia="Arial" w:hAnsi="Arial"/>
          <w:sz w:val="16"/>
          <w:szCs w:val="16"/>
          <w:color w:val="auto"/>
        </w:rPr>
        <w:t>Q contains “forward-looking statements” intended to qualify for the safe harbor from liability established by the Private Securities Litigation Reform Act of 1995. These forward-looking statements concern our goals, beliefs, expectations, strategies, objectives, plans, future operating results and underlying assumptions, and other statements that are not necessarily based on historical facts. Without limitation, you can identify these statements by the fact that they do not relate strictly to historical or current facts, and these statements may contain words such as “may,” “will,” “could,” “should,” “might,” “projects,” “expects,” “believes,” “anticipates,” “intends,” “plans,” “continue,” “estimate,” or “pursue,” or the negative or other variations thereof or comparable terms. In particular, they include statements relating to, among other things, future actions, strategies, future performance, the outcome of contingencies such as legal proceedings and future financial results. These also include statements regarding (i) the effect of our election to be taxed as a REIT for federal income tax purposes; (ii) the holding of our non-qualifying REIT assets in one or more taxable REIT subsidiaries (“TRSs”); (iii) our announced dividend policy, including the frequency and amount of any dividend we may pay;</w:t>
      </w:r>
    </w:p>
    <w:p>
      <w:pPr>
        <w:spacing w:after="0" w:line="5" w:lineRule="exact"/>
        <w:rPr>
          <w:sz w:val="20"/>
          <w:szCs w:val="20"/>
          <w:color w:val="auto"/>
        </w:rPr>
      </w:pPr>
    </w:p>
    <w:p>
      <w:pPr>
        <w:ind w:right="100" w:firstLine="3"/>
        <w:spacing w:after="0" w:line="281" w:lineRule="auto"/>
        <w:tabs>
          <w:tab w:leader="none" w:pos="305" w:val="left"/>
        </w:tabs>
        <w:numPr>
          <w:ilvl w:val="0"/>
          <w:numId w:val="5"/>
        </w:numPr>
        <w:rPr>
          <w:rFonts w:ascii="Arial" w:cs="Arial" w:eastAsia="Arial" w:hAnsi="Arial"/>
          <w:sz w:val="16"/>
          <w:szCs w:val="16"/>
          <w:color w:val="auto"/>
        </w:rPr>
      </w:pPr>
      <w:r>
        <w:rPr>
          <w:rFonts w:ascii="Arial" w:cs="Arial" w:eastAsia="Arial" w:hAnsi="Arial"/>
          <w:sz w:val="16"/>
          <w:szCs w:val="16"/>
          <w:color w:val="auto"/>
        </w:rPr>
        <w:t>potential growth opportunities, including future expansion of the geographic diversity of our existing asset portfolio through acquisitions and our investment in the joint venture (the “Gaylord Rockies joint venture”) that owns the Gaylord Rockies Resort &amp; Convention Center in Aurora, Colorado (“Gaylord Rockies”); (v) the consummation of the proposed transaction to increase our ownership interest in the Gaylord Rockies joint venture; (vi) the anticipated opening of Gaylord Rockies; (vii) the Company’s future consolidation of the results of operations and debt of the Gaylord Rockies joint venture;</w:t>
      </w:r>
    </w:p>
    <w:p>
      <w:pPr>
        <w:spacing w:after="0" w:line="3" w:lineRule="exact"/>
        <w:rPr>
          <w:rFonts w:ascii="Arial" w:cs="Arial" w:eastAsia="Arial" w:hAnsi="Arial"/>
          <w:sz w:val="16"/>
          <w:szCs w:val="16"/>
          <w:color w:val="auto"/>
        </w:rPr>
      </w:pPr>
    </w:p>
    <w:p>
      <w:pPr>
        <w:jc w:val="both"/>
        <w:ind w:right="340" w:firstLine="3"/>
        <w:spacing w:after="0" w:line="271" w:lineRule="auto"/>
        <w:tabs>
          <w:tab w:leader="none" w:pos="405" w:val="left"/>
        </w:tabs>
        <w:numPr>
          <w:ilvl w:val="0"/>
          <w:numId w:val="6"/>
        </w:numPr>
        <w:rPr>
          <w:rFonts w:ascii="Arial" w:cs="Arial" w:eastAsia="Arial" w:hAnsi="Arial"/>
          <w:sz w:val="17"/>
          <w:szCs w:val="17"/>
          <w:color w:val="auto"/>
        </w:rPr>
      </w:pPr>
      <w:r>
        <w:rPr>
          <w:rFonts w:ascii="Arial" w:cs="Arial" w:eastAsia="Arial" w:hAnsi="Arial"/>
          <w:sz w:val="17"/>
          <w:szCs w:val="17"/>
          <w:color w:val="auto"/>
        </w:rPr>
        <w:t>Marriott International, Inc.’s (“Marriott’s”) ability to effectively manage our hotels and other properties; (ix) our anticipated capital expenditures and investments; (x) the potential operating and financial restrictions imposed on our activities under existing and future financing agreements and other contractual arrangements with third parties, including management agreements with Marriott; and (xi) any other business or operational matters. We have based these forward-looking statements on our current expectations and projections about future events.</w:t>
      </w:r>
    </w:p>
    <w:p>
      <w:pPr>
        <w:spacing w:after="0" w:line="152"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We caution the reader that forward-looking statements involve risks and uncertainties that cannot be predicted or quantified, and, consequently, actual results may differ materially from those expressed or implied by such forward-looking statements. Important factors that could cause actual results to differ materially from those in the forward-looking statements include, among other things, risks and uncertainties associated with the proposed transaction to increase our ownership interest in the Gaylord Rockies joint venture, including, but not limited to, the occurrence of any event, change or other circumstance that could delay the closing of the proposed transaction; the Company’s ability to utilize its existing borrowing capacity under the Company’s credit facility; certain conditions to closing, including obtaining any joint venture lender consent and finalization of joint venture agreements and the possibility that such</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4" w:name="page25"/>
    <w:bookmarkEnd w:id="2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line="218" w:lineRule="exact"/>
        <w:rPr>
          <w:sz w:val="20"/>
          <w:szCs w:val="20"/>
          <w:color w:val="auto"/>
        </w:rPr>
      </w:pPr>
      <w:r>
        <w:rPr>
          <w:rFonts w:ascii="Arial" w:cs="Arial" w:eastAsia="Arial" w:hAnsi="Arial"/>
          <w:sz w:val="17"/>
          <w:szCs w:val="17"/>
          <w:color w:val="auto"/>
        </w:rPr>
        <w:t>conditions to closing may not be met and the transaction may be terminated; and transaction costs which have been and may continue to be incurred related to the proposed transaction. Other factors that could cause results to differ include, but are not limited to, the risks and uncertainties associated with economic conditions affecting the hospitality business generally, the geographic concentration of our hotel properties, business levels at our hotels, the effect of our election to be taxed as a REIT for federal income tax purposes commencing with the year ended December 31, 2013, our ability to remain qualified as a REIT, our ability to execute our strategic goals as a REIT, our ability to generate cash flows to support dividends, future board determinations regarding the timing and amount of dividends and changes to the dividend policy, our ability to borrow funds pursuant to our credit agreements and to refinance indebtedness, and those factors described in this Quarterly Report on Form 10-Q and our Annual Report on Form 10</w:t>
      </w:r>
      <w:r>
        <w:rPr>
          <w:rFonts w:ascii="MS PGothic" w:cs="MS PGothic" w:eastAsia="MS PGothic" w:hAnsi="MS PGothic"/>
          <w:sz w:val="17"/>
          <w:szCs w:val="17"/>
          <w:color w:val="auto"/>
        </w:rPr>
        <w:t>‑</w:t>
      </w:r>
      <w:r>
        <w:rPr>
          <w:rFonts w:ascii="Arial" w:cs="Arial" w:eastAsia="Arial" w:hAnsi="Arial"/>
          <w:sz w:val="17"/>
          <w:szCs w:val="17"/>
          <w:color w:val="auto"/>
        </w:rPr>
        <w:t>K for the year ended December 31, 2017 or described from time to time in our other reports filed with the SEC.</w:t>
      </w:r>
    </w:p>
    <w:p>
      <w:pPr>
        <w:spacing w:after="0" w:line="162" w:lineRule="exact"/>
        <w:rPr>
          <w:sz w:val="20"/>
          <w:szCs w:val="20"/>
          <w:color w:val="auto"/>
        </w:rPr>
      </w:pPr>
    </w:p>
    <w:p>
      <w:pPr>
        <w:ind w:right="140"/>
        <w:spacing w:after="0" w:line="220" w:lineRule="exact"/>
        <w:rPr>
          <w:sz w:val="20"/>
          <w:szCs w:val="20"/>
          <w:color w:val="auto"/>
        </w:rPr>
      </w:pPr>
      <w:r>
        <w:rPr>
          <w:rFonts w:ascii="Arial" w:cs="Arial" w:eastAsia="Arial" w:hAnsi="Arial"/>
          <w:sz w:val="18"/>
          <w:szCs w:val="18"/>
          <w:color w:val="auto"/>
        </w:rPr>
        <w:t>Any forward-looking statement made in this Quarterly Report on Form 10</w:t>
      </w:r>
      <w:r>
        <w:rPr>
          <w:rFonts w:ascii="MS PGothic" w:cs="MS PGothic" w:eastAsia="MS PGothic" w:hAnsi="MS PGothic"/>
          <w:sz w:val="18"/>
          <w:szCs w:val="18"/>
          <w:color w:val="auto"/>
        </w:rPr>
        <w:t>‑</w:t>
      </w:r>
      <w:r>
        <w:rPr>
          <w:rFonts w:ascii="Arial" w:cs="Arial" w:eastAsia="Arial" w:hAnsi="Arial"/>
          <w:sz w:val="18"/>
          <w:szCs w:val="18"/>
          <w:color w:val="auto"/>
        </w:rPr>
        <w:t>Q speaks only as of the date on which the statement is made. New risks and uncertainties arise from time to time, and it is impossible for us to predict these events or how they may affect us. We have no duty to, and do not intend to, update or revise the forward-looking statements we make in this Quarterly Report on Form 10</w:t>
      </w:r>
      <w:r>
        <w:rPr>
          <w:rFonts w:ascii="MS PGothic" w:cs="MS PGothic" w:eastAsia="MS PGothic" w:hAnsi="MS PGothic"/>
          <w:sz w:val="18"/>
          <w:szCs w:val="18"/>
          <w:color w:val="auto"/>
        </w:rPr>
        <w:t>‑</w:t>
      </w:r>
      <w:r>
        <w:rPr>
          <w:rFonts w:ascii="Arial" w:cs="Arial" w:eastAsia="Arial" w:hAnsi="Arial"/>
          <w:sz w:val="18"/>
          <w:szCs w:val="18"/>
          <w:color w:val="auto"/>
        </w:rPr>
        <w:t>Q, except as may be required by law.</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185" w:lineRule="exact"/>
        <w:rPr>
          <w:sz w:val="20"/>
          <w:szCs w:val="20"/>
          <w:color w:val="auto"/>
        </w:rPr>
      </w:pPr>
    </w:p>
    <w:p>
      <w:pPr>
        <w:ind w:right="20"/>
        <w:spacing w:after="0" w:line="217" w:lineRule="exact"/>
        <w:rPr>
          <w:sz w:val="20"/>
          <w:szCs w:val="20"/>
          <w:color w:val="auto"/>
        </w:rPr>
      </w:pPr>
      <w:r>
        <w:rPr>
          <w:rFonts w:ascii="Arial" w:cs="Arial" w:eastAsia="Arial" w:hAnsi="Arial"/>
          <w:sz w:val="17"/>
          <w:szCs w:val="17"/>
          <w:color w:val="auto"/>
        </w:rPr>
        <w:t>We operate as a REIT for federal income tax purposes, specializing in group-oriented, destination hotel assets in urban and resort markets. Our owned assets include a network of four upscale, meetings-focused resorts totaling 8,114 rooms that are managed by Marriott under the Gaylord Hotels brand. These four resorts, which we refer to as our Gaylord Hotels properties, consist of the Gaylord Opryland Resort &amp; Convention Center in Nashville, Tennessee (“Gaylord Opryland”), the Gaylord Palms Resort &amp; Convention Center near Orlando, Florida (“Gaylord Palms”), the Gaylord Texan Resort &amp; Convention Center near Dallas, Texas (“Gaylord Texan”) and the Gaylord National Resort &amp; Convention Center near Washington D.C. (“Gaylord National”). Our other owned hotel assets managed by Marriott include the Inn at Opryland, a 303</w:t>
      </w:r>
      <w:r>
        <w:rPr>
          <w:rFonts w:ascii="MS PGothic" w:cs="MS PGothic" w:eastAsia="MS PGothic" w:hAnsi="MS PGothic"/>
          <w:sz w:val="17"/>
          <w:szCs w:val="17"/>
          <w:color w:val="auto"/>
        </w:rPr>
        <w:t>‑</w:t>
      </w:r>
      <w:r>
        <w:rPr>
          <w:rFonts w:ascii="Arial" w:cs="Arial" w:eastAsia="Arial" w:hAnsi="Arial"/>
          <w:sz w:val="17"/>
          <w:szCs w:val="17"/>
          <w:color w:val="auto"/>
        </w:rPr>
        <w:t>room overflow hotel adjacent to Gaylord Opryland, and the AC Hotel at National Harbor, Washington D.C. (“AC Hotel”), a 192</w:t>
      </w:r>
      <w:r>
        <w:rPr>
          <w:rFonts w:ascii="MS PGothic" w:cs="MS PGothic" w:eastAsia="MS PGothic" w:hAnsi="MS PGothic"/>
          <w:sz w:val="17"/>
          <w:szCs w:val="17"/>
          <w:color w:val="auto"/>
        </w:rPr>
        <w:t>‑</w:t>
      </w:r>
      <w:r>
        <w:rPr>
          <w:rFonts w:ascii="Arial" w:cs="Arial" w:eastAsia="Arial" w:hAnsi="Arial"/>
          <w:sz w:val="17"/>
          <w:szCs w:val="17"/>
          <w:color w:val="auto"/>
        </w:rPr>
        <w:t>room overflow hotel adjacent to Gaylord National. We also own a 35% interest in the Gaylord Rockies joint venture that is developing and owns Gaylord Rockies, which is scheduled to open in late 2018 and will be managed by Marriott. For more information regarding the Company’s announced intention to increase its ownership interest in the Gaylord Rockies joint venture, see “Gaylord Rockies Joint Venture” below.</w:t>
      </w:r>
    </w:p>
    <w:p>
      <w:pPr>
        <w:spacing w:after="0" w:line="169"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We also own and operate media and entertainment assets including the Grand Ole Opry, the legendary weekly showcase of country music’s finest performers for over 90 years; the Ryman Auditorium, the storied live music venue and former home of the Grand Ole Opry located in downtown Nashville; WSM-AM, the Opry’s radio home; Ole Red, a brand of Blake Shelton-themed bar, music venue and event spaces, with a flagship location in Nashville that opened in May 2018; Opry City Stage, a four-level entertainment complex in Times Square that opened in December 2017 under a joint venture agreement and of which we acquired the remaining 50% joint venture interest in the second quarter of 2018; and three Nashville-based assets managed by Marriott – Gaylord Springs Golf Links, the Wildhorse Saloon, and the General Jackson Showboat.</w:t>
      </w:r>
    </w:p>
    <w:p>
      <w:pPr>
        <w:spacing w:after="0" w:line="140"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Each of our award-winning Gaylord Hotels properties incorporates not only high quality lodging, but also at least 400,000 square feet of meeting, convention and exhibition space, superb food and beverage options and retail and spa facilities within a single self-contained property. As a result, our Gaylord Hotels properties provide a convenient and entertaining environment for convention guests. Our Gaylord Hotels properties focus on the large group meetings market in the United States.</w:t>
      </w:r>
    </w:p>
    <w:p>
      <w:pPr>
        <w:spacing w:after="0" w:line="148" w:lineRule="exact"/>
        <w:rPr>
          <w:sz w:val="20"/>
          <w:szCs w:val="20"/>
          <w:color w:val="auto"/>
        </w:rPr>
      </w:pPr>
    </w:p>
    <w:p>
      <w:pPr>
        <w:ind w:right="20"/>
        <w:spacing w:after="0" w:line="221" w:lineRule="exact"/>
        <w:rPr>
          <w:sz w:val="20"/>
          <w:szCs w:val="20"/>
          <w:color w:val="auto"/>
        </w:rPr>
      </w:pPr>
      <w:r>
        <w:rPr>
          <w:rFonts w:ascii="Arial" w:cs="Arial" w:eastAsia="Arial" w:hAnsi="Arial"/>
          <w:sz w:val="18"/>
          <w:szCs w:val="18"/>
          <w:color w:val="auto"/>
        </w:rPr>
        <w:t>See “Cautionary Note Regarding Forward-Looking Statements” in this Item 2 and Item 1A, “Risk Factors,” in our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for the year ended December 31, 2017 for important information regarding forward-looking statements made in this report and risks and uncertainties we face.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Gaylord Rockies Joint Venture</w:t>
      </w:r>
    </w:p>
    <w:p>
      <w:pPr>
        <w:spacing w:after="0" w:line="198" w:lineRule="exact"/>
        <w:rPr>
          <w:sz w:val="20"/>
          <w:szCs w:val="20"/>
          <w:color w:val="auto"/>
        </w:rPr>
      </w:pPr>
    </w:p>
    <w:p>
      <w:pPr>
        <w:ind w:right="360"/>
        <w:spacing w:after="0" w:line="312" w:lineRule="auto"/>
        <w:rPr>
          <w:sz w:val="20"/>
          <w:szCs w:val="20"/>
          <w:color w:val="auto"/>
        </w:rPr>
      </w:pPr>
      <w:r>
        <w:rPr>
          <w:rFonts w:ascii="Arial" w:cs="Arial" w:eastAsia="Arial" w:hAnsi="Arial"/>
          <w:sz w:val="16"/>
          <w:szCs w:val="16"/>
          <w:color w:val="auto"/>
        </w:rPr>
        <w:t>On September 13, 2018, we entered into a purchase agreement (“Purchase Agreement”) with Aurora Convention Center Hotel Partners, LLC and certain affiliates of the other Gaylord Rockies joint venture partners to increase our ownership interest in the Gaylord Rockies joint venture to approximately 62.3% for a purchase price of approximately $242 million</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5" w:name="page26"/>
    <w:bookmarkEnd w:id="2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 cash (the “Rockies Interest Purchase”), subject to the satisfaction or waiver of the various closing conditions in the Purchase Agreement, including the required consent of the Gaylord Rockies joint venture lender and Marriott, the release of certain guarantees and indemnities (which may involve the substitution of the Company on such guarantees and indemnities), no occurrence of any material casualty to Gaylord Rockies and other customary closing conditions. We have sufficient cash on hand and availability under our existing credit facility to finance the cash purchase price. We expect the transaction to close by the end of 2018.</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 Policy</w:t>
      </w:r>
    </w:p>
    <w:p>
      <w:pPr>
        <w:spacing w:after="0" w:line="198"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Pursuant to our current dividend policy, we plan to continue to pay a quarterly cash dividend to shareholders in an amount equal to an annualized payment of at least 50% of adjusted funds from operations (as defined by us) less maintenance capital expenditures or 100% of REIT taxable income, whichever is greater. On February 27, 2018, our board of directors declared our first quarter 2018 cash dividend in the amount of $0.85 per share of common stock, or an aggregate of approximately $43.6 million in cash, which was paid on April 16, 2018 to stockholders of record as of the close of business on March 30, 2018. On June 18, 2018, our board of directors declared our second quarter 2018 cash dividend in the amount of $0.85 per share of common stock, or an aggregate of approximately $43.6 million in cash, which was paid on July 16, 2018 to stockholders of record as of the close of business on June 29, 2018. On September 17, 2018, our board of directors declared our third quarter 2018 cash dividend in the amount of $0.85 per share of common stock, or an aggregate of approximately $43.6 million in cash, which was paid on October 15, 2018 to stockholders of record as of the close of business on September 28, 2018. We currently plan to pay a quarterly cash dividend of $0.85 per share of common stock in January 2019. The declaration, timing and amount of dividends will be determined by action of our board of directors. Our dividend policy may be altered at any time by our board of directors.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Strategic Plan</w:t>
      </w:r>
    </w:p>
    <w:p>
      <w:pPr>
        <w:spacing w:after="0" w:line="185"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Our goal is to become the nation’s premier hospitality REIT for group-oriented meeting hotel assets in urban and resort markets.</w:t>
      </w:r>
    </w:p>
    <w:p>
      <w:pPr>
        <w:spacing w:after="0" w:line="143"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i w:val="1"/>
          <w:iCs w:val="1"/>
          <w:color w:val="auto"/>
        </w:rPr>
        <w:t>Existing Hotel Property Design</w:t>
      </w:r>
      <w:r>
        <w:rPr>
          <w:rFonts w:ascii="Arial" w:cs="Arial" w:eastAsia="Arial" w:hAnsi="Arial"/>
          <w:sz w:val="18"/>
          <w:szCs w:val="18"/>
          <w:color w:val="auto"/>
        </w:rPr>
        <w:t>. Our Gaylord Hotels properties focus on the large group meetings market in the United States</w:t>
      </w:r>
      <w:r>
        <w:rPr>
          <w:rFonts w:ascii="Arial" w:cs="Arial" w:eastAsia="Arial" w:hAnsi="Arial"/>
          <w:sz w:val="18"/>
          <w:szCs w:val="18"/>
          <w:i w:val="1"/>
          <w:iCs w:val="1"/>
          <w:color w:val="auto"/>
        </w:rPr>
        <w:t xml:space="preserve"> </w:t>
      </w:r>
      <w:r>
        <w:rPr>
          <w:rFonts w:ascii="Arial" w:cs="Arial" w:eastAsia="Arial" w:hAnsi="Arial"/>
          <w:sz w:val="18"/>
          <w:szCs w:val="18"/>
          <w:color w:val="auto"/>
        </w:rPr>
        <w:t>and incorporate meeting and exhibition space, signature guest rooms, food and beverage offerings, fitness and spa facilities and other attractions within a large hotel property so attendees’ needs are met in one location. This strategy creates a better experience for both meeting planners and guests, and has led to our current Gaylord Hotels properties claiming a place among the leading convention hotels in the country.</w:t>
      </w:r>
    </w:p>
    <w:p>
      <w:pPr>
        <w:spacing w:after="0" w:line="148" w:lineRule="exact"/>
        <w:rPr>
          <w:sz w:val="20"/>
          <w:szCs w:val="20"/>
          <w:color w:val="auto"/>
        </w:rPr>
      </w:pPr>
    </w:p>
    <w:p>
      <w:pPr>
        <w:ind w:right="220"/>
        <w:spacing w:after="0" w:line="288" w:lineRule="auto"/>
        <w:rPr>
          <w:sz w:val="20"/>
          <w:szCs w:val="20"/>
          <w:color w:val="auto"/>
        </w:rPr>
      </w:pPr>
      <w:r>
        <w:rPr>
          <w:rFonts w:ascii="Arial" w:cs="Arial" w:eastAsia="Arial" w:hAnsi="Arial"/>
          <w:sz w:val="16"/>
          <w:szCs w:val="16"/>
          <w:i w:val="1"/>
          <w:iCs w:val="1"/>
          <w:color w:val="auto"/>
        </w:rPr>
        <w:t>Expansion of Hotel Asset Portfolio</w:t>
      </w:r>
      <w:r>
        <w:rPr>
          <w:rFonts w:ascii="Arial" w:cs="Arial" w:eastAsia="Arial" w:hAnsi="Arial"/>
          <w:sz w:val="16"/>
          <w:szCs w:val="16"/>
          <w:color w:val="auto"/>
        </w:rPr>
        <w:t>. While our short-term capital allocation strategy has focused on returning capital to</w:t>
      </w:r>
      <w:r>
        <w:rPr>
          <w:rFonts w:ascii="Arial" w:cs="Arial" w:eastAsia="Arial" w:hAnsi="Arial"/>
          <w:sz w:val="16"/>
          <w:szCs w:val="16"/>
          <w:i w:val="1"/>
          <w:iCs w:val="1"/>
          <w:color w:val="auto"/>
        </w:rPr>
        <w:t xml:space="preserve"> </w:t>
      </w:r>
      <w:r>
        <w:rPr>
          <w:rFonts w:ascii="Arial" w:cs="Arial" w:eastAsia="Arial" w:hAnsi="Arial"/>
          <w:sz w:val="16"/>
          <w:szCs w:val="16"/>
          <w:color w:val="auto"/>
        </w:rPr>
        <w:t>stockholders through the payment of dividends, part of our long-term growth strategy includes acquisitions of other hotels, particularly in the group meetings sector of the hospitality industry, either alone or through joint ventures or alliances with one or more third parties. We intend to pursue attractive investment opportunities which meet our acquisition parameters, specifically, group-oriented large hotels and overflow hotels with existing or potential leisure appeal. We are interested in highly accessible upper-upscale assets with over 400 hotel rooms in urban and resort group destination markets. We also consider assets that possess or are located near convention centers that present a repositioning opportunity and/or would significantly benefit from capital investment in additional rooms or meeting space. We plan to expand the geographic diversity of our existing asset portfolio through acquisitions. As a REIT, we do not view independent, large-scale development of resort and convention hotels as a part of our long-term growth strategy.</w:t>
      </w:r>
    </w:p>
    <w:p>
      <w:pPr>
        <w:spacing w:after="0" w:line="129"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i w:val="1"/>
          <w:iCs w:val="1"/>
          <w:color w:val="auto"/>
        </w:rPr>
        <w:t>Leverage Brand Name Awareness</w:t>
      </w:r>
      <w:r>
        <w:rPr>
          <w:rFonts w:ascii="Arial" w:cs="Arial" w:eastAsia="Arial" w:hAnsi="Arial"/>
          <w:sz w:val="17"/>
          <w:szCs w:val="17"/>
          <w:color w:val="auto"/>
        </w:rPr>
        <w:t>. We believe the Grand Ole Opry is one of the most recognized entertainment brands in the</w:t>
      </w:r>
      <w:r>
        <w:rPr>
          <w:rFonts w:ascii="Arial" w:cs="Arial" w:eastAsia="Arial" w:hAnsi="Arial"/>
          <w:sz w:val="17"/>
          <w:szCs w:val="17"/>
          <w:i w:val="1"/>
          <w:iCs w:val="1"/>
          <w:color w:val="auto"/>
        </w:rPr>
        <w:t xml:space="preserve"> </w:t>
      </w:r>
      <w:r>
        <w:rPr>
          <w:rFonts w:ascii="Arial" w:cs="Arial" w:eastAsia="Arial" w:hAnsi="Arial"/>
          <w:sz w:val="17"/>
          <w:szCs w:val="17"/>
          <w:color w:val="auto"/>
        </w:rPr>
        <w:t>United States. We promote the Grand Ole Opry name through various media, including our WSM-AM radio station, the Internet and television, and through performances by the Grand Ole Opry’s members, many of whom are renowned country music artists. As such, we have alliances in place with multiple distribution partners in an effort to foster brand extension. We are continuously exploring additional products, such as television specials and retail products, through which we can capitalize on our brand affinity and awareness. To this end, we have invested in Opry City Stage, a four-level entertainment complex in Times Square, and four Blake Shelton-themed multi-level bar, music venue and event spaces in Nashville, Orlando, Gatlinburg, Tennessee, and Tishomingo, Oklahoma, named after the</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6" w:name="page27"/>
    <w:bookmarkEnd w:id="2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59"/>
        <w:spacing w:after="0" w:line="277" w:lineRule="auto"/>
        <w:rPr>
          <w:sz w:val="20"/>
          <w:szCs w:val="20"/>
          <w:color w:val="auto"/>
        </w:rPr>
      </w:pPr>
      <w:r>
        <w:rPr>
          <w:rFonts w:ascii="Arial" w:cs="Arial" w:eastAsia="Arial" w:hAnsi="Arial"/>
          <w:sz w:val="18"/>
          <w:szCs w:val="18"/>
          <w:color w:val="auto"/>
        </w:rPr>
        <w:t>Shelton hit “Ol’ Red.” We believe that licensing our brand for products may provide an opportunity to increase revenues and cash flow with relatively little capital investment.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Current Operations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Our ongoing operations are organized into three principal business segments:</w:t>
      </w:r>
    </w:p>
    <w:p>
      <w:pPr>
        <w:spacing w:after="0" w:line="185" w:lineRule="exact"/>
        <w:rPr>
          <w:sz w:val="20"/>
          <w:szCs w:val="20"/>
          <w:color w:val="auto"/>
        </w:rPr>
      </w:pPr>
    </w:p>
    <w:p>
      <w:pPr>
        <w:ind w:left="660" w:right="179" w:hanging="333"/>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Hospitality, consisting of our Gaylord Hotels properties, the Inn at Opryland, the AC Hotel, and our investment in the Gaylord Rockies joint venture.</w:t>
      </w:r>
    </w:p>
    <w:p>
      <w:pPr>
        <w:spacing w:after="0" w:line="129" w:lineRule="exact"/>
        <w:rPr>
          <w:rFonts w:ascii="Arial" w:cs="Arial" w:eastAsia="Arial" w:hAnsi="Arial"/>
          <w:sz w:val="18"/>
          <w:szCs w:val="18"/>
          <w:color w:val="auto"/>
        </w:rPr>
      </w:pPr>
    </w:p>
    <w:p>
      <w:pPr>
        <w:ind w:left="660" w:right="279" w:hanging="333"/>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Entertainment, consisting of the Grand Ole Opry, the Ryman Auditorium, WSM-AM, Ole Red, Opry City Stage, and our other Nashville-based attractions.</w:t>
      </w:r>
    </w:p>
    <w:p>
      <w:pPr>
        <w:spacing w:after="0" w:line="129" w:lineRule="exact"/>
        <w:rPr>
          <w:rFonts w:ascii="Arial" w:cs="Arial" w:eastAsia="Arial" w:hAnsi="Arial"/>
          <w:sz w:val="18"/>
          <w:szCs w:val="18"/>
          <w:color w:val="auto"/>
        </w:rPr>
      </w:pPr>
    </w:p>
    <w:p>
      <w:pPr>
        <w:ind w:left="660" w:hanging="333"/>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Corporate and Other, consisting of our corporate expenses.</w:t>
      </w:r>
    </w:p>
    <w:p>
      <w:pPr>
        <w:spacing w:after="0" w:line="185" w:lineRule="exact"/>
        <w:rPr>
          <w:sz w:val="20"/>
          <w:szCs w:val="20"/>
          <w:color w:val="auto"/>
        </w:rPr>
      </w:pPr>
    </w:p>
    <w:p>
      <w:pPr>
        <w:ind w:right="319"/>
        <w:spacing w:after="0" w:line="277" w:lineRule="auto"/>
        <w:rPr>
          <w:sz w:val="20"/>
          <w:szCs w:val="20"/>
          <w:color w:val="auto"/>
        </w:rPr>
      </w:pPr>
      <w:r>
        <w:rPr>
          <w:rFonts w:ascii="Arial" w:cs="Arial" w:eastAsia="Arial" w:hAnsi="Arial"/>
          <w:sz w:val="18"/>
          <w:szCs w:val="18"/>
          <w:color w:val="auto"/>
        </w:rPr>
        <w:t>For the three months and nine months ended September 30, 2018 and 2017, our total revenues were divided among these business segments as follows:</w:t>
      </w:r>
    </w:p>
    <w:p>
      <w:pPr>
        <w:spacing w:after="0" w:line="123"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80" w:type="dxa"/>
            <w:vAlign w:val="bottom"/>
            <w:gridSpan w:val="4"/>
          </w:tcPr>
          <w:p>
            <w:pPr>
              <w:jc w:val="right"/>
              <w:ind w:right="230"/>
              <w:spacing w:after="0"/>
              <w:rPr>
                <w:sz w:val="20"/>
                <w:szCs w:val="20"/>
                <w:color w:val="auto"/>
              </w:rPr>
            </w:pPr>
            <w:r>
              <w:rPr>
                <w:rFonts w:ascii="Arial" w:cs="Arial" w:eastAsia="Arial" w:hAnsi="Arial"/>
                <w:sz w:val="14"/>
                <w:szCs w:val="14"/>
                <w:b w:val="1"/>
                <w:bCs w:val="1"/>
                <w:color w:val="auto"/>
                <w:w w:val="96"/>
              </w:rPr>
              <w:t>Three Months Ended</w:t>
            </w:r>
          </w:p>
        </w:tc>
        <w:tc>
          <w:tcPr>
            <w:tcW w:w="1480" w:type="dxa"/>
            <w:vAlign w:val="bottom"/>
            <w:gridSpan w:val="4"/>
          </w:tcPr>
          <w:p>
            <w:pPr>
              <w:jc w:val="right"/>
              <w:ind w:right="130"/>
              <w:spacing w:after="0"/>
              <w:rPr>
                <w:sz w:val="20"/>
                <w:szCs w:val="20"/>
                <w:color w:val="auto"/>
              </w:rPr>
            </w:pPr>
            <w:r>
              <w:rPr>
                <w:rFonts w:ascii="Arial" w:cs="Arial" w:eastAsia="Arial" w:hAnsi="Arial"/>
                <w:sz w:val="14"/>
                <w:szCs w:val="14"/>
                <w:b w:val="1"/>
                <w:bCs w:val="1"/>
                <w:color w:val="auto"/>
                <w:w w:val="94"/>
              </w:rPr>
              <w:t>Nine Months Ended</w:t>
            </w:r>
          </w:p>
        </w:tc>
        <w:tc>
          <w:tcPr>
            <w:tcW w:w="0" w:type="dxa"/>
            <w:vAlign w:val="bottom"/>
          </w:tcPr>
          <w:p>
            <w:pPr>
              <w:spacing w:after="0"/>
              <w:rPr>
                <w:sz w:val="1"/>
                <w:szCs w:val="1"/>
                <w:color w:val="auto"/>
              </w:rPr>
            </w:pPr>
          </w:p>
        </w:tc>
      </w:tr>
      <w:tr>
        <w:trPr>
          <w:trHeight w:val="171"/>
        </w:trPr>
        <w:tc>
          <w:tcPr>
            <w:tcW w:w="40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Segment</w:t>
            </w:r>
          </w:p>
        </w:tc>
        <w:tc>
          <w:tcPr>
            <w:tcW w:w="1680" w:type="dxa"/>
            <w:vAlign w:val="bottom"/>
            <w:gridSpan w:val="4"/>
          </w:tcPr>
          <w:p>
            <w:pPr>
              <w:jc w:val="right"/>
              <w:ind w:right="470"/>
              <w:spacing w:after="0"/>
              <w:rPr>
                <w:sz w:val="20"/>
                <w:szCs w:val="20"/>
                <w:color w:val="auto"/>
              </w:rPr>
            </w:pPr>
            <w:r>
              <w:rPr>
                <w:rFonts w:ascii="Arial" w:cs="Arial" w:eastAsia="Arial" w:hAnsi="Arial"/>
                <w:sz w:val="14"/>
                <w:szCs w:val="14"/>
                <w:b w:val="1"/>
                <w:bCs w:val="1"/>
                <w:color w:val="auto"/>
              </w:rPr>
              <w:t>September 30,</w:t>
            </w:r>
          </w:p>
        </w:tc>
        <w:tc>
          <w:tcPr>
            <w:tcW w:w="1480" w:type="dxa"/>
            <w:vAlign w:val="bottom"/>
            <w:gridSpan w:val="4"/>
          </w:tcPr>
          <w:p>
            <w:pPr>
              <w:jc w:val="right"/>
              <w:ind w:right="33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4080" w:type="dxa"/>
            <w:vAlign w:val="bottom"/>
            <w:gridSpan w:val="2"/>
            <w:vMerge w:val="continue"/>
          </w:tcPr>
          <w:p>
            <w:pPr>
              <w:spacing w:after="0"/>
              <w:rPr>
                <w:sz w:val="12"/>
                <w:szCs w:val="12"/>
                <w:color w:val="auto"/>
              </w:rPr>
            </w:pPr>
          </w:p>
        </w:tc>
        <w:tc>
          <w:tcPr>
            <w:tcW w:w="600" w:type="dxa"/>
            <w:vAlign w:val="bottom"/>
            <w:tcBorders>
              <w:top w:val="single" w:sz="8" w:color="auto"/>
            </w:tcBorders>
          </w:tcPr>
          <w:p>
            <w:pPr>
              <w:jc w:val="right"/>
              <w:ind w:right="79"/>
              <w:spacing w:after="0" w:line="142" w:lineRule="exact"/>
              <w:rPr>
                <w:sz w:val="20"/>
                <w:szCs w:val="20"/>
                <w:color w:val="auto"/>
              </w:rPr>
            </w:pPr>
            <w:r>
              <w:rPr>
                <w:rFonts w:ascii="Arial" w:cs="Arial" w:eastAsia="Arial" w:hAnsi="Arial"/>
                <w:sz w:val="14"/>
                <w:szCs w:val="14"/>
                <w:b w:val="1"/>
                <w:bCs w:val="1"/>
                <w:color w:val="auto"/>
              </w:rPr>
              <w:t>2018</w:t>
            </w:r>
          </w:p>
        </w:tc>
        <w:tc>
          <w:tcPr>
            <w:tcW w:w="26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2017</w:t>
            </w:r>
          </w:p>
        </w:tc>
        <w:tc>
          <w:tcPr>
            <w:tcW w:w="240" w:type="dxa"/>
            <w:vAlign w:val="bottom"/>
          </w:tcPr>
          <w:p>
            <w:pPr>
              <w:spacing w:after="0"/>
              <w:rPr>
                <w:sz w:val="12"/>
                <w:szCs w:val="12"/>
                <w:color w:val="auto"/>
              </w:rPr>
            </w:pPr>
          </w:p>
        </w:tc>
        <w:tc>
          <w:tcPr>
            <w:tcW w:w="540" w:type="dxa"/>
            <w:vAlign w:val="bottom"/>
            <w:tcBorders>
              <w:top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9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Hospitality</w:t>
            </w:r>
          </w:p>
        </w:tc>
        <w:tc>
          <w:tcPr>
            <w:tcW w:w="1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260" w:type="dxa"/>
            <w:vAlign w:val="bottom"/>
            <w:tcBorders>
              <w:top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4"/>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240" w:type="dxa"/>
            <w:vAlign w:val="bottom"/>
            <w:tcBorders>
              <w:top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240" w:type="dxa"/>
            <w:vAlign w:val="bottom"/>
            <w:tcBorders>
              <w:top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color w:val="auto"/>
              </w:rPr>
              <w:t>Entertainment</w:t>
            </w:r>
          </w:p>
        </w:tc>
        <w:tc>
          <w:tcPr>
            <w:tcW w:w="860" w:type="dxa"/>
            <w:vAlign w:val="bottom"/>
            <w:gridSpan w:val="2"/>
          </w:tcPr>
          <w:p>
            <w:pPr>
              <w:jc w:val="right"/>
              <w:ind w:right="30"/>
              <w:spacing w:after="0"/>
              <w:rPr>
                <w:sz w:val="20"/>
                <w:szCs w:val="20"/>
                <w:color w:val="auto"/>
              </w:rPr>
            </w:pPr>
            <w:r>
              <w:rPr>
                <w:rFonts w:ascii="Arial" w:cs="Arial" w:eastAsia="Arial" w:hAnsi="Arial"/>
                <w:sz w:val="18"/>
                <w:szCs w:val="18"/>
                <w:color w:val="auto"/>
              </w:rPr>
              <w:t>15 %</w:t>
            </w:r>
          </w:p>
        </w:tc>
        <w:tc>
          <w:tcPr>
            <w:tcW w:w="820" w:type="dxa"/>
            <w:vAlign w:val="bottom"/>
            <w:gridSpan w:val="2"/>
          </w:tcPr>
          <w:p>
            <w:pPr>
              <w:jc w:val="right"/>
              <w:ind w:right="10"/>
              <w:spacing w:after="0"/>
              <w:rPr>
                <w:sz w:val="20"/>
                <w:szCs w:val="20"/>
                <w:color w:val="auto"/>
              </w:rPr>
            </w:pPr>
            <w:r>
              <w:rPr>
                <w:rFonts w:ascii="Arial" w:cs="Arial" w:eastAsia="Arial" w:hAnsi="Arial"/>
                <w:sz w:val="18"/>
                <w:szCs w:val="18"/>
                <w:color w:val="auto"/>
              </w:rPr>
              <w:t>13 %</w:t>
            </w:r>
          </w:p>
        </w:tc>
        <w:tc>
          <w:tcPr>
            <w:tcW w:w="780" w:type="dxa"/>
            <w:vAlign w:val="bottom"/>
            <w:gridSpan w:val="2"/>
          </w:tcPr>
          <w:p>
            <w:pPr>
              <w:jc w:val="right"/>
              <w:ind w:right="10"/>
              <w:spacing w:after="0"/>
              <w:rPr>
                <w:sz w:val="20"/>
                <w:szCs w:val="20"/>
                <w:color w:val="auto"/>
              </w:rPr>
            </w:pPr>
            <w:r>
              <w:rPr>
                <w:rFonts w:ascii="Arial" w:cs="Arial" w:eastAsia="Arial" w:hAnsi="Arial"/>
                <w:sz w:val="18"/>
                <w:szCs w:val="18"/>
                <w:color w:val="auto"/>
              </w:rPr>
              <w:t>12 %</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11 %</w:t>
            </w:r>
          </w:p>
        </w:tc>
        <w:tc>
          <w:tcPr>
            <w:tcW w:w="0" w:type="dxa"/>
            <w:vAlign w:val="bottom"/>
          </w:tcPr>
          <w:p>
            <w:pPr>
              <w:spacing w:after="0"/>
              <w:rPr>
                <w:sz w:val="1"/>
                <w:szCs w:val="1"/>
                <w:color w:val="auto"/>
              </w:rPr>
            </w:pPr>
          </w:p>
        </w:tc>
      </w:tr>
      <w:tr>
        <w:trPr>
          <w:trHeight w:val="216"/>
        </w:trPr>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Corporate and Other</w:t>
            </w:r>
          </w:p>
        </w:tc>
        <w:tc>
          <w:tcPr>
            <w:tcW w:w="8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0 %</w:t>
            </w:r>
          </w:p>
        </w:tc>
        <w:tc>
          <w:tcPr>
            <w:tcW w:w="8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0 %</w:t>
            </w:r>
          </w:p>
        </w:tc>
        <w:tc>
          <w:tcPr>
            <w:tcW w:w="7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0 %</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0 %</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Key Performance Indicators</w:t>
      </w:r>
    </w:p>
    <w:p>
      <w:pPr>
        <w:spacing w:after="0" w:line="198" w:lineRule="exact"/>
        <w:rPr>
          <w:sz w:val="20"/>
          <w:szCs w:val="20"/>
          <w:color w:val="auto"/>
        </w:rPr>
      </w:pPr>
    </w:p>
    <w:p>
      <w:pPr>
        <w:ind w:right="239"/>
        <w:spacing w:after="0" w:line="259" w:lineRule="auto"/>
        <w:rPr>
          <w:sz w:val="20"/>
          <w:szCs w:val="20"/>
          <w:color w:val="auto"/>
        </w:rPr>
      </w:pPr>
      <w:r>
        <w:rPr>
          <w:rFonts w:ascii="Arial" w:cs="Arial" w:eastAsia="Arial" w:hAnsi="Arial"/>
          <w:sz w:val="18"/>
          <w:szCs w:val="18"/>
          <w:color w:val="auto"/>
        </w:rPr>
        <w:t>The operating results of our Hospitality segment are highly dependent on the volume of customers at our hotels and the quality of the customer mix at our hotels, which are managed by Marriott. These factors impact the price that Marriott can charge for our hotel rooms and other amenities, such as food and beverage and meeting space. The following key performance indicators are commonly used in the hospitality REIT industry:</w:t>
      </w:r>
    </w:p>
    <w:p>
      <w:pPr>
        <w:spacing w:after="0" w:line="146" w:lineRule="exact"/>
        <w:rPr>
          <w:sz w:val="20"/>
          <w:szCs w:val="20"/>
          <w:color w:val="auto"/>
        </w:rPr>
      </w:pPr>
    </w:p>
    <w:p>
      <w:pPr>
        <w:ind w:left="660" w:hanging="333"/>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hotel occupancy – a volume indicator;</w:t>
      </w:r>
    </w:p>
    <w:p>
      <w:pPr>
        <w:spacing w:after="0" w:line="184" w:lineRule="exact"/>
        <w:rPr>
          <w:rFonts w:ascii="Arial" w:cs="Arial" w:eastAsia="Arial" w:hAnsi="Arial"/>
          <w:sz w:val="18"/>
          <w:szCs w:val="18"/>
          <w:color w:val="auto"/>
        </w:rPr>
      </w:pPr>
    </w:p>
    <w:p>
      <w:pPr>
        <w:ind w:left="660" w:hanging="333"/>
        <w:spacing w:after="0"/>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average daily rate (“ADR”) – a price indicator calculated by dividing room revenue by the number of rooms sold;</w:t>
      </w:r>
    </w:p>
    <w:p>
      <w:pPr>
        <w:spacing w:after="0" w:line="207" w:lineRule="exact"/>
        <w:rPr>
          <w:rFonts w:ascii="Arial" w:cs="Arial" w:eastAsia="Arial" w:hAnsi="Arial"/>
          <w:sz w:val="16"/>
          <w:szCs w:val="16"/>
          <w:color w:val="auto"/>
        </w:rPr>
      </w:pPr>
    </w:p>
    <w:p>
      <w:pPr>
        <w:ind w:left="660" w:right="559" w:hanging="333"/>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Revenue per Available Room (“RevPAR”) –a summary measure of hotel results calculated by dividing room revenue by room nights available to guests for the period;</w:t>
      </w:r>
    </w:p>
    <w:p>
      <w:pPr>
        <w:spacing w:after="0" w:line="129" w:lineRule="exact"/>
        <w:rPr>
          <w:rFonts w:ascii="Arial" w:cs="Arial" w:eastAsia="Arial" w:hAnsi="Arial"/>
          <w:sz w:val="18"/>
          <w:szCs w:val="18"/>
          <w:color w:val="auto"/>
        </w:rPr>
      </w:pPr>
    </w:p>
    <w:p>
      <w:pPr>
        <w:ind w:left="660" w:right="119" w:hanging="333"/>
        <w:spacing w:after="0" w:line="264"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Total Revenue per Available Room (“Total RevPAR”) – a summary measure of hotel results calculated by dividing the sum of room, food and beverage and other ancillary service revenue by room nights available to guests for the period; and</w:t>
      </w:r>
    </w:p>
    <w:p>
      <w:pPr>
        <w:spacing w:after="0" w:line="140" w:lineRule="exact"/>
        <w:rPr>
          <w:rFonts w:ascii="Arial" w:cs="Arial" w:eastAsia="Arial" w:hAnsi="Arial"/>
          <w:sz w:val="18"/>
          <w:szCs w:val="18"/>
          <w:color w:val="auto"/>
        </w:rPr>
      </w:pPr>
    </w:p>
    <w:p>
      <w:pPr>
        <w:jc w:val="both"/>
        <w:ind w:left="660" w:right="279" w:hanging="333"/>
        <w:spacing w:after="0" w:line="264"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Net Definite Group Room Nights Booked – a volume indicator which represents, on an aggregate basis, the total number of definite group bookings for future room nights at our Gaylord Hotels properties confirmed during the applicable period, net of cancellations.</w:t>
      </w:r>
    </w:p>
    <w:p>
      <w:pPr>
        <w:spacing w:after="0" w:line="141" w:lineRule="exact"/>
        <w:rPr>
          <w:sz w:val="20"/>
          <w:szCs w:val="20"/>
          <w:color w:val="auto"/>
        </w:rPr>
      </w:pPr>
    </w:p>
    <w:p>
      <w:pPr>
        <w:ind w:right="59"/>
        <w:spacing w:after="0" w:line="290" w:lineRule="auto"/>
        <w:rPr>
          <w:sz w:val="20"/>
          <w:szCs w:val="20"/>
          <w:color w:val="auto"/>
        </w:rPr>
      </w:pPr>
      <w:r>
        <w:rPr>
          <w:rFonts w:ascii="Arial" w:cs="Arial" w:eastAsia="Arial" w:hAnsi="Arial"/>
          <w:sz w:val="16"/>
          <w:szCs w:val="16"/>
          <w:color w:val="auto"/>
        </w:rPr>
        <w:t>Hospitality segment revenue from our occupied hotel rooms is recognized over time as the daily hotel stay is provided to hotel groups and guests. Revenues from concessions, food and beverage sales, and group meeting services are recognized over the period or at the point in time those goods or services are delivered to the group or hotel guest. Revenues from ancillary services at our hotels, such as spa, parking, and transportation services, are generally recognized at the time the goods or services are provided. Cancellation fees, as well as attrition fees that are charged to groups when they do not fulfill the minimum number of room nights or minimum food and beverage spending requirements originally contracted for, are generally recognized as revenue in the period we determine it is probable that a significant reversal in the amount of revenue recognized will not occur, which is the period these fees are collected.</w:t>
      </w:r>
    </w:p>
    <w:p>
      <w:pPr>
        <w:spacing w:after="0" w:line="38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sectPr>
      </w:pPr>
    </w:p>
    <w:bookmarkStart w:id="27" w:name="page28"/>
    <w:bookmarkEnd w:id="2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Almost all of our Hospitality segment revenues are either cash-based or, for meeting and convention groups who meet our credit criteria, billed and collected on a short-term receivables basis. The hospitality industry is capital intensive, and we rely on the ability of our hotels to generate operating cash flow to repay debt financing and fund maintenance capital expenditures.</w:t>
      </w:r>
    </w:p>
    <w:p>
      <w:pPr>
        <w:spacing w:after="0" w:line="146"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results of operations of our Hospitality segment are affected by the number and type of group meetings and conventions scheduled to attend our hotels in a given period. A variety of factors can affect the results of any interim period, including the nature and quality of the group meetings and conventions attending our hotels during such period, which meetings and conventions have often been contracted for several years in advance, the level of attrition our hotels experience, and the level of transient business at our hotels during such period. We rely on Marriott, as the manager of our hotels, to manage these factors and to offset any identified shortfalls in occupancy.</w:t>
      </w:r>
    </w:p>
    <w:p>
      <w:pPr>
        <w:spacing w:after="0" w:line="3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28" w:name="page29"/>
    <w:bookmarkEnd w:id="2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Selected Financial Information</w:t>
      </w:r>
    </w:p>
    <w:p>
      <w:pPr>
        <w:spacing w:after="0" w:line="185"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The following table contains our unaudited selected summary financial data for the three months and nine months ended September 30, 2018 and 2017. The table also shows the percentage relationships to total revenues and, in the case of segment operating income, its relationship to segment revenues (in thousands, except percentages).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w w:val="93"/>
              </w:rPr>
              <w:t>Unaudited</w:t>
            </w: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w w:val="96"/>
              </w:rPr>
              <w:t>Unaudited</w:t>
            </w: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71"/>
        </w:trPr>
        <w:tc>
          <w:tcPr>
            <w:tcW w:w="22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940" w:type="dxa"/>
            <w:vAlign w:val="bottom"/>
            <w:gridSpan w:val="9"/>
          </w:tcPr>
          <w:p>
            <w:pPr>
              <w:jc w:val="center"/>
              <w:ind w:right="279"/>
              <w:spacing w:after="0"/>
              <w:rPr>
                <w:sz w:val="20"/>
                <w:szCs w:val="20"/>
                <w:color w:val="auto"/>
              </w:rPr>
            </w:pPr>
            <w:r>
              <w:rPr>
                <w:rFonts w:ascii="Arial" w:cs="Arial" w:eastAsia="Arial" w:hAnsi="Arial"/>
                <w:sz w:val="14"/>
                <w:szCs w:val="14"/>
                <w:b w:val="1"/>
                <w:bCs w:val="1"/>
                <w:color w:val="auto"/>
                <w:w w:val="93"/>
              </w:rPr>
              <w:t>Three Months Ended September 30,</w:t>
            </w:r>
          </w:p>
        </w:tc>
        <w:tc>
          <w:tcPr>
            <w:tcW w:w="3000" w:type="dxa"/>
            <w:vAlign w:val="bottom"/>
            <w:gridSpan w:val="9"/>
          </w:tcPr>
          <w:p>
            <w:pPr>
              <w:jc w:val="center"/>
              <w:ind w:right="99"/>
              <w:spacing w:after="0"/>
              <w:rPr>
                <w:sz w:val="20"/>
                <w:szCs w:val="20"/>
                <w:color w:val="auto"/>
              </w:rPr>
            </w:pPr>
            <w:r>
              <w:rPr>
                <w:rFonts w:ascii="Arial" w:cs="Arial" w:eastAsia="Arial" w:hAnsi="Arial"/>
                <w:sz w:val="14"/>
                <w:szCs w:val="14"/>
                <w:b w:val="1"/>
                <w:bCs w:val="1"/>
                <w:color w:val="auto"/>
                <w:w w:val="92"/>
              </w:rPr>
              <w:t>Nine Months Ended September 30,</w:t>
            </w:r>
          </w:p>
        </w:tc>
      </w:tr>
      <w:tr>
        <w:trPr>
          <w:trHeight w:val="142"/>
        </w:trPr>
        <w:tc>
          <w:tcPr>
            <w:tcW w:w="22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ind w:right="140"/>
              <w:spacing w:after="0" w:line="142" w:lineRule="exact"/>
              <w:rPr>
                <w:sz w:val="20"/>
                <w:szCs w:val="20"/>
                <w:color w:val="auto"/>
              </w:rPr>
            </w:pPr>
            <w:r>
              <w:rPr>
                <w:rFonts w:ascii="Arial" w:cs="Arial" w:eastAsia="Arial" w:hAnsi="Arial"/>
                <w:sz w:val="14"/>
                <w:szCs w:val="14"/>
                <w:b w:val="1"/>
                <w:bCs w:val="1"/>
                <w:color w:val="auto"/>
              </w:rPr>
              <w:t>2018</w:t>
            </w:r>
          </w:p>
        </w:tc>
        <w:tc>
          <w:tcPr>
            <w:tcW w:w="14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w:t>
            </w:r>
          </w:p>
        </w:tc>
        <w:tc>
          <w:tcPr>
            <w:tcW w:w="1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rPr>
              <w:t>2017</w:t>
            </w:r>
          </w:p>
        </w:tc>
        <w:tc>
          <w:tcPr>
            <w:tcW w:w="14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2"/>
                <w:szCs w:val="12"/>
                <w:color w:val="auto"/>
              </w:rPr>
            </w:pPr>
          </w:p>
        </w:tc>
        <w:tc>
          <w:tcPr>
            <w:tcW w:w="720" w:type="dxa"/>
            <w:vAlign w:val="bottom"/>
            <w:tcBorders>
              <w:top w:val="single" w:sz="8" w:color="auto"/>
            </w:tcBorders>
          </w:tcPr>
          <w:p>
            <w:pPr>
              <w:jc w:val="right"/>
              <w:ind w:right="140"/>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w:t>
            </w:r>
          </w:p>
        </w:tc>
        <w:tc>
          <w:tcPr>
            <w:tcW w:w="14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gridSpan w:val="2"/>
          </w:tcPr>
          <w:p>
            <w:pPr>
              <w:jc w:val="right"/>
              <w:ind w:right="139"/>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2"/>
                <w:szCs w:val="12"/>
                <w:color w:val="auto"/>
              </w:rPr>
            </w:pPr>
          </w:p>
        </w:tc>
      </w:tr>
      <w:tr>
        <w:trPr>
          <w:trHeight w:val="196"/>
        </w:trPr>
        <w:tc>
          <w:tcPr>
            <w:tcW w:w="28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6"/>
                <w:szCs w:val="16"/>
                <w:b w:val="1"/>
                <w:bCs w:val="1"/>
                <w:color w:val="auto"/>
              </w:rPr>
              <w:t>Income Statement Data:</w:t>
            </w: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r>
      <w:tr>
        <w:trPr>
          <w:trHeight w:val="203"/>
        </w:trPr>
        <w:tc>
          <w:tcPr>
            <w:tcW w:w="2820" w:type="dxa"/>
            <w:vAlign w:val="bottom"/>
            <w:gridSpan w:val="2"/>
          </w:tcPr>
          <w:p>
            <w:pPr>
              <w:spacing w:after="0"/>
              <w:rPr>
                <w:sz w:val="20"/>
                <w:szCs w:val="20"/>
                <w:color w:val="auto"/>
              </w:rPr>
            </w:pPr>
            <w:r>
              <w:rPr>
                <w:rFonts w:ascii="Arial" w:cs="Arial" w:eastAsia="Arial" w:hAnsi="Arial"/>
                <w:sz w:val="16"/>
                <w:szCs w:val="16"/>
                <w:color w:val="auto"/>
              </w:rPr>
              <w:t>REVENUES:</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3"/>
        </w:trPr>
        <w:tc>
          <w:tcPr>
            <w:tcW w:w="282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Rooms</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103,181</w:t>
            </w:r>
          </w:p>
        </w:tc>
        <w:tc>
          <w:tcPr>
            <w:tcW w:w="140" w:type="dxa"/>
            <w:vAlign w:val="bottom"/>
            <w:shd w:val="clear" w:color="auto" w:fill="CCEEFF"/>
          </w:tcPr>
          <w:p>
            <w:pPr>
              <w:spacing w:after="0"/>
              <w:rPr>
                <w:sz w:val="17"/>
                <w:szCs w:val="17"/>
                <w:color w:val="auto"/>
              </w:rPr>
            </w:pP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35.3 %$</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100,534</w:t>
            </w:r>
          </w:p>
        </w:tc>
        <w:tc>
          <w:tcPr>
            <w:tcW w:w="140" w:type="dxa"/>
            <w:vAlign w:val="bottom"/>
            <w:shd w:val="clear" w:color="auto" w:fill="CCEEFF"/>
          </w:tcPr>
          <w:p>
            <w:pPr>
              <w:spacing w:after="0"/>
              <w:rPr>
                <w:sz w:val="17"/>
                <w:szCs w:val="17"/>
                <w:color w:val="auto"/>
              </w:rPr>
            </w:pPr>
          </w:p>
        </w:tc>
        <w:tc>
          <w:tcPr>
            <w:tcW w:w="142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38.0 % $ 332,490</w:t>
            </w:r>
          </w:p>
        </w:tc>
        <w:tc>
          <w:tcPr>
            <w:tcW w:w="160" w:type="dxa"/>
            <w:vAlign w:val="bottom"/>
            <w:shd w:val="clear" w:color="auto" w:fill="CCEEFF"/>
          </w:tcPr>
          <w:p>
            <w:pPr>
              <w:spacing w:after="0"/>
              <w:rPr>
                <w:sz w:val="17"/>
                <w:szCs w:val="17"/>
                <w:color w:val="auto"/>
              </w:rPr>
            </w:pPr>
          </w:p>
        </w:tc>
        <w:tc>
          <w:tcPr>
            <w:tcW w:w="1340" w:type="dxa"/>
            <w:vAlign w:val="bottom"/>
            <w:gridSpan w:val="4"/>
            <w:shd w:val="clear" w:color="auto" w:fill="CCEEFF"/>
          </w:tcPr>
          <w:p>
            <w:pPr>
              <w:jc w:val="right"/>
              <w:spacing w:after="0"/>
              <w:rPr>
                <w:sz w:val="20"/>
                <w:szCs w:val="20"/>
                <w:color w:val="auto"/>
              </w:rPr>
            </w:pPr>
            <w:r>
              <w:rPr>
                <w:rFonts w:ascii="Arial" w:cs="Arial" w:eastAsia="Arial" w:hAnsi="Arial"/>
                <w:sz w:val="16"/>
                <w:szCs w:val="16"/>
                <w:color w:val="auto"/>
              </w:rPr>
              <w:t>36.4 %$ 314,577</w:t>
            </w:r>
          </w:p>
        </w:tc>
        <w:tc>
          <w:tcPr>
            <w:tcW w:w="16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37.5 %</w:t>
            </w:r>
          </w:p>
        </w:tc>
      </w:tr>
      <w:tr>
        <w:trPr>
          <w:trHeight w:val="203"/>
        </w:trPr>
        <w:tc>
          <w:tcPr>
            <w:tcW w:w="2820" w:type="dxa"/>
            <w:vAlign w:val="bottom"/>
            <w:gridSpan w:val="2"/>
          </w:tcPr>
          <w:p>
            <w:pPr>
              <w:ind w:left="120"/>
              <w:spacing w:after="0"/>
              <w:rPr>
                <w:sz w:val="20"/>
                <w:szCs w:val="20"/>
                <w:color w:val="auto"/>
              </w:rPr>
            </w:pPr>
            <w:r>
              <w:rPr>
                <w:rFonts w:ascii="Arial" w:cs="Arial" w:eastAsia="Arial" w:hAnsi="Arial"/>
                <w:sz w:val="16"/>
                <w:szCs w:val="16"/>
                <w:color w:val="auto"/>
              </w:rPr>
              <w:t>Food and beverage</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w w:val="93"/>
              </w:rPr>
              <w:t>118,496</w:t>
            </w:r>
          </w:p>
        </w:tc>
        <w:tc>
          <w:tcPr>
            <w:tcW w:w="140" w:type="dxa"/>
            <w:vAlign w:val="bottom"/>
          </w:tcPr>
          <w:p>
            <w:pPr>
              <w:spacing w:after="0"/>
              <w:rPr>
                <w:sz w:val="17"/>
                <w:szCs w:val="17"/>
                <w:color w:val="auto"/>
              </w:rPr>
            </w:pPr>
          </w:p>
        </w:tc>
        <w:tc>
          <w:tcPr>
            <w:tcW w:w="620" w:type="dxa"/>
            <w:vAlign w:val="bottom"/>
            <w:gridSpan w:val="2"/>
          </w:tcPr>
          <w:p>
            <w:pPr>
              <w:jc w:val="right"/>
              <w:spacing w:after="0"/>
              <w:rPr>
                <w:sz w:val="20"/>
                <w:szCs w:val="20"/>
                <w:color w:val="auto"/>
              </w:rPr>
            </w:pPr>
            <w:r>
              <w:rPr>
                <w:rFonts w:ascii="Arial" w:cs="Arial" w:eastAsia="Arial" w:hAnsi="Arial"/>
                <w:sz w:val="16"/>
                <w:szCs w:val="16"/>
                <w:color w:val="auto"/>
              </w:rPr>
              <w:t>40.5 %</w:t>
            </w: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w w:val="93"/>
              </w:rPr>
              <w:t>104,437</w:t>
            </w:r>
          </w:p>
        </w:tc>
        <w:tc>
          <w:tcPr>
            <w:tcW w:w="140" w:type="dxa"/>
            <w:vAlign w:val="bottom"/>
          </w:tcPr>
          <w:p>
            <w:pPr>
              <w:spacing w:after="0"/>
              <w:rPr>
                <w:sz w:val="17"/>
                <w:szCs w:val="17"/>
                <w:color w:val="auto"/>
              </w:rPr>
            </w:pPr>
          </w:p>
        </w:tc>
        <w:tc>
          <w:tcPr>
            <w:tcW w:w="700" w:type="dxa"/>
            <w:vAlign w:val="bottom"/>
            <w:gridSpan w:val="2"/>
          </w:tcPr>
          <w:p>
            <w:pPr>
              <w:jc w:val="right"/>
              <w:spacing w:after="0"/>
              <w:rPr>
                <w:sz w:val="20"/>
                <w:szCs w:val="20"/>
                <w:color w:val="auto"/>
              </w:rPr>
            </w:pPr>
            <w:r>
              <w:rPr>
                <w:rFonts w:ascii="Arial" w:cs="Arial" w:eastAsia="Arial" w:hAnsi="Arial"/>
                <w:sz w:val="16"/>
                <w:szCs w:val="16"/>
                <w:color w:val="auto"/>
              </w:rPr>
              <w:t>39.5 %</w:t>
            </w:r>
          </w:p>
        </w:tc>
        <w:tc>
          <w:tcPr>
            <w:tcW w:w="720" w:type="dxa"/>
            <w:vAlign w:val="bottom"/>
          </w:tcPr>
          <w:p>
            <w:pPr>
              <w:jc w:val="right"/>
              <w:spacing w:after="0"/>
              <w:rPr>
                <w:sz w:val="20"/>
                <w:szCs w:val="20"/>
                <w:color w:val="auto"/>
              </w:rPr>
            </w:pPr>
            <w:r>
              <w:rPr>
                <w:rFonts w:ascii="Arial" w:cs="Arial" w:eastAsia="Arial" w:hAnsi="Arial"/>
                <w:sz w:val="16"/>
                <w:szCs w:val="16"/>
                <w:color w:val="auto"/>
              </w:rPr>
              <w:t>392,488</w:t>
            </w:r>
          </w:p>
        </w:tc>
        <w:tc>
          <w:tcPr>
            <w:tcW w:w="160" w:type="dxa"/>
            <w:vAlign w:val="bottom"/>
          </w:tcPr>
          <w:p>
            <w:pPr>
              <w:spacing w:after="0"/>
              <w:rPr>
                <w:sz w:val="17"/>
                <w:szCs w:val="17"/>
                <w:color w:val="auto"/>
              </w:rPr>
            </w:pPr>
          </w:p>
        </w:tc>
        <w:tc>
          <w:tcPr>
            <w:tcW w:w="600" w:type="dxa"/>
            <w:vAlign w:val="bottom"/>
            <w:gridSpan w:val="2"/>
          </w:tcPr>
          <w:p>
            <w:pPr>
              <w:jc w:val="right"/>
              <w:spacing w:after="0"/>
              <w:rPr>
                <w:sz w:val="20"/>
                <w:szCs w:val="20"/>
                <w:color w:val="auto"/>
              </w:rPr>
            </w:pPr>
            <w:r>
              <w:rPr>
                <w:rFonts w:ascii="Arial" w:cs="Arial" w:eastAsia="Arial" w:hAnsi="Arial"/>
                <w:sz w:val="16"/>
                <w:szCs w:val="16"/>
                <w:color w:val="auto"/>
              </w:rPr>
              <w:t>42.9 %</w:t>
            </w:r>
          </w:p>
        </w:tc>
        <w:tc>
          <w:tcPr>
            <w:tcW w:w="740" w:type="dxa"/>
            <w:vAlign w:val="bottom"/>
            <w:gridSpan w:val="2"/>
          </w:tcPr>
          <w:p>
            <w:pPr>
              <w:jc w:val="right"/>
              <w:spacing w:after="0"/>
              <w:rPr>
                <w:sz w:val="20"/>
                <w:szCs w:val="20"/>
                <w:color w:val="auto"/>
              </w:rPr>
            </w:pPr>
            <w:r>
              <w:rPr>
                <w:rFonts w:ascii="Arial" w:cs="Arial" w:eastAsia="Arial" w:hAnsi="Arial"/>
                <w:sz w:val="16"/>
                <w:szCs w:val="16"/>
                <w:color w:val="auto"/>
              </w:rPr>
              <w:t>359,047</w:t>
            </w:r>
          </w:p>
        </w:tc>
        <w:tc>
          <w:tcPr>
            <w:tcW w:w="160" w:type="dxa"/>
            <w:vAlign w:val="bottom"/>
          </w:tcPr>
          <w:p>
            <w:pPr>
              <w:spacing w:after="0"/>
              <w:rPr>
                <w:sz w:val="17"/>
                <w:szCs w:val="17"/>
                <w:color w:val="auto"/>
              </w:rPr>
            </w:pPr>
          </w:p>
        </w:tc>
        <w:tc>
          <w:tcPr>
            <w:tcW w:w="620" w:type="dxa"/>
            <w:vAlign w:val="bottom"/>
            <w:gridSpan w:val="2"/>
          </w:tcPr>
          <w:p>
            <w:pPr>
              <w:jc w:val="right"/>
              <w:spacing w:after="0"/>
              <w:rPr>
                <w:sz w:val="20"/>
                <w:szCs w:val="20"/>
                <w:color w:val="auto"/>
              </w:rPr>
            </w:pPr>
            <w:r>
              <w:rPr>
                <w:rFonts w:ascii="Arial" w:cs="Arial" w:eastAsia="Arial" w:hAnsi="Arial"/>
                <w:sz w:val="16"/>
                <w:szCs w:val="16"/>
                <w:color w:val="auto"/>
              </w:rPr>
              <w:t>42.8 %</w:t>
            </w:r>
          </w:p>
        </w:tc>
      </w:tr>
      <w:tr>
        <w:trPr>
          <w:trHeight w:val="203"/>
        </w:trPr>
        <w:tc>
          <w:tcPr>
            <w:tcW w:w="282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Other hotel revenue</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27,563</w:t>
            </w:r>
          </w:p>
        </w:tc>
        <w:tc>
          <w:tcPr>
            <w:tcW w:w="14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9.4 %</w:t>
            </w: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24,619</w:t>
            </w:r>
          </w:p>
        </w:tc>
        <w:tc>
          <w:tcPr>
            <w:tcW w:w="14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9.3 %</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81,129</w:t>
            </w:r>
          </w:p>
        </w:tc>
        <w:tc>
          <w:tcPr>
            <w:tcW w:w="16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8.9 %</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73,493</w:t>
            </w:r>
          </w:p>
        </w:tc>
        <w:tc>
          <w:tcPr>
            <w:tcW w:w="16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8.8 %</w:t>
            </w:r>
          </w:p>
        </w:tc>
      </w:tr>
      <w:tr>
        <w:trPr>
          <w:trHeight w:val="203"/>
        </w:trPr>
        <w:tc>
          <w:tcPr>
            <w:tcW w:w="2820" w:type="dxa"/>
            <w:vAlign w:val="bottom"/>
            <w:gridSpan w:val="2"/>
          </w:tcPr>
          <w:p>
            <w:pPr>
              <w:ind w:left="120"/>
              <w:spacing w:after="0"/>
              <w:rPr>
                <w:sz w:val="20"/>
                <w:szCs w:val="20"/>
                <w:color w:val="auto"/>
              </w:rPr>
            </w:pPr>
            <w:r>
              <w:rPr>
                <w:rFonts w:ascii="Arial" w:cs="Arial" w:eastAsia="Arial" w:hAnsi="Arial"/>
                <w:sz w:val="16"/>
                <w:szCs w:val="16"/>
                <w:color w:val="auto"/>
              </w:rPr>
              <w:t>Entertainment</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43,009</w:t>
            </w:r>
          </w:p>
        </w:tc>
        <w:tc>
          <w:tcPr>
            <w:tcW w:w="140" w:type="dxa"/>
            <w:vAlign w:val="bottom"/>
          </w:tcPr>
          <w:p>
            <w:pPr>
              <w:spacing w:after="0"/>
              <w:rPr>
                <w:sz w:val="17"/>
                <w:szCs w:val="17"/>
                <w:color w:val="auto"/>
              </w:rPr>
            </w:pPr>
          </w:p>
        </w:tc>
        <w:tc>
          <w:tcPr>
            <w:tcW w:w="620" w:type="dxa"/>
            <w:vAlign w:val="bottom"/>
            <w:gridSpan w:val="2"/>
          </w:tcPr>
          <w:p>
            <w:pPr>
              <w:jc w:val="right"/>
              <w:spacing w:after="0"/>
              <w:rPr>
                <w:sz w:val="20"/>
                <w:szCs w:val="20"/>
                <w:color w:val="auto"/>
              </w:rPr>
            </w:pPr>
            <w:r>
              <w:rPr>
                <w:rFonts w:ascii="Arial" w:cs="Arial" w:eastAsia="Arial" w:hAnsi="Arial"/>
                <w:sz w:val="16"/>
                <w:szCs w:val="16"/>
                <w:color w:val="auto"/>
              </w:rPr>
              <w:t>14.7 %</w:t>
            </w: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35,134</w:t>
            </w:r>
          </w:p>
        </w:tc>
        <w:tc>
          <w:tcPr>
            <w:tcW w:w="140" w:type="dxa"/>
            <w:vAlign w:val="bottom"/>
          </w:tcPr>
          <w:p>
            <w:pPr>
              <w:spacing w:after="0"/>
              <w:rPr>
                <w:sz w:val="17"/>
                <w:szCs w:val="17"/>
                <w:color w:val="auto"/>
              </w:rPr>
            </w:pPr>
          </w:p>
        </w:tc>
        <w:tc>
          <w:tcPr>
            <w:tcW w:w="700" w:type="dxa"/>
            <w:vAlign w:val="bottom"/>
            <w:gridSpan w:val="2"/>
          </w:tcPr>
          <w:p>
            <w:pPr>
              <w:jc w:val="right"/>
              <w:spacing w:after="0"/>
              <w:rPr>
                <w:sz w:val="20"/>
                <w:szCs w:val="20"/>
                <w:color w:val="auto"/>
              </w:rPr>
            </w:pPr>
            <w:r>
              <w:rPr>
                <w:rFonts w:ascii="Arial" w:cs="Arial" w:eastAsia="Arial" w:hAnsi="Arial"/>
                <w:sz w:val="16"/>
                <w:szCs w:val="16"/>
                <w:color w:val="auto"/>
              </w:rPr>
              <w:t>13.3 %</w:t>
            </w:r>
          </w:p>
        </w:tc>
        <w:tc>
          <w:tcPr>
            <w:tcW w:w="720" w:type="dxa"/>
            <w:vAlign w:val="bottom"/>
          </w:tcPr>
          <w:p>
            <w:pPr>
              <w:jc w:val="right"/>
              <w:spacing w:after="0"/>
              <w:rPr>
                <w:sz w:val="20"/>
                <w:szCs w:val="20"/>
                <w:color w:val="auto"/>
              </w:rPr>
            </w:pPr>
            <w:r>
              <w:rPr>
                <w:rFonts w:ascii="Arial" w:cs="Arial" w:eastAsia="Arial" w:hAnsi="Arial"/>
                <w:sz w:val="16"/>
                <w:szCs w:val="16"/>
                <w:color w:val="auto"/>
              </w:rPr>
              <w:t>108,446</w:t>
            </w:r>
          </w:p>
        </w:tc>
        <w:tc>
          <w:tcPr>
            <w:tcW w:w="160" w:type="dxa"/>
            <w:vAlign w:val="bottom"/>
          </w:tcPr>
          <w:p>
            <w:pPr>
              <w:spacing w:after="0"/>
              <w:rPr>
                <w:sz w:val="17"/>
                <w:szCs w:val="17"/>
                <w:color w:val="auto"/>
              </w:rPr>
            </w:pPr>
          </w:p>
        </w:tc>
        <w:tc>
          <w:tcPr>
            <w:tcW w:w="600" w:type="dxa"/>
            <w:vAlign w:val="bottom"/>
            <w:gridSpan w:val="2"/>
          </w:tcPr>
          <w:p>
            <w:pPr>
              <w:jc w:val="right"/>
              <w:spacing w:after="0"/>
              <w:rPr>
                <w:sz w:val="20"/>
                <w:szCs w:val="20"/>
                <w:color w:val="auto"/>
              </w:rPr>
            </w:pPr>
            <w:r>
              <w:rPr>
                <w:rFonts w:ascii="Arial" w:cs="Arial" w:eastAsia="Arial" w:hAnsi="Arial"/>
                <w:sz w:val="16"/>
                <w:szCs w:val="16"/>
                <w:color w:val="auto"/>
              </w:rPr>
              <w:t>11.9 %</w:t>
            </w:r>
          </w:p>
        </w:tc>
        <w:tc>
          <w:tcPr>
            <w:tcW w:w="740" w:type="dxa"/>
            <w:vAlign w:val="bottom"/>
            <w:gridSpan w:val="2"/>
          </w:tcPr>
          <w:p>
            <w:pPr>
              <w:jc w:val="right"/>
              <w:spacing w:after="0"/>
              <w:rPr>
                <w:sz w:val="20"/>
                <w:szCs w:val="20"/>
                <w:color w:val="auto"/>
              </w:rPr>
            </w:pPr>
            <w:r>
              <w:rPr>
                <w:rFonts w:ascii="Arial" w:cs="Arial" w:eastAsia="Arial" w:hAnsi="Arial"/>
                <w:sz w:val="16"/>
                <w:szCs w:val="16"/>
                <w:color w:val="auto"/>
              </w:rPr>
              <w:t>92,427</w:t>
            </w:r>
          </w:p>
        </w:tc>
        <w:tc>
          <w:tcPr>
            <w:tcW w:w="160" w:type="dxa"/>
            <w:vAlign w:val="bottom"/>
          </w:tcPr>
          <w:p>
            <w:pPr>
              <w:spacing w:after="0"/>
              <w:rPr>
                <w:sz w:val="17"/>
                <w:szCs w:val="17"/>
                <w:color w:val="auto"/>
              </w:rPr>
            </w:pPr>
          </w:p>
        </w:tc>
        <w:tc>
          <w:tcPr>
            <w:tcW w:w="620" w:type="dxa"/>
            <w:vAlign w:val="bottom"/>
            <w:gridSpan w:val="2"/>
          </w:tcPr>
          <w:p>
            <w:pPr>
              <w:jc w:val="right"/>
              <w:spacing w:after="0"/>
              <w:rPr>
                <w:sz w:val="20"/>
                <w:szCs w:val="20"/>
                <w:color w:val="auto"/>
              </w:rPr>
            </w:pPr>
            <w:r>
              <w:rPr>
                <w:rFonts w:ascii="Arial" w:cs="Arial" w:eastAsia="Arial" w:hAnsi="Arial"/>
                <w:sz w:val="16"/>
                <w:szCs w:val="16"/>
                <w:color w:val="auto"/>
              </w:rPr>
              <w:t>11.0 %</w:t>
            </w:r>
          </w:p>
        </w:tc>
      </w:tr>
      <w:tr>
        <w:trPr>
          <w:trHeight w:val="196"/>
        </w:trPr>
        <w:tc>
          <w:tcPr>
            <w:tcW w:w="2820" w:type="dxa"/>
            <w:vAlign w:val="bottom"/>
            <w:tcBorders>
              <w:top w:val="single" w:sz="8" w:color="CCEEFF"/>
            </w:tcBorders>
            <w:gridSpan w:val="2"/>
            <w:shd w:val="clear" w:color="auto" w:fill="CCEEFF"/>
          </w:tcPr>
          <w:p>
            <w:pPr>
              <w:ind w:left="220"/>
              <w:spacing w:after="0"/>
              <w:rPr>
                <w:sz w:val="20"/>
                <w:szCs w:val="20"/>
                <w:color w:val="auto"/>
              </w:rPr>
            </w:pPr>
            <w:r>
              <w:rPr>
                <w:rFonts w:ascii="Arial" w:cs="Arial" w:eastAsia="Arial" w:hAnsi="Arial"/>
                <w:sz w:val="16"/>
                <w:szCs w:val="16"/>
                <w:color w:val="auto"/>
              </w:rPr>
              <w:t>Total revenues</w:t>
            </w: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3"/>
              </w:rPr>
              <w:t>292,249</w:t>
            </w:r>
          </w:p>
        </w:tc>
        <w:tc>
          <w:tcPr>
            <w:tcW w:w="14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9"/>
              </w:rPr>
              <w:t>100.0</w:t>
            </w:r>
          </w:p>
        </w:tc>
        <w:tc>
          <w:tcPr>
            <w:tcW w:w="140" w:type="dxa"/>
            <w:vAlign w:val="bottom"/>
            <w:tcBorders>
              <w:top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4"/>
              </w:rPr>
              <w:t>%</w:t>
            </w: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3"/>
              </w:rPr>
              <w:t>264,724</w:t>
            </w:r>
          </w:p>
        </w:tc>
        <w:tc>
          <w:tcPr>
            <w:tcW w:w="14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9"/>
              </w:rPr>
              <w:t>100.0</w:t>
            </w:r>
          </w:p>
        </w:tc>
        <w:tc>
          <w:tcPr>
            <w:tcW w:w="2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4"/>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914,553</w:t>
            </w:r>
          </w:p>
        </w:tc>
        <w:tc>
          <w:tcPr>
            <w:tcW w:w="16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4"/>
              </w:rPr>
              <w:t>100.0</w:t>
            </w:r>
          </w:p>
        </w:tc>
        <w:tc>
          <w:tcPr>
            <w:tcW w:w="140" w:type="dxa"/>
            <w:vAlign w:val="bottom"/>
            <w:tcBorders>
              <w:top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8"/>
              </w:rPr>
              <w:t>%</w:t>
            </w:r>
          </w:p>
        </w:tc>
        <w:tc>
          <w:tcPr>
            <w:tcW w:w="2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839,544</w:t>
            </w:r>
          </w:p>
        </w:tc>
        <w:tc>
          <w:tcPr>
            <w:tcW w:w="16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1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4"/>
              </w:rPr>
              <w:t>%</w:t>
            </w:r>
          </w:p>
        </w:tc>
      </w:tr>
      <w:tr>
        <w:trPr>
          <w:trHeight w:val="193"/>
        </w:trPr>
        <w:tc>
          <w:tcPr>
            <w:tcW w:w="2820" w:type="dxa"/>
            <w:vAlign w:val="bottom"/>
            <w:gridSpan w:val="2"/>
          </w:tcPr>
          <w:p>
            <w:pPr>
              <w:spacing w:after="0"/>
              <w:rPr>
                <w:sz w:val="20"/>
                <w:szCs w:val="20"/>
                <w:color w:val="auto"/>
              </w:rPr>
            </w:pPr>
            <w:r>
              <w:rPr>
                <w:rFonts w:ascii="Arial" w:cs="Arial" w:eastAsia="Arial" w:hAnsi="Arial"/>
                <w:sz w:val="16"/>
                <w:szCs w:val="16"/>
                <w:color w:val="auto"/>
              </w:rPr>
              <w:t>OPERATING EXPENSES:</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206"/>
        </w:trPr>
        <w:tc>
          <w:tcPr>
            <w:tcW w:w="282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Rooms</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29,563</w:t>
            </w:r>
          </w:p>
        </w:tc>
        <w:tc>
          <w:tcPr>
            <w:tcW w:w="14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10.1 %</w:t>
            </w: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27,575</w:t>
            </w:r>
          </w:p>
        </w:tc>
        <w:tc>
          <w:tcPr>
            <w:tcW w:w="14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10.4 %</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88,550</w:t>
            </w:r>
          </w:p>
        </w:tc>
        <w:tc>
          <w:tcPr>
            <w:tcW w:w="16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9.7 %</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83,962</w:t>
            </w:r>
          </w:p>
        </w:tc>
        <w:tc>
          <w:tcPr>
            <w:tcW w:w="16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10.0 %</w:t>
            </w:r>
          </w:p>
        </w:tc>
      </w:tr>
      <w:tr>
        <w:trPr>
          <w:trHeight w:val="203"/>
        </w:trPr>
        <w:tc>
          <w:tcPr>
            <w:tcW w:w="2820" w:type="dxa"/>
            <w:vAlign w:val="bottom"/>
            <w:gridSpan w:val="2"/>
          </w:tcPr>
          <w:p>
            <w:pPr>
              <w:ind w:left="120"/>
              <w:spacing w:after="0"/>
              <w:rPr>
                <w:sz w:val="20"/>
                <w:szCs w:val="20"/>
                <w:color w:val="auto"/>
              </w:rPr>
            </w:pPr>
            <w:r>
              <w:rPr>
                <w:rFonts w:ascii="Arial" w:cs="Arial" w:eastAsia="Arial" w:hAnsi="Arial"/>
                <w:sz w:val="16"/>
                <w:szCs w:val="16"/>
                <w:color w:val="auto"/>
              </w:rPr>
              <w:t>Food and beverage</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67,305</w:t>
            </w:r>
          </w:p>
        </w:tc>
        <w:tc>
          <w:tcPr>
            <w:tcW w:w="140" w:type="dxa"/>
            <w:vAlign w:val="bottom"/>
          </w:tcPr>
          <w:p>
            <w:pPr>
              <w:spacing w:after="0"/>
              <w:rPr>
                <w:sz w:val="17"/>
                <w:szCs w:val="17"/>
                <w:color w:val="auto"/>
              </w:rPr>
            </w:pPr>
          </w:p>
        </w:tc>
        <w:tc>
          <w:tcPr>
            <w:tcW w:w="620" w:type="dxa"/>
            <w:vAlign w:val="bottom"/>
            <w:gridSpan w:val="2"/>
          </w:tcPr>
          <w:p>
            <w:pPr>
              <w:jc w:val="right"/>
              <w:spacing w:after="0"/>
              <w:rPr>
                <w:sz w:val="20"/>
                <w:szCs w:val="20"/>
                <w:color w:val="auto"/>
              </w:rPr>
            </w:pPr>
            <w:r>
              <w:rPr>
                <w:rFonts w:ascii="Arial" w:cs="Arial" w:eastAsia="Arial" w:hAnsi="Arial"/>
                <w:sz w:val="16"/>
                <w:szCs w:val="16"/>
                <w:color w:val="auto"/>
              </w:rPr>
              <w:t>23.0 %</w:t>
            </w: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62,649</w:t>
            </w:r>
          </w:p>
        </w:tc>
        <w:tc>
          <w:tcPr>
            <w:tcW w:w="140" w:type="dxa"/>
            <w:vAlign w:val="bottom"/>
          </w:tcPr>
          <w:p>
            <w:pPr>
              <w:spacing w:after="0"/>
              <w:rPr>
                <w:sz w:val="17"/>
                <w:szCs w:val="17"/>
                <w:color w:val="auto"/>
              </w:rPr>
            </w:pPr>
          </w:p>
        </w:tc>
        <w:tc>
          <w:tcPr>
            <w:tcW w:w="700" w:type="dxa"/>
            <w:vAlign w:val="bottom"/>
            <w:gridSpan w:val="2"/>
          </w:tcPr>
          <w:p>
            <w:pPr>
              <w:jc w:val="right"/>
              <w:spacing w:after="0"/>
              <w:rPr>
                <w:sz w:val="20"/>
                <w:szCs w:val="20"/>
                <w:color w:val="auto"/>
              </w:rPr>
            </w:pPr>
            <w:r>
              <w:rPr>
                <w:rFonts w:ascii="Arial" w:cs="Arial" w:eastAsia="Arial" w:hAnsi="Arial"/>
                <w:sz w:val="16"/>
                <w:szCs w:val="16"/>
                <w:color w:val="auto"/>
              </w:rPr>
              <w:t>23.7 %</w:t>
            </w:r>
          </w:p>
        </w:tc>
        <w:tc>
          <w:tcPr>
            <w:tcW w:w="720" w:type="dxa"/>
            <w:vAlign w:val="bottom"/>
          </w:tcPr>
          <w:p>
            <w:pPr>
              <w:jc w:val="right"/>
              <w:spacing w:after="0"/>
              <w:rPr>
                <w:sz w:val="20"/>
                <w:szCs w:val="20"/>
                <w:color w:val="auto"/>
              </w:rPr>
            </w:pPr>
            <w:r>
              <w:rPr>
                <w:rFonts w:ascii="Arial" w:cs="Arial" w:eastAsia="Arial" w:hAnsi="Arial"/>
                <w:sz w:val="16"/>
                <w:szCs w:val="16"/>
                <w:color w:val="auto"/>
              </w:rPr>
              <w:t>211,677</w:t>
            </w:r>
          </w:p>
        </w:tc>
        <w:tc>
          <w:tcPr>
            <w:tcW w:w="160" w:type="dxa"/>
            <w:vAlign w:val="bottom"/>
          </w:tcPr>
          <w:p>
            <w:pPr>
              <w:spacing w:after="0"/>
              <w:rPr>
                <w:sz w:val="17"/>
                <w:szCs w:val="17"/>
                <w:color w:val="auto"/>
              </w:rPr>
            </w:pPr>
          </w:p>
        </w:tc>
        <w:tc>
          <w:tcPr>
            <w:tcW w:w="600" w:type="dxa"/>
            <w:vAlign w:val="bottom"/>
            <w:gridSpan w:val="2"/>
          </w:tcPr>
          <w:p>
            <w:pPr>
              <w:jc w:val="right"/>
              <w:spacing w:after="0"/>
              <w:rPr>
                <w:sz w:val="20"/>
                <w:szCs w:val="20"/>
                <w:color w:val="auto"/>
              </w:rPr>
            </w:pPr>
            <w:r>
              <w:rPr>
                <w:rFonts w:ascii="Arial" w:cs="Arial" w:eastAsia="Arial" w:hAnsi="Arial"/>
                <w:sz w:val="16"/>
                <w:szCs w:val="16"/>
                <w:color w:val="auto"/>
              </w:rPr>
              <w:t>23.1 %</w:t>
            </w:r>
          </w:p>
        </w:tc>
        <w:tc>
          <w:tcPr>
            <w:tcW w:w="740" w:type="dxa"/>
            <w:vAlign w:val="bottom"/>
            <w:gridSpan w:val="2"/>
          </w:tcPr>
          <w:p>
            <w:pPr>
              <w:jc w:val="right"/>
              <w:spacing w:after="0"/>
              <w:rPr>
                <w:sz w:val="20"/>
                <w:szCs w:val="20"/>
                <w:color w:val="auto"/>
              </w:rPr>
            </w:pPr>
            <w:r>
              <w:rPr>
                <w:rFonts w:ascii="Arial" w:cs="Arial" w:eastAsia="Arial" w:hAnsi="Arial"/>
                <w:sz w:val="16"/>
                <w:szCs w:val="16"/>
                <w:color w:val="auto"/>
              </w:rPr>
              <w:t>200,091</w:t>
            </w:r>
          </w:p>
        </w:tc>
        <w:tc>
          <w:tcPr>
            <w:tcW w:w="160" w:type="dxa"/>
            <w:vAlign w:val="bottom"/>
          </w:tcPr>
          <w:p>
            <w:pPr>
              <w:spacing w:after="0"/>
              <w:rPr>
                <w:sz w:val="17"/>
                <w:szCs w:val="17"/>
                <w:color w:val="auto"/>
              </w:rPr>
            </w:pPr>
          </w:p>
        </w:tc>
        <w:tc>
          <w:tcPr>
            <w:tcW w:w="620" w:type="dxa"/>
            <w:vAlign w:val="bottom"/>
            <w:gridSpan w:val="2"/>
          </w:tcPr>
          <w:p>
            <w:pPr>
              <w:jc w:val="right"/>
              <w:spacing w:after="0"/>
              <w:rPr>
                <w:sz w:val="20"/>
                <w:szCs w:val="20"/>
                <w:color w:val="auto"/>
              </w:rPr>
            </w:pPr>
            <w:r>
              <w:rPr>
                <w:rFonts w:ascii="Arial" w:cs="Arial" w:eastAsia="Arial" w:hAnsi="Arial"/>
                <w:sz w:val="16"/>
                <w:szCs w:val="16"/>
                <w:color w:val="auto"/>
              </w:rPr>
              <w:t>23.8 %</w:t>
            </w:r>
          </w:p>
        </w:tc>
      </w:tr>
      <w:tr>
        <w:trPr>
          <w:trHeight w:val="203"/>
        </w:trPr>
        <w:tc>
          <w:tcPr>
            <w:tcW w:w="282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Other hotel expenses</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74,350</w:t>
            </w:r>
          </w:p>
        </w:tc>
        <w:tc>
          <w:tcPr>
            <w:tcW w:w="14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25.4 %</w:t>
            </w: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72,299</w:t>
            </w:r>
          </w:p>
        </w:tc>
        <w:tc>
          <w:tcPr>
            <w:tcW w:w="14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27.3 %</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226,965</w:t>
            </w:r>
          </w:p>
        </w:tc>
        <w:tc>
          <w:tcPr>
            <w:tcW w:w="16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24.8 %</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220,073</w:t>
            </w:r>
          </w:p>
        </w:tc>
        <w:tc>
          <w:tcPr>
            <w:tcW w:w="16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26.2 %</w:t>
            </w:r>
          </w:p>
        </w:tc>
      </w:tr>
      <w:tr>
        <w:trPr>
          <w:trHeight w:val="203"/>
        </w:trPr>
        <w:tc>
          <w:tcPr>
            <w:tcW w:w="2820" w:type="dxa"/>
            <w:vAlign w:val="bottom"/>
            <w:gridSpan w:val="2"/>
          </w:tcPr>
          <w:p>
            <w:pPr>
              <w:ind w:left="120"/>
              <w:spacing w:after="0"/>
              <w:rPr>
                <w:sz w:val="20"/>
                <w:szCs w:val="20"/>
                <w:color w:val="auto"/>
              </w:rPr>
            </w:pPr>
            <w:r>
              <w:rPr>
                <w:rFonts w:ascii="Arial" w:cs="Arial" w:eastAsia="Arial" w:hAnsi="Arial"/>
                <w:sz w:val="16"/>
                <w:szCs w:val="16"/>
                <w:color w:val="auto"/>
              </w:rPr>
              <w:t>Hotel management fees, net</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6,558</w:t>
            </w:r>
          </w:p>
        </w:tc>
        <w:tc>
          <w:tcPr>
            <w:tcW w:w="140" w:type="dxa"/>
            <w:vAlign w:val="bottom"/>
          </w:tcPr>
          <w:p>
            <w:pPr>
              <w:spacing w:after="0"/>
              <w:rPr>
                <w:sz w:val="17"/>
                <w:szCs w:val="17"/>
                <w:color w:val="auto"/>
              </w:rPr>
            </w:pPr>
          </w:p>
        </w:tc>
        <w:tc>
          <w:tcPr>
            <w:tcW w:w="620" w:type="dxa"/>
            <w:vAlign w:val="bottom"/>
            <w:gridSpan w:val="2"/>
          </w:tcPr>
          <w:p>
            <w:pPr>
              <w:jc w:val="right"/>
              <w:spacing w:after="0"/>
              <w:rPr>
                <w:sz w:val="20"/>
                <w:szCs w:val="20"/>
                <w:color w:val="auto"/>
              </w:rPr>
            </w:pPr>
            <w:r>
              <w:rPr>
                <w:rFonts w:ascii="Arial" w:cs="Arial" w:eastAsia="Arial" w:hAnsi="Arial"/>
                <w:sz w:val="16"/>
                <w:szCs w:val="16"/>
                <w:color w:val="auto"/>
              </w:rPr>
              <w:t>2.2 %</w:t>
            </w: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4,708</w:t>
            </w:r>
          </w:p>
        </w:tc>
        <w:tc>
          <w:tcPr>
            <w:tcW w:w="140" w:type="dxa"/>
            <w:vAlign w:val="bottom"/>
          </w:tcPr>
          <w:p>
            <w:pPr>
              <w:spacing w:after="0"/>
              <w:rPr>
                <w:sz w:val="17"/>
                <w:szCs w:val="17"/>
                <w:color w:val="auto"/>
              </w:rPr>
            </w:pPr>
          </w:p>
        </w:tc>
        <w:tc>
          <w:tcPr>
            <w:tcW w:w="700" w:type="dxa"/>
            <w:vAlign w:val="bottom"/>
            <w:gridSpan w:val="2"/>
          </w:tcPr>
          <w:p>
            <w:pPr>
              <w:jc w:val="right"/>
              <w:spacing w:after="0"/>
              <w:rPr>
                <w:sz w:val="20"/>
                <w:szCs w:val="20"/>
                <w:color w:val="auto"/>
              </w:rPr>
            </w:pPr>
            <w:r>
              <w:rPr>
                <w:rFonts w:ascii="Arial" w:cs="Arial" w:eastAsia="Arial" w:hAnsi="Arial"/>
                <w:sz w:val="16"/>
                <w:szCs w:val="16"/>
                <w:color w:val="auto"/>
              </w:rPr>
              <w:t>1.8 %</w:t>
            </w:r>
          </w:p>
        </w:tc>
        <w:tc>
          <w:tcPr>
            <w:tcW w:w="720" w:type="dxa"/>
            <w:vAlign w:val="bottom"/>
          </w:tcPr>
          <w:p>
            <w:pPr>
              <w:jc w:val="right"/>
              <w:spacing w:after="0"/>
              <w:rPr>
                <w:sz w:val="20"/>
                <w:szCs w:val="20"/>
                <w:color w:val="auto"/>
              </w:rPr>
            </w:pPr>
            <w:r>
              <w:rPr>
                <w:rFonts w:ascii="Arial" w:cs="Arial" w:eastAsia="Arial" w:hAnsi="Arial"/>
                <w:sz w:val="16"/>
                <w:szCs w:val="16"/>
                <w:color w:val="auto"/>
              </w:rPr>
              <w:t>22,323</w:t>
            </w:r>
          </w:p>
        </w:tc>
        <w:tc>
          <w:tcPr>
            <w:tcW w:w="160" w:type="dxa"/>
            <w:vAlign w:val="bottom"/>
          </w:tcPr>
          <w:p>
            <w:pPr>
              <w:spacing w:after="0"/>
              <w:rPr>
                <w:sz w:val="17"/>
                <w:szCs w:val="17"/>
                <w:color w:val="auto"/>
              </w:rPr>
            </w:pPr>
          </w:p>
        </w:tc>
        <w:tc>
          <w:tcPr>
            <w:tcW w:w="600" w:type="dxa"/>
            <w:vAlign w:val="bottom"/>
            <w:gridSpan w:val="2"/>
          </w:tcPr>
          <w:p>
            <w:pPr>
              <w:jc w:val="right"/>
              <w:spacing w:after="0"/>
              <w:rPr>
                <w:sz w:val="20"/>
                <w:szCs w:val="20"/>
                <w:color w:val="auto"/>
              </w:rPr>
            </w:pPr>
            <w:r>
              <w:rPr>
                <w:rFonts w:ascii="Arial" w:cs="Arial" w:eastAsia="Arial" w:hAnsi="Arial"/>
                <w:sz w:val="16"/>
                <w:szCs w:val="16"/>
                <w:color w:val="auto"/>
              </w:rPr>
              <w:t>2.4 %</w:t>
            </w:r>
          </w:p>
        </w:tc>
        <w:tc>
          <w:tcPr>
            <w:tcW w:w="740" w:type="dxa"/>
            <w:vAlign w:val="bottom"/>
            <w:gridSpan w:val="2"/>
          </w:tcPr>
          <w:p>
            <w:pPr>
              <w:jc w:val="right"/>
              <w:spacing w:after="0"/>
              <w:rPr>
                <w:sz w:val="20"/>
                <w:szCs w:val="20"/>
                <w:color w:val="auto"/>
              </w:rPr>
            </w:pPr>
            <w:r>
              <w:rPr>
                <w:rFonts w:ascii="Arial" w:cs="Arial" w:eastAsia="Arial" w:hAnsi="Arial"/>
                <w:sz w:val="16"/>
                <w:szCs w:val="16"/>
                <w:color w:val="auto"/>
              </w:rPr>
              <w:t>16,417</w:t>
            </w:r>
          </w:p>
        </w:tc>
        <w:tc>
          <w:tcPr>
            <w:tcW w:w="160" w:type="dxa"/>
            <w:vAlign w:val="bottom"/>
          </w:tcPr>
          <w:p>
            <w:pPr>
              <w:spacing w:after="0"/>
              <w:rPr>
                <w:sz w:val="17"/>
                <w:szCs w:val="17"/>
                <w:color w:val="auto"/>
              </w:rPr>
            </w:pPr>
          </w:p>
        </w:tc>
        <w:tc>
          <w:tcPr>
            <w:tcW w:w="620" w:type="dxa"/>
            <w:vAlign w:val="bottom"/>
            <w:gridSpan w:val="2"/>
          </w:tcPr>
          <w:p>
            <w:pPr>
              <w:jc w:val="right"/>
              <w:spacing w:after="0"/>
              <w:rPr>
                <w:sz w:val="20"/>
                <w:szCs w:val="20"/>
                <w:color w:val="auto"/>
              </w:rPr>
            </w:pPr>
            <w:r>
              <w:rPr>
                <w:rFonts w:ascii="Arial" w:cs="Arial" w:eastAsia="Arial" w:hAnsi="Arial"/>
                <w:sz w:val="16"/>
                <w:szCs w:val="16"/>
                <w:color w:val="auto"/>
              </w:rPr>
              <w:t>2.0 %</w:t>
            </w:r>
          </w:p>
        </w:tc>
      </w:tr>
      <w:tr>
        <w:trPr>
          <w:trHeight w:val="203"/>
        </w:trPr>
        <w:tc>
          <w:tcPr>
            <w:tcW w:w="282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Entertainment</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31,327</w:t>
            </w:r>
          </w:p>
        </w:tc>
        <w:tc>
          <w:tcPr>
            <w:tcW w:w="14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10.7 %</w:t>
            </w: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22,651</w:t>
            </w:r>
          </w:p>
        </w:tc>
        <w:tc>
          <w:tcPr>
            <w:tcW w:w="14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8.6 %</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80,947</w:t>
            </w:r>
          </w:p>
        </w:tc>
        <w:tc>
          <w:tcPr>
            <w:tcW w:w="16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8.9 %</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61,637</w:t>
            </w:r>
          </w:p>
        </w:tc>
        <w:tc>
          <w:tcPr>
            <w:tcW w:w="16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7.3 %</w:t>
            </w:r>
          </w:p>
        </w:tc>
      </w:tr>
      <w:tr>
        <w:trPr>
          <w:trHeight w:val="203"/>
        </w:trPr>
        <w:tc>
          <w:tcPr>
            <w:tcW w:w="2820" w:type="dxa"/>
            <w:vAlign w:val="bottom"/>
            <w:gridSpan w:val="2"/>
          </w:tcPr>
          <w:p>
            <w:pPr>
              <w:ind w:left="120"/>
              <w:spacing w:after="0"/>
              <w:rPr>
                <w:sz w:val="20"/>
                <w:szCs w:val="20"/>
                <w:color w:val="auto"/>
              </w:rPr>
            </w:pPr>
            <w:r>
              <w:rPr>
                <w:rFonts w:ascii="Arial" w:cs="Arial" w:eastAsia="Arial" w:hAnsi="Arial"/>
                <w:sz w:val="16"/>
                <w:szCs w:val="16"/>
                <w:color w:val="auto"/>
              </w:rPr>
              <w:t>Corporate</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7,212</w:t>
            </w:r>
          </w:p>
        </w:tc>
        <w:tc>
          <w:tcPr>
            <w:tcW w:w="140" w:type="dxa"/>
            <w:vAlign w:val="bottom"/>
          </w:tcPr>
          <w:p>
            <w:pPr>
              <w:spacing w:after="0"/>
              <w:rPr>
                <w:sz w:val="17"/>
                <w:szCs w:val="17"/>
                <w:color w:val="auto"/>
              </w:rPr>
            </w:pPr>
          </w:p>
        </w:tc>
        <w:tc>
          <w:tcPr>
            <w:tcW w:w="620" w:type="dxa"/>
            <w:vAlign w:val="bottom"/>
            <w:gridSpan w:val="2"/>
          </w:tcPr>
          <w:p>
            <w:pPr>
              <w:jc w:val="right"/>
              <w:spacing w:after="0"/>
              <w:rPr>
                <w:sz w:val="20"/>
                <w:szCs w:val="20"/>
                <w:color w:val="auto"/>
              </w:rPr>
            </w:pPr>
            <w:r>
              <w:rPr>
                <w:rFonts w:ascii="Arial" w:cs="Arial" w:eastAsia="Arial" w:hAnsi="Arial"/>
                <w:sz w:val="16"/>
                <w:szCs w:val="16"/>
                <w:color w:val="auto"/>
              </w:rPr>
              <w:t>2.5 %</w:t>
            </w: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7,909</w:t>
            </w:r>
          </w:p>
        </w:tc>
        <w:tc>
          <w:tcPr>
            <w:tcW w:w="140" w:type="dxa"/>
            <w:vAlign w:val="bottom"/>
          </w:tcPr>
          <w:p>
            <w:pPr>
              <w:spacing w:after="0"/>
              <w:rPr>
                <w:sz w:val="17"/>
                <w:szCs w:val="17"/>
                <w:color w:val="auto"/>
              </w:rPr>
            </w:pPr>
          </w:p>
        </w:tc>
        <w:tc>
          <w:tcPr>
            <w:tcW w:w="700" w:type="dxa"/>
            <w:vAlign w:val="bottom"/>
            <w:gridSpan w:val="2"/>
          </w:tcPr>
          <w:p>
            <w:pPr>
              <w:jc w:val="right"/>
              <w:spacing w:after="0"/>
              <w:rPr>
                <w:sz w:val="20"/>
                <w:szCs w:val="20"/>
                <w:color w:val="auto"/>
              </w:rPr>
            </w:pPr>
            <w:r>
              <w:rPr>
                <w:rFonts w:ascii="Arial" w:cs="Arial" w:eastAsia="Arial" w:hAnsi="Arial"/>
                <w:sz w:val="16"/>
                <w:szCs w:val="16"/>
                <w:color w:val="auto"/>
              </w:rPr>
              <w:t>3.0 %</w:t>
            </w:r>
          </w:p>
        </w:tc>
        <w:tc>
          <w:tcPr>
            <w:tcW w:w="720" w:type="dxa"/>
            <w:vAlign w:val="bottom"/>
          </w:tcPr>
          <w:p>
            <w:pPr>
              <w:jc w:val="right"/>
              <w:spacing w:after="0"/>
              <w:rPr>
                <w:sz w:val="20"/>
                <w:szCs w:val="20"/>
                <w:color w:val="auto"/>
              </w:rPr>
            </w:pPr>
            <w:r>
              <w:rPr>
                <w:rFonts w:ascii="Arial" w:cs="Arial" w:eastAsia="Arial" w:hAnsi="Arial"/>
                <w:sz w:val="16"/>
                <w:szCs w:val="16"/>
                <w:color w:val="auto"/>
              </w:rPr>
              <w:t>23,181</w:t>
            </w:r>
          </w:p>
        </w:tc>
        <w:tc>
          <w:tcPr>
            <w:tcW w:w="160" w:type="dxa"/>
            <w:vAlign w:val="bottom"/>
          </w:tcPr>
          <w:p>
            <w:pPr>
              <w:spacing w:after="0"/>
              <w:rPr>
                <w:sz w:val="17"/>
                <w:szCs w:val="17"/>
                <w:color w:val="auto"/>
              </w:rPr>
            </w:pPr>
          </w:p>
        </w:tc>
        <w:tc>
          <w:tcPr>
            <w:tcW w:w="600" w:type="dxa"/>
            <w:vAlign w:val="bottom"/>
            <w:gridSpan w:val="2"/>
          </w:tcPr>
          <w:p>
            <w:pPr>
              <w:jc w:val="right"/>
              <w:spacing w:after="0"/>
              <w:rPr>
                <w:sz w:val="20"/>
                <w:szCs w:val="20"/>
                <w:color w:val="auto"/>
              </w:rPr>
            </w:pPr>
            <w:r>
              <w:rPr>
                <w:rFonts w:ascii="Arial" w:cs="Arial" w:eastAsia="Arial" w:hAnsi="Arial"/>
                <w:sz w:val="16"/>
                <w:szCs w:val="16"/>
                <w:color w:val="auto"/>
              </w:rPr>
              <w:t>2.5 %</w:t>
            </w:r>
          </w:p>
        </w:tc>
        <w:tc>
          <w:tcPr>
            <w:tcW w:w="740" w:type="dxa"/>
            <w:vAlign w:val="bottom"/>
            <w:gridSpan w:val="2"/>
          </w:tcPr>
          <w:p>
            <w:pPr>
              <w:jc w:val="right"/>
              <w:spacing w:after="0"/>
              <w:rPr>
                <w:sz w:val="20"/>
                <w:szCs w:val="20"/>
                <w:color w:val="auto"/>
              </w:rPr>
            </w:pPr>
            <w:r>
              <w:rPr>
                <w:rFonts w:ascii="Arial" w:cs="Arial" w:eastAsia="Arial" w:hAnsi="Arial"/>
                <w:sz w:val="16"/>
                <w:szCs w:val="16"/>
                <w:color w:val="auto"/>
              </w:rPr>
              <w:t>22,786</w:t>
            </w:r>
          </w:p>
        </w:tc>
        <w:tc>
          <w:tcPr>
            <w:tcW w:w="160" w:type="dxa"/>
            <w:vAlign w:val="bottom"/>
          </w:tcPr>
          <w:p>
            <w:pPr>
              <w:spacing w:after="0"/>
              <w:rPr>
                <w:sz w:val="17"/>
                <w:szCs w:val="17"/>
                <w:color w:val="auto"/>
              </w:rPr>
            </w:pPr>
          </w:p>
        </w:tc>
        <w:tc>
          <w:tcPr>
            <w:tcW w:w="620" w:type="dxa"/>
            <w:vAlign w:val="bottom"/>
            <w:gridSpan w:val="2"/>
          </w:tcPr>
          <w:p>
            <w:pPr>
              <w:jc w:val="right"/>
              <w:spacing w:after="0"/>
              <w:rPr>
                <w:sz w:val="20"/>
                <w:szCs w:val="20"/>
                <w:color w:val="auto"/>
              </w:rPr>
            </w:pPr>
            <w:r>
              <w:rPr>
                <w:rFonts w:ascii="Arial" w:cs="Arial" w:eastAsia="Arial" w:hAnsi="Arial"/>
                <w:sz w:val="16"/>
                <w:szCs w:val="16"/>
                <w:color w:val="auto"/>
              </w:rPr>
              <w:t>2.7 %</w:t>
            </w:r>
          </w:p>
        </w:tc>
      </w:tr>
      <w:tr>
        <w:trPr>
          <w:trHeight w:val="203"/>
        </w:trPr>
        <w:tc>
          <w:tcPr>
            <w:tcW w:w="282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Preopening costs</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w:t>
            </w:r>
          </w:p>
        </w:tc>
        <w:tc>
          <w:tcPr>
            <w:tcW w:w="14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0.1 %</w:t>
            </w: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877</w:t>
            </w:r>
          </w:p>
        </w:tc>
        <w:tc>
          <w:tcPr>
            <w:tcW w:w="14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0.3 %</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3,972</w:t>
            </w:r>
          </w:p>
        </w:tc>
        <w:tc>
          <w:tcPr>
            <w:tcW w:w="16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0.4 %</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1,587</w:t>
            </w:r>
          </w:p>
        </w:tc>
        <w:tc>
          <w:tcPr>
            <w:tcW w:w="16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0.2 %</w:t>
            </w:r>
          </w:p>
        </w:tc>
      </w:tr>
      <w:tr>
        <w:trPr>
          <w:trHeight w:val="203"/>
        </w:trPr>
        <w:tc>
          <w:tcPr>
            <w:tcW w:w="2820" w:type="dxa"/>
            <w:vAlign w:val="bottom"/>
            <w:gridSpan w:val="2"/>
          </w:tcPr>
          <w:p>
            <w:pPr>
              <w:ind w:left="120"/>
              <w:spacing w:after="0"/>
              <w:rPr>
                <w:sz w:val="20"/>
                <w:szCs w:val="20"/>
                <w:color w:val="auto"/>
              </w:rPr>
            </w:pPr>
            <w:r>
              <w:rPr>
                <w:rFonts w:ascii="Arial" w:cs="Arial" w:eastAsia="Arial" w:hAnsi="Arial"/>
                <w:sz w:val="16"/>
                <w:szCs w:val="16"/>
                <w:color w:val="auto"/>
              </w:rPr>
              <w:t>Impairment and other charges</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4,540</w:t>
            </w:r>
          </w:p>
        </w:tc>
        <w:tc>
          <w:tcPr>
            <w:tcW w:w="140" w:type="dxa"/>
            <w:vAlign w:val="bottom"/>
          </w:tcPr>
          <w:p>
            <w:pPr>
              <w:spacing w:after="0"/>
              <w:rPr>
                <w:sz w:val="17"/>
                <w:szCs w:val="17"/>
                <w:color w:val="auto"/>
              </w:rPr>
            </w:pPr>
          </w:p>
        </w:tc>
        <w:tc>
          <w:tcPr>
            <w:tcW w:w="620" w:type="dxa"/>
            <w:vAlign w:val="bottom"/>
            <w:gridSpan w:val="2"/>
          </w:tcPr>
          <w:p>
            <w:pPr>
              <w:jc w:val="right"/>
              <w:spacing w:after="0"/>
              <w:rPr>
                <w:sz w:val="20"/>
                <w:szCs w:val="20"/>
                <w:color w:val="auto"/>
              </w:rPr>
            </w:pPr>
            <w:r>
              <w:rPr>
                <w:rFonts w:ascii="Arial" w:cs="Arial" w:eastAsia="Arial" w:hAnsi="Arial"/>
                <w:sz w:val="16"/>
                <w:szCs w:val="16"/>
                <w:color w:val="auto"/>
              </w:rPr>
              <w:t>1.6 %</w:t>
            </w:r>
          </w:p>
        </w:tc>
        <w:tc>
          <w:tcPr>
            <w:tcW w:w="100" w:type="dxa"/>
            <w:vAlign w:val="bottom"/>
          </w:tcPr>
          <w:p>
            <w:pPr>
              <w:spacing w:after="0"/>
              <w:rPr>
                <w:sz w:val="17"/>
                <w:szCs w:val="17"/>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700" w:type="dxa"/>
            <w:vAlign w:val="bottom"/>
            <w:gridSpan w:val="2"/>
          </w:tcPr>
          <w:p>
            <w:pPr>
              <w:jc w:val="right"/>
              <w:spacing w:after="0"/>
              <w:rPr>
                <w:sz w:val="20"/>
                <w:szCs w:val="20"/>
                <w:color w:val="auto"/>
              </w:rPr>
            </w:pPr>
            <w:r>
              <w:rPr>
                <w:rFonts w:ascii="Arial" w:cs="Arial" w:eastAsia="Arial" w:hAnsi="Arial"/>
                <w:sz w:val="16"/>
                <w:szCs w:val="16"/>
                <w:color w:val="auto"/>
              </w:rPr>
              <w:t>— %</w:t>
            </w:r>
          </w:p>
        </w:tc>
        <w:tc>
          <w:tcPr>
            <w:tcW w:w="720" w:type="dxa"/>
            <w:vAlign w:val="bottom"/>
          </w:tcPr>
          <w:p>
            <w:pPr>
              <w:jc w:val="right"/>
              <w:spacing w:after="0"/>
              <w:rPr>
                <w:sz w:val="20"/>
                <w:szCs w:val="20"/>
                <w:color w:val="auto"/>
              </w:rPr>
            </w:pPr>
            <w:r>
              <w:rPr>
                <w:rFonts w:ascii="Arial" w:cs="Arial" w:eastAsia="Arial" w:hAnsi="Arial"/>
                <w:sz w:val="16"/>
                <w:szCs w:val="16"/>
                <w:color w:val="auto"/>
              </w:rPr>
              <w:t>4,540</w:t>
            </w:r>
          </w:p>
        </w:tc>
        <w:tc>
          <w:tcPr>
            <w:tcW w:w="160" w:type="dxa"/>
            <w:vAlign w:val="bottom"/>
          </w:tcPr>
          <w:p>
            <w:pPr>
              <w:spacing w:after="0"/>
              <w:rPr>
                <w:sz w:val="17"/>
                <w:szCs w:val="17"/>
                <w:color w:val="auto"/>
              </w:rPr>
            </w:pPr>
          </w:p>
        </w:tc>
        <w:tc>
          <w:tcPr>
            <w:tcW w:w="600" w:type="dxa"/>
            <w:vAlign w:val="bottom"/>
            <w:gridSpan w:val="2"/>
          </w:tcPr>
          <w:p>
            <w:pPr>
              <w:jc w:val="right"/>
              <w:spacing w:after="0"/>
              <w:rPr>
                <w:sz w:val="20"/>
                <w:szCs w:val="20"/>
                <w:color w:val="auto"/>
              </w:rPr>
            </w:pPr>
            <w:r>
              <w:rPr>
                <w:rFonts w:ascii="Arial" w:cs="Arial" w:eastAsia="Arial" w:hAnsi="Arial"/>
                <w:sz w:val="16"/>
                <w:szCs w:val="16"/>
                <w:color w:val="auto"/>
              </w:rPr>
              <w:t>0.5 %</w:t>
            </w:r>
          </w:p>
        </w:tc>
        <w:tc>
          <w:tcPr>
            <w:tcW w:w="20" w:type="dxa"/>
            <w:vAlign w:val="bottom"/>
          </w:tcPr>
          <w:p>
            <w:pPr>
              <w:spacing w:after="0"/>
              <w:rPr>
                <w:sz w:val="17"/>
                <w:szCs w:val="17"/>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620" w:type="dxa"/>
            <w:vAlign w:val="bottom"/>
            <w:gridSpan w:val="2"/>
          </w:tcPr>
          <w:p>
            <w:pPr>
              <w:jc w:val="right"/>
              <w:spacing w:after="0"/>
              <w:rPr>
                <w:sz w:val="20"/>
                <w:szCs w:val="20"/>
                <w:color w:val="auto"/>
              </w:rPr>
            </w:pPr>
            <w:r>
              <w:rPr>
                <w:rFonts w:ascii="Arial" w:cs="Arial" w:eastAsia="Arial" w:hAnsi="Arial"/>
                <w:sz w:val="16"/>
                <w:szCs w:val="16"/>
                <w:color w:val="auto"/>
              </w:rPr>
              <w:t>— %</w:t>
            </w:r>
          </w:p>
        </w:tc>
      </w:tr>
      <w:tr>
        <w:trPr>
          <w:trHeight w:val="203"/>
        </w:trPr>
        <w:tc>
          <w:tcPr>
            <w:tcW w:w="282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Depreciation and amortization:</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03"/>
        </w:trPr>
        <w:tc>
          <w:tcPr>
            <w:tcW w:w="2820" w:type="dxa"/>
            <w:vAlign w:val="bottom"/>
            <w:gridSpan w:val="2"/>
          </w:tcPr>
          <w:p>
            <w:pPr>
              <w:ind w:left="220"/>
              <w:spacing w:after="0"/>
              <w:rPr>
                <w:sz w:val="20"/>
                <w:szCs w:val="20"/>
                <w:color w:val="auto"/>
              </w:rPr>
            </w:pPr>
            <w:r>
              <w:rPr>
                <w:rFonts w:ascii="Arial" w:cs="Arial" w:eastAsia="Arial" w:hAnsi="Arial"/>
                <w:sz w:val="16"/>
                <w:szCs w:val="16"/>
                <w:color w:val="auto"/>
              </w:rPr>
              <w:t>Hospitality</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27,946</w:t>
            </w:r>
          </w:p>
        </w:tc>
        <w:tc>
          <w:tcPr>
            <w:tcW w:w="140" w:type="dxa"/>
            <w:vAlign w:val="bottom"/>
          </w:tcPr>
          <w:p>
            <w:pPr>
              <w:spacing w:after="0"/>
              <w:rPr>
                <w:sz w:val="17"/>
                <w:szCs w:val="17"/>
                <w:color w:val="auto"/>
              </w:rPr>
            </w:pPr>
          </w:p>
        </w:tc>
        <w:tc>
          <w:tcPr>
            <w:tcW w:w="620" w:type="dxa"/>
            <w:vAlign w:val="bottom"/>
            <w:gridSpan w:val="2"/>
          </w:tcPr>
          <w:p>
            <w:pPr>
              <w:jc w:val="right"/>
              <w:spacing w:after="0"/>
              <w:rPr>
                <w:sz w:val="20"/>
                <w:szCs w:val="20"/>
                <w:color w:val="auto"/>
              </w:rPr>
            </w:pPr>
            <w:r>
              <w:rPr>
                <w:rFonts w:ascii="Arial" w:cs="Arial" w:eastAsia="Arial" w:hAnsi="Arial"/>
                <w:sz w:val="16"/>
                <w:szCs w:val="16"/>
                <w:color w:val="auto"/>
              </w:rPr>
              <w:t>9.6 %</w:t>
            </w: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26,061</w:t>
            </w:r>
          </w:p>
        </w:tc>
        <w:tc>
          <w:tcPr>
            <w:tcW w:w="140" w:type="dxa"/>
            <w:vAlign w:val="bottom"/>
          </w:tcPr>
          <w:p>
            <w:pPr>
              <w:spacing w:after="0"/>
              <w:rPr>
                <w:sz w:val="17"/>
                <w:szCs w:val="17"/>
                <w:color w:val="auto"/>
              </w:rPr>
            </w:pPr>
          </w:p>
        </w:tc>
        <w:tc>
          <w:tcPr>
            <w:tcW w:w="700" w:type="dxa"/>
            <w:vAlign w:val="bottom"/>
            <w:gridSpan w:val="2"/>
          </w:tcPr>
          <w:p>
            <w:pPr>
              <w:jc w:val="right"/>
              <w:spacing w:after="0"/>
              <w:rPr>
                <w:sz w:val="20"/>
                <w:szCs w:val="20"/>
                <w:color w:val="auto"/>
              </w:rPr>
            </w:pPr>
            <w:r>
              <w:rPr>
                <w:rFonts w:ascii="Arial" w:cs="Arial" w:eastAsia="Arial" w:hAnsi="Arial"/>
                <w:sz w:val="16"/>
                <w:szCs w:val="16"/>
                <w:color w:val="auto"/>
              </w:rPr>
              <w:t>9.8 %</w:t>
            </w:r>
          </w:p>
        </w:tc>
        <w:tc>
          <w:tcPr>
            <w:tcW w:w="720" w:type="dxa"/>
            <w:vAlign w:val="bottom"/>
          </w:tcPr>
          <w:p>
            <w:pPr>
              <w:jc w:val="right"/>
              <w:spacing w:after="0"/>
              <w:rPr>
                <w:sz w:val="20"/>
                <w:szCs w:val="20"/>
                <w:color w:val="auto"/>
              </w:rPr>
            </w:pPr>
            <w:r>
              <w:rPr>
                <w:rFonts w:ascii="Arial" w:cs="Arial" w:eastAsia="Arial" w:hAnsi="Arial"/>
                <w:sz w:val="16"/>
                <w:szCs w:val="16"/>
                <w:color w:val="auto"/>
              </w:rPr>
              <w:t>81,379</w:t>
            </w:r>
          </w:p>
        </w:tc>
        <w:tc>
          <w:tcPr>
            <w:tcW w:w="160" w:type="dxa"/>
            <w:vAlign w:val="bottom"/>
          </w:tcPr>
          <w:p>
            <w:pPr>
              <w:spacing w:after="0"/>
              <w:rPr>
                <w:sz w:val="17"/>
                <w:szCs w:val="17"/>
                <w:color w:val="auto"/>
              </w:rPr>
            </w:pPr>
          </w:p>
        </w:tc>
        <w:tc>
          <w:tcPr>
            <w:tcW w:w="600" w:type="dxa"/>
            <w:vAlign w:val="bottom"/>
            <w:gridSpan w:val="2"/>
          </w:tcPr>
          <w:p>
            <w:pPr>
              <w:jc w:val="right"/>
              <w:spacing w:after="0"/>
              <w:rPr>
                <w:sz w:val="20"/>
                <w:szCs w:val="20"/>
                <w:color w:val="auto"/>
              </w:rPr>
            </w:pPr>
            <w:r>
              <w:rPr>
                <w:rFonts w:ascii="Arial" w:cs="Arial" w:eastAsia="Arial" w:hAnsi="Arial"/>
                <w:sz w:val="16"/>
                <w:szCs w:val="16"/>
                <w:color w:val="auto"/>
              </w:rPr>
              <w:t>8.9 %</w:t>
            </w:r>
          </w:p>
        </w:tc>
        <w:tc>
          <w:tcPr>
            <w:tcW w:w="740" w:type="dxa"/>
            <w:vAlign w:val="bottom"/>
            <w:gridSpan w:val="2"/>
          </w:tcPr>
          <w:p>
            <w:pPr>
              <w:jc w:val="right"/>
              <w:spacing w:after="0"/>
              <w:rPr>
                <w:sz w:val="20"/>
                <w:szCs w:val="20"/>
                <w:color w:val="auto"/>
              </w:rPr>
            </w:pPr>
            <w:r>
              <w:rPr>
                <w:rFonts w:ascii="Arial" w:cs="Arial" w:eastAsia="Arial" w:hAnsi="Arial"/>
                <w:sz w:val="16"/>
                <w:szCs w:val="16"/>
                <w:color w:val="auto"/>
              </w:rPr>
              <w:t>76,786</w:t>
            </w:r>
          </w:p>
        </w:tc>
        <w:tc>
          <w:tcPr>
            <w:tcW w:w="160" w:type="dxa"/>
            <w:vAlign w:val="bottom"/>
          </w:tcPr>
          <w:p>
            <w:pPr>
              <w:spacing w:after="0"/>
              <w:rPr>
                <w:sz w:val="17"/>
                <w:szCs w:val="17"/>
                <w:color w:val="auto"/>
              </w:rPr>
            </w:pPr>
          </w:p>
        </w:tc>
        <w:tc>
          <w:tcPr>
            <w:tcW w:w="620" w:type="dxa"/>
            <w:vAlign w:val="bottom"/>
            <w:gridSpan w:val="2"/>
          </w:tcPr>
          <w:p>
            <w:pPr>
              <w:jc w:val="right"/>
              <w:spacing w:after="0"/>
              <w:rPr>
                <w:sz w:val="20"/>
                <w:szCs w:val="20"/>
                <w:color w:val="auto"/>
              </w:rPr>
            </w:pPr>
            <w:r>
              <w:rPr>
                <w:rFonts w:ascii="Arial" w:cs="Arial" w:eastAsia="Arial" w:hAnsi="Arial"/>
                <w:sz w:val="16"/>
                <w:szCs w:val="16"/>
                <w:color w:val="auto"/>
              </w:rPr>
              <w:t>9.1 %</w:t>
            </w:r>
          </w:p>
        </w:tc>
      </w:tr>
      <w:tr>
        <w:trPr>
          <w:trHeight w:val="203"/>
        </w:trPr>
        <w:tc>
          <w:tcPr>
            <w:tcW w:w="282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Entertainment</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2,613</w:t>
            </w:r>
          </w:p>
        </w:tc>
        <w:tc>
          <w:tcPr>
            <w:tcW w:w="14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0.9 %</w:t>
            </w: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1,965</w:t>
            </w:r>
          </w:p>
        </w:tc>
        <w:tc>
          <w:tcPr>
            <w:tcW w:w="14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0.7 %</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6,885</w:t>
            </w:r>
          </w:p>
        </w:tc>
        <w:tc>
          <w:tcPr>
            <w:tcW w:w="16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0.8 %</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5,465</w:t>
            </w:r>
          </w:p>
        </w:tc>
        <w:tc>
          <w:tcPr>
            <w:tcW w:w="16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0.7 %</w:t>
            </w:r>
          </w:p>
        </w:tc>
      </w:tr>
      <w:tr>
        <w:trPr>
          <w:trHeight w:val="203"/>
        </w:trPr>
        <w:tc>
          <w:tcPr>
            <w:tcW w:w="2820" w:type="dxa"/>
            <w:vAlign w:val="bottom"/>
            <w:gridSpan w:val="2"/>
          </w:tcPr>
          <w:p>
            <w:pPr>
              <w:ind w:left="220"/>
              <w:spacing w:after="0"/>
              <w:rPr>
                <w:sz w:val="20"/>
                <w:szCs w:val="20"/>
                <w:color w:val="auto"/>
              </w:rPr>
            </w:pPr>
            <w:r>
              <w:rPr>
                <w:rFonts w:ascii="Arial" w:cs="Arial" w:eastAsia="Arial" w:hAnsi="Arial"/>
                <w:sz w:val="16"/>
                <w:szCs w:val="16"/>
                <w:color w:val="auto"/>
              </w:rPr>
              <w:t>Corporate and Other</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435</w:t>
            </w:r>
          </w:p>
        </w:tc>
        <w:tc>
          <w:tcPr>
            <w:tcW w:w="140" w:type="dxa"/>
            <w:vAlign w:val="bottom"/>
          </w:tcPr>
          <w:p>
            <w:pPr>
              <w:spacing w:after="0"/>
              <w:rPr>
                <w:sz w:val="17"/>
                <w:szCs w:val="17"/>
                <w:color w:val="auto"/>
              </w:rPr>
            </w:pPr>
          </w:p>
        </w:tc>
        <w:tc>
          <w:tcPr>
            <w:tcW w:w="620" w:type="dxa"/>
            <w:vAlign w:val="bottom"/>
            <w:gridSpan w:val="2"/>
          </w:tcPr>
          <w:p>
            <w:pPr>
              <w:jc w:val="right"/>
              <w:spacing w:after="0"/>
              <w:rPr>
                <w:sz w:val="20"/>
                <w:szCs w:val="20"/>
                <w:color w:val="auto"/>
              </w:rPr>
            </w:pPr>
            <w:r>
              <w:rPr>
                <w:rFonts w:ascii="Arial" w:cs="Arial" w:eastAsia="Arial" w:hAnsi="Arial"/>
                <w:sz w:val="16"/>
                <w:szCs w:val="16"/>
                <w:color w:val="auto"/>
              </w:rPr>
              <w:t>0.1 %</w:t>
            </w: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520</w:t>
            </w:r>
          </w:p>
        </w:tc>
        <w:tc>
          <w:tcPr>
            <w:tcW w:w="140" w:type="dxa"/>
            <w:vAlign w:val="bottom"/>
          </w:tcPr>
          <w:p>
            <w:pPr>
              <w:spacing w:after="0"/>
              <w:rPr>
                <w:sz w:val="17"/>
                <w:szCs w:val="17"/>
                <w:color w:val="auto"/>
              </w:rPr>
            </w:pPr>
          </w:p>
        </w:tc>
        <w:tc>
          <w:tcPr>
            <w:tcW w:w="700" w:type="dxa"/>
            <w:vAlign w:val="bottom"/>
            <w:gridSpan w:val="2"/>
          </w:tcPr>
          <w:p>
            <w:pPr>
              <w:jc w:val="right"/>
              <w:spacing w:after="0"/>
              <w:rPr>
                <w:sz w:val="20"/>
                <w:szCs w:val="20"/>
                <w:color w:val="auto"/>
              </w:rPr>
            </w:pPr>
            <w:r>
              <w:rPr>
                <w:rFonts w:ascii="Arial" w:cs="Arial" w:eastAsia="Arial" w:hAnsi="Arial"/>
                <w:sz w:val="16"/>
                <w:szCs w:val="16"/>
                <w:color w:val="auto"/>
              </w:rPr>
              <w:t>0.2 %</w:t>
            </w:r>
          </w:p>
        </w:tc>
        <w:tc>
          <w:tcPr>
            <w:tcW w:w="720" w:type="dxa"/>
            <w:vAlign w:val="bottom"/>
          </w:tcPr>
          <w:p>
            <w:pPr>
              <w:jc w:val="right"/>
              <w:spacing w:after="0"/>
              <w:rPr>
                <w:sz w:val="20"/>
                <w:szCs w:val="20"/>
                <w:color w:val="auto"/>
              </w:rPr>
            </w:pPr>
            <w:r>
              <w:rPr>
                <w:rFonts w:ascii="Arial" w:cs="Arial" w:eastAsia="Arial" w:hAnsi="Arial"/>
                <w:sz w:val="16"/>
                <w:szCs w:val="16"/>
                <w:color w:val="auto"/>
              </w:rPr>
              <w:t>1,391</w:t>
            </w:r>
          </w:p>
        </w:tc>
        <w:tc>
          <w:tcPr>
            <w:tcW w:w="160" w:type="dxa"/>
            <w:vAlign w:val="bottom"/>
          </w:tcPr>
          <w:p>
            <w:pPr>
              <w:spacing w:after="0"/>
              <w:rPr>
                <w:sz w:val="17"/>
                <w:szCs w:val="17"/>
                <w:color w:val="auto"/>
              </w:rPr>
            </w:pPr>
          </w:p>
        </w:tc>
        <w:tc>
          <w:tcPr>
            <w:tcW w:w="600" w:type="dxa"/>
            <w:vAlign w:val="bottom"/>
            <w:gridSpan w:val="2"/>
          </w:tcPr>
          <w:p>
            <w:pPr>
              <w:jc w:val="right"/>
              <w:spacing w:after="0"/>
              <w:rPr>
                <w:sz w:val="20"/>
                <w:szCs w:val="20"/>
                <w:color w:val="auto"/>
              </w:rPr>
            </w:pPr>
            <w:r>
              <w:rPr>
                <w:rFonts w:ascii="Arial" w:cs="Arial" w:eastAsia="Arial" w:hAnsi="Arial"/>
                <w:sz w:val="16"/>
                <w:szCs w:val="16"/>
                <w:color w:val="auto"/>
              </w:rPr>
              <w:t>0.2 %</w:t>
            </w:r>
          </w:p>
        </w:tc>
        <w:tc>
          <w:tcPr>
            <w:tcW w:w="740" w:type="dxa"/>
            <w:vAlign w:val="bottom"/>
            <w:gridSpan w:val="2"/>
          </w:tcPr>
          <w:p>
            <w:pPr>
              <w:jc w:val="right"/>
              <w:spacing w:after="0"/>
              <w:rPr>
                <w:sz w:val="20"/>
                <w:szCs w:val="20"/>
                <w:color w:val="auto"/>
              </w:rPr>
            </w:pPr>
            <w:r>
              <w:rPr>
                <w:rFonts w:ascii="Arial" w:cs="Arial" w:eastAsia="Arial" w:hAnsi="Arial"/>
                <w:sz w:val="16"/>
                <w:szCs w:val="16"/>
                <w:color w:val="auto"/>
              </w:rPr>
              <w:t>1,611</w:t>
            </w:r>
          </w:p>
        </w:tc>
        <w:tc>
          <w:tcPr>
            <w:tcW w:w="160" w:type="dxa"/>
            <w:vAlign w:val="bottom"/>
          </w:tcPr>
          <w:p>
            <w:pPr>
              <w:spacing w:after="0"/>
              <w:rPr>
                <w:sz w:val="17"/>
                <w:szCs w:val="17"/>
                <w:color w:val="auto"/>
              </w:rPr>
            </w:pPr>
          </w:p>
        </w:tc>
        <w:tc>
          <w:tcPr>
            <w:tcW w:w="620" w:type="dxa"/>
            <w:vAlign w:val="bottom"/>
            <w:gridSpan w:val="2"/>
          </w:tcPr>
          <w:p>
            <w:pPr>
              <w:jc w:val="right"/>
              <w:spacing w:after="0"/>
              <w:rPr>
                <w:sz w:val="20"/>
                <w:szCs w:val="20"/>
                <w:color w:val="auto"/>
              </w:rPr>
            </w:pPr>
            <w:r>
              <w:rPr>
                <w:rFonts w:ascii="Arial" w:cs="Arial" w:eastAsia="Arial" w:hAnsi="Arial"/>
                <w:sz w:val="16"/>
                <w:szCs w:val="16"/>
                <w:color w:val="auto"/>
              </w:rPr>
              <w:t>0.2 %</w:t>
            </w:r>
          </w:p>
        </w:tc>
      </w:tr>
      <w:tr>
        <w:trPr>
          <w:trHeight w:val="196"/>
        </w:trPr>
        <w:tc>
          <w:tcPr>
            <w:tcW w:w="2820" w:type="dxa"/>
            <w:vAlign w:val="bottom"/>
            <w:tcBorders>
              <w:top w:val="single" w:sz="8" w:color="CCEEFF"/>
            </w:tcBorders>
            <w:gridSpan w:val="2"/>
            <w:shd w:val="clear" w:color="auto" w:fill="CCEEFF"/>
          </w:tcPr>
          <w:p>
            <w:pPr>
              <w:ind w:left="320"/>
              <w:spacing w:after="0"/>
              <w:rPr>
                <w:sz w:val="20"/>
                <w:szCs w:val="20"/>
                <w:color w:val="auto"/>
              </w:rPr>
            </w:pPr>
            <w:r>
              <w:rPr>
                <w:rFonts w:ascii="Arial" w:cs="Arial" w:eastAsia="Arial" w:hAnsi="Arial"/>
                <w:sz w:val="16"/>
                <w:szCs w:val="16"/>
                <w:color w:val="auto"/>
                <w:w w:val="99"/>
              </w:rPr>
              <w:t>Total depreciation and amortization</w:t>
            </w: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30,994</w:t>
            </w:r>
          </w:p>
        </w:tc>
        <w:tc>
          <w:tcPr>
            <w:tcW w:w="14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10.6 %</w:t>
            </w: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28,546</w:t>
            </w:r>
          </w:p>
        </w:tc>
        <w:tc>
          <w:tcPr>
            <w:tcW w:w="14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10.8 %</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89,655</w:t>
            </w:r>
          </w:p>
        </w:tc>
        <w:tc>
          <w:tcPr>
            <w:tcW w:w="16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9.8 %</w:t>
            </w:r>
          </w:p>
        </w:tc>
        <w:tc>
          <w:tcPr>
            <w:tcW w:w="2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83,862</w:t>
            </w:r>
          </w:p>
        </w:tc>
        <w:tc>
          <w:tcPr>
            <w:tcW w:w="16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10.0 %</w:t>
            </w:r>
          </w:p>
        </w:tc>
      </w:tr>
      <w:tr>
        <w:trPr>
          <w:trHeight w:val="196"/>
        </w:trPr>
        <w:tc>
          <w:tcPr>
            <w:tcW w:w="2820" w:type="dxa"/>
            <w:vAlign w:val="bottom"/>
            <w:tcBorders>
              <w:bottom w:val="single" w:sz="8" w:color="CCEEFF"/>
            </w:tcBorders>
            <w:gridSpan w:val="2"/>
          </w:tcPr>
          <w:p>
            <w:pPr>
              <w:ind w:left="220"/>
              <w:spacing w:after="0"/>
              <w:rPr>
                <w:sz w:val="20"/>
                <w:szCs w:val="20"/>
                <w:color w:val="auto"/>
              </w:rPr>
            </w:pPr>
            <w:r>
              <w:rPr>
                <w:rFonts w:ascii="Arial" w:cs="Arial" w:eastAsia="Arial" w:hAnsi="Arial"/>
                <w:sz w:val="16"/>
                <w:szCs w:val="16"/>
                <w:color w:val="auto"/>
              </w:rPr>
              <w:t>Total operating expenses</w:t>
            </w:r>
          </w:p>
        </w:tc>
        <w:tc>
          <w:tcPr>
            <w:tcW w:w="2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3"/>
              </w:rPr>
              <w:t>252,149</w:t>
            </w:r>
          </w:p>
        </w:tc>
        <w:tc>
          <w:tcPr>
            <w:tcW w:w="140" w:type="dxa"/>
            <w:vAlign w:val="bottom"/>
            <w:tcBorders>
              <w:bottom w:val="single" w:sz="8" w:color="CCEEFF"/>
            </w:tcBorders>
          </w:tcPr>
          <w:p>
            <w:pPr>
              <w:spacing w:after="0"/>
              <w:rPr>
                <w:sz w:val="17"/>
                <w:szCs w:val="17"/>
                <w:color w:val="auto"/>
              </w:rPr>
            </w:pPr>
          </w:p>
        </w:tc>
        <w:tc>
          <w:tcPr>
            <w:tcW w:w="62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86.3 %</w:t>
            </w:r>
          </w:p>
        </w:tc>
        <w:tc>
          <w:tcPr>
            <w:tcW w:w="1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3"/>
              </w:rPr>
              <w:t>227,214</w:t>
            </w:r>
          </w:p>
        </w:tc>
        <w:tc>
          <w:tcPr>
            <w:tcW w:w="140" w:type="dxa"/>
            <w:vAlign w:val="bottom"/>
            <w:tcBorders>
              <w:bottom w:val="single" w:sz="8" w:color="CCEEFF"/>
            </w:tcBorders>
          </w:tcPr>
          <w:p>
            <w:pPr>
              <w:spacing w:after="0"/>
              <w:rPr>
                <w:sz w:val="17"/>
                <w:szCs w:val="17"/>
                <w:color w:val="auto"/>
              </w:rPr>
            </w:pPr>
          </w:p>
        </w:tc>
        <w:tc>
          <w:tcPr>
            <w:tcW w:w="70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85.8 %</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751,810</w:t>
            </w:r>
          </w:p>
        </w:tc>
        <w:tc>
          <w:tcPr>
            <w:tcW w:w="160" w:type="dxa"/>
            <w:vAlign w:val="bottom"/>
            <w:tcBorders>
              <w:bottom w:val="single" w:sz="8" w:color="CCEEFF"/>
            </w:tcBorders>
          </w:tcPr>
          <w:p>
            <w:pPr>
              <w:spacing w:after="0"/>
              <w:rPr>
                <w:sz w:val="17"/>
                <w:szCs w:val="17"/>
                <w:color w:val="auto"/>
              </w:rPr>
            </w:pPr>
          </w:p>
        </w:tc>
        <w:tc>
          <w:tcPr>
            <w:tcW w:w="60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82.2 %</w:t>
            </w:r>
          </w:p>
        </w:tc>
        <w:tc>
          <w:tcPr>
            <w:tcW w:w="20" w:type="dxa"/>
            <w:vAlign w:val="bottom"/>
            <w:tcBorders>
              <w:bottom w:val="single" w:sz="8" w:color="CCEEFF"/>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690,415</w:t>
            </w:r>
          </w:p>
        </w:tc>
        <w:tc>
          <w:tcPr>
            <w:tcW w:w="160" w:type="dxa"/>
            <w:vAlign w:val="bottom"/>
            <w:tcBorders>
              <w:bottom w:val="single" w:sz="8" w:color="CCEEFF"/>
            </w:tcBorders>
          </w:tcPr>
          <w:p>
            <w:pPr>
              <w:spacing w:after="0"/>
              <w:rPr>
                <w:sz w:val="17"/>
                <w:szCs w:val="17"/>
                <w:color w:val="auto"/>
              </w:rPr>
            </w:pPr>
          </w:p>
        </w:tc>
        <w:tc>
          <w:tcPr>
            <w:tcW w:w="62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82.2 %</w:t>
            </w:r>
          </w:p>
        </w:tc>
      </w:tr>
      <w:tr>
        <w:trPr>
          <w:trHeight w:val="196"/>
        </w:trPr>
        <w:tc>
          <w:tcPr>
            <w:tcW w:w="28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OPERATING INCOME:</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03"/>
        </w:trPr>
        <w:tc>
          <w:tcPr>
            <w:tcW w:w="2820" w:type="dxa"/>
            <w:vAlign w:val="bottom"/>
            <w:gridSpan w:val="2"/>
          </w:tcPr>
          <w:p>
            <w:pPr>
              <w:ind w:left="120"/>
              <w:spacing w:after="0"/>
              <w:rPr>
                <w:sz w:val="20"/>
                <w:szCs w:val="20"/>
                <w:color w:val="auto"/>
              </w:rPr>
            </w:pPr>
            <w:r>
              <w:rPr>
                <w:rFonts w:ascii="Arial" w:cs="Arial" w:eastAsia="Arial" w:hAnsi="Arial"/>
                <w:sz w:val="16"/>
                <w:szCs w:val="16"/>
                <w:color w:val="auto"/>
              </w:rPr>
              <w:t>Hospitality</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43,518</w:t>
            </w:r>
          </w:p>
        </w:tc>
        <w:tc>
          <w:tcPr>
            <w:tcW w:w="140" w:type="dxa"/>
            <w:vAlign w:val="bottom"/>
          </w:tcPr>
          <w:p>
            <w:pPr>
              <w:spacing w:after="0"/>
              <w:rPr>
                <w:sz w:val="17"/>
                <w:szCs w:val="17"/>
                <w:color w:val="auto"/>
              </w:rPr>
            </w:pPr>
          </w:p>
        </w:tc>
        <w:tc>
          <w:tcPr>
            <w:tcW w:w="620" w:type="dxa"/>
            <w:vAlign w:val="bottom"/>
            <w:gridSpan w:val="2"/>
          </w:tcPr>
          <w:p>
            <w:pPr>
              <w:jc w:val="right"/>
              <w:spacing w:after="0"/>
              <w:rPr>
                <w:sz w:val="20"/>
                <w:szCs w:val="20"/>
                <w:color w:val="auto"/>
              </w:rPr>
            </w:pPr>
            <w:r>
              <w:rPr>
                <w:rFonts w:ascii="Arial" w:cs="Arial" w:eastAsia="Arial" w:hAnsi="Arial"/>
                <w:sz w:val="16"/>
                <w:szCs w:val="16"/>
                <w:color w:val="auto"/>
              </w:rPr>
              <w:t>17.5 %</w:t>
            </w: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36,298</w:t>
            </w:r>
          </w:p>
        </w:tc>
        <w:tc>
          <w:tcPr>
            <w:tcW w:w="140" w:type="dxa"/>
            <w:vAlign w:val="bottom"/>
          </w:tcPr>
          <w:p>
            <w:pPr>
              <w:spacing w:after="0"/>
              <w:rPr>
                <w:sz w:val="17"/>
                <w:szCs w:val="17"/>
                <w:color w:val="auto"/>
              </w:rPr>
            </w:pPr>
          </w:p>
        </w:tc>
        <w:tc>
          <w:tcPr>
            <w:tcW w:w="700" w:type="dxa"/>
            <w:vAlign w:val="bottom"/>
            <w:gridSpan w:val="2"/>
          </w:tcPr>
          <w:p>
            <w:pPr>
              <w:jc w:val="right"/>
              <w:spacing w:after="0"/>
              <w:rPr>
                <w:sz w:val="20"/>
                <w:szCs w:val="20"/>
                <w:color w:val="auto"/>
              </w:rPr>
            </w:pPr>
            <w:r>
              <w:rPr>
                <w:rFonts w:ascii="Arial" w:cs="Arial" w:eastAsia="Arial" w:hAnsi="Arial"/>
                <w:sz w:val="16"/>
                <w:szCs w:val="16"/>
                <w:color w:val="auto"/>
              </w:rPr>
              <w:t>15.8 %</w:t>
            </w:r>
          </w:p>
        </w:tc>
        <w:tc>
          <w:tcPr>
            <w:tcW w:w="720" w:type="dxa"/>
            <w:vAlign w:val="bottom"/>
          </w:tcPr>
          <w:p>
            <w:pPr>
              <w:jc w:val="right"/>
              <w:spacing w:after="0"/>
              <w:rPr>
                <w:sz w:val="20"/>
                <w:szCs w:val="20"/>
                <w:color w:val="auto"/>
              </w:rPr>
            </w:pPr>
            <w:r>
              <w:rPr>
                <w:rFonts w:ascii="Arial" w:cs="Arial" w:eastAsia="Arial" w:hAnsi="Arial"/>
                <w:sz w:val="16"/>
                <w:szCs w:val="16"/>
                <w:color w:val="auto"/>
              </w:rPr>
              <w:t>175,213</w:t>
            </w:r>
          </w:p>
        </w:tc>
        <w:tc>
          <w:tcPr>
            <w:tcW w:w="160" w:type="dxa"/>
            <w:vAlign w:val="bottom"/>
          </w:tcPr>
          <w:p>
            <w:pPr>
              <w:spacing w:after="0"/>
              <w:rPr>
                <w:sz w:val="17"/>
                <w:szCs w:val="17"/>
                <w:color w:val="auto"/>
              </w:rPr>
            </w:pPr>
          </w:p>
        </w:tc>
        <w:tc>
          <w:tcPr>
            <w:tcW w:w="600" w:type="dxa"/>
            <w:vAlign w:val="bottom"/>
            <w:gridSpan w:val="2"/>
          </w:tcPr>
          <w:p>
            <w:pPr>
              <w:jc w:val="right"/>
              <w:spacing w:after="0"/>
              <w:rPr>
                <w:sz w:val="20"/>
                <w:szCs w:val="20"/>
                <w:color w:val="auto"/>
              </w:rPr>
            </w:pPr>
            <w:r>
              <w:rPr>
                <w:rFonts w:ascii="Arial" w:cs="Arial" w:eastAsia="Arial" w:hAnsi="Arial"/>
                <w:sz w:val="16"/>
                <w:szCs w:val="16"/>
                <w:color w:val="auto"/>
              </w:rPr>
              <w:t>21.7 %</w:t>
            </w:r>
          </w:p>
        </w:tc>
        <w:tc>
          <w:tcPr>
            <w:tcW w:w="740" w:type="dxa"/>
            <w:vAlign w:val="bottom"/>
            <w:gridSpan w:val="2"/>
          </w:tcPr>
          <w:p>
            <w:pPr>
              <w:jc w:val="right"/>
              <w:spacing w:after="0"/>
              <w:rPr>
                <w:sz w:val="20"/>
                <w:szCs w:val="20"/>
                <w:color w:val="auto"/>
              </w:rPr>
            </w:pPr>
            <w:r>
              <w:rPr>
                <w:rFonts w:ascii="Arial" w:cs="Arial" w:eastAsia="Arial" w:hAnsi="Arial"/>
                <w:sz w:val="16"/>
                <w:szCs w:val="16"/>
                <w:color w:val="auto"/>
              </w:rPr>
              <w:t>149,788</w:t>
            </w:r>
          </w:p>
        </w:tc>
        <w:tc>
          <w:tcPr>
            <w:tcW w:w="160" w:type="dxa"/>
            <w:vAlign w:val="bottom"/>
          </w:tcPr>
          <w:p>
            <w:pPr>
              <w:spacing w:after="0"/>
              <w:rPr>
                <w:sz w:val="17"/>
                <w:szCs w:val="17"/>
                <w:color w:val="auto"/>
              </w:rPr>
            </w:pPr>
          </w:p>
        </w:tc>
        <w:tc>
          <w:tcPr>
            <w:tcW w:w="620" w:type="dxa"/>
            <w:vAlign w:val="bottom"/>
            <w:gridSpan w:val="2"/>
          </w:tcPr>
          <w:p>
            <w:pPr>
              <w:jc w:val="right"/>
              <w:spacing w:after="0"/>
              <w:rPr>
                <w:sz w:val="20"/>
                <w:szCs w:val="20"/>
                <w:color w:val="auto"/>
              </w:rPr>
            </w:pPr>
            <w:r>
              <w:rPr>
                <w:rFonts w:ascii="Arial" w:cs="Arial" w:eastAsia="Arial" w:hAnsi="Arial"/>
                <w:sz w:val="16"/>
                <w:szCs w:val="16"/>
                <w:color w:val="auto"/>
              </w:rPr>
              <w:t>20.0 %</w:t>
            </w:r>
          </w:p>
        </w:tc>
      </w:tr>
      <w:tr>
        <w:trPr>
          <w:trHeight w:val="203"/>
        </w:trPr>
        <w:tc>
          <w:tcPr>
            <w:tcW w:w="282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Entertainment</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9,069</w:t>
            </w:r>
          </w:p>
        </w:tc>
        <w:tc>
          <w:tcPr>
            <w:tcW w:w="14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21.1 %</w:t>
            </w: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10,518</w:t>
            </w:r>
          </w:p>
        </w:tc>
        <w:tc>
          <w:tcPr>
            <w:tcW w:w="14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29.9 %</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20,614</w:t>
            </w:r>
          </w:p>
        </w:tc>
        <w:tc>
          <w:tcPr>
            <w:tcW w:w="16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19.0 %</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25,325</w:t>
            </w:r>
          </w:p>
        </w:tc>
        <w:tc>
          <w:tcPr>
            <w:tcW w:w="16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27.4 %</w:t>
            </w:r>
          </w:p>
        </w:tc>
      </w:tr>
      <w:tr>
        <w:trPr>
          <w:trHeight w:val="203"/>
        </w:trPr>
        <w:tc>
          <w:tcPr>
            <w:tcW w:w="2820" w:type="dxa"/>
            <w:vAlign w:val="bottom"/>
            <w:gridSpan w:val="2"/>
          </w:tcPr>
          <w:p>
            <w:pPr>
              <w:ind w:left="120"/>
              <w:spacing w:after="0"/>
              <w:rPr>
                <w:sz w:val="20"/>
                <w:szCs w:val="20"/>
                <w:color w:val="auto"/>
              </w:rPr>
            </w:pPr>
            <w:r>
              <w:rPr>
                <w:rFonts w:ascii="Arial" w:cs="Arial" w:eastAsia="Arial" w:hAnsi="Arial"/>
                <w:sz w:val="16"/>
                <w:szCs w:val="16"/>
                <w:color w:val="auto"/>
              </w:rPr>
              <w:t>Corporate and Other</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6"/>
                <w:szCs w:val="16"/>
                <w:color w:val="auto"/>
              </w:rPr>
              <w:t>(7,647)</w:t>
            </w:r>
          </w:p>
        </w:tc>
        <w:tc>
          <w:tcPr>
            <w:tcW w:w="620" w:type="dxa"/>
            <w:vAlign w:val="bottom"/>
            <w:gridSpan w:val="2"/>
          </w:tcPr>
          <w:p>
            <w:pPr>
              <w:jc w:val="center"/>
              <w:ind w:right="79"/>
              <w:spacing w:after="0"/>
              <w:rPr>
                <w:sz w:val="20"/>
                <w:szCs w:val="20"/>
                <w:color w:val="auto"/>
              </w:rPr>
            </w:pPr>
            <w:r>
              <w:rPr>
                <w:rFonts w:ascii="Arial" w:cs="Arial" w:eastAsia="Arial" w:hAnsi="Arial"/>
                <w:sz w:val="16"/>
                <w:szCs w:val="16"/>
                <w:color w:val="auto"/>
              </w:rPr>
              <w:t>(A)</w:t>
            </w:r>
          </w:p>
        </w:tc>
        <w:tc>
          <w:tcPr>
            <w:tcW w:w="100" w:type="dxa"/>
            <w:vAlign w:val="bottom"/>
          </w:tcPr>
          <w:p>
            <w:pPr>
              <w:spacing w:after="0"/>
              <w:rPr>
                <w:sz w:val="17"/>
                <w:szCs w:val="17"/>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6"/>
                <w:szCs w:val="16"/>
                <w:color w:val="auto"/>
              </w:rPr>
              <w:t>(8,429)</w:t>
            </w:r>
          </w:p>
        </w:tc>
        <w:tc>
          <w:tcPr>
            <w:tcW w:w="700" w:type="dxa"/>
            <w:vAlign w:val="bottom"/>
            <w:gridSpan w:val="2"/>
          </w:tcPr>
          <w:p>
            <w:pPr>
              <w:jc w:val="center"/>
              <w:ind w:right="159"/>
              <w:spacing w:after="0"/>
              <w:rPr>
                <w:sz w:val="20"/>
                <w:szCs w:val="20"/>
                <w:color w:val="auto"/>
              </w:rPr>
            </w:pPr>
            <w:r>
              <w:rPr>
                <w:rFonts w:ascii="Arial" w:cs="Arial" w:eastAsia="Arial" w:hAnsi="Arial"/>
                <w:sz w:val="16"/>
                <w:szCs w:val="16"/>
                <w:color w:val="auto"/>
              </w:rPr>
              <w:t>(A)</w:t>
            </w:r>
          </w:p>
        </w:tc>
        <w:tc>
          <w:tcPr>
            <w:tcW w:w="880" w:type="dxa"/>
            <w:vAlign w:val="bottom"/>
            <w:gridSpan w:val="2"/>
          </w:tcPr>
          <w:p>
            <w:pPr>
              <w:jc w:val="right"/>
              <w:ind w:right="160"/>
              <w:spacing w:after="0"/>
              <w:rPr>
                <w:sz w:val="20"/>
                <w:szCs w:val="20"/>
                <w:color w:val="auto"/>
              </w:rPr>
            </w:pPr>
            <w:r>
              <w:rPr>
                <w:rFonts w:ascii="Arial" w:cs="Arial" w:eastAsia="Arial" w:hAnsi="Arial"/>
                <w:sz w:val="16"/>
                <w:szCs w:val="16"/>
                <w:color w:val="auto"/>
              </w:rPr>
              <w:t>(24,572)</w:t>
            </w:r>
          </w:p>
        </w:tc>
        <w:tc>
          <w:tcPr>
            <w:tcW w:w="600" w:type="dxa"/>
            <w:vAlign w:val="bottom"/>
            <w:gridSpan w:val="2"/>
          </w:tcPr>
          <w:p>
            <w:pPr>
              <w:jc w:val="center"/>
              <w:ind w:right="99"/>
              <w:spacing w:after="0"/>
              <w:rPr>
                <w:sz w:val="20"/>
                <w:szCs w:val="20"/>
                <w:color w:val="auto"/>
              </w:rPr>
            </w:pPr>
            <w:r>
              <w:rPr>
                <w:rFonts w:ascii="Arial" w:cs="Arial" w:eastAsia="Arial" w:hAnsi="Arial"/>
                <w:sz w:val="16"/>
                <w:szCs w:val="16"/>
                <w:color w:val="auto"/>
              </w:rPr>
              <w:t>(A)</w:t>
            </w:r>
          </w:p>
        </w:tc>
        <w:tc>
          <w:tcPr>
            <w:tcW w:w="900" w:type="dxa"/>
            <w:vAlign w:val="bottom"/>
            <w:gridSpan w:val="3"/>
          </w:tcPr>
          <w:p>
            <w:pPr>
              <w:jc w:val="right"/>
              <w:ind w:right="160"/>
              <w:spacing w:after="0"/>
              <w:rPr>
                <w:sz w:val="20"/>
                <w:szCs w:val="20"/>
                <w:color w:val="auto"/>
              </w:rPr>
            </w:pPr>
            <w:r>
              <w:rPr>
                <w:rFonts w:ascii="Arial" w:cs="Arial" w:eastAsia="Arial" w:hAnsi="Arial"/>
                <w:sz w:val="16"/>
                <w:szCs w:val="16"/>
                <w:color w:val="auto"/>
              </w:rPr>
              <w:t>(24,397)</w:t>
            </w:r>
          </w:p>
        </w:tc>
        <w:tc>
          <w:tcPr>
            <w:tcW w:w="620" w:type="dxa"/>
            <w:vAlign w:val="bottom"/>
            <w:gridSpan w:val="2"/>
          </w:tcPr>
          <w:p>
            <w:pPr>
              <w:jc w:val="center"/>
              <w:ind w:right="39"/>
              <w:spacing w:after="0"/>
              <w:rPr>
                <w:sz w:val="20"/>
                <w:szCs w:val="20"/>
                <w:color w:val="auto"/>
              </w:rPr>
            </w:pPr>
            <w:r>
              <w:rPr>
                <w:rFonts w:ascii="Arial" w:cs="Arial" w:eastAsia="Arial" w:hAnsi="Arial"/>
                <w:sz w:val="16"/>
                <w:szCs w:val="16"/>
                <w:color w:val="auto"/>
              </w:rPr>
              <w:t>(A)</w:t>
            </w:r>
          </w:p>
        </w:tc>
      </w:tr>
      <w:tr>
        <w:trPr>
          <w:trHeight w:val="203"/>
        </w:trPr>
        <w:tc>
          <w:tcPr>
            <w:tcW w:w="282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Preopening costs</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(300)</w:t>
            </w:r>
          </w:p>
        </w:tc>
        <w:tc>
          <w:tcPr>
            <w:tcW w:w="620" w:type="dxa"/>
            <w:vAlign w:val="bottom"/>
            <w:gridSpan w:val="2"/>
            <w:shd w:val="clear" w:color="auto" w:fill="CCEEFF"/>
          </w:tcPr>
          <w:p>
            <w:pPr>
              <w:jc w:val="right"/>
              <w:ind w:right="59"/>
              <w:spacing w:after="0"/>
              <w:rPr>
                <w:sz w:val="20"/>
                <w:szCs w:val="20"/>
                <w:color w:val="auto"/>
              </w:rPr>
            </w:pPr>
            <w:r>
              <w:rPr>
                <w:rFonts w:ascii="Arial" w:cs="Arial" w:eastAsia="Arial" w:hAnsi="Arial"/>
                <w:sz w:val="16"/>
                <w:szCs w:val="16"/>
                <w:color w:val="auto"/>
              </w:rPr>
              <w:t>(0.1)</w:t>
            </w: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(877)</w:t>
            </w:r>
          </w:p>
        </w:tc>
        <w:tc>
          <w:tcPr>
            <w:tcW w:w="700" w:type="dxa"/>
            <w:vAlign w:val="bottom"/>
            <w:gridSpan w:val="2"/>
            <w:shd w:val="clear" w:color="auto" w:fill="CCEEFF"/>
          </w:tcPr>
          <w:p>
            <w:pPr>
              <w:jc w:val="right"/>
              <w:ind w:right="139"/>
              <w:spacing w:after="0"/>
              <w:rPr>
                <w:sz w:val="20"/>
                <w:szCs w:val="20"/>
                <w:color w:val="auto"/>
              </w:rPr>
            </w:pPr>
            <w:r>
              <w:rPr>
                <w:rFonts w:ascii="Arial" w:cs="Arial" w:eastAsia="Arial" w:hAnsi="Arial"/>
                <w:sz w:val="16"/>
                <w:szCs w:val="16"/>
                <w:color w:val="auto"/>
              </w:rPr>
              <w:t>(0.3)</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(3,972)</w:t>
            </w:r>
          </w:p>
        </w:tc>
        <w:tc>
          <w:tcPr>
            <w:tcW w:w="600" w:type="dxa"/>
            <w:vAlign w:val="bottom"/>
            <w:gridSpan w:val="2"/>
            <w:shd w:val="clear" w:color="auto" w:fill="CCEEFF"/>
          </w:tcPr>
          <w:p>
            <w:pPr>
              <w:jc w:val="right"/>
              <w:ind w:right="59"/>
              <w:spacing w:after="0"/>
              <w:rPr>
                <w:sz w:val="20"/>
                <w:szCs w:val="20"/>
                <w:color w:val="auto"/>
              </w:rPr>
            </w:pPr>
            <w:r>
              <w:rPr>
                <w:rFonts w:ascii="Arial" w:cs="Arial" w:eastAsia="Arial" w:hAnsi="Arial"/>
                <w:sz w:val="16"/>
                <w:szCs w:val="16"/>
                <w:color w:val="auto"/>
              </w:rPr>
              <w:t>(0.4)</w:t>
            </w:r>
          </w:p>
        </w:tc>
        <w:tc>
          <w:tcPr>
            <w:tcW w:w="90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(1,587)</w:t>
            </w:r>
          </w:p>
        </w:tc>
        <w:tc>
          <w:tcPr>
            <w:tcW w:w="620" w:type="dxa"/>
            <w:vAlign w:val="bottom"/>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(0.2)</w:t>
            </w:r>
          </w:p>
        </w:tc>
      </w:tr>
      <w:tr>
        <w:trPr>
          <w:trHeight w:val="203"/>
        </w:trPr>
        <w:tc>
          <w:tcPr>
            <w:tcW w:w="2820" w:type="dxa"/>
            <w:vAlign w:val="bottom"/>
            <w:gridSpan w:val="2"/>
          </w:tcPr>
          <w:p>
            <w:pPr>
              <w:ind w:left="120"/>
              <w:spacing w:after="0"/>
              <w:rPr>
                <w:sz w:val="20"/>
                <w:szCs w:val="20"/>
                <w:color w:val="auto"/>
              </w:rPr>
            </w:pPr>
            <w:r>
              <w:rPr>
                <w:rFonts w:ascii="Arial" w:cs="Arial" w:eastAsia="Arial" w:hAnsi="Arial"/>
                <w:sz w:val="16"/>
                <w:szCs w:val="16"/>
                <w:color w:val="auto"/>
              </w:rPr>
              <w:t>Impairment and other charges</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6"/>
                <w:szCs w:val="16"/>
                <w:color w:val="auto"/>
              </w:rPr>
              <w:t>(4,540)</w:t>
            </w:r>
          </w:p>
        </w:tc>
        <w:tc>
          <w:tcPr>
            <w:tcW w:w="620" w:type="dxa"/>
            <w:vAlign w:val="bottom"/>
            <w:gridSpan w:val="2"/>
          </w:tcPr>
          <w:p>
            <w:pPr>
              <w:jc w:val="right"/>
              <w:ind w:right="59"/>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17"/>
                <w:szCs w:val="17"/>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700" w:type="dxa"/>
            <w:vAlign w:val="bottom"/>
            <w:gridSpan w:val="2"/>
          </w:tcPr>
          <w:p>
            <w:pPr>
              <w:jc w:val="right"/>
              <w:ind w:right="199"/>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6"/>
                <w:szCs w:val="16"/>
                <w:color w:val="auto"/>
              </w:rPr>
              <w:t>(4,540)</w:t>
            </w:r>
          </w:p>
        </w:tc>
        <w:tc>
          <w:tcPr>
            <w:tcW w:w="600" w:type="dxa"/>
            <w:vAlign w:val="bottom"/>
            <w:gridSpan w:val="2"/>
          </w:tcPr>
          <w:p>
            <w:pPr>
              <w:jc w:val="right"/>
              <w:ind w:right="59"/>
              <w:spacing w:after="0"/>
              <w:rPr>
                <w:sz w:val="20"/>
                <w:szCs w:val="20"/>
                <w:color w:val="auto"/>
              </w:rPr>
            </w:pPr>
            <w:r>
              <w:rPr>
                <w:rFonts w:ascii="Arial" w:cs="Arial" w:eastAsia="Arial" w:hAnsi="Arial"/>
                <w:sz w:val="16"/>
                <w:szCs w:val="16"/>
                <w:color w:val="auto"/>
              </w:rPr>
              <w:t>(0.5)</w:t>
            </w:r>
          </w:p>
        </w:tc>
        <w:tc>
          <w:tcPr>
            <w:tcW w:w="20" w:type="dxa"/>
            <w:vAlign w:val="bottom"/>
          </w:tcPr>
          <w:p>
            <w:pPr>
              <w:spacing w:after="0"/>
              <w:rPr>
                <w:sz w:val="17"/>
                <w:szCs w:val="17"/>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620" w:type="dxa"/>
            <w:vAlign w:val="bottom"/>
            <w:gridSpan w:val="2"/>
          </w:tcPr>
          <w:p>
            <w:pPr>
              <w:jc w:val="right"/>
              <w:ind w:right="99"/>
              <w:spacing w:after="0"/>
              <w:rPr>
                <w:sz w:val="20"/>
                <w:szCs w:val="20"/>
                <w:color w:val="auto"/>
              </w:rPr>
            </w:pPr>
            <w:r>
              <w:rPr>
                <w:rFonts w:ascii="Arial" w:cs="Arial" w:eastAsia="Arial" w:hAnsi="Arial"/>
                <w:sz w:val="16"/>
                <w:szCs w:val="16"/>
                <w:color w:val="auto"/>
              </w:rPr>
              <w:t>—</w:t>
            </w:r>
          </w:p>
        </w:tc>
      </w:tr>
      <w:tr>
        <w:trPr>
          <w:trHeight w:val="196"/>
        </w:trPr>
        <w:tc>
          <w:tcPr>
            <w:tcW w:w="2820" w:type="dxa"/>
            <w:vAlign w:val="bottom"/>
            <w:tcBorders>
              <w:top w:val="single" w:sz="8" w:color="CCEEFF"/>
            </w:tcBorders>
            <w:gridSpan w:val="2"/>
            <w:shd w:val="clear" w:color="auto" w:fill="CCEEFF"/>
          </w:tcPr>
          <w:p>
            <w:pPr>
              <w:ind w:left="220"/>
              <w:spacing w:after="0"/>
              <w:rPr>
                <w:sz w:val="20"/>
                <w:szCs w:val="20"/>
                <w:color w:val="auto"/>
              </w:rPr>
            </w:pPr>
            <w:r>
              <w:rPr>
                <w:rFonts w:ascii="Arial" w:cs="Arial" w:eastAsia="Arial" w:hAnsi="Arial"/>
                <w:sz w:val="16"/>
                <w:szCs w:val="16"/>
                <w:color w:val="auto"/>
              </w:rPr>
              <w:t>Total operating income</w:t>
            </w: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40,100</w:t>
            </w:r>
          </w:p>
        </w:tc>
        <w:tc>
          <w:tcPr>
            <w:tcW w:w="14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13.7 %</w:t>
            </w:r>
          </w:p>
        </w:tc>
        <w:tc>
          <w:tcPr>
            <w:tcW w:w="10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37,510</w:t>
            </w:r>
          </w:p>
        </w:tc>
        <w:tc>
          <w:tcPr>
            <w:tcW w:w="14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14.2 %</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162,743</w:t>
            </w:r>
          </w:p>
        </w:tc>
        <w:tc>
          <w:tcPr>
            <w:tcW w:w="16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17.8 %</w:t>
            </w:r>
          </w:p>
        </w:tc>
        <w:tc>
          <w:tcPr>
            <w:tcW w:w="2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149,129</w:t>
            </w:r>
          </w:p>
        </w:tc>
        <w:tc>
          <w:tcPr>
            <w:tcW w:w="16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17.8 %</w:t>
            </w:r>
          </w:p>
        </w:tc>
      </w:tr>
      <w:tr>
        <w:trPr>
          <w:trHeight w:val="203"/>
        </w:trPr>
        <w:tc>
          <w:tcPr>
            <w:tcW w:w="2820" w:type="dxa"/>
            <w:vAlign w:val="bottom"/>
            <w:gridSpan w:val="2"/>
          </w:tcPr>
          <w:p>
            <w:pPr>
              <w:spacing w:after="0"/>
              <w:rPr>
                <w:sz w:val="20"/>
                <w:szCs w:val="20"/>
                <w:color w:val="auto"/>
              </w:rPr>
            </w:pPr>
            <w:r>
              <w:rPr>
                <w:rFonts w:ascii="Arial" w:cs="Arial" w:eastAsia="Arial" w:hAnsi="Arial"/>
                <w:sz w:val="16"/>
                <w:szCs w:val="16"/>
                <w:color w:val="auto"/>
              </w:rPr>
              <w:t>Interest expense</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6"/>
                <w:szCs w:val="16"/>
                <w:color w:val="auto"/>
              </w:rPr>
              <w:t>(19,220)</w:t>
            </w:r>
          </w:p>
        </w:tc>
        <w:tc>
          <w:tcPr>
            <w:tcW w:w="620" w:type="dxa"/>
            <w:vAlign w:val="bottom"/>
            <w:gridSpan w:val="2"/>
          </w:tcPr>
          <w:p>
            <w:pPr>
              <w:jc w:val="center"/>
              <w:ind w:right="79"/>
              <w:spacing w:after="0"/>
              <w:rPr>
                <w:sz w:val="20"/>
                <w:szCs w:val="20"/>
                <w:color w:val="auto"/>
              </w:rPr>
            </w:pPr>
            <w:r>
              <w:rPr>
                <w:rFonts w:ascii="Arial" w:cs="Arial" w:eastAsia="Arial" w:hAnsi="Arial"/>
                <w:sz w:val="16"/>
                <w:szCs w:val="16"/>
                <w:color w:val="auto"/>
              </w:rPr>
              <w:t>(A)</w:t>
            </w:r>
          </w:p>
        </w:tc>
        <w:tc>
          <w:tcPr>
            <w:tcW w:w="100" w:type="dxa"/>
            <w:vAlign w:val="bottom"/>
          </w:tcPr>
          <w:p>
            <w:pPr>
              <w:spacing w:after="0"/>
              <w:rPr>
                <w:sz w:val="17"/>
                <w:szCs w:val="17"/>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6"/>
                <w:szCs w:val="16"/>
                <w:color w:val="auto"/>
              </w:rPr>
              <w:t>(16,621)</w:t>
            </w:r>
          </w:p>
        </w:tc>
        <w:tc>
          <w:tcPr>
            <w:tcW w:w="700" w:type="dxa"/>
            <w:vAlign w:val="bottom"/>
            <w:gridSpan w:val="2"/>
          </w:tcPr>
          <w:p>
            <w:pPr>
              <w:jc w:val="center"/>
              <w:ind w:right="159"/>
              <w:spacing w:after="0"/>
              <w:rPr>
                <w:sz w:val="20"/>
                <w:szCs w:val="20"/>
                <w:color w:val="auto"/>
              </w:rPr>
            </w:pPr>
            <w:r>
              <w:rPr>
                <w:rFonts w:ascii="Arial" w:cs="Arial" w:eastAsia="Arial" w:hAnsi="Arial"/>
                <w:sz w:val="16"/>
                <w:szCs w:val="16"/>
                <w:color w:val="auto"/>
              </w:rPr>
              <w:t>(A)</w:t>
            </w:r>
          </w:p>
        </w:tc>
        <w:tc>
          <w:tcPr>
            <w:tcW w:w="880" w:type="dxa"/>
            <w:vAlign w:val="bottom"/>
            <w:gridSpan w:val="2"/>
          </w:tcPr>
          <w:p>
            <w:pPr>
              <w:jc w:val="right"/>
              <w:ind w:right="160"/>
              <w:spacing w:after="0"/>
              <w:rPr>
                <w:sz w:val="20"/>
                <w:szCs w:val="20"/>
                <w:color w:val="auto"/>
              </w:rPr>
            </w:pPr>
            <w:r>
              <w:rPr>
                <w:rFonts w:ascii="Arial" w:cs="Arial" w:eastAsia="Arial" w:hAnsi="Arial"/>
                <w:sz w:val="16"/>
                <w:szCs w:val="16"/>
                <w:color w:val="auto"/>
              </w:rPr>
              <w:t>(55,574)</w:t>
            </w:r>
          </w:p>
        </w:tc>
        <w:tc>
          <w:tcPr>
            <w:tcW w:w="600" w:type="dxa"/>
            <w:vAlign w:val="bottom"/>
            <w:gridSpan w:val="2"/>
          </w:tcPr>
          <w:p>
            <w:pPr>
              <w:jc w:val="center"/>
              <w:ind w:right="99"/>
              <w:spacing w:after="0"/>
              <w:rPr>
                <w:sz w:val="20"/>
                <w:szCs w:val="20"/>
                <w:color w:val="auto"/>
              </w:rPr>
            </w:pPr>
            <w:r>
              <w:rPr>
                <w:rFonts w:ascii="Arial" w:cs="Arial" w:eastAsia="Arial" w:hAnsi="Arial"/>
                <w:sz w:val="16"/>
                <w:szCs w:val="16"/>
                <w:color w:val="auto"/>
              </w:rPr>
              <w:t>(A)</w:t>
            </w:r>
          </w:p>
        </w:tc>
        <w:tc>
          <w:tcPr>
            <w:tcW w:w="900" w:type="dxa"/>
            <w:vAlign w:val="bottom"/>
            <w:gridSpan w:val="3"/>
          </w:tcPr>
          <w:p>
            <w:pPr>
              <w:jc w:val="right"/>
              <w:ind w:right="160"/>
              <w:spacing w:after="0"/>
              <w:rPr>
                <w:sz w:val="20"/>
                <w:szCs w:val="20"/>
                <w:color w:val="auto"/>
              </w:rPr>
            </w:pPr>
            <w:r>
              <w:rPr>
                <w:rFonts w:ascii="Arial" w:cs="Arial" w:eastAsia="Arial" w:hAnsi="Arial"/>
                <w:sz w:val="16"/>
                <w:szCs w:val="16"/>
                <w:color w:val="auto"/>
              </w:rPr>
              <w:t>(49,640)</w:t>
            </w:r>
          </w:p>
        </w:tc>
        <w:tc>
          <w:tcPr>
            <w:tcW w:w="620" w:type="dxa"/>
            <w:vAlign w:val="bottom"/>
            <w:gridSpan w:val="2"/>
          </w:tcPr>
          <w:p>
            <w:pPr>
              <w:jc w:val="center"/>
              <w:ind w:right="39"/>
              <w:spacing w:after="0"/>
              <w:rPr>
                <w:sz w:val="20"/>
                <w:szCs w:val="20"/>
                <w:color w:val="auto"/>
              </w:rPr>
            </w:pPr>
            <w:r>
              <w:rPr>
                <w:rFonts w:ascii="Arial" w:cs="Arial" w:eastAsia="Arial" w:hAnsi="Arial"/>
                <w:sz w:val="16"/>
                <w:szCs w:val="16"/>
                <w:color w:val="auto"/>
              </w:rPr>
              <w:t>(A)</w:t>
            </w:r>
          </w:p>
        </w:tc>
      </w:tr>
      <w:tr>
        <w:trPr>
          <w:trHeight w:val="203"/>
        </w:trPr>
        <w:tc>
          <w:tcPr>
            <w:tcW w:w="28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Interest income</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2,678</w:t>
            </w:r>
          </w:p>
        </w:tc>
        <w:tc>
          <w:tcPr>
            <w:tcW w:w="14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center"/>
              <w:ind w:right="79"/>
              <w:spacing w:after="0"/>
              <w:rPr>
                <w:sz w:val="20"/>
                <w:szCs w:val="20"/>
                <w:color w:val="auto"/>
              </w:rPr>
            </w:pPr>
            <w:r>
              <w:rPr>
                <w:rFonts w:ascii="Arial" w:cs="Arial" w:eastAsia="Arial" w:hAnsi="Arial"/>
                <w:sz w:val="16"/>
                <w:szCs w:val="16"/>
                <w:color w:val="auto"/>
              </w:rPr>
              <w:t>(A)</w:t>
            </w: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2,957</w:t>
            </w:r>
          </w:p>
        </w:tc>
        <w:tc>
          <w:tcPr>
            <w:tcW w:w="14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center"/>
              <w:ind w:right="159"/>
              <w:spacing w:after="0"/>
              <w:rPr>
                <w:sz w:val="20"/>
                <w:szCs w:val="20"/>
                <w:color w:val="auto"/>
              </w:rPr>
            </w:pPr>
            <w:r>
              <w:rPr>
                <w:rFonts w:ascii="Arial" w:cs="Arial" w:eastAsia="Arial" w:hAnsi="Arial"/>
                <w:sz w:val="16"/>
                <w:szCs w:val="16"/>
                <w:color w:val="auto"/>
              </w:rPr>
              <w:t>(A)</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8,197</w:t>
            </w:r>
          </w:p>
        </w:tc>
        <w:tc>
          <w:tcPr>
            <w:tcW w:w="16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center"/>
              <w:ind w:right="99"/>
              <w:spacing w:after="0"/>
              <w:rPr>
                <w:sz w:val="20"/>
                <w:szCs w:val="20"/>
                <w:color w:val="auto"/>
              </w:rPr>
            </w:pPr>
            <w:r>
              <w:rPr>
                <w:rFonts w:ascii="Arial" w:cs="Arial" w:eastAsia="Arial" w:hAnsi="Arial"/>
                <w:sz w:val="16"/>
                <w:szCs w:val="16"/>
                <w:color w:val="auto"/>
              </w:rPr>
              <w:t>(A)</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8,874</w:t>
            </w:r>
          </w:p>
        </w:tc>
        <w:tc>
          <w:tcPr>
            <w:tcW w:w="16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center"/>
              <w:ind w:right="39"/>
              <w:spacing w:after="0"/>
              <w:rPr>
                <w:sz w:val="20"/>
                <w:szCs w:val="20"/>
                <w:color w:val="auto"/>
              </w:rPr>
            </w:pPr>
            <w:r>
              <w:rPr>
                <w:rFonts w:ascii="Arial" w:cs="Arial" w:eastAsia="Arial" w:hAnsi="Arial"/>
                <w:sz w:val="16"/>
                <w:szCs w:val="16"/>
                <w:color w:val="auto"/>
              </w:rPr>
              <w:t>(A)</w:t>
            </w:r>
          </w:p>
        </w:tc>
      </w:tr>
      <w:tr>
        <w:trPr>
          <w:trHeight w:val="203"/>
        </w:trPr>
        <w:tc>
          <w:tcPr>
            <w:tcW w:w="2820" w:type="dxa"/>
            <w:vAlign w:val="bottom"/>
            <w:gridSpan w:val="2"/>
          </w:tcPr>
          <w:p>
            <w:pPr>
              <w:spacing w:after="0"/>
              <w:rPr>
                <w:sz w:val="20"/>
                <w:szCs w:val="20"/>
                <w:color w:val="auto"/>
              </w:rPr>
            </w:pPr>
            <w:r>
              <w:rPr>
                <w:rFonts w:ascii="Arial" w:cs="Arial" w:eastAsia="Arial" w:hAnsi="Arial"/>
                <w:sz w:val="16"/>
                <w:szCs w:val="16"/>
                <w:color w:val="auto"/>
              </w:rPr>
              <w:t>Loss from joint ventures</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6"/>
                <w:szCs w:val="16"/>
                <w:color w:val="auto"/>
              </w:rPr>
              <w:t>(985)</w:t>
            </w:r>
          </w:p>
        </w:tc>
        <w:tc>
          <w:tcPr>
            <w:tcW w:w="620" w:type="dxa"/>
            <w:vAlign w:val="bottom"/>
            <w:gridSpan w:val="2"/>
          </w:tcPr>
          <w:p>
            <w:pPr>
              <w:jc w:val="center"/>
              <w:ind w:right="79"/>
              <w:spacing w:after="0"/>
              <w:rPr>
                <w:sz w:val="20"/>
                <w:szCs w:val="20"/>
                <w:color w:val="auto"/>
              </w:rPr>
            </w:pPr>
            <w:r>
              <w:rPr>
                <w:rFonts w:ascii="Arial" w:cs="Arial" w:eastAsia="Arial" w:hAnsi="Arial"/>
                <w:sz w:val="16"/>
                <w:szCs w:val="16"/>
                <w:color w:val="auto"/>
              </w:rPr>
              <w:t>(A)</w:t>
            </w:r>
          </w:p>
        </w:tc>
        <w:tc>
          <w:tcPr>
            <w:tcW w:w="100" w:type="dxa"/>
            <w:vAlign w:val="bottom"/>
          </w:tcPr>
          <w:p>
            <w:pPr>
              <w:spacing w:after="0"/>
              <w:rPr>
                <w:sz w:val="17"/>
                <w:szCs w:val="17"/>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6"/>
                <w:szCs w:val="16"/>
                <w:color w:val="auto"/>
              </w:rPr>
              <w:t>(899)</w:t>
            </w:r>
          </w:p>
        </w:tc>
        <w:tc>
          <w:tcPr>
            <w:tcW w:w="700" w:type="dxa"/>
            <w:vAlign w:val="bottom"/>
            <w:gridSpan w:val="2"/>
          </w:tcPr>
          <w:p>
            <w:pPr>
              <w:jc w:val="center"/>
              <w:ind w:right="159"/>
              <w:spacing w:after="0"/>
              <w:rPr>
                <w:sz w:val="20"/>
                <w:szCs w:val="20"/>
                <w:color w:val="auto"/>
              </w:rPr>
            </w:pPr>
            <w:r>
              <w:rPr>
                <w:rFonts w:ascii="Arial" w:cs="Arial" w:eastAsia="Arial" w:hAnsi="Arial"/>
                <w:sz w:val="16"/>
                <w:szCs w:val="16"/>
                <w:color w:val="auto"/>
              </w:rPr>
              <w:t>(A)</w:t>
            </w:r>
          </w:p>
        </w:tc>
        <w:tc>
          <w:tcPr>
            <w:tcW w:w="880" w:type="dxa"/>
            <w:vAlign w:val="bottom"/>
            <w:gridSpan w:val="2"/>
          </w:tcPr>
          <w:p>
            <w:pPr>
              <w:jc w:val="right"/>
              <w:ind w:right="160"/>
              <w:spacing w:after="0"/>
              <w:rPr>
                <w:sz w:val="20"/>
                <w:szCs w:val="20"/>
                <w:color w:val="auto"/>
              </w:rPr>
            </w:pPr>
            <w:r>
              <w:rPr>
                <w:rFonts w:ascii="Arial" w:cs="Arial" w:eastAsia="Arial" w:hAnsi="Arial"/>
                <w:sz w:val="16"/>
                <w:szCs w:val="16"/>
                <w:color w:val="auto"/>
              </w:rPr>
              <w:t>(2,227)</w:t>
            </w:r>
          </w:p>
        </w:tc>
        <w:tc>
          <w:tcPr>
            <w:tcW w:w="600" w:type="dxa"/>
            <w:vAlign w:val="bottom"/>
            <w:gridSpan w:val="2"/>
          </w:tcPr>
          <w:p>
            <w:pPr>
              <w:jc w:val="center"/>
              <w:ind w:right="99"/>
              <w:spacing w:after="0"/>
              <w:rPr>
                <w:sz w:val="20"/>
                <w:szCs w:val="20"/>
                <w:color w:val="auto"/>
              </w:rPr>
            </w:pPr>
            <w:r>
              <w:rPr>
                <w:rFonts w:ascii="Arial" w:cs="Arial" w:eastAsia="Arial" w:hAnsi="Arial"/>
                <w:sz w:val="16"/>
                <w:szCs w:val="16"/>
                <w:color w:val="auto"/>
              </w:rPr>
              <w:t>(A)</w:t>
            </w:r>
          </w:p>
        </w:tc>
        <w:tc>
          <w:tcPr>
            <w:tcW w:w="900" w:type="dxa"/>
            <w:vAlign w:val="bottom"/>
            <w:gridSpan w:val="3"/>
          </w:tcPr>
          <w:p>
            <w:pPr>
              <w:jc w:val="right"/>
              <w:ind w:right="160"/>
              <w:spacing w:after="0"/>
              <w:rPr>
                <w:sz w:val="20"/>
                <w:szCs w:val="20"/>
                <w:color w:val="auto"/>
              </w:rPr>
            </w:pPr>
            <w:r>
              <w:rPr>
                <w:rFonts w:ascii="Arial" w:cs="Arial" w:eastAsia="Arial" w:hAnsi="Arial"/>
                <w:sz w:val="16"/>
                <w:szCs w:val="16"/>
                <w:color w:val="auto"/>
              </w:rPr>
              <w:t>(2,616)</w:t>
            </w:r>
          </w:p>
        </w:tc>
        <w:tc>
          <w:tcPr>
            <w:tcW w:w="620" w:type="dxa"/>
            <w:vAlign w:val="bottom"/>
            <w:gridSpan w:val="2"/>
          </w:tcPr>
          <w:p>
            <w:pPr>
              <w:jc w:val="center"/>
              <w:ind w:right="39"/>
              <w:spacing w:after="0"/>
              <w:rPr>
                <w:sz w:val="20"/>
                <w:szCs w:val="20"/>
                <w:color w:val="auto"/>
              </w:rPr>
            </w:pPr>
            <w:r>
              <w:rPr>
                <w:rFonts w:ascii="Arial" w:cs="Arial" w:eastAsia="Arial" w:hAnsi="Arial"/>
                <w:sz w:val="16"/>
                <w:szCs w:val="16"/>
                <w:color w:val="auto"/>
              </w:rPr>
              <w:t>(A)</w:t>
            </w:r>
          </w:p>
        </w:tc>
      </w:tr>
      <w:tr>
        <w:trPr>
          <w:trHeight w:val="203"/>
        </w:trPr>
        <w:tc>
          <w:tcPr>
            <w:tcW w:w="28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Other gains and (losses), net</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1,881</w:t>
            </w:r>
          </w:p>
        </w:tc>
        <w:tc>
          <w:tcPr>
            <w:tcW w:w="14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center"/>
              <w:ind w:right="79"/>
              <w:spacing w:after="0"/>
              <w:rPr>
                <w:sz w:val="20"/>
                <w:szCs w:val="20"/>
                <w:color w:val="auto"/>
              </w:rPr>
            </w:pPr>
            <w:r>
              <w:rPr>
                <w:rFonts w:ascii="Arial" w:cs="Arial" w:eastAsia="Arial" w:hAnsi="Arial"/>
                <w:sz w:val="16"/>
                <w:szCs w:val="16"/>
                <w:color w:val="auto"/>
              </w:rPr>
              <w:t>(A)</w:t>
            </w: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1,453</w:t>
            </w:r>
          </w:p>
        </w:tc>
        <w:tc>
          <w:tcPr>
            <w:tcW w:w="14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center"/>
              <w:ind w:right="159"/>
              <w:spacing w:after="0"/>
              <w:rPr>
                <w:sz w:val="20"/>
                <w:szCs w:val="20"/>
                <w:color w:val="auto"/>
              </w:rPr>
            </w:pPr>
            <w:r>
              <w:rPr>
                <w:rFonts w:ascii="Arial" w:cs="Arial" w:eastAsia="Arial" w:hAnsi="Arial"/>
                <w:sz w:val="16"/>
                <w:szCs w:val="16"/>
                <w:color w:val="auto"/>
              </w:rPr>
              <w:t>(A)</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2,085</w:t>
            </w:r>
          </w:p>
        </w:tc>
        <w:tc>
          <w:tcPr>
            <w:tcW w:w="16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center"/>
              <w:ind w:right="99"/>
              <w:spacing w:after="0"/>
              <w:rPr>
                <w:sz w:val="20"/>
                <w:szCs w:val="20"/>
                <w:color w:val="auto"/>
              </w:rPr>
            </w:pPr>
            <w:r>
              <w:rPr>
                <w:rFonts w:ascii="Arial" w:cs="Arial" w:eastAsia="Arial" w:hAnsi="Arial"/>
                <w:sz w:val="16"/>
                <w:szCs w:val="16"/>
                <w:color w:val="auto"/>
              </w:rPr>
              <w:t>(A)</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57</w:t>
            </w:r>
          </w:p>
        </w:tc>
        <w:tc>
          <w:tcPr>
            <w:tcW w:w="16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center"/>
              <w:ind w:right="39"/>
              <w:spacing w:after="0"/>
              <w:rPr>
                <w:sz w:val="20"/>
                <w:szCs w:val="20"/>
                <w:color w:val="auto"/>
              </w:rPr>
            </w:pPr>
            <w:r>
              <w:rPr>
                <w:rFonts w:ascii="Arial" w:cs="Arial" w:eastAsia="Arial" w:hAnsi="Arial"/>
                <w:sz w:val="16"/>
                <w:szCs w:val="16"/>
                <w:color w:val="auto"/>
              </w:rPr>
              <w:t>(A)</w:t>
            </w:r>
          </w:p>
        </w:tc>
      </w:tr>
      <w:tr>
        <w:trPr>
          <w:trHeight w:val="203"/>
        </w:trPr>
        <w:tc>
          <w:tcPr>
            <w:tcW w:w="2820" w:type="dxa"/>
            <w:vAlign w:val="bottom"/>
            <w:gridSpan w:val="2"/>
          </w:tcPr>
          <w:p>
            <w:pPr>
              <w:spacing w:after="0"/>
              <w:rPr>
                <w:sz w:val="20"/>
                <w:szCs w:val="20"/>
                <w:color w:val="auto"/>
              </w:rPr>
            </w:pPr>
            <w:r>
              <w:rPr>
                <w:rFonts w:ascii="Arial" w:cs="Arial" w:eastAsia="Arial" w:hAnsi="Arial"/>
                <w:sz w:val="16"/>
                <w:szCs w:val="16"/>
                <w:color w:val="auto"/>
              </w:rPr>
              <w:t>Provision for income taxes</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6"/>
                <w:szCs w:val="16"/>
                <w:color w:val="auto"/>
              </w:rPr>
              <w:t>(1,863)</w:t>
            </w:r>
          </w:p>
        </w:tc>
        <w:tc>
          <w:tcPr>
            <w:tcW w:w="620" w:type="dxa"/>
            <w:vAlign w:val="bottom"/>
            <w:gridSpan w:val="2"/>
          </w:tcPr>
          <w:p>
            <w:pPr>
              <w:jc w:val="center"/>
              <w:ind w:right="79"/>
              <w:spacing w:after="0"/>
              <w:rPr>
                <w:sz w:val="20"/>
                <w:szCs w:val="20"/>
                <w:color w:val="auto"/>
              </w:rPr>
            </w:pPr>
            <w:r>
              <w:rPr>
                <w:rFonts w:ascii="Arial" w:cs="Arial" w:eastAsia="Arial" w:hAnsi="Arial"/>
                <w:sz w:val="16"/>
                <w:szCs w:val="16"/>
                <w:color w:val="auto"/>
              </w:rPr>
              <w:t>(A)</w:t>
            </w:r>
          </w:p>
        </w:tc>
        <w:tc>
          <w:tcPr>
            <w:tcW w:w="100" w:type="dxa"/>
            <w:vAlign w:val="bottom"/>
          </w:tcPr>
          <w:p>
            <w:pPr>
              <w:spacing w:after="0"/>
              <w:rPr>
                <w:sz w:val="17"/>
                <w:szCs w:val="17"/>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6"/>
                <w:szCs w:val="16"/>
                <w:color w:val="auto"/>
              </w:rPr>
              <w:t>(530)</w:t>
            </w:r>
          </w:p>
        </w:tc>
        <w:tc>
          <w:tcPr>
            <w:tcW w:w="700" w:type="dxa"/>
            <w:vAlign w:val="bottom"/>
            <w:gridSpan w:val="2"/>
          </w:tcPr>
          <w:p>
            <w:pPr>
              <w:jc w:val="center"/>
              <w:ind w:right="159"/>
              <w:spacing w:after="0"/>
              <w:rPr>
                <w:sz w:val="20"/>
                <w:szCs w:val="20"/>
                <w:color w:val="auto"/>
              </w:rPr>
            </w:pPr>
            <w:r>
              <w:rPr>
                <w:rFonts w:ascii="Arial" w:cs="Arial" w:eastAsia="Arial" w:hAnsi="Arial"/>
                <w:sz w:val="16"/>
                <w:szCs w:val="16"/>
                <w:color w:val="auto"/>
              </w:rPr>
              <w:t>(A)</w:t>
            </w:r>
          </w:p>
        </w:tc>
        <w:tc>
          <w:tcPr>
            <w:tcW w:w="880" w:type="dxa"/>
            <w:vAlign w:val="bottom"/>
            <w:gridSpan w:val="2"/>
          </w:tcPr>
          <w:p>
            <w:pPr>
              <w:jc w:val="right"/>
              <w:ind w:right="160"/>
              <w:spacing w:after="0"/>
              <w:rPr>
                <w:sz w:val="20"/>
                <w:szCs w:val="20"/>
                <w:color w:val="auto"/>
              </w:rPr>
            </w:pPr>
            <w:r>
              <w:rPr>
                <w:rFonts w:ascii="Arial" w:cs="Arial" w:eastAsia="Arial" w:hAnsi="Arial"/>
                <w:sz w:val="16"/>
                <w:szCs w:val="16"/>
                <w:color w:val="auto"/>
              </w:rPr>
              <w:t>(9,748)</w:t>
            </w:r>
          </w:p>
        </w:tc>
        <w:tc>
          <w:tcPr>
            <w:tcW w:w="600" w:type="dxa"/>
            <w:vAlign w:val="bottom"/>
            <w:gridSpan w:val="2"/>
          </w:tcPr>
          <w:p>
            <w:pPr>
              <w:jc w:val="center"/>
              <w:ind w:right="99"/>
              <w:spacing w:after="0"/>
              <w:rPr>
                <w:sz w:val="20"/>
                <w:szCs w:val="20"/>
                <w:color w:val="auto"/>
              </w:rPr>
            </w:pPr>
            <w:r>
              <w:rPr>
                <w:rFonts w:ascii="Arial" w:cs="Arial" w:eastAsia="Arial" w:hAnsi="Arial"/>
                <w:sz w:val="16"/>
                <w:szCs w:val="16"/>
                <w:color w:val="auto"/>
              </w:rPr>
              <w:t>(A)</w:t>
            </w:r>
          </w:p>
        </w:tc>
        <w:tc>
          <w:tcPr>
            <w:tcW w:w="900" w:type="dxa"/>
            <w:vAlign w:val="bottom"/>
            <w:gridSpan w:val="3"/>
          </w:tcPr>
          <w:p>
            <w:pPr>
              <w:jc w:val="right"/>
              <w:ind w:right="160"/>
              <w:spacing w:after="0"/>
              <w:rPr>
                <w:sz w:val="20"/>
                <w:szCs w:val="20"/>
                <w:color w:val="auto"/>
              </w:rPr>
            </w:pPr>
            <w:r>
              <w:rPr>
                <w:rFonts w:ascii="Arial" w:cs="Arial" w:eastAsia="Arial" w:hAnsi="Arial"/>
                <w:sz w:val="16"/>
                <w:szCs w:val="16"/>
                <w:color w:val="auto"/>
              </w:rPr>
              <w:t>(2,022)</w:t>
            </w:r>
          </w:p>
        </w:tc>
        <w:tc>
          <w:tcPr>
            <w:tcW w:w="620" w:type="dxa"/>
            <w:vAlign w:val="bottom"/>
            <w:gridSpan w:val="2"/>
          </w:tcPr>
          <w:p>
            <w:pPr>
              <w:jc w:val="center"/>
              <w:ind w:right="39"/>
              <w:spacing w:after="0"/>
              <w:rPr>
                <w:sz w:val="20"/>
                <w:szCs w:val="20"/>
                <w:color w:val="auto"/>
              </w:rPr>
            </w:pPr>
            <w:r>
              <w:rPr>
                <w:rFonts w:ascii="Arial" w:cs="Arial" w:eastAsia="Arial" w:hAnsi="Arial"/>
                <w:sz w:val="16"/>
                <w:szCs w:val="16"/>
                <w:color w:val="auto"/>
              </w:rPr>
              <w:t>(A)</w:t>
            </w:r>
          </w:p>
        </w:tc>
      </w:tr>
      <w:tr>
        <w:trPr>
          <w:trHeight w:val="203"/>
        </w:trPr>
        <w:tc>
          <w:tcPr>
            <w:tcW w:w="28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Net income</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22,591</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620" w:type="dxa"/>
            <w:vAlign w:val="bottom"/>
            <w:tcBorders>
              <w:top w:val="single" w:sz="8" w:color="CCEEFF"/>
              <w:bottom w:val="single" w:sz="8" w:color="CCEEFF"/>
            </w:tcBorders>
            <w:gridSpan w:val="2"/>
            <w:shd w:val="clear" w:color="auto" w:fill="CCEEFF"/>
          </w:tcPr>
          <w:p>
            <w:pPr>
              <w:jc w:val="center"/>
              <w:ind w:right="79"/>
              <w:spacing w:after="0"/>
              <w:rPr>
                <w:sz w:val="20"/>
                <w:szCs w:val="20"/>
                <w:color w:val="auto"/>
              </w:rPr>
            </w:pPr>
            <w:r>
              <w:rPr>
                <w:rFonts w:ascii="Arial" w:cs="Arial" w:eastAsia="Arial" w:hAnsi="Arial"/>
                <w:sz w:val="16"/>
                <w:szCs w:val="16"/>
                <w:color w:val="auto"/>
              </w:rPr>
              <w:t>(A)</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23,870</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700" w:type="dxa"/>
            <w:vAlign w:val="bottom"/>
            <w:tcBorders>
              <w:top w:val="single" w:sz="8" w:color="CCEEFF"/>
              <w:bottom w:val="single" w:sz="8" w:color="CCEEFF"/>
            </w:tcBorders>
            <w:gridSpan w:val="2"/>
            <w:shd w:val="clear" w:color="auto" w:fill="CCEEFF"/>
          </w:tcPr>
          <w:p>
            <w:pPr>
              <w:jc w:val="center"/>
              <w:ind w:right="159"/>
              <w:spacing w:after="0"/>
              <w:rPr>
                <w:sz w:val="20"/>
                <w:szCs w:val="20"/>
                <w:color w:val="auto"/>
              </w:rPr>
            </w:pPr>
            <w:r>
              <w:rPr>
                <w:rFonts w:ascii="Arial" w:cs="Arial" w:eastAsia="Arial" w:hAnsi="Arial"/>
                <w:sz w:val="16"/>
                <w:szCs w:val="16"/>
                <w:color w:val="auto"/>
              </w:rPr>
              <w:t>(A)</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$ 105,476</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600" w:type="dxa"/>
            <w:vAlign w:val="bottom"/>
            <w:tcBorders>
              <w:top w:val="single" w:sz="8" w:color="CCEEFF"/>
              <w:bottom w:val="single" w:sz="8" w:color="CCEEFF"/>
            </w:tcBorders>
            <w:gridSpan w:val="2"/>
            <w:shd w:val="clear" w:color="auto" w:fill="CCEEFF"/>
          </w:tcPr>
          <w:p>
            <w:pPr>
              <w:jc w:val="center"/>
              <w:ind w:right="99"/>
              <w:spacing w:after="0"/>
              <w:rPr>
                <w:sz w:val="20"/>
                <w:szCs w:val="20"/>
                <w:color w:val="auto"/>
              </w:rPr>
            </w:pPr>
            <w:r>
              <w:rPr>
                <w:rFonts w:ascii="Arial" w:cs="Arial" w:eastAsia="Arial" w:hAnsi="Arial"/>
                <w:sz w:val="16"/>
                <w:szCs w:val="16"/>
                <w:color w:val="auto"/>
              </w:rPr>
              <w:t>(A)</w:t>
            </w: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$ 103,782</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620" w:type="dxa"/>
            <w:vAlign w:val="bottom"/>
            <w:tcBorders>
              <w:top w:val="single" w:sz="8" w:color="CCEEFF"/>
              <w:bottom w:val="single" w:sz="8" w:color="CCEEFF"/>
            </w:tcBorders>
            <w:gridSpan w:val="2"/>
            <w:shd w:val="clear" w:color="auto" w:fill="CCEEFF"/>
          </w:tcPr>
          <w:p>
            <w:pPr>
              <w:jc w:val="center"/>
              <w:ind w:right="39"/>
              <w:spacing w:after="0"/>
              <w:rPr>
                <w:sz w:val="20"/>
                <w:szCs w:val="20"/>
                <w:color w:val="auto"/>
              </w:rPr>
            </w:pPr>
            <w:r>
              <w:rPr>
                <w:rFonts w:ascii="Arial" w:cs="Arial" w:eastAsia="Arial" w:hAnsi="Arial"/>
                <w:sz w:val="16"/>
                <w:szCs w:val="16"/>
                <w:color w:val="auto"/>
              </w:rPr>
              <w:t>(A)</w:t>
            </w:r>
          </w:p>
        </w:tc>
      </w:tr>
      <w:tr>
        <w:trPr>
          <w:trHeight w:val="108"/>
        </w:trPr>
        <w:tc>
          <w:tcPr>
            <w:tcW w:w="228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80" w:type="dxa"/>
            <w:vAlign w:val="bottom"/>
          </w:tcPr>
          <w:p>
            <w:pPr>
              <w:spacing w:after="0"/>
              <w:rPr>
                <w:sz w:val="9"/>
                <w:szCs w:val="9"/>
                <w:color w:val="auto"/>
              </w:rPr>
            </w:pPr>
          </w:p>
        </w:tc>
        <w:tc>
          <w:tcPr>
            <w:tcW w:w="2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60" w:type="dxa"/>
            <w:vAlign w:val="bottom"/>
          </w:tcPr>
          <w:p>
            <w:pPr>
              <w:spacing w:after="0"/>
              <w:rPr>
                <w:sz w:val="9"/>
                <w:szCs w:val="9"/>
                <w:color w:val="auto"/>
              </w:rPr>
            </w:pPr>
          </w:p>
        </w:tc>
        <w:tc>
          <w:tcPr>
            <w:tcW w:w="46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40" w:type="dxa"/>
            <w:vAlign w:val="bottom"/>
          </w:tcPr>
          <w:p>
            <w:pPr>
              <w:spacing w:after="0"/>
              <w:rPr>
                <w:sz w:val="9"/>
                <w:szCs w:val="9"/>
                <w:color w:val="auto"/>
              </w:rPr>
            </w:pPr>
          </w:p>
        </w:tc>
      </w:tr>
    </w:tbl>
    <w:p>
      <w:pPr>
        <w:spacing w:after="0" w:line="94" w:lineRule="exact"/>
        <w:rPr>
          <w:sz w:val="20"/>
          <w:szCs w:val="20"/>
          <w:color w:val="auto"/>
        </w:rPr>
      </w:pPr>
    </w:p>
    <w:p>
      <w:pPr>
        <w:ind w:left="320" w:hanging="317"/>
        <w:spacing w:after="0"/>
        <w:tabs>
          <w:tab w:leader="none" w:pos="32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These amounts have not been shown as a percentage of revenue because they have no relationship to revenue.</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28" w:lineRule="exact"/>
        <w:rPr>
          <w:rFonts w:ascii="Arial" w:cs="Arial" w:eastAsia="Arial" w:hAnsi="Arial"/>
          <w:sz w:val="17"/>
          <w:szCs w:val="17"/>
          <w:color w:val="auto"/>
        </w:rPr>
      </w:pPr>
    </w:p>
    <w:p>
      <w:pPr>
        <w:ind w:left="4440"/>
        <w:spacing w:after="0"/>
        <w:rPr>
          <w:rFonts w:ascii="Arial" w:cs="Arial" w:eastAsia="Arial" w:hAnsi="Arial"/>
          <w:sz w:val="17"/>
          <w:szCs w:val="17"/>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9" w:name="page30"/>
    <w:bookmarkEnd w:id="2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Financial Results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Results of Operations</w:t>
      </w:r>
    </w:p>
    <w:p>
      <w:pPr>
        <w:spacing w:after="0" w:line="198"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following table summarizes our financial results for the three months and nine months ended September 30, 2018 and 2017 (in thousands, except percentages and per share data):</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4"/>
                <w:szCs w:val="14"/>
                <w:color w:val="auto"/>
              </w:rPr>
            </w:pPr>
          </w:p>
        </w:tc>
        <w:tc>
          <w:tcPr>
            <w:tcW w:w="1920" w:type="dxa"/>
            <w:vAlign w:val="bottom"/>
            <w:gridSpan w:val="4"/>
          </w:tcPr>
          <w:p>
            <w:pPr>
              <w:jc w:val="center"/>
              <w:ind w:left="397"/>
              <w:spacing w:after="0"/>
              <w:rPr>
                <w:sz w:val="20"/>
                <w:szCs w:val="20"/>
                <w:color w:val="auto"/>
              </w:rPr>
            </w:pPr>
            <w:r>
              <w:rPr>
                <w:rFonts w:ascii="Arial" w:cs="Arial" w:eastAsia="Arial" w:hAnsi="Arial"/>
                <w:sz w:val="14"/>
                <w:szCs w:val="14"/>
                <w:b w:val="1"/>
                <w:bCs w:val="1"/>
                <w:color w:val="auto"/>
                <w:w w:val="95"/>
              </w:rPr>
              <w:t>Three Months Ended</w:t>
            </w: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900" w:type="dxa"/>
            <w:vAlign w:val="bottom"/>
            <w:gridSpan w:val="4"/>
          </w:tcPr>
          <w:p>
            <w:pPr>
              <w:jc w:val="center"/>
              <w:ind w:left="422"/>
              <w:spacing w:after="0"/>
              <w:rPr>
                <w:sz w:val="20"/>
                <w:szCs w:val="20"/>
                <w:color w:val="auto"/>
              </w:rPr>
            </w:pPr>
            <w:r>
              <w:rPr>
                <w:rFonts w:ascii="Arial" w:cs="Arial" w:eastAsia="Arial" w:hAnsi="Arial"/>
                <w:sz w:val="14"/>
                <w:szCs w:val="14"/>
                <w:b w:val="1"/>
                <w:bCs w:val="1"/>
                <w:color w:val="auto"/>
                <w:w w:val="94"/>
              </w:rPr>
              <w:t>Nine Months Ended</w:t>
            </w: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880" w:type="dxa"/>
            <w:vAlign w:val="bottom"/>
          </w:tcPr>
          <w:p>
            <w:pPr>
              <w:spacing w:after="0"/>
              <w:rPr>
                <w:sz w:val="14"/>
                <w:szCs w:val="14"/>
                <w:color w:val="auto"/>
              </w:rPr>
            </w:pPr>
          </w:p>
        </w:tc>
        <w:tc>
          <w:tcPr>
            <w:tcW w:w="1920" w:type="dxa"/>
            <w:vAlign w:val="bottom"/>
            <w:tcBorders>
              <w:bottom w:val="single" w:sz="8" w:color="auto"/>
            </w:tcBorders>
            <w:gridSpan w:val="4"/>
          </w:tcPr>
          <w:p>
            <w:pPr>
              <w:jc w:val="center"/>
              <w:ind w:left="357"/>
              <w:spacing w:after="0"/>
              <w:rPr>
                <w:sz w:val="20"/>
                <w:szCs w:val="20"/>
                <w:color w:val="auto"/>
              </w:rPr>
            </w:pPr>
            <w:r>
              <w:rPr>
                <w:rFonts w:ascii="Arial" w:cs="Arial" w:eastAsia="Arial" w:hAnsi="Arial"/>
                <w:sz w:val="14"/>
                <w:szCs w:val="14"/>
                <w:b w:val="1"/>
                <w:bCs w:val="1"/>
                <w:color w:val="auto"/>
                <w:w w:val="91"/>
              </w:rPr>
              <w:t>September 30,</w:t>
            </w:r>
          </w:p>
        </w:tc>
        <w:tc>
          <w:tcPr>
            <w:tcW w:w="4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900" w:type="dxa"/>
            <w:vAlign w:val="bottom"/>
            <w:tcBorders>
              <w:bottom w:val="single" w:sz="8" w:color="auto"/>
            </w:tcBorders>
            <w:gridSpan w:val="4"/>
          </w:tcPr>
          <w:p>
            <w:pPr>
              <w:jc w:val="center"/>
              <w:ind w:left="382"/>
              <w:spacing w:after="0"/>
              <w:rPr>
                <w:sz w:val="20"/>
                <w:szCs w:val="20"/>
                <w:color w:val="auto"/>
              </w:rPr>
            </w:pPr>
            <w:r>
              <w:rPr>
                <w:rFonts w:ascii="Arial" w:cs="Arial" w:eastAsia="Arial" w:hAnsi="Arial"/>
                <w:sz w:val="14"/>
                <w:szCs w:val="14"/>
                <w:b w:val="1"/>
                <w:bCs w:val="1"/>
                <w:color w:val="auto"/>
                <w:w w:val="91"/>
              </w:rPr>
              <w:t>September 30,</w:t>
            </w:r>
          </w:p>
        </w:tc>
        <w:tc>
          <w:tcPr>
            <w:tcW w:w="4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880" w:type="dxa"/>
            <w:vAlign w:val="bottom"/>
          </w:tcPr>
          <w:p>
            <w:pPr>
              <w:spacing w:after="0"/>
              <w:rPr>
                <w:sz w:val="10"/>
                <w:szCs w:val="10"/>
                <w:color w:val="auto"/>
              </w:rPr>
            </w:pPr>
          </w:p>
        </w:tc>
        <w:tc>
          <w:tcPr>
            <w:tcW w:w="820" w:type="dxa"/>
            <w:vAlign w:val="bottom"/>
            <w:vMerge w:val="restart"/>
          </w:tcPr>
          <w:p>
            <w:pPr>
              <w:jc w:val="right"/>
              <w:ind w:right="177"/>
              <w:spacing w:after="0"/>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0"/>
                <w:szCs w:val="10"/>
                <w:color w:val="auto"/>
              </w:rPr>
            </w:pPr>
          </w:p>
        </w:tc>
        <w:tc>
          <w:tcPr>
            <w:tcW w:w="780" w:type="dxa"/>
            <w:vAlign w:val="bottom"/>
            <w:vMerge w:val="restart"/>
          </w:tcPr>
          <w:p>
            <w:pPr>
              <w:jc w:val="right"/>
              <w:ind w:right="153"/>
              <w:spacing w:after="0"/>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0"/>
                <w:szCs w:val="10"/>
                <w:color w:val="auto"/>
              </w:rPr>
            </w:pPr>
          </w:p>
        </w:tc>
        <w:tc>
          <w:tcPr>
            <w:tcW w:w="480" w:type="dxa"/>
            <w:vAlign w:val="bottom"/>
          </w:tcPr>
          <w:p>
            <w:pPr>
              <w:jc w:val="right"/>
              <w:ind w:right="76"/>
              <w:spacing w:after="0" w:line="119" w:lineRule="exact"/>
              <w:rPr>
                <w:sz w:val="20"/>
                <w:szCs w:val="20"/>
                <w:color w:val="auto"/>
              </w:rPr>
            </w:pPr>
            <w:r>
              <w:rPr>
                <w:rFonts w:ascii="Arial" w:cs="Arial" w:eastAsia="Arial" w:hAnsi="Arial"/>
                <w:sz w:val="13"/>
                <w:szCs w:val="13"/>
                <w:b w:val="1"/>
                <w:bCs w:val="1"/>
                <w:color w:val="auto"/>
              </w:rPr>
              <w:t>%</w:t>
            </w:r>
          </w:p>
        </w:tc>
        <w:tc>
          <w:tcPr>
            <w:tcW w:w="200" w:type="dxa"/>
            <w:vAlign w:val="bottom"/>
          </w:tcPr>
          <w:p>
            <w:pPr>
              <w:spacing w:after="0"/>
              <w:rPr>
                <w:sz w:val="10"/>
                <w:szCs w:val="10"/>
                <w:color w:val="auto"/>
              </w:rPr>
            </w:pPr>
          </w:p>
        </w:tc>
        <w:tc>
          <w:tcPr>
            <w:tcW w:w="840" w:type="dxa"/>
            <w:vAlign w:val="bottom"/>
            <w:gridSpan w:val="2"/>
            <w:vMerge w:val="restart"/>
          </w:tcPr>
          <w:p>
            <w:pPr>
              <w:jc w:val="right"/>
              <w:ind w:right="182"/>
              <w:spacing w:after="0"/>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0"/>
                <w:szCs w:val="10"/>
                <w:color w:val="auto"/>
              </w:rPr>
            </w:pPr>
          </w:p>
        </w:tc>
        <w:tc>
          <w:tcPr>
            <w:tcW w:w="780" w:type="dxa"/>
            <w:vAlign w:val="bottom"/>
            <w:vMerge w:val="restart"/>
          </w:tcPr>
          <w:p>
            <w:pPr>
              <w:jc w:val="right"/>
              <w:ind w:right="153"/>
              <w:spacing w:after="0"/>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0"/>
                <w:szCs w:val="10"/>
                <w:color w:val="auto"/>
              </w:rPr>
            </w:pPr>
          </w:p>
        </w:tc>
        <w:tc>
          <w:tcPr>
            <w:tcW w:w="480" w:type="dxa"/>
            <w:vAlign w:val="bottom"/>
          </w:tcPr>
          <w:p>
            <w:pPr>
              <w:jc w:val="right"/>
              <w:ind w:right="76"/>
              <w:spacing w:after="0" w:line="119" w:lineRule="exact"/>
              <w:rPr>
                <w:sz w:val="20"/>
                <w:szCs w:val="20"/>
                <w:color w:val="auto"/>
              </w:rPr>
            </w:pPr>
            <w:r>
              <w:rPr>
                <w:rFonts w:ascii="Arial" w:cs="Arial" w:eastAsia="Arial" w:hAnsi="Arial"/>
                <w:sz w:val="13"/>
                <w:szCs w:val="13"/>
                <w:b w:val="1"/>
                <w:bCs w:val="1"/>
                <w:color w:val="auto"/>
              </w:rPr>
              <w:t>%</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8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gridSpan w:val="2"/>
          </w:tcPr>
          <w:p>
            <w:pPr>
              <w:jc w:val="right"/>
              <w:ind w:right="110"/>
              <w:spacing w:after="0"/>
              <w:rPr>
                <w:sz w:val="20"/>
                <w:szCs w:val="20"/>
                <w:color w:val="auto"/>
              </w:rPr>
            </w:pPr>
            <w:r>
              <w:rPr>
                <w:rFonts w:ascii="Arial" w:cs="Arial" w:eastAsia="Arial" w:hAnsi="Arial"/>
                <w:sz w:val="14"/>
                <w:szCs w:val="14"/>
                <w:b w:val="1"/>
                <w:bCs w:val="1"/>
                <w:color w:val="auto"/>
                <w:w w:val="89"/>
              </w:rPr>
              <w:t>Change</w:t>
            </w:r>
          </w:p>
        </w:tc>
        <w:tc>
          <w:tcPr>
            <w:tcW w:w="84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gridSpan w:val="2"/>
          </w:tcPr>
          <w:p>
            <w:pPr>
              <w:jc w:val="right"/>
              <w:ind w:right="70"/>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210"/>
        </w:trPr>
        <w:tc>
          <w:tcPr>
            <w:tcW w:w="38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$ 292,249</w:t>
            </w:r>
          </w:p>
        </w:tc>
        <w:tc>
          <w:tcPr>
            <w:tcW w:w="16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$ 264,724</w:t>
            </w:r>
          </w:p>
        </w:tc>
        <w:tc>
          <w:tcPr>
            <w:tcW w:w="16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2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$ 914,553</w:t>
            </w:r>
          </w:p>
        </w:tc>
        <w:tc>
          <w:tcPr>
            <w:tcW w:w="16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$ 839,544</w:t>
            </w:r>
          </w:p>
        </w:tc>
        <w:tc>
          <w:tcPr>
            <w:tcW w:w="16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6"/>
        </w:trPr>
        <w:tc>
          <w:tcPr>
            <w:tcW w:w="388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820" w:type="dxa"/>
            <w:vAlign w:val="bottom"/>
          </w:tcPr>
          <w:p>
            <w:pPr>
              <w:jc w:val="right"/>
              <w:spacing w:after="0"/>
              <w:rPr>
                <w:sz w:val="20"/>
                <w:szCs w:val="20"/>
                <w:color w:val="auto"/>
              </w:rPr>
            </w:pPr>
            <w:r>
              <w:rPr>
                <w:rFonts w:ascii="Arial" w:cs="Arial" w:eastAsia="Arial" w:hAnsi="Arial"/>
                <w:sz w:val="18"/>
                <w:szCs w:val="18"/>
                <w:color w:val="auto"/>
              </w:rPr>
              <w:t>252,149</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227,214</w:t>
            </w:r>
          </w:p>
        </w:tc>
        <w:tc>
          <w:tcPr>
            <w:tcW w:w="16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11.0 %</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751,810</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690,415</w:t>
            </w:r>
          </w:p>
        </w:tc>
        <w:tc>
          <w:tcPr>
            <w:tcW w:w="16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8.9 %</w:t>
            </w: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40,100</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37,510</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6.9 %</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162,743</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149,129</w:t>
            </w: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9.1 %</w:t>
            </w:r>
          </w:p>
        </w:tc>
        <w:tc>
          <w:tcPr>
            <w:tcW w:w="0" w:type="dxa"/>
            <w:vAlign w:val="bottom"/>
          </w:tcPr>
          <w:p>
            <w:pPr>
              <w:spacing w:after="0"/>
              <w:rPr>
                <w:sz w:val="1"/>
                <w:szCs w:val="1"/>
                <w:color w:val="auto"/>
              </w:rPr>
            </w:pPr>
          </w:p>
        </w:tc>
      </w:tr>
      <w:tr>
        <w:trPr>
          <w:trHeight w:val="216"/>
        </w:trPr>
        <w:tc>
          <w:tcPr>
            <w:tcW w:w="3880" w:type="dxa"/>
            <w:vAlign w:val="bottom"/>
          </w:tcPr>
          <w:p>
            <w:pPr>
              <w:spacing w:after="0"/>
              <w:rPr>
                <w:sz w:val="20"/>
                <w:szCs w:val="20"/>
                <w:color w:val="auto"/>
              </w:rPr>
            </w:pPr>
            <w:r>
              <w:rPr>
                <w:rFonts w:ascii="Arial" w:cs="Arial" w:eastAsia="Arial" w:hAnsi="Arial"/>
                <w:sz w:val="18"/>
                <w:szCs w:val="18"/>
                <w:color w:val="auto"/>
              </w:rPr>
              <w:t>Net income</w:t>
            </w:r>
          </w:p>
        </w:tc>
        <w:tc>
          <w:tcPr>
            <w:tcW w:w="820" w:type="dxa"/>
            <w:vAlign w:val="bottom"/>
          </w:tcPr>
          <w:p>
            <w:pPr>
              <w:jc w:val="right"/>
              <w:spacing w:after="0"/>
              <w:rPr>
                <w:sz w:val="20"/>
                <w:szCs w:val="20"/>
                <w:color w:val="auto"/>
              </w:rPr>
            </w:pPr>
            <w:r>
              <w:rPr>
                <w:rFonts w:ascii="Arial" w:cs="Arial" w:eastAsia="Arial" w:hAnsi="Arial"/>
                <w:sz w:val="18"/>
                <w:szCs w:val="18"/>
                <w:color w:val="auto"/>
              </w:rPr>
              <w:t>22,591</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23,870</w:t>
            </w:r>
          </w:p>
        </w:tc>
        <w:tc>
          <w:tcPr>
            <w:tcW w:w="16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(5.4)%</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105,476</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103,782</w:t>
            </w:r>
          </w:p>
        </w:tc>
        <w:tc>
          <w:tcPr>
            <w:tcW w:w="16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1.6 %</w:t>
            </w: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Net income per share - fully diluted</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0.44</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0.46</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1.5 %</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Total Revenues</w:t>
      </w:r>
    </w:p>
    <w:p>
      <w:pPr>
        <w:spacing w:after="0" w:line="185"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The increase in our total revenues for the three months ended September 30, 2018, as compared to the same period in 2017, is attributable to increases in our Hospitality segment and Entertainment segment of $19.7 million and $7.9 million, respectively, each as discussed more fully below. The increase in our total revenues for the nine months ended September 30, 2018, as compared to the same period in 2017, is attributable to increases in our Hospitality segment and Entertainment segment of $59.0 million and $16.0 million, respectively, each as discussed more fully below.</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Total Operating Expenses</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color w:val="auto"/>
        </w:rPr>
        <w:t>The increase in our total operating expenses for the three months ended September 30, 2018, as compared to the same period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in 2017, is primarily the result of increases in our Hospitality segment and Entertainment segment expenses of $10.5 million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and $8.7 million, respectively, as well as an increase in depreciation and amortization expenses of $2.4 million and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impairment and other charges of $4.5 million in the 2018 period, each as discussed more fully below. The increase in our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total operating expenses for the nine months ended September 30, 2018, as compared to the same period in 2017, is primarily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result of increases in our Hospitality segment and Entertainment segment expenses of $29.0 million and $19.3 million,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respectively, as well as increases in depreciation and amortization expenses and preopening expenses of $5.8 million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$2.4 million, respectively, and impairment and other charges of $4.5 million in the 2018 period, each as discussed more fully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below.</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Income</w:t>
      </w:r>
    </w:p>
    <w:p>
      <w:pPr>
        <w:spacing w:after="0" w:line="198"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The decrease in our net income to $22.6 million for the three months ended September 30, 2018, as compared to $23.9 million for the same period in 2017, was due to the changes in our revenues and operating expenses reflected above and the following factors, each as described more fully below:</w:t>
      </w:r>
    </w:p>
    <w:p>
      <w:pPr>
        <w:spacing w:after="0" w:line="141" w:lineRule="exact"/>
        <w:rPr>
          <w:sz w:val="20"/>
          <w:szCs w:val="20"/>
          <w:color w:val="auto"/>
        </w:rPr>
      </w:pPr>
    </w:p>
    <w:p>
      <w:pPr>
        <w:ind w:left="660" w:hanging="333"/>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$2.6 million increase in interest expense for the 2018 period.</w:t>
      </w:r>
    </w:p>
    <w:p>
      <w:pPr>
        <w:spacing w:after="0" w:line="184" w:lineRule="exact"/>
        <w:rPr>
          <w:rFonts w:ascii="Arial" w:cs="Arial" w:eastAsia="Arial" w:hAnsi="Arial"/>
          <w:sz w:val="18"/>
          <w:szCs w:val="18"/>
          <w:color w:val="auto"/>
        </w:rPr>
      </w:pPr>
    </w:p>
    <w:p>
      <w:pPr>
        <w:ind w:left="660" w:hanging="333"/>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$1.3 million increase in the provision for income taxes in the 2018 period.</w:t>
      </w:r>
    </w:p>
    <w:p>
      <w:pPr>
        <w:spacing w:after="0" w:line="185"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The increase in our net income to $105.5 million for the nine months ended September 30, 2018, as compared to $103.8 million for the same period in 2017, was due to the changes in our revenues and operating expenses reflected above and the following factors, each as described more fully below:</w:t>
      </w:r>
    </w:p>
    <w:p>
      <w:pPr>
        <w:spacing w:after="0" w:line="141" w:lineRule="exact"/>
        <w:rPr>
          <w:sz w:val="20"/>
          <w:szCs w:val="20"/>
          <w:color w:val="auto"/>
        </w:rPr>
      </w:pPr>
    </w:p>
    <w:p>
      <w:pPr>
        <w:ind w:left="660" w:hanging="333"/>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$7.7 million increase in the provision for income taxes in the 2018 period.</w:t>
      </w:r>
    </w:p>
    <w:p>
      <w:pPr>
        <w:spacing w:after="0" w:line="184" w:lineRule="exact"/>
        <w:rPr>
          <w:rFonts w:ascii="Arial" w:cs="Arial" w:eastAsia="Arial" w:hAnsi="Arial"/>
          <w:sz w:val="18"/>
          <w:szCs w:val="18"/>
          <w:color w:val="auto"/>
        </w:rPr>
      </w:pPr>
    </w:p>
    <w:p>
      <w:pPr>
        <w:ind w:left="660" w:hanging="333"/>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$5.9 million increase in interest expense for the 2018 period.</w:t>
      </w:r>
    </w:p>
    <w:p>
      <w:pPr>
        <w:spacing w:after="0" w:line="184" w:lineRule="exact"/>
        <w:rPr>
          <w:rFonts w:ascii="Arial" w:cs="Arial" w:eastAsia="Arial" w:hAnsi="Arial"/>
          <w:sz w:val="18"/>
          <w:szCs w:val="18"/>
          <w:color w:val="auto"/>
        </w:rPr>
      </w:pPr>
    </w:p>
    <w:p>
      <w:pPr>
        <w:ind w:left="660" w:hanging="333"/>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$2.0 million increase in other gains and losses, net for the 2018 period.</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0" w:name="page31"/>
    <w:bookmarkEnd w:id="3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Factors and Trends Contributing to Performance</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color w:val="auto"/>
        </w:rPr>
        <w:t>The most important factors and trends contributing to our performance during the three months and nine months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2018 described herein were:</w:t>
      </w:r>
    </w:p>
    <w:p>
      <w:pPr>
        <w:spacing w:after="0" w:line="184" w:lineRule="exact"/>
        <w:rPr>
          <w:sz w:val="20"/>
          <w:szCs w:val="20"/>
          <w:color w:val="auto"/>
        </w:rPr>
      </w:pPr>
    </w:p>
    <w:p>
      <w:pPr>
        <w:ind w:left="660" w:right="139" w:hanging="333"/>
        <w:spacing w:after="0" w:line="276" w:lineRule="auto"/>
        <w:tabs>
          <w:tab w:leader="none" w:pos="6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Increased outside-the-room spending at Gaylord Opryland (an increase of 13.8% and 13.0%, respectively) during each of the 2018 periods, as compared to the 2017 periods, primarily due to an increase in group business partially attributable to a prior year rooms renovation project. Gaylord Opryland also experienced increased occupancy (an increase of 2.7 points of occupancy) and ADR (an increase of 6.0%) during the nine-month 2018 period due to the increase in group business, as well as an increase in transient rates.</w:t>
      </w:r>
    </w:p>
    <w:p>
      <w:pPr>
        <w:spacing w:after="0" w:line="132" w:lineRule="exact"/>
        <w:rPr>
          <w:rFonts w:ascii="Arial" w:cs="Arial" w:eastAsia="Arial" w:hAnsi="Arial"/>
          <w:sz w:val="17"/>
          <w:szCs w:val="17"/>
          <w:color w:val="auto"/>
        </w:rPr>
      </w:pPr>
    </w:p>
    <w:p>
      <w:pPr>
        <w:ind w:left="660" w:right="279" w:hanging="333"/>
        <w:spacing w:after="0" w:line="259"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Increased occupied rooms (an increase of 22.0% and 9.4%, respectively) and outside-the-room spending (an increase of 27.0% and 13.4%, respectively) at Gaylord Texan during the 2018 periods, as compared to the 2017 periods, primarily due to increases in group business partially attributable to the recent rooms and meeting space expansion.</w:t>
      </w:r>
    </w:p>
    <w:p>
      <w:pPr>
        <w:spacing w:after="0" w:line="146" w:lineRule="exact"/>
        <w:rPr>
          <w:rFonts w:ascii="Arial" w:cs="Arial" w:eastAsia="Arial" w:hAnsi="Arial"/>
          <w:sz w:val="18"/>
          <w:szCs w:val="18"/>
          <w:color w:val="auto"/>
        </w:rPr>
      </w:pPr>
    </w:p>
    <w:p>
      <w:pPr>
        <w:ind w:left="660" w:right="279" w:hanging="333"/>
        <w:spacing w:after="0" w:line="259"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Increased ADR (an increase of 5.0% and 3.4%, respectively) at Gaylord Palms during the 2018 periods, as compared to the 2017 periods, due to an increase in both group and transient business, as well an increase in outside-the-room spending (an increase of 4.6% and 5.9%, respectively), due primarily to an increase in catering and increased collection of attrition and cancellation payments.</w:t>
      </w:r>
    </w:p>
    <w:p>
      <w:pPr>
        <w:spacing w:after="0" w:line="146" w:lineRule="exact"/>
        <w:rPr>
          <w:rFonts w:ascii="Arial" w:cs="Arial" w:eastAsia="Arial" w:hAnsi="Arial"/>
          <w:sz w:val="18"/>
          <w:szCs w:val="18"/>
          <w:color w:val="auto"/>
        </w:rPr>
      </w:pPr>
    </w:p>
    <w:p>
      <w:pPr>
        <w:ind w:left="660" w:right="199" w:hanging="333"/>
        <w:spacing w:after="0" w:line="308" w:lineRule="auto"/>
        <w:tabs>
          <w:tab w:leader="none" w:pos="6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Increased outside-the-room spending (an increase of 6.1% and 5.1%, respectively) at Gaylord National during the 2018 periods, as compared to the 2017 periods, primarily due to an increase in group business.</w:t>
      </w:r>
    </w:p>
    <w:p>
      <w:pPr>
        <w:spacing w:after="0" w:line="106" w:lineRule="exact"/>
        <w:rPr>
          <w:rFonts w:ascii="Arial" w:cs="Arial" w:eastAsia="Arial" w:hAnsi="Arial"/>
          <w:sz w:val="17"/>
          <w:szCs w:val="17"/>
          <w:color w:val="auto"/>
        </w:rPr>
      </w:pPr>
    </w:p>
    <w:p>
      <w:pPr>
        <w:ind w:left="660" w:right="379" w:hanging="333"/>
        <w:spacing w:after="0" w:line="264"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Increased revenue for our Entertainment segment during the 2018 periods, as compared to the 2017 periods (an increase of 22.4% and 17.3%, respectively), due primarily to the opening of our flagship Ole Red location in Nashville in May 2018.</w:t>
      </w:r>
    </w:p>
    <w:p>
      <w:pPr>
        <w:spacing w:after="0" w:line="140" w:lineRule="exact"/>
        <w:rPr>
          <w:rFonts w:ascii="Arial" w:cs="Arial" w:eastAsia="Arial" w:hAnsi="Arial"/>
          <w:sz w:val="18"/>
          <w:szCs w:val="18"/>
          <w:color w:val="auto"/>
        </w:rPr>
      </w:pPr>
    </w:p>
    <w:p>
      <w:pPr>
        <w:ind w:left="660" w:right="39" w:hanging="333"/>
        <w:spacing w:after="0" w:line="279" w:lineRule="auto"/>
        <w:tabs>
          <w:tab w:leader="none" w:pos="6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Increased expenses for our Entertainment segment during the 2018 periods, as compared to the 2017 periods (an increase of 38.3% and 31.3%, respectively), due primarily to the opening of our Ole Red Nashville location, as well as operating expenses for Opry City Stage being included in Entertainment expenses subsequent to our purchase of the remaining joint venture interest in the second quarter of 2018.</w:t>
      </w:r>
    </w:p>
    <w:p>
      <w:pPr>
        <w:spacing w:after="0" w:line="200" w:lineRule="exact"/>
        <w:rPr>
          <w:sz w:val="20"/>
          <w:szCs w:val="20"/>
          <w:color w:val="auto"/>
        </w:rPr>
      </w:pPr>
    </w:p>
    <w:p>
      <w:pPr>
        <w:spacing w:after="0" w:line="36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sectPr>
      </w:pPr>
    </w:p>
    <w:bookmarkStart w:id="31" w:name="page32"/>
    <w:bookmarkEnd w:id="3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4500"/>
        <w:spacing w:after="0" w:line="461" w:lineRule="auto"/>
        <w:rPr>
          <w:sz w:val="20"/>
          <w:szCs w:val="20"/>
          <w:color w:val="auto"/>
        </w:rPr>
      </w:pPr>
      <w:r>
        <w:rPr>
          <w:rFonts w:ascii="Arial" w:cs="Arial" w:eastAsia="Arial" w:hAnsi="Arial"/>
          <w:sz w:val="18"/>
          <w:szCs w:val="18"/>
          <w:b w:val="1"/>
          <w:bCs w:val="1"/>
          <w:i w:val="1"/>
          <w:iCs w:val="1"/>
          <w:color w:val="auto"/>
        </w:rPr>
        <w:t>Operating Results – Detailed Segment Financial Information Hospitality Segment</w:t>
      </w:r>
    </w:p>
    <w:p>
      <w:pPr>
        <w:spacing w:after="0" w:line="2" w:lineRule="exact"/>
        <w:rPr>
          <w:sz w:val="20"/>
          <w:szCs w:val="20"/>
          <w:color w:val="auto"/>
        </w:rPr>
      </w:pPr>
    </w:p>
    <w:p>
      <w:pPr>
        <w:ind w:right="500"/>
        <w:spacing w:after="0" w:line="342" w:lineRule="auto"/>
        <w:rPr>
          <w:sz w:val="20"/>
          <w:szCs w:val="20"/>
          <w:color w:val="auto"/>
        </w:rPr>
      </w:pPr>
      <w:r>
        <w:rPr>
          <w:rFonts w:ascii="Arial" w:cs="Arial" w:eastAsia="Arial" w:hAnsi="Arial"/>
          <w:sz w:val="16"/>
          <w:szCs w:val="16"/>
          <w:i w:val="1"/>
          <w:iCs w:val="1"/>
          <w:color w:val="auto"/>
        </w:rPr>
        <w:t xml:space="preserve">Total Segment Results. </w:t>
      </w:r>
      <w:r>
        <w:rPr>
          <w:rFonts w:ascii="Arial" w:cs="Arial" w:eastAsia="Arial" w:hAnsi="Arial"/>
          <w:sz w:val="16"/>
          <w:szCs w:val="16"/>
          <w:color w:val="auto"/>
        </w:rPr>
        <w:t>The following presents the financial results of our Hospitality segment for the three months and</w:t>
      </w:r>
      <w:r>
        <w:rPr>
          <w:rFonts w:ascii="Arial" w:cs="Arial" w:eastAsia="Arial" w:hAnsi="Arial"/>
          <w:sz w:val="16"/>
          <w:szCs w:val="16"/>
          <w:i w:val="1"/>
          <w:iCs w:val="1"/>
          <w:color w:val="auto"/>
        </w:rPr>
        <w:t xml:space="preserve"> </w:t>
      </w:r>
      <w:r>
        <w:rPr>
          <w:rFonts w:ascii="Arial" w:cs="Arial" w:eastAsia="Arial" w:hAnsi="Arial"/>
          <w:sz w:val="16"/>
          <w:szCs w:val="16"/>
          <w:color w:val="auto"/>
        </w:rPr>
        <w:t>nine months ended September 30, 2018 and 2017 (in thousands, except percentages and performance metrics):</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80" w:type="dxa"/>
            <w:vAlign w:val="bottom"/>
            <w:gridSpan w:val="5"/>
          </w:tcPr>
          <w:p>
            <w:pPr>
              <w:jc w:val="right"/>
              <w:ind w:right="160"/>
              <w:spacing w:after="0"/>
              <w:rPr>
                <w:sz w:val="20"/>
                <w:szCs w:val="20"/>
                <w:color w:val="auto"/>
              </w:rPr>
            </w:pPr>
            <w:r>
              <w:rPr>
                <w:rFonts w:ascii="Arial" w:cs="Arial" w:eastAsia="Arial" w:hAnsi="Arial"/>
                <w:sz w:val="14"/>
                <w:szCs w:val="14"/>
                <w:b w:val="1"/>
                <w:bCs w:val="1"/>
                <w:color w:val="auto"/>
              </w:rPr>
              <w:t>Three Months Ended</w:t>
            </w: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20" w:type="dxa"/>
            <w:vAlign w:val="bottom"/>
            <w:gridSpan w:val="5"/>
          </w:tcPr>
          <w:p>
            <w:pPr>
              <w:jc w:val="right"/>
              <w:ind w:right="320"/>
              <w:spacing w:after="0"/>
              <w:rPr>
                <w:sz w:val="20"/>
                <w:szCs w:val="20"/>
                <w:color w:val="auto"/>
              </w:rPr>
            </w:pPr>
            <w:r>
              <w:rPr>
                <w:rFonts w:ascii="Arial" w:cs="Arial" w:eastAsia="Arial" w:hAnsi="Arial"/>
                <w:sz w:val="14"/>
                <w:szCs w:val="14"/>
                <w:b w:val="1"/>
                <w:bCs w:val="1"/>
                <w:color w:val="auto"/>
              </w:rPr>
              <w:t>Nine Months Ended</w:t>
            </w: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4"/>
          </w:tcPr>
          <w:p>
            <w:pPr>
              <w:jc w:val="right"/>
              <w:ind w:right="400"/>
              <w:spacing w:after="0"/>
              <w:rPr>
                <w:sz w:val="20"/>
                <w:szCs w:val="20"/>
                <w:color w:val="auto"/>
              </w:rPr>
            </w:pPr>
            <w:r>
              <w:rPr>
                <w:rFonts w:ascii="Arial" w:cs="Arial" w:eastAsia="Arial" w:hAnsi="Arial"/>
                <w:sz w:val="14"/>
                <w:szCs w:val="14"/>
                <w:b w:val="1"/>
                <w:bCs w:val="1"/>
                <w:color w:val="auto"/>
                <w:w w:val="91"/>
              </w:rPr>
              <w:t>September 30,</w:t>
            </w:r>
          </w:p>
        </w:tc>
        <w:tc>
          <w:tcPr>
            <w:tcW w:w="50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4"/>
          </w:tcPr>
          <w:p>
            <w:pPr>
              <w:jc w:val="right"/>
              <w:ind w:right="520"/>
              <w:spacing w:after="0"/>
              <w:rPr>
                <w:sz w:val="20"/>
                <w:szCs w:val="20"/>
                <w:color w:val="auto"/>
              </w:rPr>
            </w:pPr>
            <w:r>
              <w:rPr>
                <w:rFonts w:ascii="Arial" w:cs="Arial" w:eastAsia="Arial" w:hAnsi="Arial"/>
                <w:sz w:val="14"/>
                <w:szCs w:val="14"/>
                <w:b w:val="1"/>
                <w:bCs w:val="1"/>
                <w:color w:val="auto"/>
                <w:w w:val="91"/>
              </w:rPr>
              <w:t>September 30,</w:t>
            </w:r>
          </w:p>
        </w:tc>
        <w:tc>
          <w:tcPr>
            <w:tcW w:w="4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2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vMerge w:val="restart"/>
          </w:tcPr>
          <w:p>
            <w:pPr>
              <w:jc w:val="right"/>
              <w:ind w:right="172"/>
              <w:spacing w:after="0"/>
              <w:rPr>
                <w:sz w:val="20"/>
                <w:szCs w:val="20"/>
                <w:color w:val="auto"/>
              </w:rPr>
            </w:pPr>
            <w:r>
              <w:rPr>
                <w:rFonts w:ascii="Arial" w:cs="Arial" w:eastAsia="Arial" w:hAnsi="Arial"/>
                <w:sz w:val="14"/>
                <w:szCs w:val="14"/>
                <w:b w:val="1"/>
                <w:bCs w:val="1"/>
                <w:color w:val="auto"/>
              </w:rPr>
              <w:t>2018</w:t>
            </w: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vMerge w:val="restart"/>
          </w:tcPr>
          <w:p>
            <w:pPr>
              <w:jc w:val="right"/>
              <w:ind w:right="171"/>
              <w:spacing w:after="0"/>
              <w:rPr>
                <w:sz w:val="20"/>
                <w:szCs w:val="20"/>
                <w:color w:val="auto"/>
              </w:rPr>
            </w:pPr>
            <w:r>
              <w:rPr>
                <w:rFonts w:ascii="Arial" w:cs="Arial" w:eastAsia="Arial" w:hAnsi="Arial"/>
                <w:sz w:val="14"/>
                <w:szCs w:val="14"/>
                <w:b w:val="1"/>
                <w:bCs w:val="1"/>
                <w:color w:val="auto"/>
              </w:rPr>
              <w:t>2017</w:t>
            </w:r>
          </w:p>
        </w:tc>
        <w:tc>
          <w:tcPr>
            <w:tcW w:w="240" w:type="dxa"/>
            <w:vAlign w:val="bottom"/>
          </w:tcPr>
          <w:p>
            <w:pPr>
              <w:spacing w:after="0"/>
              <w:rPr>
                <w:sz w:val="10"/>
                <w:szCs w:val="10"/>
                <w:color w:val="auto"/>
              </w:rPr>
            </w:pPr>
          </w:p>
        </w:tc>
        <w:tc>
          <w:tcPr>
            <w:tcW w:w="500" w:type="dxa"/>
            <w:vAlign w:val="bottom"/>
          </w:tcPr>
          <w:p>
            <w:pPr>
              <w:jc w:val="right"/>
              <w:ind w:right="92"/>
              <w:spacing w:after="0" w:line="119" w:lineRule="exact"/>
              <w:rPr>
                <w:sz w:val="20"/>
                <w:szCs w:val="20"/>
                <w:color w:val="auto"/>
              </w:rPr>
            </w:pPr>
            <w:r>
              <w:rPr>
                <w:rFonts w:ascii="Arial" w:cs="Arial" w:eastAsia="Arial" w:hAnsi="Arial"/>
                <w:sz w:val="13"/>
                <w:szCs w:val="13"/>
                <w:b w:val="1"/>
                <w:bCs w:val="1"/>
                <w:color w:val="auto"/>
              </w:rPr>
              <w:t>%</w:t>
            </w: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vMerge w:val="restart"/>
          </w:tcPr>
          <w:p>
            <w:pPr>
              <w:jc w:val="right"/>
              <w:ind w:right="232"/>
              <w:spacing w:after="0"/>
              <w:rPr>
                <w:sz w:val="20"/>
                <w:szCs w:val="20"/>
                <w:color w:val="auto"/>
              </w:rPr>
            </w:pPr>
            <w:r>
              <w:rPr>
                <w:rFonts w:ascii="Arial" w:cs="Arial" w:eastAsia="Arial" w:hAnsi="Arial"/>
                <w:sz w:val="14"/>
                <w:szCs w:val="14"/>
                <w:b w:val="1"/>
                <w:bCs w:val="1"/>
                <w:color w:val="auto"/>
              </w:rPr>
              <w:t>2018</w:t>
            </w: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vMerge w:val="restart"/>
          </w:tcPr>
          <w:p>
            <w:pPr>
              <w:jc w:val="right"/>
              <w:ind w:right="231"/>
              <w:spacing w:after="0"/>
              <w:rPr>
                <w:sz w:val="20"/>
                <w:szCs w:val="20"/>
                <w:color w:val="auto"/>
              </w:rPr>
            </w:pPr>
            <w:r>
              <w:rPr>
                <w:rFonts w:ascii="Arial" w:cs="Arial" w:eastAsia="Arial" w:hAnsi="Arial"/>
                <w:sz w:val="14"/>
                <w:szCs w:val="14"/>
                <w:b w:val="1"/>
                <w:bCs w:val="1"/>
                <w:color w:val="auto"/>
              </w:rPr>
              <w:t>2017</w:t>
            </w:r>
          </w:p>
        </w:tc>
        <w:tc>
          <w:tcPr>
            <w:tcW w:w="240" w:type="dxa"/>
            <w:vAlign w:val="bottom"/>
          </w:tcPr>
          <w:p>
            <w:pPr>
              <w:spacing w:after="0"/>
              <w:rPr>
                <w:sz w:val="10"/>
                <w:szCs w:val="10"/>
                <w:color w:val="auto"/>
              </w:rPr>
            </w:pPr>
          </w:p>
        </w:tc>
        <w:tc>
          <w:tcPr>
            <w:tcW w:w="480" w:type="dxa"/>
            <w:vAlign w:val="bottom"/>
          </w:tcPr>
          <w:p>
            <w:pPr>
              <w:jc w:val="right"/>
              <w:ind w:right="72"/>
              <w:spacing w:after="0" w:line="119" w:lineRule="exact"/>
              <w:rPr>
                <w:sz w:val="20"/>
                <w:szCs w:val="20"/>
                <w:color w:val="auto"/>
              </w:rPr>
            </w:pPr>
            <w:r>
              <w:rPr>
                <w:rFonts w:ascii="Arial" w:cs="Arial" w:eastAsia="Arial" w:hAnsi="Arial"/>
                <w:sz w:val="13"/>
                <w:szCs w:val="13"/>
                <w:b w:val="1"/>
                <w:bCs w:val="1"/>
                <w:color w:val="auto"/>
              </w:rPr>
              <w:t>%</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Change</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3"/>
              </w:rPr>
              <w:t>Change</w:t>
            </w:r>
          </w:p>
        </w:tc>
        <w:tc>
          <w:tcPr>
            <w:tcW w:w="0" w:type="dxa"/>
            <w:vAlign w:val="bottom"/>
          </w:tcPr>
          <w:p>
            <w:pPr>
              <w:spacing w:after="0"/>
              <w:rPr>
                <w:sz w:val="1"/>
                <w:szCs w:val="1"/>
                <w:color w:val="auto"/>
              </w:rPr>
            </w:pPr>
          </w:p>
        </w:tc>
      </w:tr>
      <w:tr>
        <w:trPr>
          <w:trHeight w:val="210"/>
        </w:trPr>
        <w:tc>
          <w:tcPr>
            <w:tcW w:w="30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Revenues:</w:t>
            </w:r>
          </w:p>
        </w:tc>
        <w:tc>
          <w:tcPr>
            <w:tcW w:w="14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60" w:type="dxa"/>
            <w:vAlign w:val="bottom"/>
            <w:gridSpan w:val="2"/>
          </w:tcPr>
          <w:p>
            <w:pPr>
              <w:ind w:left="120"/>
              <w:spacing w:after="0"/>
              <w:rPr>
                <w:sz w:val="20"/>
                <w:szCs w:val="20"/>
                <w:color w:val="auto"/>
              </w:rPr>
            </w:pPr>
            <w:r>
              <w:rPr>
                <w:rFonts w:ascii="Arial" w:cs="Arial" w:eastAsia="Arial" w:hAnsi="Arial"/>
                <w:sz w:val="18"/>
                <w:szCs w:val="18"/>
                <w:color w:val="auto"/>
              </w:rPr>
              <w:t>Rooms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2"/>
              </w:rPr>
              <w:t>103,181</w:t>
            </w:r>
          </w:p>
        </w:tc>
        <w:tc>
          <w:tcPr>
            <w:tcW w:w="2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5"/>
              </w:rPr>
              <w:t>100,534</w:t>
            </w:r>
          </w:p>
        </w:tc>
        <w:tc>
          <w:tcPr>
            <w:tcW w:w="24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2.6 %</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332,490</w:t>
            </w:r>
          </w:p>
        </w:tc>
        <w:tc>
          <w:tcPr>
            <w:tcW w:w="2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314,577</w:t>
            </w:r>
          </w:p>
        </w:tc>
        <w:tc>
          <w:tcPr>
            <w:tcW w:w="24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5.7 %</w:t>
            </w:r>
          </w:p>
        </w:tc>
        <w:tc>
          <w:tcPr>
            <w:tcW w:w="0" w:type="dxa"/>
            <w:vAlign w:val="bottom"/>
          </w:tcPr>
          <w:p>
            <w:pPr>
              <w:spacing w:after="0"/>
              <w:rPr>
                <w:sz w:val="1"/>
                <w:szCs w:val="1"/>
                <w:color w:val="auto"/>
              </w:rPr>
            </w:pPr>
          </w:p>
        </w:tc>
      </w:tr>
      <w:tr>
        <w:trPr>
          <w:trHeight w:val="216"/>
        </w:trPr>
        <w:tc>
          <w:tcPr>
            <w:tcW w:w="30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Food and beverage</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118,496</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104,437</w:t>
            </w: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13.5 %</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392,488</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359,047</w:t>
            </w:r>
          </w:p>
        </w:tc>
        <w:tc>
          <w:tcPr>
            <w:tcW w:w="2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9.3 %</w:t>
            </w:r>
          </w:p>
        </w:tc>
        <w:tc>
          <w:tcPr>
            <w:tcW w:w="0" w:type="dxa"/>
            <w:vAlign w:val="bottom"/>
          </w:tcPr>
          <w:p>
            <w:pPr>
              <w:spacing w:after="0"/>
              <w:rPr>
                <w:sz w:val="1"/>
                <w:szCs w:val="1"/>
                <w:color w:val="auto"/>
              </w:rPr>
            </w:pPr>
          </w:p>
        </w:tc>
      </w:tr>
      <w:tr>
        <w:trPr>
          <w:trHeight w:val="216"/>
        </w:trPr>
        <w:tc>
          <w:tcPr>
            <w:tcW w:w="3060" w:type="dxa"/>
            <w:vAlign w:val="bottom"/>
            <w:tcBorders>
              <w:bottom w:val="single" w:sz="8" w:color="CCEEFF"/>
            </w:tcBorders>
            <w:gridSpan w:val="2"/>
          </w:tcPr>
          <w:p>
            <w:pPr>
              <w:ind w:left="120"/>
              <w:spacing w:after="0"/>
              <w:rPr>
                <w:sz w:val="20"/>
                <w:szCs w:val="20"/>
                <w:color w:val="auto"/>
              </w:rPr>
            </w:pPr>
            <w:r>
              <w:rPr>
                <w:rFonts w:ascii="Arial" w:cs="Arial" w:eastAsia="Arial" w:hAnsi="Arial"/>
                <w:sz w:val="18"/>
                <w:szCs w:val="18"/>
                <w:color w:val="auto"/>
              </w:rPr>
              <w:t>Other hotel revenue</w:t>
            </w: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27,563</w:t>
            </w:r>
          </w:p>
        </w:tc>
        <w:tc>
          <w:tcPr>
            <w:tcW w:w="2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24,619</w:t>
            </w:r>
          </w:p>
        </w:tc>
        <w:tc>
          <w:tcPr>
            <w:tcW w:w="240" w:type="dxa"/>
            <w:vAlign w:val="bottom"/>
            <w:tcBorders>
              <w:bottom w:val="single" w:sz="8" w:color="CCEEFF"/>
            </w:tcBorders>
          </w:tcPr>
          <w:p>
            <w:pPr>
              <w:spacing w:after="0"/>
              <w:rPr>
                <w:sz w:val="18"/>
                <w:szCs w:val="18"/>
                <w:color w:val="auto"/>
              </w:rPr>
            </w:pPr>
          </w:p>
        </w:tc>
        <w:tc>
          <w:tcPr>
            <w:tcW w:w="760" w:type="dxa"/>
            <w:vAlign w:val="bottom"/>
            <w:tcBorders>
              <w:bottom w:val="single" w:sz="8" w:color="CCEEFF"/>
            </w:tcBorders>
            <w:gridSpan w:val="2"/>
          </w:tcPr>
          <w:p>
            <w:pPr>
              <w:jc w:val="right"/>
              <w:ind w:right="120"/>
              <w:spacing w:after="0"/>
              <w:rPr>
                <w:sz w:val="20"/>
                <w:szCs w:val="20"/>
                <w:color w:val="auto"/>
              </w:rPr>
            </w:pPr>
            <w:r>
              <w:rPr>
                <w:rFonts w:ascii="Arial" w:cs="Arial" w:eastAsia="Arial" w:hAnsi="Arial"/>
                <w:sz w:val="18"/>
                <w:szCs w:val="18"/>
                <w:color w:val="auto"/>
              </w:rPr>
              <w:t>12.0 %</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81,129</w:t>
            </w:r>
          </w:p>
        </w:tc>
        <w:tc>
          <w:tcPr>
            <w:tcW w:w="2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73,493</w:t>
            </w:r>
          </w:p>
        </w:tc>
        <w:tc>
          <w:tcPr>
            <w:tcW w:w="240" w:type="dxa"/>
            <w:vAlign w:val="bottom"/>
            <w:tcBorders>
              <w:bottom w:val="single" w:sz="8" w:color="CCEEFF"/>
            </w:tcBorders>
          </w:tcPr>
          <w:p>
            <w:pPr>
              <w:spacing w:after="0"/>
              <w:rPr>
                <w:sz w:val="18"/>
                <w:szCs w:val="18"/>
                <w:color w:val="auto"/>
              </w:rPr>
            </w:pPr>
          </w:p>
        </w:tc>
        <w:tc>
          <w:tcPr>
            <w:tcW w:w="64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10.4 %</w:t>
            </w:r>
          </w:p>
        </w:tc>
        <w:tc>
          <w:tcPr>
            <w:tcW w:w="0" w:type="dxa"/>
            <w:vAlign w:val="bottom"/>
          </w:tcPr>
          <w:p>
            <w:pPr>
              <w:spacing w:after="0"/>
              <w:rPr>
                <w:sz w:val="1"/>
                <w:szCs w:val="1"/>
                <w:color w:val="auto"/>
              </w:rPr>
            </w:pPr>
          </w:p>
        </w:tc>
      </w:tr>
      <w:tr>
        <w:trPr>
          <w:trHeight w:val="210"/>
        </w:trPr>
        <w:tc>
          <w:tcPr>
            <w:tcW w:w="30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Total hospitality revenue</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249,240</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229,590</w:t>
            </w: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8.6 %</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806,107</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747,117</w:t>
            </w:r>
          </w:p>
        </w:tc>
        <w:tc>
          <w:tcPr>
            <w:tcW w:w="2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7.9 %</w:t>
            </w:r>
          </w:p>
        </w:tc>
        <w:tc>
          <w:tcPr>
            <w:tcW w:w="0" w:type="dxa"/>
            <w:vAlign w:val="bottom"/>
          </w:tcPr>
          <w:p>
            <w:pPr>
              <w:spacing w:after="0"/>
              <w:rPr>
                <w:sz w:val="1"/>
                <w:szCs w:val="1"/>
                <w:color w:val="auto"/>
              </w:rPr>
            </w:pPr>
          </w:p>
        </w:tc>
      </w:tr>
      <w:tr>
        <w:trPr>
          <w:trHeight w:val="216"/>
        </w:trPr>
        <w:tc>
          <w:tcPr>
            <w:tcW w:w="3060" w:type="dxa"/>
            <w:vAlign w:val="bottom"/>
            <w:gridSpan w:val="2"/>
          </w:tcPr>
          <w:p>
            <w:pPr>
              <w:spacing w:after="0"/>
              <w:rPr>
                <w:sz w:val="20"/>
                <w:szCs w:val="20"/>
                <w:color w:val="auto"/>
              </w:rPr>
            </w:pPr>
            <w:r>
              <w:rPr>
                <w:rFonts w:ascii="Arial" w:cs="Arial" w:eastAsia="Arial" w:hAnsi="Arial"/>
                <w:sz w:val="18"/>
                <w:szCs w:val="18"/>
                <w:color w:val="auto"/>
              </w:rPr>
              <w:t>Hospitality operating expenses:</w:t>
            </w: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Rooms</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29,563</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27,575</w:t>
            </w: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7.2 %</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88,550</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83,962</w:t>
            </w:r>
          </w:p>
        </w:tc>
        <w:tc>
          <w:tcPr>
            <w:tcW w:w="2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5.5 %</w:t>
            </w:r>
          </w:p>
        </w:tc>
        <w:tc>
          <w:tcPr>
            <w:tcW w:w="0" w:type="dxa"/>
            <w:vAlign w:val="bottom"/>
          </w:tcPr>
          <w:p>
            <w:pPr>
              <w:spacing w:after="0"/>
              <w:rPr>
                <w:sz w:val="1"/>
                <w:szCs w:val="1"/>
                <w:color w:val="auto"/>
              </w:rPr>
            </w:pPr>
          </w:p>
        </w:tc>
      </w:tr>
      <w:tr>
        <w:trPr>
          <w:trHeight w:val="216"/>
        </w:trPr>
        <w:tc>
          <w:tcPr>
            <w:tcW w:w="3060" w:type="dxa"/>
            <w:vAlign w:val="bottom"/>
            <w:gridSpan w:val="2"/>
          </w:tcPr>
          <w:p>
            <w:pPr>
              <w:ind w:left="120"/>
              <w:spacing w:after="0"/>
              <w:rPr>
                <w:sz w:val="20"/>
                <w:szCs w:val="20"/>
                <w:color w:val="auto"/>
              </w:rPr>
            </w:pPr>
            <w:r>
              <w:rPr>
                <w:rFonts w:ascii="Arial" w:cs="Arial" w:eastAsia="Arial" w:hAnsi="Arial"/>
                <w:sz w:val="18"/>
                <w:szCs w:val="18"/>
                <w:color w:val="auto"/>
              </w:rPr>
              <w:t>Food and beverage</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67,305</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62,649</w:t>
            </w:r>
          </w:p>
        </w:tc>
        <w:tc>
          <w:tcPr>
            <w:tcW w:w="24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7.4 %</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211,677</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200,091</w:t>
            </w:r>
          </w:p>
        </w:tc>
        <w:tc>
          <w:tcPr>
            <w:tcW w:w="24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5.8 %</w:t>
            </w:r>
          </w:p>
        </w:tc>
        <w:tc>
          <w:tcPr>
            <w:tcW w:w="0" w:type="dxa"/>
            <w:vAlign w:val="bottom"/>
          </w:tcPr>
          <w:p>
            <w:pPr>
              <w:spacing w:after="0"/>
              <w:rPr>
                <w:sz w:val="1"/>
                <w:szCs w:val="1"/>
                <w:color w:val="auto"/>
              </w:rPr>
            </w:pPr>
          </w:p>
        </w:tc>
      </w:tr>
      <w:tr>
        <w:trPr>
          <w:trHeight w:val="216"/>
        </w:trPr>
        <w:tc>
          <w:tcPr>
            <w:tcW w:w="30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Other hotel expenses</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74,350</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72,299</w:t>
            </w: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2.8 %</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226,965</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220,073</w:t>
            </w:r>
          </w:p>
        </w:tc>
        <w:tc>
          <w:tcPr>
            <w:tcW w:w="2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3.1 %</w:t>
            </w:r>
          </w:p>
        </w:tc>
        <w:tc>
          <w:tcPr>
            <w:tcW w:w="0" w:type="dxa"/>
            <w:vAlign w:val="bottom"/>
          </w:tcPr>
          <w:p>
            <w:pPr>
              <w:spacing w:after="0"/>
              <w:rPr>
                <w:sz w:val="1"/>
                <w:szCs w:val="1"/>
                <w:color w:val="auto"/>
              </w:rPr>
            </w:pPr>
          </w:p>
        </w:tc>
      </w:tr>
      <w:tr>
        <w:trPr>
          <w:trHeight w:val="216"/>
        </w:trPr>
        <w:tc>
          <w:tcPr>
            <w:tcW w:w="3060" w:type="dxa"/>
            <w:vAlign w:val="bottom"/>
            <w:gridSpan w:val="2"/>
          </w:tcPr>
          <w:p>
            <w:pPr>
              <w:ind w:left="120"/>
              <w:spacing w:after="0"/>
              <w:rPr>
                <w:sz w:val="20"/>
                <w:szCs w:val="20"/>
                <w:color w:val="auto"/>
              </w:rPr>
            </w:pPr>
            <w:r>
              <w:rPr>
                <w:rFonts w:ascii="Arial" w:cs="Arial" w:eastAsia="Arial" w:hAnsi="Arial"/>
                <w:sz w:val="18"/>
                <w:szCs w:val="18"/>
                <w:color w:val="auto"/>
              </w:rPr>
              <w:t>Management fees, net</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6,558</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4,708</w:t>
            </w:r>
          </w:p>
        </w:tc>
        <w:tc>
          <w:tcPr>
            <w:tcW w:w="24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39.3 %</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22,323</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16,417</w:t>
            </w:r>
          </w:p>
        </w:tc>
        <w:tc>
          <w:tcPr>
            <w:tcW w:w="24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36.0 %</w:t>
            </w:r>
          </w:p>
        </w:tc>
        <w:tc>
          <w:tcPr>
            <w:tcW w:w="0" w:type="dxa"/>
            <w:vAlign w:val="bottom"/>
          </w:tcPr>
          <w:p>
            <w:pPr>
              <w:spacing w:after="0"/>
              <w:rPr>
                <w:sz w:val="1"/>
                <w:szCs w:val="1"/>
                <w:color w:val="auto"/>
              </w:rPr>
            </w:pPr>
          </w:p>
        </w:tc>
      </w:tr>
      <w:tr>
        <w:trPr>
          <w:trHeight w:val="216"/>
        </w:trPr>
        <w:tc>
          <w:tcPr>
            <w:tcW w:w="30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Depreciation and amortization</w:t>
            </w:r>
          </w:p>
        </w:tc>
        <w:tc>
          <w:tcPr>
            <w:tcW w:w="1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27,946</w:t>
            </w:r>
          </w:p>
        </w:tc>
        <w:tc>
          <w:tcPr>
            <w:tcW w:w="2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26,061</w:t>
            </w: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7.2 %</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81,379</w:t>
            </w:r>
          </w:p>
        </w:tc>
        <w:tc>
          <w:tcPr>
            <w:tcW w:w="2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76,786</w:t>
            </w:r>
          </w:p>
        </w:tc>
        <w:tc>
          <w:tcPr>
            <w:tcW w:w="2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6.0 %</w:t>
            </w:r>
          </w:p>
        </w:tc>
        <w:tc>
          <w:tcPr>
            <w:tcW w:w="0" w:type="dxa"/>
            <w:vAlign w:val="bottom"/>
          </w:tcPr>
          <w:p>
            <w:pPr>
              <w:spacing w:after="0"/>
              <w:rPr>
                <w:sz w:val="1"/>
                <w:szCs w:val="1"/>
                <w:color w:val="auto"/>
              </w:rPr>
            </w:pPr>
          </w:p>
        </w:tc>
      </w:tr>
      <w:tr>
        <w:trPr>
          <w:trHeight w:val="210"/>
        </w:trPr>
        <w:tc>
          <w:tcPr>
            <w:tcW w:w="306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w w:val="97"/>
              </w:rPr>
              <w:t>Total Hospitality operating expenses</w:t>
            </w: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205,722</w:t>
            </w:r>
          </w:p>
        </w:tc>
        <w:tc>
          <w:tcPr>
            <w:tcW w:w="2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193,292</w:t>
            </w:r>
          </w:p>
        </w:tc>
        <w:tc>
          <w:tcPr>
            <w:tcW w:w="240" w:type="dxa"/>
            <w:vAlign w:val="bottom"/>
            <w:tcBorders>
              <w:bottom w:val="single" w:sz="8" w:color="CCEEFF"/>
            </w:tcBorders>
          </w:tcPr>
          <w:p>
            <w:pPr>
              <w:spacing w:after="0"/>
              <w:rPr>
                <w:sz w:val="18"/>
                <w:szCs w:val="18"/>
                <w:color w:val="auto"/>
              </w:rPr>
            </w:pPr>
          </w:p>
        </w:tc>
        <w:tc>
          <w:tcPr>
            <w:tcW w:w="760" w:type="dxa"/>
            <w:vAlign w:val="bottom"/>
            <w:tcBorders>
              <w:bottom w:val="single" w:sz="8" w:color="CCEEFF"/>
            </w:tcBorders>
            <w:gridSpan w:val="2"/>
          </w:tcPr>
          <w:p>
            <w:pPr>
              <w:jc w:val="right"/>
              <w:ind w:right="120"/>
              <w:spacing w:after="0"/>
              <w:rPr>
                <w:sz w:val="20"/>
                <w:szCs w:val="20"/>
                <w:color w:val="auto"/>
              </w:rPr>
            </w:pPr>
            <w:r>
              <w:rPr>
                <w:rFonts w:ascii="Arial" w:cs="Arial" w:eastAsia="Arial" w:hAnsi="Arial"/>
                <w:sz w:val="18"/>
                <w:szCs w:val="18"/>
                <w:color w:val="auto"/>
              </w:rPr>
              <w:t>6.4 %</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630,894</w:t>
            </w:r>
          </w:p>
        </w:tc>
        <w:tc>
          <w:tcPr>
            <w:tcW w:w="2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597,329</w:t>
            </w:r>
          </w:p>
        </w:tc>
        <w:tc>
          <w:tcPr>
            <w:tcW w:w="240" w:type="dxa"/>
            <w:vAlign w:val="bottom"/>
            <w:tcBorders>
              <w:bottom w:val="single" w:sz="8" w:color="CCEEFF"/>
            </w:tcBorders>
          </w:tcPr>
          <w:p>
            <w:pPr>
              <w:spacing w:after="0"/>
              <w:rPr>
                <w:sz w:val="18"/>
                <w:szCs w:val="18"/>
                <w:color w:val="auto"/>
              </w:rPr>
            </w:pPr>
          </w:p>
        </w:tc>
        <w:tc>
          <w:tcPr>
            <w:tcW w:w="64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5.6 %</w:t>
            </w:r>
          </w:p>
        </w:tc>
        <w:tc>
          <w:tcPr>
            <w:tcW w:w="0" w:type="dxa"/>
            <w:vAlign w:val="bottom"/>
          </w:tcPr>
          <w:p>
            <w:pPr>
              <w:spacing w:after="0"/>
              <w:rPr>
                <w:sz w:val="1"/>
                <w:szCs w:val="1"/>
                <w:color w:val="auto"/>
              </w:rPr>
            </w:pPr>
          </w:p>
        </w:tc>
      </w:tr>
      <w:tr>
        <w:trPr>
          <w:trHeight w:val="230"/>
        </w:trPr>
        <w:tc>
          <w:tcPr>
            <w:tcW w:w="30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Hospitality operating income (1)</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43,518</w:t>
            </w:r>
          </w:p>
        </w:tc>
        <w:tc>
          <w:tcPr>
            <w:tcW w:w="2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36,298</w:t>
            </w:r>
          </w:p>
        </w:tc>
        <w:tc>
          <w:tcPr>
            <w:tcW w:w="24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19.9 %</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175,213</w:t>
            </w:r>
          </w:p>
        </w:tc>
        <w:tc>
          <w:tcPr>
            <w:tcW w:w="2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149,788</w:t>
            </w:r>
          </w:p>
        </w:tc>
        <w:tc>
          <w:tcPr>
            <w:tcW w:w="24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17.0 %</w:t>
            </w:r>
          </w:p>
        </w:tc>
        <w:tc>
          <w:tcPr>
            <w:tcW w:w="0" w:type="dxa"/>
            <w:vAlign w:val="bottom"/>
          </w:tcPr>
          <w:p>
            <w:pPr>
              <w:spacing w:after="0"/>
              <w:rPr>
                <w:sz w:val="1"/>
                <w:szCs w:val="1"/>
                <w:color w:val="auto"/>
              </w:rPr>
            </w:pPr>
          </w:p>
        </w:tc>
      </w:tr>
      <w:tr>
        <w:trPr>
          <w:trHeight w:val="203"/>
        </w:trPr>
        <w:tc>
          <w:tcPr>
            <w:tcW w:w="3060" w:type="dxa"/>
            <w:vAlign w:val="bottom"/>
            <w:gridSpan w:val="2"/>
          </w:tcPr>
          <w:p>
            <w:pPr>
              <w:spacing w:after="0" w:line="203" w:lineRule="exact"/>
              <w:rPr>
                <w:sz w:val="20"/>
                <w:szCs w:val="20"/>
                <w:color w:val="auto"/>
              </w:rPr>
            </w:pPr>
            <w:r>
              <w:rPr>
                <w:rFonts w:ascii="Arial" w:cs="Arial" w:eastAsia="Arial" w:hAnsi="Arial"/>
                <w:sz w:val="18"/>
                <w:szCs w:val="18"/>
                <w:color w:val="auto"/>
              </w:rPr>
              <w:t>Hospitality performance metrics:</w:t>
            </w: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0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Occupancy</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73.2 %</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75.5 %</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75.3 %</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75.0 %</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0.4 %</w:t>
            </w:r>
          </w:p>
        </w:tc>
        <w:tc>
          <w:tcPr>
            <w:tcW w:w="0" w:type="dxa"/>
            <w:vAlign w:val="bottom"/>
          </w:tcPr>
          <w:p>
            <w:pPr>
              <w:spacing w:after="0"/>
              <w:rPr>
                <w:sz w:val="1"/>
                <w:szCs w:val="1"/>
                <w:color w:val="auto"/>
              </w:rPr>
            </w:pPr>
          </w:p>
        </w:tc>
      </w:tr>
      <w:tr>
        <w:trPr>
          <w:trHeight w:val="216"/>
        </w:trPr>
        <w:tc>
          <w:tcPr>
            <w:tcW w:w="3060" w:type="dxa"/>
            <w:vAlign w:val="bottom"/>
            <w:gridSpan w:val="2"/>
          </w:tcPr>
          <w:p>
            <w:pPr>
              <w:ind w:left="120"/>
              <w:spacing w:after="0"/>
              <w:rPr>
                <w:sz w:val="20"/>
                <w:szCs w:val="20"/>
                <w:color w:val="auto"/>
              </w:rPr>
            </w:pPr>
            <w:r>
              <w:rPr>
                <w:rFonts w:ascii="Arial" w:cs="Arial" w:eastAsia="Arial" w:hAnsi="Arial"/>
                <w:sz w:val="18"/>
                <w:szCs w:val="18"/>
                <w:color w:val="auto"/>
              </w:rPr>
              <w:t>ADR</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177.97</w:t>
            </w:r>
          </w:p>
        </w:tc>
        <w:tc>
          <w:tcPr>
            <w:tcW w:w="2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174.20</w:t>
            </w:r>
          </w:p>
        </w:tc>
        <w:tc>
          <w:tcPr>
            <w:tcW w:w="24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2.2 %</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191.13</w:t>
            </w:r>
          </w:p>
        </w:tc>
        <w:tc>
          <w:tcPr>
            <w:tcW w:w="2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185.08</w:t>
            </w:r>
          </w:p>
        </w:tc>
        <w:tc>
          <w:tcPr>
            <w:tcW w:w="24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3.3 %</w:t>
            </w:r>
          </w:p>
        </w:tc>
        <w:tc>
          <w:tcPr>
            <w:tcW w:w="0" w:type="dxa"/>
            <w:vAlign w:val="bottom"/>
          </w:tcPr>
          <w:p>
            <w:pPr>
              <w:spacing w:after="0"/>
              <w:rPr>
                <w:sz w:val="1"/>
                <w:szCs w:val="1"/>
                <w:color w:val="auto"/>
              </w:rPr>
            </w:pPr>
          </w:p>
        </w:tc>
      </w:tr>
      <w:tr>
        <w:trPr>
          <w:trHeight w:val="216"/>
        </w:trPr>
        <w:tc>
          <w:tcPr>
            <w:tcW w:w="30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RevPAR (2)</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130.27</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131.56</w:t>
            </w: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143.97</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138.73</w:t>
            </w:r>
          </w:p>
        </w:tc>
        <w:tc>
          <w:tcPr>
            <w:tcW w:w="2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3.8 %</w:t>
            </w:r>
          </w:p>
        </w:tc>
        <w:tc>
          <w:tcPr>
            <w:tcW w:w="0" w:type="dxa"/>
            <w:vAlign w:val="bottom"/>
          </w:tcPr>
          <w:p>
            <w:pPr>
              <w:spacing w:after="0"/>
              <w:rPr>
                <w:sz w:val="1"/>
                <w:szCs w:val="1"/>
                <w:color w:val="auto"/>
              </w:rPr>
            </w:pPr>
          </w:p>
        </w:tc>
      </w:tr>
      <w:tr>
        <w:trPr>
          <w:trHeight w:val="216"/>
        </w:trPr>
        <w:tc>
          <w:tcPr>
            <w:tcW w:w="3060" w:type="dxa"/>
            <w:vAlign w:val="bottom"/>
            <w:gridSpan w:val="2"/>
          </w:tcPr>
          <w:p>
            <w:pPr>
              <w:ind w:left="120"/>
              <w:spacing w:after="0"/>
              <w:rPr>
                <w:sz w:val="20"/>
                <w:szCs w:val="20"/>
                <w:color w:val="auto"/>
              </w:rPr>
            </w:pPr>
            <w:r>
              <w:rPr>
                <w:rFonts w:ascii="Arial" w:cs="Arial" w:eastAsia="Arial" w:hAnsi="Arial"/>
                <w:sz w:val="18"/>
                <w:szCs w:val="18"/>
                <w:color w:val="auto"/>
              </w:rPr>
              <w:t>Total RevPAR (3)</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314.69</w:t>
            </w:r>
          </w:p>
        </w:tc>
        <w:tc>
          <w:tcPr>
            <w:tcW w:w="2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300.45</w:t>
            </w:r>
          </w:p>
        </w:tc>
        <w:tc>
          <w:tcPr>
            <w:tcW w:w="24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4.7 %</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349.04</w:t>
            </w:r>
          </w:p>
        </w:tc>
        <w:tc>
          <w:tcPr>
            <w:tcW w:w="2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329.48</w:t>
            </w:r>
          </w:p>
        </w:tc>
        <w:tc>
          <w:tcPr>
            <w:tcW w:w="24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5.9 %</w:t>
            </w:r>
          </w:p>
        </w:tc>
        <w:tc>
          <w:tcPr>
            <w:tcW w:w="0" w:type="dxa"/>
            <w:vAlign w:val="bottom"/>
          </w:tcPr>
          <w:p>
            <w:pPr>
              <w:spacing w:after="0"/>
              <w:rPr>
                <w:sz w:val="1"/>
                <w:szCs w:val="1"/>
                <w:color w:val="auto"/>
              </w:rPr>
            </w:pPr>
          </w:p>
        </w:tc>
      </w:tr>
      <w:tr>
        <w:trPr>
          <w:trHeight w:val="202"/>
        </w:trPr>
        <w:tc>
          <w:tcPr>
            <w:tcW w:w="3060" w:type="dxa"/>
            <w:vAlign w:val="bottom"/>
            <w:gridSpan w:val="2"/>
            <w:shd w:val="clear" w:color="auto" w:fill="CCEEFF"/>
          </w:tcPr>
          <w:p>
            <w:pPr>
              <w:ind w:left="120"/>
              <w:spacing w:after="0" w:line="201" w:lineRule="exact"/>
              <w:rPr>
                <w:sz w:val="20"/>
                <w:szCs w:val="20"/>
                <w:color w:val="auto"/>
              </w:rPr>
            </w:pPr>
            <w:r>
              <w:rPr>
                <w:rFonts w:ascii="Arial" w:cs="Arial" w:eastAsia="Arial" w:hAnsi="Arial"/>
                <w:sz w:val="18"/>
                <w:szCs w:val="18"/>
                <w:color w:val="auto"/>
              </w:rPr>
              <w:t>Net Definite Group Room Nights</w:t>
            </w: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0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Booked</w:t>
            </w:r>
          </w:p>
        </w:tc>
        <w:tc>
          <w:tcPr>
            <w:tcW w:w="14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339,294</w:t>
            </w:r>
          </w:p>
        </w:tc>
        <w:tc>
          <w:tcPr>
            <w:tcW w:w="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482,732</w:t>
            </w:r>
          </w:p>
        </w:tc>
        <w:tc>
          <w:tcPr>
            <w:tcW w:w="24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(29.7)%</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1,184,587</w:t>
            </w:r>
          </w:p>
        </w:tc>
        <w:tc>
          <w:tcPr>
            <w:tcW w:w="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1,179,521</w:t>
            </w:r>
          </w:p>
        </w:tc>
        <w:tc>
          <w:tcPr>
            <w:tcW w:w="24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0.4 %</w:t>
            </w:r>
          </w:p>
        </w:tc>
        <w:tc>
          <w:tcPr>
            <w:tcW w:w="0" w:type="dxa"/>
            <w:vAlign w:val="bottom"/>
          </w:tcPr>
          <w:p>
            <w:pPr>
              <w:spacing w:after="0"/>
              <w:rPr>
                <w:sz w:val="1"/>
                <w:szCs w:val="1"/>
                <w:color w:val="auto"/>
              </w:rPr>
            </w:pPr>
          </w:p>
        </w:tc>
      </w:tr>
      <w:tr>
        <w:trPr>
          <w:trHeight w:val="108"/>
        </w:trPr>
        <w:tc>
          <w:tcPr>
            <w:tcW w:w="2280" w:type="dxa"/>
            <w:vAlign w:val="bottom"/>
            <w:tcBorders>
              <w:bottom w:val="single" w:sz="8" w:color="auto"/>
            </w:tcBorders>
          </w:tcPr>
          <w:p>
            <w:pPr>
              <w:spacing w:after="0"/>
              <w:rPr>
                <w:sz w:val="9"/>
                <w:szCs w:val="9"/>
                <w:color w:val="auto"/>
              </w:rPr>
            </w:pPr>
          </w:p>
        </w:tc>
        <w:tc>
          <w:tcPr>
            <w:tcW w:w="7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40" w:type="dxa"/>
            <w:vAlign w:val="bottom"/>
          </w:tcPr>
          <w:p>
            <w:pPr>
              <w:spacing w:after="0"/>
              <w:rPr>
                <w:sz w:val="9"/>
                <w:szCs w:val="9"/>
                <w:color w:val="auto"/>
              </w:rPr>
            </w:pPr>
          </w:p>
        </w:tc>
        <w:tc>
          <w:tcPr>
            <w:tcW w:w="5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320" w:right="480" w:hanging="317"/>
        <w:spacing w:after="0" w:line="264" w:lineRule="auto"/>
        <w:tabs>
          <w:tab w:leader="none" w:pos="3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Hospitality segment operating income does not include preopening costs of $0.2 million in the three months ended September 30, 2018 and $2.2 million and $0.2 million in the nine months ended September 30, 2018 and 2017, respectively. See discussion of preopening costs below.</w:t>
      </w:r>
    </w:p>
    <w:p>
      <w:pPr>
        <w:spacing w:after="0" w:line="140" w:lineRule="exact"/>
        <w:rPr>
          <w:rFonts w:ascii="Arial" w:cs="Arial" w:eastAsia="Arial" w:hAnsi="Arial"/>
          <w:sz w:val="18"/>
          <w:szCs w:val="18"/>
          <w:color w:val="auto"/>
        </w:rPr>
      </w:pPr>
    </w:p>
    <w:p>
      <w:pPr>
        <w:ind w:left="320" w:right="820" w:hanging="317"/>
        <w:spacing w:after="0" w:line="277" w:lineRule="auto"/>
        <w:tabs>
          <w:tab w:leader="none" w:pos="3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calculate Hospitality RevPAR by dividing room revenue by room nights available to guests for the period. Hospitality RevPAR is not comparable to similarly titled measures such as revenues.</w:t>
      </w:r>
    </w:p>
    <w:p>
      <w:pPr>
        <w:spacing w:after="0" w:line="129" w:lineRule="exact"/>
        <w:rPr>
          <w:rFonts w:ascii="Arial" w:cs="Arial" w:eastAsia="Arial" w:hAnsi="Arial"/>
          <w:sz w:val="18"/>
          <w:szCs w:val="18"/>
          <w:color w:val="auto"/>
        </w:rPr>
      </w:pPr>
    </w:p>
    <w:p>
      <w:pPr>
        <w:ind w:left="320" w:right="120" w:hanging="317"/>
        <w:spacing w:after="0" w:line="264" w:lineRule="auto"/>
        <w:tabs>
          <w:tab w:leader="none" w:pos="3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calculate Hospitality Total RevPAR by dividing the sum of room, food and beverage, and other ancillary services revenue (which equals Hospitality segment revenue) by room nights available to guests for the period. Hospitality Total RevPAR is not comparable to similarly titled measures such as revenues.</w:t>
      </w:r>
    </w:p>
    <w:p>
      <w:pPr>
        <w:spacing w:after="0" w:line="141" w:lineRule="exact"/>
        <w:rPr>
          <w:sz w:val="20"/>
          <w:szCs w:val="20"/>
          <w:color w:val="auto"/>
        </w:rPr>
      </w:pPr>
    </w:p>
    <w:p>
      <w:pPr>
        <w:ind w:right="180"/>
        <w:spacing w:after="0" w:line="273" w:lineRule="auto"/>
        <w:rPr>
          <w:sz w:val="20"/>
          <w:szCs w:val="20"/>
          <w:color w:val="auto"/>
        </w:rPr>
      </w:pPr>
      <w:r>
        <w:rPr>
          <w:rFonts w:ascii="Arial" w:cs="Arial" w:eastAsia="Arial" w:hAnsi="Arial"/>
          <w:sz w:val="17"/>
          <w:szCs w:val="17"/>
          <w:color w:val="auto"/>
        </w:rPr>
        <w:t>The increase in total Hospitality segment revenue in the three months ended September 30, 2018, as compared to the same period in 2017, is primarily due to increases of $12.7 million, $4.4 million, $1.7 million and $1.4 million at Gaylord Texan, Gaylord Opryland, Gaylord Palms and Gaylord National, respectively. The increase in total Hospitality segment revenue in the nine months ended September 30, 2018, as compared to the same period in 2017, is primarily due to increases of $26.8 million, $20.1 million, $7.5 million and $5.4 million at Gaylord Opryland, Gaylord Texan, Gaylord Palms and Gaylord National, respectively. See below for further discussion.</w:t>
      </w:r>
    </w:p>
    <w:p>
      <w:pPr>
        <w:spacing w:after="0" w:line="151"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Total Hospitality segment revenues in the three months and nine months ended September 30, 2018 include $3.2 million and $8.3 million, respectively, in attrition and cancellation fee collections, an increase of $0.9 million and $1.7 million, respectively, from the 2017 periods.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2" w:name="page33"/>
    <w:bookmarkEnd w:id="3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percentage of group versus transient business based on rooms sold for our Hospitality segment for the periods presented was approximately as follows:</w:t>
      </w:r>
    </w:p>
    <w:p>
      <w:pPr>
        <w:spacing w:after="0" w:line="123"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080" w:type="dxa"/>
            <w:vAlign w:val="bottom"/>
          </w:tcPr>
          <w:p>
            <w:pPr>
              <w:spacing w:after="0"/>
              <w:rPr>
                <w:sz w:val="14"/>
                <w:szCs w:val="14"/>
                <w:color w:val="auto"/>
              </w:rPr>
            </w:pPr>
          </w:p>
        </w:tc>
        <w:tc>
          <w:tcPr>
            <w:tcW w:w="1680" w:type="dxa"/>
            <w:vAlign w:val="bottom"/>
            <w:gridSpan w:val="4"/>
          </w:tcPr>
          <w:p>
            <w:pPr>
              <w:jc w:val="right"/>
              <w:ind w:right="230"/>
              <w:spacing w:after="0"/>
              <w:rPr>
                <w:sz w:val="20"/>
                <w:szCs w:val="20"/>
                <w:color w:val="auto"/>
              </w:rPr>
            </w:pPr>
            <w:r>
              <w:rPr>
                <w:rFonts w:ascii="Arial" w:cs="Arial" w:eastAsia="Arial" w:hAnsi="Arial"/>
                <w:sz w:val="14"/>
                <w:szCs w:val="14"/>
                <w:b w:val="1"/>
                <w:bCs w:val="1"/>
                <w:color w:val="auto"/>
                <w:w w:val="96"/>
              </w:rPr>
              <w:t>Three Months Ended</w:t>
            </w:r>
          </w:p>
        </w:tc>
        <w:tc>
          <w:tcPr>
            <w:tcW w:w="1480" w:type="dxa"/>
            <w:vAlign w:val="bottom"/>
            <w:gridSpan w:val="4"/>
          </w:tcPr>
          <w:p>
            <w:pPr>
              <w:jc w:val="right"/>
              <w:ind w:right="130"/>
              <w:spacing w:after="0"/>
              <w:rPr>
                <w:sz w:val="20"/>
                <w:szCs w:val="20"/>
                <w:color w:val="auto"/>
              </w:rPr>
            </w:pPr>
            <w:r>
              <w:rPr>
                <w:rFonts w:ascii="Arial" w:cs="Arial" w:eastAsia="Arial" w:hAnsi="Arial"/>
                <w:sz w:val="14"/>
                <w:szCs w:val="14"/>
                <w:b w:val="1"/>
                <w:bCs w:val="1"/>
                <w:color w:val="auto"/>
                <w:w w:val="94"/>
              </w:rPr>
              <w:t>Nine Months Ended</w:t>
            </w:r>
          </w:p>
        </w:tc>
      </w:tr>
      <w:tr>
        <w:trPr>
          <w:trHeight w:val="171"/>
        </w:trPr>
        <w:tc>
          <w:tcPr>
            <w:tcW w:w="4080" w:type="dxa"/>
            <w:vAlign w:val="bottom"/>
          </w:tcPr>
          <w:p>
            <w:pPr>
              <w:spacing w:after="0"/>
              <w:rPr>
                <w:sz w:val="14"/>
                <w:szCs w:val="14"/>
                <w:color w:val="auto"/>
              </w:rPr>
            </w:pPr>
          </w:p>
        </w:tc>
        <w:tc>
          <w:tcPr>
            <w:tcW w:w="1680" w:type="dxa"/>
            <w:vAlign w:val="bottom"/>
            <w:gridSpan w:val="4"/>
          </w:tcPr>
          <w:p>
            <w:pPr>
              <w:jc w:val="right"/>
              <w:ind w:right="470"/>
              <w:spacing w:after="0"/>
              <w:rPr>
                <w:sz w:val="20"/>
                <w:szCs w:val="20"/>
                <w:color w:val="auto"/>
              </w:rPr>
            </w:pPr>
            <w:r>
              <w:rPr>
                <w:rFonts w:ascii="Arial" w:cs="Arial" w:eastAsia="Arial" w:hAnsi="Arial"/>
                <w:sz w:val="14"/>
                <w:szCs w:val="14"/>
                <w:b w:val="1"/>
                <w:bCs w:val="1"/>
                <w:color w:val="auto"/>
              </w:rPr>
              <w:t>September 30,</w:t>
            </w:r>
          </w:p>
        </w:tc>
        <w:tc>
          <w:tcPr>
            <w:tcW w:w="1480" w:type="dxa"/>
            <w:vAlign w:val="bottom"/>
            <w:gridSpan w:val="4"/>
          </w:tcPr>
          <w:p>
            <w:pPr>
              <w:jc w:val="right"/>
              <w:ind w:right="330"/>
              <w:spacing w:after="0"/>
              <w:rPr>
                <w:sz w:val="20"/>
                <w:szCs w:val="20"/>
                <w:color w:val="auto"/>
              </w:rPr>
            </w:pPr>
            <w:r>
              <w:rPr>
                <w:rFonts w:ascii="Arial" w:cs="Arial" w:eastAsia="Arial" w:hAnsi="Arial"/>
                <w:sz w:val="14"/>
                <w:szCs w:val="14"/>
                <w:b w:val="1"/>
                <w:bCs w:val="1"/>
                <w:color w:val="auto"/>
              </w:rPr>
              <w:t>September 30,</w:t>
            </w:r>
          </w:p>
        </w:tc>
      </w:tr>
      <w:tr>
        <w:trPr>
          <w:trHeight w:val="142"/>
        </w:trPr>
        <w:tc>
          <w:tcPr>
            <w:tcW w:w="4080" w:type="dxa"/>
            <w:vAlign w:val="bottom"/>
            <w:tcBorders>
              <w:bottom w:val="single" w:sz="8" w:color="CCEEFF"/>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81"/>
              <w:spacing w:after="0" w:line="142" w:lineRule="exact"/>
              <w:rPr>
                <w:sz w:val="20"/>
                <w:szCs w:val="20"/>
                <w:color w:val="auto"/>
              </w:rPr>
            </w:pPr>
            <w:r>
              <w:rPr>
                <w:rFonts w:ascii="Arial" w:cs="Arial" w:eastAsia="Arial" w:hAnsi="Arial"/>
                <w:sz w:val="14"/>
                <w:szCs w:val="14"/>
                <w:b w:val="1"/>
                <w:bCs w:val="1"/>
                <w:color w:val="auto"/>
              </w:rPr>
              <w:t>2018</w:t>
            </w:r>
          </w:p>
        </w:tc>
        <w:tc>
          <w:tcPr>
            <w:tcW w:w="260" w:type="dxa"/>
            <w:vAlign w:val="bottom"/>
            <w:tcBorders>
              <w:top w:val="single" w:sz="8" w:color="auto"/>
              <w:bottom w:val="single" w:sz="8" w:color="CCEEFF"/>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rPr>
              <w:t>2017</w:t>
            </w:r>
          </w:p>
        </w:tc>
        <w:tc>
          <w:tcPr>
            <w:tcW w:w="240" w:type="dxa"/>
            <w:vAlign w:val="bottom"/>
            <w:tcBorders>
              <w:bottom w:val="single" w:sz="8" w:color="CCEEFF"/>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61"/>
              <w:spacing w:after="0" w:line="142"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top w:val="single" w:sz="8" w:color="auto"/>
              <w:bottom w:val="single" w:sz="8" w:color="CCEEFF"/>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Borders>
              <w:bottom w:val="single" w:sz="8" w:color="CCEEFF"/>
            </w:tcBorders>
          </w:tcPr>
          <w:p>
            <w:pPr>
              <w:spacing w:after="0"/>
              <w:rPr>
                <w:sz w:val="12"/>
                <w:szCs w:val="12"/>
                <w:color w:val="auto"/>
              </w:rPr>
            </w:pPr>
          </w:p>
        </w:tc>
      </w:tr>
      <w:tr>
        <w:trPr>
          <w:trHeight w:val="210"/>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Group</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4"/>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4"/>
              </w:rPr>
              <w:t>%</w:t>
            </w:r>
          </w:p>
        </w:tc>
      </w:tr>
      <w:tr>
        <w:trPr>
          <w:trHeight w:val="230"/>
        </w:trPr>
        <w:tc>
          <w:tcPr>
            <w:tcW w:w="4080" w:type="dxa"/>
            <w:vAlign w:val="bottom"/>
          </w:tcPr>
          <w:p>
            <w:pPr>
              <w:spacing w:after="0"/>
              <w:rPr>
                <w:sz w:val="20"/>
                <w:szCs w:val="20"/>
                <w:color w:val="auto"/>
              </w:rPr>
            </w:pPr>
            <w:r>
              <w:rPr>
                <w:rFonts w:ascii="Arial" w:cs="Arial" w:eastAsia="Arial" w:hAnsi="Arial"/>
                <w:sz w:val="18"/>
                <w:szCs w:val="18"/>
                <w:color w:val="auto"/>
              </w:rPr>
              <w:t>Transient</w:t>
            </w:r>
          </w:p>
        </w:tc>
        <w:tc>
          <w:tcPr>
            <w:tcW w:w="860" w:type="dxa"/>
            <w:vAlign w:val="bottom"/>
            <w:gridSpan w:val="2"/>
          </w:tcPr>
          <w:p>
            <w:pPr>
              <w:jc w:val="right"/>
              <w:ind w:right="30"/>
              <w:spacing w:after="0"/>
              <w:rPr>
                <w:sz w:val="20"/>
                <w:szCs w:val="20"/>
                <w:color w:val="auto"/>
              </w:rPr>
            </w:pPr>
            <w:r>
              <w:rPr>
                <w:rFonts w:ascii="Arial" w:cs="Arial" w:eastAsia="Arial" w:hAnsi="Arial"/>
                <w:sz w:val="18"/>
                <w:szCs w:val="18"/>
                <w:color w:val="auto"/>
              </w:rPr>
              <w:t>30 %</w:t>
            </w:r>
          </w:p>
        </w:tc>
        <w:tc>
          <w:tcPr>
            <w:tcW w:w="820" w:type="dxa"/>
            <w:vAlign w:val="bottom"/>
            <w:gridSpan w:val="2"/>
          </w:tcPr>
          <w:p>
            <w:pPr>
              <w:jc w:val="right"/>
              <w:ind w:right="10"/>
              <w:spacing w:after="0"/>
              <w:rPr>
                <w:sz w:val="20"/>
                <w:szCs w:val="20"/>
                <w:color w:val="auto"/>
              </w:rPr>
            </w:pPr>
            <w:r>
              <w:rPr>
                <w:rFonts w:ascii="Arial" w:cs="Arial" w:eastAsia="Arial" w:hAnsi="Arial"/>
                <w:sz w:val="18"/>
                <w:szCs w:val="18"/>
                <w:color w:val="auto"/>
              </w:rPr>
              <w:t>31 %</w:t>
            </w:r>
          </w:p>
        </w:tc>
        <w:tc>
          <w:tcPr>
            <w:tcW w:w="780" w:type="dxa"/>
            <w:vAlign w:val="bottom"/>
            <w:gridSpan w:val="2"/>
          </w:tcPr>
          <w:p>
            <w:pPr>
              <w:jc w:val="right"/>
              <w:ind w:right="10"/>
              <w:spacing w:after="0"/>
              <w:rPr>
                <w:sz w:val="20"/>
                <w:szCs w:val="20"/>
                <w:color w:val="auto"/>
              </w:rPr>
            </w:pPr>
            <w:r>
              <w:rPr>
                <w:rFonts w:ascii="Arial" w:cs="Arial" w:eastAsia="Arial" w:hAnsi="Arial"/>
                <w:sz w:val="18"/>
                <w:szCs w:val="18"/>
                <w:color w:val="auto"/>
              </w:rPr>
              <w:t>25 %</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26 %</w:t>
            </w:r>
          </w:p>
        </w:tc>
      </w:tr>
    </w:tbl>
    <w:p>
      <w:pPr>
        <w:spacing w:after="0" w:line="187" w:lineRule="exact"/>
        <w:rPr>
          <w:sz w:val="20"/>
          <w:szCs w:val="20"/>
          <w:color w:val="auto"/>
        </w:rPr>
      </w:pPr>
    </w:p>
    <w:p>
      <w:pPr>
        <w:ind w:right="320"/>
        <w:spacing w:after="0" w:line="342" w:lineRule="auto"/>
        <w:rPr>
          <w:sz w:val="20"/>
          <w:szCs w:val="20"/>
          <w:color w:val="auto"/>
        </w:rPr>
      </w:pPr>
      <w:r>
        <w:rPr>
          <w:rFonts w:ascii="Arial" w:cs="Arial" w:eastAsia="Arial" w:hAnsi="Arial"/>
          <w:sz w:val="16"/>
          <w:szCs w:val="16"/>
          <w:color w:val="auto"/>
        </w:rPr>
        <w:t>Rooms operating expenses increased in the three months and nine months ended September 30, 2018, as compared to the same periods in 2017, due primarily to increases at Gaylord Opryland and Gaylord Texan, as described below.</w:t>
      </w:r>
    </w:p>
    <w:p>
      <w:pPr>
        <w:spacing w:after="0" w:line="9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Food and beverage operating expenses increased in the three months and nine months ended September 30, 2018, as compared to the same periods in 2017, primarily due to increases at Gaylord Opryland, Gaylord Texan and Gaylord National, as described below.</w:t>
      </w:r>
    </w:p>
    <w:p>
      <w:pPr>
        <w:spacing w:after="0" w:line="14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Other hotel expenses for the three months and nine months ended September 30, 2018 and 2017 consist of the following (in thousands):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40" w:type="dxa"/>
            <w:vAlign w:val="bottom"/>
            <w:gridSpan w:val="6"/>
          </w:tcPr>
          <w:p>
            <w:pPr>
              <w:jc w:val="right"/>
              <w:ind w:right="59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4"/>
                <w:szCs w:val="14"/>
                <w:color w:val="auto"/>
              </w:rPr>
            </w:pPr>
          </w:p>
        </w:tc>
        <w:tc>
          <w:tcPr>
            <w:tcW w:w="1780" w:type="dxa"/>
            <w:vAlign w:val="bottom"/>
            <w:gridSpan w:val="6"/>
          </w:tcPr>
          <w:p>
            <w:pPr>
              <w:jc w:val="center"/>
              <w:ind w:left="295"/>
              <w:spacing w:after="0"/>
              <w:rPr>
                <w:sz w:val="20"/>
                <w:szCs w:val="20"/>
                <w:color w:val="auto"/>
              </w:rPr>
            </w:pPr>
            <w:r>
              <w:rPr>
                <w:rFonts w:ascii="Arial" w:cs="Arial" w:eastAsia="Arial" w:hAnsi="Arial"/>
                <w:sz w:val="14"/>
                <w:szCs w:val="14"/>
                <w:b w:val="1"/>
                <w:bCs w:val="1"/>
                <w:color w:val="auto"/>
                <w:w w:val="94"/>
              </w:rPr>
              <w:t>Nine Months Ended</w:t>
            </w: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5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1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5"/>
          </w:tcPr>
          <w:p>
            <w:pPr>
              <w:jc w:val="center"/>
              <w:ind w:right="280"/>
              <w:spacing w:after="0"/>
              <w:rPr>
                <w:sz w:val="20"/>
                <w:szCs w:val="20"/>
                <w:color w:val="auto"/>
              </w:rPr>
            </w:pPr>
            <w:r>
              <w:rPr>
                <w:rFonts w:ascii="Arial" w:cs="Arial" w:eastAsia="Arial" w:hAnsi="Arial"/>
                <w:sz w:val="14"/>
                <w:szCs w:val="14"/>
                <w:b w:val="1"/>
                <w:bCs w:val="1"/>
                <w:color w:val="auto"/>
                <w:w w:val="91"/>
              </w:rPr>
              <w:t>September 30,</w:t>
            </w:r>
          </w:p>
        </w:tc>
        <w:tc>
          <w:tcPr>
            <w:tcW w:w="5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260" w:type="dxa"/>
            <w:vAlign w:val="bottom"/>
          </w:tcPr>
          <w:p>
            <w:pPr>
              <w:spacing w:after="0"/>
              <w:rPr>
                <w:sz w:val="10"/>
                <w:szCs w:val="10"/>
                <w:color w:val="auto"/>
              </w:rPr>
            </w:pPr>
          </w:p>
        </w:tc>
        <w:tc>
          <w:tcPr>
            <w:tcW w:w="1520" w:type="dxa"/>
            <w:vAlign w:val="bottom"/>
            <w:gridSpan w:val="2"/>
            <w:vMerge w:val="restart"/>
          </w:tcPr>
          <w:p>
            <w:pPr>
              <w:jc w:val="right"/>
              <w:ind w:right="139"/>
              <w:spacing w:after="0"/>
              <w:rPr>
                <w:sz w:val="20"/>
                <w:szCs w:val="20"/>
                <w:color w:val="auto"/>
              </w:rPr>
            </w:pPr>
            <w:r>
              <w:rPr>
                <w:rFonts w:ascii="Arial" w:cs="Arial" w:eastAsia="Arial" w:hAnsi="Arial"/>
                <w:sz w:val="14"/>
                <w:szCs w:val="14"/>
                <w:b w:val="1"/>
                <w:bCs w:val="1"/>
                <w:color w:val="auto"/>
              </w:rPr>
              <w:t>2018</w:t>
            </w:r>
          </w:p>
        </w:tc>
        <w:tc>
          <w:tcPr>
            <w:tcW w:w="840" w:type="dxa"/>
            <w:vAlign w:val="bottom"/>
            <w:gridSpan w:val="2"/>
            <w:vMerge w:val="restart"/>
          </w:tcPr>
          <w:p>
            <w:pPr>
              <w:jc w:val="right"/>
              <w:ind w:right="110"/>
              <w:spacing w:after="0"/>
              <w:rPr>
                <w:sz w:val="20"/>
                <w:szCs w:val="20"/>
                <w:color w:val="auto"/>
              </w:rPr>
            </w:pPr>
            <w:r>
              <w:rPr>
                <w:rFonts w:ascii="Arial" w:cs="Arial" w:eastAsia="Arial" w:hAnsi="Arial"/>
                <w:sz w:val="14"/>
                <w:szCs w:val="14"/>
                <w:b w:val="1"/>
                <w:bCs w:val="1"/>
                <w:color w:val="auto"/>
              </w:rPr>
              <w:t>2017</w:t>
            </w:r>
          </w:p>
        </w:tc>
        <w:tc>
          <w:tcPr>
            <w:tcW w:w="640" w:type="dxa"/>
            <w:vAlign w:val="bottom"/>
            <w:gridSpan w:val="2"/>
          </w:tcPr>
          <w:p>
            <w:pPr>
              <w:jc w:val="right"/>
              <w:ind w:right="99"/>
              <w:spacing w:after="0" w:line="119" w:lineRule="exact"/>
              <w:rPr>
                <w:sz w:val="20"/>
                <w:szCs w:val="20"/>
                <w:color w:val="auto"/>
              </w:rPr>
            </w:pPr>
            <w:r>
              <w:rPr>
                <w:rFonts w:ascii="Arial" w:cs="Arial" w:eastAsia="Arial" w:hAnsi="Arial"/>
                <w:sz w:val="13"/>
                <w:szCs w:val="13"/>
                <w:b w:val="1"/>
                <w:bCs w:val="1"/>
                <w:color w:val="auto"/>
              </w:rPr>
              <w:t>%</w:t>
            </w: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vMerge w:val="restart"/>
          </w:tcPr>
          <w:p>
            <w:pPr>
              <w:jc w:val="right"/>
              <w:ind w:right="115"/>
              <w:spacing w:after="0"/>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vMerge w:val="restart"/>
          </w:tcPr>
          <w:p>
            <w:pPr>
              <w:jc w:val="right"/>
              <w:ind w:right="173"/>
              <w:spacing w:after="0"/>
              <w:rPr>
                <w:sz w:val="20"/>
                <w:szCs w:val="20"/>
                <w:color w:val="auto"/>
              </w:rPr>
            </w:pPr>
            <w:r>
              <w:rPr>
                <w:rFonts w:ascii="Arial" w:cs="Arial" w:eastAsia="Arial" w:hAnsi="Arial"/>
                <w:sz w:val="14"/>
                <w:szCs w:val="14"/>
                <w:b w:val="1"/>
                <w:bCs w:val="1"/>
                <w:color w:val="auto"/>
              </w:rPr>
              <w:t>2017</w:t>
            </w:r>
          </w:p>
        </w:tc>
        <w:tc>
          <w:tcPr>
            <w:tcW w:w="140" w:type="dxa"/>
            <w:vAlign w:val="bottom"/>
          </w:tcPr>
          <w:p>
            <w:pPr>
              <w:spacing w:after="0"/>
              <w:rPr>
                <w:sz w:val="10"/>
                <w:szCs w:val="10"/>
                <w:color w:val="auto"/>
              </w:rPr>
            </w:pPr>
          </w:p>
        </w:tc>
        <w:tc>
          <w:tcPr>
            <w:tcW w:w="500" w:type="dxa"/>
            <w:vAlign w:val="bottom"/>
          </w:tcPr>
          <w:p>
            <w:pPr>
              <w:jc w:val="right"/>
              <w:ind w:right="96"/>
              <w:spacing w:after="0" w:line="119" w:lineRule="exact"/>
              <w:rPr>
                <w:sz w:val="20"/>
                <w:szCs w:val="20"/>
                <w:color w:val="auto"/>
              </w:rPr>
            </w:pPr>
            <w:r>
              <w:rPr>
                <w:rFonts w:ascii="Arial" w:cs="Arial" w:eastAsia="Arial" w:hAnsi="Arial"/>
                <w:sz w:val="13"/>
                <w:szCs w:val="13"/>
                <w:b w:val="1"/>
                <w:bCs w:val="1"/>
                <w:color w:val="auto"/>
              </w:rPr>
              <w:t>%</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260" w:type="dxa"/>
            <w:vAlign w:val="bottom"/>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2"/>
          </w:tcPr>
          <w:p>
            <w:pPr>
              <w:jc w:val="right"/>
              <w:ind w:right="170"/>
              <w:spacing w:after="0"/>
              <w:rPr>
                <w:sz w:val="20"/>
                <w:szCs w:val="20"/>
                <w:color w:val="auto"/>
              </w:rPr>
            </w:pPr>
            <w:r>
              <w:rPr>
                <w:rFonts w:ascii="Arial" w:cs="Arial" w:eastAsia="Arial" w:hAnsi="Arial"/>
                <w:sz w:val="14"/>
                <w:szCs w:val="14"/>
                <w:b w:val="1"/>
                <w:bCs w:val="1"/>
                <w:color w:val="auto"/>
                <w:w w:val="89"/>
              </w:rPr>
              <w:t>Change</w:t>
            </w:r>
          </w:p>
        </w:tc>
        <w:tc>
          <w:tcPr>
            <w:tcW w:w="12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gridSpan w:val="2"/>
          </w:tcPr>
          <w:p>
            <w:pPr>
              <w:jc w:val="right"/>
              <w:ind w:right="90"/>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210"/>
        </w:trPr>
        <w:tc>
          <w:tcPr>
            <w:tcW w:w="32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Administrative employment costs</w:t>
            </w:r>
          </w:p>
        </w:tc>
        <w:tc>
          <w:tcPr>
            <w:tcW w:w="80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$ 28,395</w:t>
            </w:r>
          </w:p>
        </w:tc>
        <w:tc>
          <w:tcPr>
            <w:tcW w:w="1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$ 26,596</w:t>
            </w:r>
          </w:p>
        </w:tc>
        <w:tc>
          <w:tcPr>
            <w:tcW w:w="1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240" w:type="dxa"/>
            <w:vAlign w:val="bottom"/>
            <w:tcBorders>
              <w:top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84,790</w:t>
            </w:r>
          </w:p>
        </w:tc>
        <w:tc>
          <w:tcPr>
            <w:tcW w:w="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80,501</w:t>
            </w:r>
          </w:p>
        </w:tc>
        <w:tc>
          <w:tcPr>
            <w:tcW w:w="1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6"/>
        </w:trPr>
        <w:tc>
          <w:tcPr>
            <w:tcW w:w="3260" w:type="dxa"/>
            <w:vAlign w:val="bottom"/>
          </w:tcPr>
          <w:p>
            <w:pPr>
              <w:spacing w:after="0"/>
              <w:rPr>
                <w:sz w:val="20"/>
                <w:szCs w:val="20"/>
                <w:color w:val="auto"/>
              </w:rPr>
            </w:pPr>
            <w:r>
              <w:rPr>
                <w:rFonts w:ascii="Arial" w:cs="Arial" w:eastAsia="Arial" w:hAnsi="Arial"/>
                <w:sz w:val="18"/>
                <w:szCs w:val="18"/>
                <w:color w:val="auto"/>
              </w:rPr>
              <w:t>Utilities</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7,245</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7,440</w:t>
            </w:r>
          </w:p>
        </w:tc>
        <w:tc>
          <w:tcPr>
            <w:tcW w:w="880" w:type="dxa"/>
            <w:vAlign w:val="bottom"/>
            <w:gridSpan w:val="3"/>
          </w:tcPr>
          <w:p>
            <w:pPr>
              <w:jc w:val="right"/>
              <w:ind w:right="10"/>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20,418</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20,768</w:t>
            </w:r>
          </w:p>
        </w:tc>
        <w:tc>
          <w:tcPr>
            <w:tcW w:w="14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Property taxes</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8,593</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8,312</w:t>
            </w:r>
          </w:p>
        </w:tc>
        <w:tc>
          <w:tcPr>
            <w:tcW w:w="88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3.4 %</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25,263</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25,118</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0.6 %</w:t>
            </w:r>
          </w:p>
        </w:tc>
        <w:tc>
          <w:tcPr>
            <w:tcW w:w="0" w:type="dxa"/>
            <w:vAlign w:val="bottom"/>
          </w:tcPr>
          <w:p>
            <w:pPr>
              <w:spacing w:after="0"/>
              <w:rPr>
                <w:sz w:val="1"/>
                <w:szCs w:val="1"/>
                <w:color w:val="auto"/>
              </w:rPr>
            </w:pPr>
          </w:p>
        </w:tc>
      </w:tr>
      <w:tr>
        <w:trPr>
          <w:trHeight w:val="216"/>
        </w:trPr>
        <w:tc>
          <w:tcPr>
            <w:tcW w:w="3260" w:type="dxa"/>
            <w:vAlign w:val="bottom"/>
          </w:tcPr>
          <w:p>
            <w:pPr>
              <w:spacing w:after="0"/>
              <w:rPr>
                <w:sz w:val="20"/>
                <w:szCs w:val="20"/>
                <w:color w:val="auto"/>
              </w:rPr>
            </w:pPr>
            <w:r>
              <w:rPr>
                <w:rFonts w:ascii="Arial" w:cs="Arial" w:eastAsia="Arial" w:hAnsi="Arial"/>
                <w:sz w:val="18"/>
                <w:szCs w:val="18"/>
                <w:color w:val="auto"/>
              </w:rPr>
              <w:t>Other</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30,117</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29,951</w:t>
            </w:r>
          </w:p>
        </w:tc>
        <w:tc>
          <w:tcPr>
            <w:tcW w:w="880" w:type="dxa"/>
            <w:vAlign w:val="bottom"/>
            <w:gridSpan w:val="3"/>
          </w:tcPr>
          <w:p>
            <w:pPr>
              <w:jc w:val="right"/>
              <w:ind w:right="10"/>
              <w:spacing w:after="0"/>
              <w:rPr>
                <w:sz w:val="20"/>
                <w:szCs w:val="20"/>
                <w:color w:val="auto"/>
              </w:rPr>
            </w:pPr>
            <w:r>
              <w:rPr>
                <w:rFonts w:ascii="Arial" w:cs="Arial" w:eastAsia="Arial" w:hAnsi="Arial"/>
                <w:sz w:val="18"/>
                <w:szCs w:val="18"/>
                <w:color w:val="auto"/>
              </w:rPr>
              <w:t>0.6 %</w:t>
            </w: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96,494</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93,686</w:t>
            </w:r>
          </w:p>
        </w:tc>
        <w:tc>
          <w:tcPr>
            <w:tcW w:w="14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3.0 %</w:t>
            </w:r>
          </w:p>
        </w:tc>
        <w:tc>
          <w:tcPr>
            <w:tcW w:w="0" w:type="dxa"/>
            <w:vAlign w:val="bottom"/>
          </w:tcPr>
          <w:p>
            <w:pPr>
              <w:spacing w:after="0"/>
              <w:rPr>
                <w:sz w:val="1"/>
                <w:szCs w:val="1"/>
                <w:color w:val="auto"/>
              </w:rPr>
            </w:pPr>
          </w:p>
        </w:tc>
      </w:tr>
      <w:tr>
        <w:trPr>
          <w:trHeight w:val="217"/>
        </w:trPr>
        <w:tc>
          <w:tcPr>
            <w:tcW w:w="326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other hotel expenses</w:t>
            </w:r>
          </w:p>
        </w:tc>
        <w:tc>
          <w:tcPr>
            <w:tcW w:w="800" w:type="dxa"/>
            <w:vAlign w:val="bottom"/>
            <w:tcBorders>
              <w:top w:val="single" w:sz="8" w:color="CCEEFF"/>
              <w:bottom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$ 74,350</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$ 72,299</w:t>
            </w:r>
          </w:p>
        </w:tc>
        <w:tc>
          <w:tcPr>
            <w:tcW w:w="880" w:type="dxa"/>
            <w:vAlign w:val="bottom"/>
            <w:tcBorders>
              <w:top w:val="single" w:sz="8" w:color="CCEEFF"/>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2.8 %</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226,965</w:t>
            </w:r>
          </w:p>
        </w:tc>
        <w:tc>
          <w:tcPr>
            <w:tcW w:w="60" w:type="dxa"/>
            <w:vAlign w:val="bottom"/>
            <w:tcBorders>
              <w:top w:val="single" w:sz="8" w:color="auto"/>
              <w:bottom w:val="single" w:sz="8" w:color="auto"/>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220,073</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66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3.1 %</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00"/>
        <w:spacing w:after="0" w:line="287" w:lineRule="auto"/>
        <w:rPr>
          <w:sz w:val="20"/>
          <w:szCs w:val="20"/>
          <w:color w:val="auto"/>
        </w:rPr>
      </w:pPr>
      <w:r>
        <w:rPr>
          <w:rFonts w:ascii="Arial" w:cs="Arial" w:eastAsia="Arial" w:hAnsi="Arial"/>
          <w:sz w:val="16"/>
          <w:szCs w:val="16"/>
          <w:color w:val="auto"/>
        </w:rPr>
        <w:t>Administrative employment costs include salaries and benefits for hotel administrative functions, including, among others, senior management, accounting, human resources, sales, conference services, engineering and security. Administrative employment costs increased during the three months and nine months ended September 30, 2018, as compared to the same periods in 2017. The three-month 2018 increase is primarily due to increases at Gaylord Texan and Gaylord Palms, and the nine-month 2018 increase is primarily due to increases at Gaylord Texan and Gaylord National. Utility costs decreased slightly during the three months and nine months ended September 30, 2018, as compared to the same periods in 2017. Property taxes increased during the three months and nine months ended September 30, 2018, as compared to the 2017 periods, primarily due to an increase at Gaylord Texan related to the property’s recent expansion, partially offset by a decrease at Gaylord National due to prior period tax settlements. Other expenses, which include supplies, advertising, maintenance costs and consulting costs, remained stable during the three months ended September 30, 2018 and increased during the nine months ended September 30, 2018, as compared to the same periods in 2017, primarily as a result of various increases at Gaylord Palms and Gaylord Opryland.</w:t>
      </w:r>
    </w:p>
    <w:p>
      <w:pPr>
        <w:spacing w:after="0" w:line="142" w:lineRule="exact"/>
        <w:rPr>
          <w:sz w:val="20"/>
          <w:szCs w:val="20"/>
          <w:color w:val="auto"/>
        </w:rPr>
      </w:pPr>
    </w:p>
    <w:p>
      <w:pPr>
        <w:ind w:right="40"/>
        <w:spacing w:after="0" w:line="217" w:lineRule="exact"/>
        <w:rPr>
          <w:sz w:val="20"/>
          <w:szCs w:val="20"/>
          <w:color w:val="auto"/>
        </w:rPr>
      </w:pPr>
      <w:r>
        <w:rPr>
          <w:rFonts w:ascii="Arial" w:cs="Arial" w:eastAsia="Arial" w:hAnsi="Arial"/>
          <w:sz w:val="16"/>
          <w:szCs w:val="16"/>
          <w:color w:val="auto"/>
        </w:rPr>
        <w:t>Each of our management agreements with Marriott requires us to pay Marriott a base management fee of approximately 2% of gross revenues from the applicable property for each fiscal year or portion thereof. Additionally, an incentive management fee is based on the profitability of our Gaylord Hotels properties calculated on a pooled basis. In the three months ended September 30, 2018 and 2017, we incurred $5.0 million and $4.7 million, respectively, and in the nine months ended September 30, 2018 and 2017, we incurred $16.3 million and $15.1 million, respectively, related to base management fees for our Hospitality segment. In the three months ended September 30, 2018 and 2017, we also incurred $2.5 million and $0.8 million, respectively, and in the nine months ended September 30, 2018 and 2017, we incurred $8.5 million and $3.6 million, respectively, related to incentive management fees for our Hospitality segment. Management fees are presented throughout this Quarterly Report on Form 10</w:t>
      </w:r>
      <w:r>
        <w:rPr>
          <w:rFonts w:ascii="MS PGothic" w:cs="MS PGothic" w:eastAsia="MS PGothic" w:hAnsi="MS PGothic"/>
          <w:sz w:val="16"/>
          <w:szCs w:val="16"/>
          <w:color w:val="auto"/>
        </w:rPr>
        <w:t>‑</w:t>
      </w:r>
      <w:r>
        <w:rPr>
          <w:rFonts w:ascii="Arial" w:cs="Arial" w:eastAsia="Arial" w:hAnsi="Arial"/>
          <w:sz w:val="16"/>
          <w:szCs w:val="16"/>
          <w:color w:val="auto"/>
        </w:rPr>
        <w:t>Q net of the amortization of the $190.0 million in deferred management rights proceeds discussed in Note 8 to the accompanying condensed consolidated financial statements included herein.</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3" w:name="page34"/>
    <w:bookmarkEnd w:id="3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400"/>
        <w:spacing w:after="0" w:line="264" w:lineRule="auto"/>
        <w:rPr>
          <w:sz w:val="20"/>
          <w:szCs w:val="20"/>
          <w:color w:val="auto"/>
        </w:rPr>
      </w:pPr>
      <w:r>
        <w:rPr>
          <w:rFonts w:ascii="Arial" w:cs="Arial" w:eastAsia="Arial" w:hAnsi="Arial"/>
          <w:sz w:val="18"/>
          <w:szCs w:val="18"/>
          <w:color w:val="auto"/>
        </w:rPr>
        <w:t>Total Hospitality segment depreciation and amortization expense increased in the three months and nine months ended September 30, 2018, as compared to the same periods in 2017, primarily due to increases at Gaylord Texan and Gaylord Opryland, as described below.</w:t>
      </w:r>
    </w:p>
    <w:p>
      <w:pPr>
        <w:spacing w:after="0" w:line="141"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i w:val="1"/>
          <w:iCs w:val="1"/>
          <w:color w:val="auto"/>
        </w:rPr>
        <w:t xml:space="preserve">Property-Level Results. </w:t>
      </w:r>
      <w:r>
        <w:rPr>
          <w:rFonts w:ascii="Arial" w:cs="Arial" w:eastAsia="Arial" w:hAnsi="Arial"/>
          <w:sz w:val="18"/>
          <w:szCs w:val="18"/>
          <w:color w:val="auto"/>
        </w:rPr>
        <w:t>The following presents the property-level financial results of our Hospitality segment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three months and nine months ended September 30, 2018 and 2017.</w:t>
      </w:r>
    </w:p>
    <w:p>
      <w:pPr>
        <w:spacing w:after="0" w:line="143"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i w:val="1"/>
          <w:iCs w:val="1"/>
          <w:color w:val="auto"/>
        </w:rPr>
        <w:t xml:space="preserve">Gaylord Opryland Results. </w:t>
      </w:r>
      <w:r>
        <w:rPr>
          <w:rFonts w:ascii="Arial" w:cs="Arial" w:eastAsia="Arial" w:hAnsi="Arial"/>
          <w:sz w:val="18"/>
          <w:szCs w:val="18"/>
          <w:color w:val="auto"/>
        </w:rPr>
        <w:t>The results of Gaylord Opryland for the three months and nine months ended September 30, 2018</w:t>
      </w:r>
      <w:r>
        <w:rPr>
          <w:rFonts w:ascii="Arial" w:cs="Arial" w:eastAsia="Arial" w:hAnsi="Arial"/>
          <w:sz w:val="18"/>
          <w:szCs w:val="18"/>
          <w:i w:val="1"/>
          <w:iCs w:val="1"/>
          <w:color w:val="auto"/>
        </w:rPr>
        <w:t xml:space="preserve"> </w:t>
      </w:r>
      <w:r>
        <w:rPr>
          <w:rFonts w:ascii="Arial" w:cs="Arial" w:eastAsia="Arial" w:hAnsi="Arial"/>
          <w:sz w:val="18"/>
          <w:szCs w:val="18"/>
          <w:color w:val="auto"/>
        </w:rPr>
        <w:t>and 2017 are as follows (in thousands, except percentages and performance metrics):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80" w:type="dxa"/>
            <w:vAlign w:val="bottom"/>
            <w:gridSpan w:val="5"/>
          </w:tcPr>
          <w:p>
            <w:pPr>
              <w:jc w:val="right"/>
              <w:ind w:right="60"/>
              <w:spacing w:after="0"/>
              <w:rPr>
                <w:sz w:val="20"/>
                <w:szCs w:val="20"/>
                <w:color w:val="auto"/>
              </w:rPr>
            </w:pPr>
            <w:r>
              <w:rPr>
                <w:rFonts w:ascii="Arial" w:cs="Arial" w:eastAsia="Arial" w:hAnsi="Arial"/>
                <w:sz w:val="14"/>
                <w:szCs w:val="14"/>
                <w:b w:val="1"/>
                <w:bCs w:val="1"/>
                <w:color w:val="auto"/>
              </w:rPr>
              <w:t>Three Months Ended</w:t>
            </w: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60" w:type="dxa"/>
            <w:vAlign w:val="bottom"/>
            <w:gridSpan w:val="6"/>
          </w:tcPr>
          <w:p>
            <w:pPr>
              <w:jc w:val="right"/>
              <w:ind w:right="180"/>
              <w:spacing w:after="0"/>
              <w:rPr>
                <w:sz w:val="20"/>
                <w:szCs w:val="20"/>
                <w:color w:val="auto"/>
              </w:rPr>
            </w:pPr>
            <w:r>
              <w:rPr>
                <w:rFonts w:ascii="Arial" w:cs="Arial" w:eastAsia="Arial" w:hAnsi="Arial"/>
                <w:sz w:val="14"/>
                <w:szCs w:val="14"/>
                <w:b w:val="1"/>
                <w:bCs w:val="1"/>
                <w:color w:val="auto"/>
              </w:rPr>
              <w:t>Nine Months Ended</w:t>
            </w: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9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4"/>
          </w:tcPr>
          <w:p>
            <w:pPr>
              <w:jc w:val="right"/>
              <w:ind w:right="300"/>
              <w:spacing w:after="0"/>
              <w:rPr>
                <w:sz w:val="20"/>
                <w:szCs w:val="20"/>
                <w:color w:val="auto"/>
              </w:rPr>
            </w:pPr>
            <w:r>
              <w:rPr>
                <w:rFonts w:ascii="Arial" w:cs="Arial" w:eastAsia="Arial" w:hAnsi="Arial"/>
                <w:sz w:val="14"/>
                <w:szCs w:val="14"/>
                <w:b w:val="1"/>
                <w:bCs w:val="1"/>
                <w:color w:val="auto"/>
                <w:w w:val="91"/>
              </w:rPr>
              <w:t>September 30,</w:t>
            </w:r>
          </w:p>
        </w:tc>
        <w:tc>
          <w:tcPr>
            <w:tcW w:w="50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5"/>
          </w:tcPr>
          <w:p>
            <w:pPr>
              <w:jc w:val="right"/>
              <w:ind w:right="380"/>
              <w:spacing w:after="0"/>
              <w:rPr>
                <w:sz w:val="20"/>
                <w:szCs w:val="20"/>
                <w:color w:val="auto"/>
              </w:rPr>
            </w:pPr>
            <w:r>
              <w:rPr>
                <w:rFonts w:ascii="Arial" w:cs="Arial" w:eastAsia="Arial" w:hAnsi="Arial"/>
                <w:sz w:val="14"/>
                <w:szCs w:val="14"/>
                <w:b w:val="1"/>
                <w:bCs w:val="1"/>
                <w:color w:val="auto"/>
                <w:w w:val="91"/>
              </w:rPr>
              <w:t>September 30,</w:t>
            </w:r>
          </w:p>
        </w:tc>
        <w:tc>
          <w:tcPr>
            <w:tcW w:w="4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9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vMerge w:val="restart"/>
          </w:tcPr>
          <w:p>
            <w:pPr>
              <w:jc w:val="right"/>
              <w:ind w:right="132"/>
              <w:spacing w:after="0"/>
              <w:rPr>
                <w:sz w:val="20"/>
                <w:szCs w:val="20"/>
                <w:color w:val="auto"/>
              </w:rPr>
            </w:pPr>
            <w:r>
              <w:rPr>
                <w:rFonts w:ascii="Arial" w:cs="Arial" w:eastAsia="Arial" w:hAnsi="Arial"/>
                <w:sz w:val="14"/>
                <w:szCs w:val="14"/>
                <w:b w:val="1"/>
                <w:bCs w:val="1"/>
                <w:color w:val="auto"/>
              </w:rPr>
              <w:t>2018</w:t>
            </w:r>
          </w:p>
        </w:tc>
        <w:tc>
          <w:tcPr>
            <w:tcW w:w="200" w:type="dxa"/>
            <w:vAlign w:val="bottom"/>
          </w:tcPr>
          <w:p>
            <w:pPr>
              <w:spacing w:after="0"/>
              <w:rPr>
                <w:sz w:val="10"/>
                <w:szCs w:val="10"/>
                <w:color w:val="auto"/>
              </w:rPr>
            </w:pPr>
          </w:p>
        </w:tc>
        <w:tc>
          <w:tcPr>
            <w:tcW w:w="760" w:type="dxa"/>
            <w:vAlign w:val="bottom"/>
            <w:gridSpan w:val="2"/>
            <w:vMerge w:val="restart"/>
          </w:tcPr>
          <w:p>
            <w:pPr>
              <w:jc w:val="right"/>
              <w:ind w:right="110"/>
              <w:spacing w:after="0"/>
              <w:rPr>
                <w:sz w:val="20"/>
                <w:szCs w:val="20"/>
                <w:color w:val="auto"/>
              </w:rPr>
            </w:pPr>
            <w:r>
              <w:rPr>
                <w:rFonts w:ascii="Arial" w:cs="Arial" w:eastAsia="Arial" w:hAnsi="Arial"/>
                <w:sz w:val="14"/>
                <w:szCs w:val="14"/>
                <w:b w:val="1"/>
                <w:bCs w:val="1"/>
                <w:color w:val="auto"/>
              </w:rPr>
              <w:t>2017</w:t>
            </w:r>
          </w:p>
        </w:tc>
        <w:tc>
          <w:tcPr>
            <w:tcW w:w="240" w:type="dxa"/>
            <w:vAlign w:val="bottom"/>
          </w:tcPr>
          <w:p>
            <w:pPr>
              <w:spacing w:after="0"/>
              <w:rPr>
                <w:sz w:val="10"/>
                <w:szCs w:val="10"/>
                <w:color w:val="auto"/>
              </w:rPr>
            </w:pPr>
          </w:p>
        </w:tc>
        <w:tc>
          <w:tcPr>
            <w:tcW w:w="500" w:type="dxa"/>
            <w:vAlign w:val="bottom"/>
          </w:tcPr>
          <w:p>
            <w:pPr>
              <w:jc w:val="right"/>
              <w:ind w:right="93"/>
              <w:spacing w:after="0" w:line="119" w:lineRule="exact"/>
              <w:rPr>
                <w:sz w:val="20"/>
                <w:szCs w:val="20"/>
                <w:color w:val="auto"/>
              </w:rPr>
            </w:pPr>
            <w:r>
              <w:rPr>
                <w:rFonts w:ascii="Arial" w:cs="Arial" w:eastAsia="Arial" w:hAnsi="Arial"/>
                <w:sz w:val="13"/>
                <w:szCs w:val="13"/>
                <w:b w:val="1"/>
                <w:bCs w:val="1"/>
                <w:color w:val="auto"/>
              </w:rPr>
              <w:t>%</w:t>
            </w: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vMerge w:val="restart"/>
          </w:tcPr>
          <w:p>
            <w:pPr>
              <w:jc w:val="right"/>
              <w:ind w:right="172"/>
              <w:spacing w:after="0"/>
              <w:rPr>
                <w:sz w:val="20"/>
                <w:szCs w:val="20"/>
                <w:color w:val="auto"/>
              </w:rPr>
            </w:pPr>
            <w:r>
              <w:rPr>
                <w:rFonts w:ascii="Arial" w:cs="Arial" w:eastAsia="Arial" w:hAnsi="Arial"/>
                <w:sz w:val="14"/>
                <w:szCs w:val="14"/>
                <w:b w:val="1"/>
                <w:bCs w:val="1"/>
                <w:color w:val="auto"/>
              </w:rPr>
              <w:t>2018</w:t>
            </w: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vMerge w:val="restart"/>
          </w:tcPr>
          <w:p>
            <w:pPr>
              <w:jc w:val="right"/>
              <w:ind w:right="171"/>
              <w:spacing w:after="0"/>
              <w:rPr>
                <w:sz w:val="20"/>
                <w:szCs w:val="20"/>
                <w:color w:val="auto"/>
              </w:rPr>
            </w:pPr>
            <w:r>
              <w:rPr>
                <w:rFonts w:ascii="Arial" w:cs="Arial" w:eastAsia="Arial" w:hAnsi="Arial"/>
                <w:sz w:val="14"/>
                <w:szCs w:val="14"/>
                <w:b w:val="1"/>
                <w:bCs w:val="1"/>
                <w:color w:val="auto"/>
              </w:rPr>
              <w:t>2017</w:t>
            </w:r>
          </w:p>
        </w:tc>
        <w:tc>
          <w:tcPr>
            <w:tcW w:w="240" w:type="dxa"/>
            <w:vAlign w:val="bottom"/>
          </w:tcPr>
          <w:p>
            <w:pPr>
              <w:spacing w:after="0"/>
              <w:rPr>
                <w:sz w:val="10"/>
                <w:szCs w:val="10"/>
                <w:color w:val="auto"/>
              </w:rPr>
            </w:pPr>
          </w:p>
        </w:tc>
        <w:tc>
          <w:tcPr>
            <w:tcW w:w="480" w:type="dxa"/>
            <w:vAlign w:val="bottom"/>
          </w:tcPr>
          <w:p>
            <w:pPr>
              <w:jc w:val="right"/>
              <w:ind w:right="73"/>
              <w:spacing w:after="0" w:line="119" w:lineRule="exact"/>
              <w:rPr>
                <w:sz w:val="20"/>
                <w:szCs w:val="20"/>
                <w:color w:val="auto"/>
              </w:rPr>
            </w:pPr>
            <w:r>
              <w:rPr>
                <w:rFonts w:ascii="Arial" w:cs="Arial" w:eastAsia="Arial" w:hAnsi="Arial"/>
                <w:sz w:val="13"/>
                <w:szCs w:val="13"/>
                <w:b w:val="1"/>
                <w:bCs w:val="1"/>
                <w:color w:val="auto"/>
              </w:rPr>
              <w:t>%</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9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Change</w:t>
            </w:r>
          </w:p>
        </w:tc>
        <w:tc>
          <w:tcPr>
            <w:tcW w:w="12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3"/>
              </w:rPr>
              <w:t>Change</w:t>
            </w:r>
          </w:p>
        </w:tc>
        <w:tc>
          <w:tcPr>
            <w:tcW w:w="0" w:type="dxa"/>
            <w:vAlign w:val="bottom"/>
          </w:tcPr>
          <w:p>
            <w:pPr>
              <w:spacing w:after="0"/>
              <w:rPr>
                <w:sz w:val="1"/>
                <w:szCs w:val="1"/>
                <w:color w:val="auto"/>
              </w:rPr>
            </w:pPr>
          </w:p>
        </w:tc>
      </w:tr>
      <w:tr>
        <w:trPr>
          <w:trHeight w:val="210"/>
        </w:trPr>
        <w:tc>
          <w:tcPr>
            <w:tcW w:w="2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Revenues:</w:t>
            </w:r>
          </w:p>
        </w:tc>
        <w:tc>
          <w:tcPr>
            <w:tcW w:w="7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80" w:type="dxa"/>
            <w:vAlign w:val="bottom"/>
          </w:tcPr>
          <w:p>
            <w:pPr>
              <w:ind w:left="120"/>
              <w:spacing w:after="0"/>
              <w:rPr>
                <w:sz w:val="20"/>
                <w:szCs w:val="20"/>
                <w:color w:val="auto"/>
              </w:rPr>
            </w:pPr>
            <w:r>
              <w:rPr>
                <w:rFonts w:ascii="Arial" w:cs="Arial" w:eastAsia="Arial" w:hAnsi="Arial"/>
                <w:sz w:val="18"/>
                <w:szCs w:val="18"/>
                <w:color w:val="auto"/>
              </w:rPr>
              <w:t>Rooms</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4"/>
              </w:rPr>
              <w:t>34,792</w:t>
            </w:r>
          </w:p>
        </w:tc>
        <w:tc>
          <w:tcPr>
            <w:tcW w:w="2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w w:val="99"/>
              </w:rPr>
              <w:t>$ 36,009</w:t>
            </w:r>
          </w:p>
        </w:tc>
        <w:tc>
          <w:tcPr>
            <w:tcW w:w="2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(3.4)%</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2"/>
              </w:rPr>
              <w:t>111,956</w:t>
            </w:r>
          </w:p>
        </w:tc>
        <w:tc>
          <w:tcPr>
            <w:tcW w:w="200" w:type="dxa"/>
            <w:vAlign w:val="bottom"/>
          </w:tcPr>
          <w:p>
            <w:pPr>
              <w:spacing w:after="0"/>
              <w:rPr>
                <w:sz w:val="18"/>
                <w:szCs w:val="18"/>
                <w:color w:val="auto"/>
              </w:rPr>
            </w:pPr>
          </w:p>
        </w:tc>
        <w:tc>
          <w:tcPr>
            <w:tcW w:w="16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2"/>
              </w:rPr>
              <w:t>101,956</w:t>
            </w:r>
          </w:p>
        </w:tc>
        <w:tc>
          <w:tcPr>
            <w:tcW w:w="24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9.8 %</w:t>
            </w:r>
          </w:p>
        </w:tc>
        <w:tc>
          <w:tcPr>
            <w:tcW w:w="0" w:type="dxa"/>
            <w:vAlign w:val="bottom"/>
          </w:tcPr>
          <w:p>
            <w:pPr>
              <w:spacing w:after="0"/>
              <w:rPr>
                <w:sz w:val="1"/>
                <w:szCs w:val="1"/>
                <w:color w:val="auto"/>
              </w:rPr>
            </w:pPr>
          </w:p>
        </w:tc>
      </w:tr>
      <w:tr>
        <w:trPr>
          <w:trHeight w:val="216"/>
        </w:trPr>
        <w:tc>
          <w:tcPr>
            <w:tcW w:w="29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Food and beverage</w:t>
            </w: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35,368</w:t>
            </w: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30,227</w:t>
            </w:r>
          </w:p>
        </w:tc>
        <w:tc>
          <w:tcPr>
            <w:tcW w:w="2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17.0 %</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116,519</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101,899</w:t>
            </w:r>
          </w:p>
        </w:tc>
        <w:tc>
          <w:tcPr>
            <w:tcW w:w="2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14.3 %</w:t>
            </w:r>
          </w:p>
        </w:tc>
        <w:tc>
          <w:tcPr>
            <w:tcW w:w="0" w:type="dxa"/>
            <w:vAlign w:val="bottom"/>
          </w:tcPr>
          <w:p>
            <w:pPr>
              <w:spacing w:after="0"/>
              <w:rPr>
                <w:sz w:val="1"/>
                <w:szCs w:val="1"/>
                <w:color w:val="auto"/>
              </w:rPr>
            </w:pPr>
          </w:p>
        </w:tc>
      </w:tr>
      <w:tr>
        <w:trPr>
          <w:trHeight w:val="216"/>
        </w:trPr>
        <w:tc>
          <w:tcPr>
            <w:tcW w:w="2980" w:type="dxa"/>
            <w:vAlign w:val="bottom"/>
          </w:tcPr>
          <w:p>
            <w:pPr>
              <w:ind w:left="120"/>
              <w:spacing w:after="0"/>
              <w:rPr>
                <w:sz w:val="20"/>
                <w:szCs w:val="20"/>
                <w:color w:val="auto"/>
              </w:rPr>
            </w:pPr>
            <w:r>
              <w:rPr>
                <w:rFonts w:ascii="Arial" w:cs="Arial" w:eastAsia="Arial" w:hAnsi="Arial"/>
                <w:sz w:val="18"/>
                <w:szCs w:val="18"/>
                <w:color w:val="auto"/>
              </w:rPr>
              <w:t>Other hotel revenue</w:t>
            </w: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4"/>
              </w:rPr>
              <w:t>10,431</w:t>
            </w:r>
          </w:p>
        </w:tc>
        <w:tc>
          <w:tcPr>
            <w:tcW w:w="2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10,001</w:t>
            </w:r>
          </w:p>
        </w:tc>
        <w:tc>
          <w:tcPr>
            <w:tcW w:w="2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4.3 %</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29,776</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27,604</w:t>
            </w:r>
          </w:p>
        </w:tc>
        <w:tc>
          <w:tcPr>
            <w:tcW w:w="24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7.9 %</w:t>
            </w:r>
          </w:p>
        </w:tc>
        <w:tc>
          <w:tcPr>
            <w:tcW w:w="0" w:type="dxa"/>
            <w:vAlign w:val="bottom"/>
          </w:tcPr>
          <w:p>
            <w:pPr>
              <w:spacing w:after="0"/>
              <w:rPr>
                <w:sz w:val="1"/>
                <w:szCs w:val="1"/>
                <w:color w:val="auto"/>
              </w:rPr>
            </w:pPr>
          </w:p>
        </w:tc>
      </w:tr>
      <w:tr>
        <w:trPr>
          <w:trHeight w:val="210"/>
        </w:trPr>
        <w:tc>
          <w:tcPr>
            <w:tcW w:w="298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revenue</w:t>
            </w:r>
          </w:p>
        </w:tc>
        <w:tc>
          <w:tcPr>
            <w:tcW w:w="7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80,591</w:t>
            </w:r>
          </w:p>
        </w:tc>
        <w:tc>
          <w:tcPr>
            <w:tcW w:w="2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76,237</w:t>
            </w:r>
          </w:p>
        </w:tc>
        <w:tc>
          <w:tcPr>
            <w:tcW w:w="24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5.7 %</w:t>
            </w:r>
          </w:p>
        </w:tc>
        <w:tc>
          <w:tcPr>
            <w:tcW w:w="1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258,251</w:t>
            </w:r>
          </w:p>
        </w:tc>
        <w:tc>
          <w:tcPr>
            <w:tcW w:w="2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231,459</w:t>
            </w:r>
          </w:p>
        </w:tc>
        <w:tc>
          <w:tcPr>
            <w:tcW w:w="24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11.6 %</w:t>
            </w:r>
          </w:p>
        </w:tc>
        <w:tc>
          <w:tcPr>
            <w:tcW w:w="0" w:type="dxa"/>
            <w:vAlign w:val="bottom"/>
          </w:tcPr>
          <w:p>
            <w:pPr>
              <w:spacing w:after="0"/>
              <w:rPr>
                <w:sz w:val="1"/>
                <w:szCs w:val="1"/>
                <w:color w:val="auto"/>
              </w:rPr>
            </w:pPr>
          </w:p>
        </w:tc>
      </w:tr>
      <w:tr>
        <w:trPr>
          <w:trHeight w:val="216"/>
        </w:trPr>
        <w:tc>
          <w:tcPr>
            <w:tcW w:w="2980" w:type="dxa"/>
            <w:vAlign w:val="bottom"/>
          </w:tcPr>
          <w:p>
            <w:pPr>
              <w:spacing w:after="0"/>
              <w:rPr>
                <w:sz w:val="20"/>
                <w:szCs w:val="20"/>
                <w:color w:val="auto"/>
              </w:rPr>
            </w:pPr>
            <w:r>
              <w:rPr>
                <w:rFonts w:ascii="Arial" w:cs="Arial" w:eastAsia="Arial" w:hAnsi="Arial"/>
                <w:sz w:val="18"/>
                <w:szCs w:val="18"/>
                <w:color w:val="auto"/>
              </w:rPr>
              <w:t>Operating expenses:</w:t>
            </w: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Rooms</w:t>
            </w: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9,224</w:t>
            </w: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8,715</w:t>
            </w:r>
          </w:p>
        </w:tc>
        <w:tc>
          <w:tcPr>
            <w:tcW w:w="2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5.8 %</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27,195</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24,961</w:t>
            </w:r>
          </w:p>
        </w:tc>
        <w:tc>
          <w:tcPr>
            <w:tcW w:w="2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8.9 %</w:t>
            </w:r>
          </w:p>
        </w:tc>
        <w:tc>
          <w:tcPr>
            <w:tcW w:w="0" w:type="dxa"/>
            <w:vAlign w:val="bottom"/>
          </w:tcPr>
          <w:p>
            <w:pPr>
              <w:spacing w:after="0"/>
              <w:rPr>
                <w:sz w:val="1"/>
                <w:szCs w:val="1"/>
                <w:color w:val="auto"/>
              </w:rPr>
            </w:pPr>
          </w:p>
        </w:tc>
      </w:tr>
      <w:tr>
        <w:trPr>
          <w:trHeight w:val="216"/>
        </w:trPr>
        <w:tc>
          <w:tcPr>
            <w:tcW w:w="2980" w:type="dxa"/>
            <w:vAlign w:val="bottom"/>
          </w:tcPr>
          <w:p>
            <w:pPr>
              <w:ind w:left="120"/>
              <w:spacing w:after="0"/>
              <w:rPr>
                <w:sz w:val="20"/>
                <w:szCs w:val="20"/>
                <w:color w:val="auto"/>
              </w:rPr>
            </w:pPr>
            <w:r>
              <w:rPr>
                <w:rFonts w:ascii="Arial" w:cs="Arial" w:eastAsia="Arial" w:hAnsi="Arial"/>
                <w:sz w:val="18"/>
                <w:szCs w:val="18"/>
                <w:color w:val="auto"/>
              </w:rPr>
              <w:t>Food and beverage</w:t>
            </w: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4"/>
              </w:rPr>
              <w:t>19,271</w:t>
            </w:r>
          </w:p>
        </w:tc>
        <w:tc>
          <w:tcPr>
            <w:tcW w:w="2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17,315</w:t>
            </w:r>
          </w:p>
        </w:tc>
        <w:tc>
          <w:tcPr>
            <w:tcW w:w="2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11.3 %</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60,156</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54,604</w:t>
            </w:r>
          </w:p>
        </w:tc>
        <w:tc>
          <w:tcPr>
            <w:tcW w:w="24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10.2 %</w:t>
            </w:r>
          </w:p>
        </w:tc>
        <w:tc>
          <w:tcPr>
            <w:tcW w:w="0" w:type="dxa"/>
            <w:vAlign w:val="bottom"/>
          </w:tcPr>
          <w:p>
            <w:pPr>
              <w:spacing w:after="0"/>
              <w:rPr>
                <w:sz w:val="1"/>
                <w:szCs w:val="1"/>
                <w:color w:val="auto"/>
              </w:rPr>
            </w:pPr>
          </w:p>
        </w:tc>
      </w:tr>
      <w:tr>
        <w:trPr>
          <w:trHeight w:val="216"/>
        </w:trPr>
        <w:tc>
          <w:tcPr>
            <w:tcW w:w="29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 hotel expenses</w:t>
            </w: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22,401</w:t>
            </w: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22,702</w:t>
            </w:r>
          </w:p>
        </w:tc>
        <w:tc>
          <w:tcPr>
            <w:tcW w:w="2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68,865</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67,862</w:t>
            </w:r>
          </w:p>
        </w:tc>
        <w:tc>
          <w:tcPr>
            <w:tcW w:w="2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1.5 %</w:t>
            </w:r>
          </w:p>
        </w:tc>
        <w:tc>
          <w:tcPr>
            <w:tcW w:w="0" w:type="dxa"/>
            <w:vAlign w:val="bottom"/>
          </w:tcPr>
          <w:p>
            <w:pPr>
              <w:spacing w:after="0"/>
              <w:rPr>
                <w:sz w:val="1"/>
                <w:szCs w:val="1"/>
                <w:color w:val="auto"/>
              </w:rPr>
            </w:pPr>
          </w:p>
        </w:tc>
      </w:tr>
      <w:tr>
        <w:trPr>
          <w:trHeight w:val="216"/>
        </w:trPr>
        <w:tc>
          <w:tcPr>
            <w:tcW w:w="2980" w:type="dxa"/>
            <w:vAlign w:val="bottom"/>
          </w:tcPr>
          <w:p>
            <w:pPr>
              <w:ind w:left="120"/>
              <w:spacing w:after="0"/>
              <w:rPr>
                <w:sz w:val="20"/>
                <w:szCs w:val="20"/>
                <w:color w:val="auto"/>
              </w:rPr>
            </w:pPr>
            <w:r>
              <w:rPr>
                <w:rFonts w:ascii="Arial" w:cs="Arial" w:eastAsia="Arial" w:hAnsi="Arial"/>
                <w:sz w:val="18"/>
                <w:szCs w:val="18"/>
                <w:color w:val="auto"/>
              </w:rPr>
              <w:t>Management fees, net</w:t>
            </w: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2,772</w:t>
            </w:r>
          </w:p>
        </w:tc>
        <w:tc>
          <w:tcPr>
            <w:tcW w:w="2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1,766</w:t>
            </w:r>
          </w:p>
        </w:tc>
        <w:tc>
          <w:tcPr>
            <w:tcW w:w="2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57.0 %</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8,762</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5,716</w:t>
            </w:r>
          </w:p>
        </w:tc>
        <w:tc>
          <w:tcPr>
            <w:tcW w:w="24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53.3 %</w:t>
            </w:r>
          </w:p>
        </w:tc>
        <w:tc>
          <w:tcPr>
            <w:tcW w:w="0" w:type="dxa"/>
            <w:vAlign w:val="bottom"/>
          </w:tcPr>
          <w:p>
            <w:pPr>
              <w:spacing w:after="0"/>
              <w:rPr>
                <w:sz w:val="1"/>
                <w:szCs w:val="1"/>
                <w:color w:val="auto"/>
              </w:rPr>
            </w:pPr>
          </w:p>
        </w:tc>
      </w:tr>
      <w:tr>
        <w:trPr>
          <w:trHeight w:val="216"/>
        </w:trPr>
        <w:tc>
          <w:tcPr>
            <w:tcW w:w="29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Depreciation and amortization</w:t>
            </w: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8,913</w:t>
            </w: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8,765</w:t>
            </w:r>
          </w:p>
        </w:tc>
        <w:tc>
          <w:tcPr>
            <w:tcW w:w="2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1.7 %</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26,450</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25,235</w:t>
            </w:r>
          </w:p>
        </w:tc>
        <w:tc>
          <w:tcPr>
            <w:tcW w:w="2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4.8 %</w:t>
            </w:r>
          </w:p>
        </w:tc>
        <w:tc>
          <w:tcPr>
            <w:tcW w:w="0" w:type="dxa"/>
            <w:vAlign w:val="bottom"/>
          </w:tcPr>
          <w:p>
            <w:pPr>
              <w:spacing w:after="0"/>
              <w:rPr>
                <w:sz w:val="1"/>
                <w:szCs w:val="1"/>
                <w:color w:val="auto"/>
              </w:rPr>
            </w:pPr>
          </w:p>
        </w:tc>
      </w:tr>
      <w:tr>
        <w:trPr>
          <w:trHeight w:val="210"/>
        </w:trPr>
        <w:tc>
          <w:tcPr>
            <w:tcW w:w="2980" w:type="dxa"/>
            <w:vAlign w:val="bottom"/>
          </w:tcPr>
          <w:p>
            <w:pPr>
              <w:ind w:left="220"/>
              <w:spacing w:after="0"/>
              <w:rPr>
                <w:sz w:val="20"/>
                <w:szCs w:val="20"/>
                <w:color w:val="auto"/>
              </w:rPr>
            </w:pPr>
            <w:r>
              <w:rPr>
                <w:rFonts w:ascii="Arial" w:cs="Arial" w:eastAsia="Arial" w:hAnsi="Arial"/>
                <w:sz w:val="18"/>
                <w:szCs w:val="18"/>
                <w:color w:val="auto"/>
              </w:rPr>
              <w:t>Total operating expenses</w:t>
            </w:r>
          </w:p>
        </w:tc>
        <w:tc>
          <w:tcPr>
            <w:tcW w:w="7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62,581</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59,263</w:t>
            </w:r>
          </w:p>
        </w:tc>
        <w:tc>
          <w:tcPr>
            <w:tcW w:w="2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5.6 %</w:t>
            </w:r>
          </w:p>
        </w:tc>
        <w:tc>
          <w:tcPr>
            <w:tcW w:w="1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191,428</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178,378</w:t>
            </w:r>
          </w:p>
        </w:tc>
        <w:tc>
          <w:tcPr>
            <w:tcW w:w="24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7.3 %</w:t>
            </w:r>
          </w:p>
        </w:tc>
        <w:tc>
          <w:tcPr>
            <w:tcW w:w="0" w:type="dxa"/>
            <w:vAlign w:val="bottom"/>
          </w:tcPr>
          <w:p>
            <w:pPr>
              <w:spacing w:after="0"/>
              <w:rPr>
                <w:sz w:val="1"/>
                <w:szCs w:val="1"/>
                <w:color w:val="auto"/>
              </w:rPr>
            </w:pPr>
          </w:p>
        </w:tc>
      </w:tr>
      <w:tr>
        <w:trPr>
          <w:trHeight w:val="216"/>
        </w:trPr>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Performance metrics:</w:t>
            </w: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80" w:type="dxa"/>
            <w:vAlign w:val="bottom"/>
          </w:tcPr>
          <w:p>
            <w:pPr>
              <w:ind w:left="120"/>
              <w:spacing w:after="0"/>
              <w:rPr>
                <w:sz w:val="20"/>
                <w:szCs w:val="20"/>
                <w:color w:val="auto"/>
              </w:rPr>
            </w:pPr>
            <w:r>
              <w:rPr>
                <w:rFonts w:ascii="Arial" w:cs="Arial" w:eastAsia="Arial" w:hAnsi="Arial"/>
                <w:sz w:val="18"/>
                <w:szCs w:val="18"/>
                <w:color w:val="auto"/>
              </w:rPr>
              <w:t>Occupancy</w:t>
            </w: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72.4 %</w:t>
            </w:r>
          </w:p>
        </w:tc>
        <w:tc>
          <w:tcPr>
            <w:tcW w:w="1000" w:type="dxa"/>
            <w:vAlign w:val="bottom"/>
            <w:gridSpan w:val="3"/>
          </w:tcPr>
          <w:p>
            <w:pPr>
              <w:jc w:val="right"/>
              <w:ind w:right="80"/>
              <w:spacing w:after="0"/>
              <w:rPr>
                <w:sz w:val="20"/>
                <w:szCs w:val="20"/>
                <w:color w:val="auto"/>
              </w:rPr>
            </w:pPr>
            <w:r>
              <w:rPr>
                <w:rFonts w:ascii="Arial" w:cs="Arial" w:eastAsia="Arial" w:hAnsi="Arial"/>
                <w:sz w:val="18"/>
                <w:szCs w:val="18"/>
                <w:color w:val="auto"/>
              </w:rPr>
              <w:t>76.9 %</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(5.9)%</w:t>
            </w:r>
          </w:p>
        </w:tc>
        <w:tc>
          <w:tcPr>
            <w:tcW w:w="12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75.4 %</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72.7 %</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3.7 %</w:t>
            </w:r>
          </w:p>
        </w:tc>
        <w:tc>
          <w:tcPr>
            <w:tcW w:w="0" w:type="dxa"/>
            <w:vAlign w:val="bottom"/>
          </w:tcPr>
          <w:p>
            <w:pPr>
              <w:spacing w:after="0"/>
              <w:rPr>
                <w:sz w:val="1"/>
                <w:szCs w:val="1"/>
                <w:color w:val="auto"/>
              </w:rPr>
            </w:pPr>
          </w:p>
        </w:tc>
      </w:tr>
      <w:tr>
        <w:trPr>
          <w:trHeight w:val="216"/>
        </w:trPr>
        <w:tc>
          <w:tcPr>
            <w:tcW w:w="29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ADR</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180.77</w:t>
            </w: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$ 176.13</w:t>
            </w:r>
          </w:p>
        </w:tc>
        <w:tc>
          <w:tcPr>
            <w:tcW w:w="24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2.6 % $</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188.41</w:t>
            </w:r>
          </w:p>
        </w:tc>
        <w:tc>
          <w:tcPr>
            <w:tcW w:w="2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177.82</w:t>
            </w:r>
          </w:p>
        </w:tc>
        <w:tc>
          <w:tcPr>
            <w:tcW w:w="2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6.0 %</w:t>
            </w:r>
          </w:p>
        </w:tc>
        <w:tc>
          <w:tcPr>
            <w:tcW w:w="0" w:type="dxa"/>
            <w:vAlign w:val="bottom"/>
          </w:tcPr>
          <w:p>
            <w:pPr>
              <w:spacing w:after="0"/>
              <w:rPr>
                <w:sz w:val="1"/>
                <w:szCs w:val="1"/>
                <w:color w:val="auto"/>
              </w:rPr>
            </w:pPr>
          </w:p>
        </w:tc>
      </w:tr>
      <w:tr>
        <w:trPr>
          <w:trHeight w:val="216"/>
        </w:trPr>
        <w:tc>
          <w:tcPr>
            <w:tcW w:w="2980" w:type="dxa"/>
            <w:vAlign w:val="bottom"/>
          </w:tcPr>
          <w:p>
            <w:pPr>
              <w:ind w:left="120"/>
              <w:spacing w:after="0"/>
              <w:rPr>
                <w:sz w:val="20"/>
                <w:szCs w:val="20"/>
                <w:color w:val="auto"/>
              </w:rPr>
            </w:pPr>
            <w:r>
              <w:rPr>
                <w:rFonts w:ascii="Arial" w:cs="Arial" w:eastAsia="Arial" w:hAnsi="Arial"/>
                <w:sz w:val="18"/>
                <w:szCs w:val="18"/>
                <w:color w:val="auto"/>
              </w:rPr>
              <w:t>RevPAR</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4"/>
              </w:rPr>
              <w:t>130.95</w:t>
            </w:r>
          </w:p>
        </w:tc>
        <w:tc>
          <w:tcPr>
            <w:tcW w:w="2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w w:val="99"/>
              </w:rPr>
              <w:t>$ 135.53</w:t>
            </w:r>
          </w:p>
        </w:tc>
        <w:tc>
          <w:tcPr>
            <w:tcW w:w="2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(3.4)%</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142.00</w:t>
            </w:r>
          </w:p>
        </w:tc>
        <w:tc>
          <w:tcPr>
            <w:tcW w:w="200" w:type="dxa"/>
            <w:vAlign w:val="bottom"/>
          </w:tcPr>
          <w:p>
            <w:pPr>
              <w:spacing w:after="0"/>
              <w:rPr>
                <w:sz w:val="18"/>
                <w:szCs w:val="18"/>
                <w:color w:val="auto"/>
              </w:rPr>
            </w:pPr>
          </w:p>
        </w:tc>
        <w:tc>
          <w:tcPr>
            <w:tcW w:w="16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129.32</w:t>
            </w:r>
          </w:p>
        </w:tc>
        <w:tc>
          <w:tcPr>
            <w:tcW w:w="24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9.8 %</w:t>
            </w:r>
          </w:p>
        </w:tc>
        <w:tc>
          <w:tcPr>
            <w:tcW w:w="0" w:type="dxa"/>
            <w:vAlign w:val="bottom"/>
          </w:tcPr>
          <w:p>
            <w:pPr>
              <w:spacing w:after="0"/>
              <w:rPr>
                <w:sz w:val="1"/>
                <w:szCs w:val="1"/>
                <w:color w:val="auto"/>
              </w:rPr>
            </w:pPr>
          </w:p>
        </w:tc>
      </w:tr>
      <w:tr>
        <w:trPr>
          <w:trHeight w:val="216"/>
        </w:trPr>
        <w:tc>
          <w:tcPr>
            <w:tcW w:w="29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 RevPAR</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303.32</w:t>
            </w: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$ 286.93</w:t>
            </w:r>
          </w:p>
        </w:tc>
        <w:tc>
          <w:tcPr>
            <w:tcW w:w="24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5.7 % $</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327.55</w:t>
            </w:r>
          </w:p>
        </w:tc>
        <w:tc>
          <w:tcPr>
            <w:tcW w:w="2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293.57</w:t>
            </w:r>
          </w:p>
        </w:tc>
        <w:tc>
          <w:tcPr>
            <w:tcW w:w="2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11.6 %</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Rooms revenue and RevPAR decreased at Gaylord Opryland during the three months ended September 30, 2018, as compared to the same period in 2017, as the result of a decrease in occupancy for group room nights. Rooms revenue and RevPAR increased during the nine months ended September 30, 2018, as compared to the same period in 2017, as the result of increases in occupancy and ADR, due to increases in both group and transient room nights and rates. Rooms revenue and RevPAR were negatively impacted during the 2017 periods by a rooms renovation project, which resulted in approximately 12,250 and 49,300 room nights out of service, respectively. The rooms renovation project was completed in September 2017. Rooms expenses increased during the 2018 periods, as compared to the 2017 periods, primarily due to increased group commissions and compensation costs.</w:t>
      </w:r>
    </w:p>
    <w:p>
      <w:pPr>
        <w:spacing w:after="0" w:line="138"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The increase in food and beverage revenue at Gaylord Opryland during the three months and nine months ended September 30, 2018, as compared to the same periods in 2017, was primarily due to increased catering revenue. Food and beverage expenses increased in the 2018 periods, as compared to the 2017 periods, due to increased variable costs associated with the increase in revenue, partially offset by improved food, beverage, and labor margins.</w:t>
      </w:r>
    </w:p>
    <w:p>
      <w:pPr>
        <w:spacing w:after="0" w:line="144"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Other hotel revenue increased at Gaylord Opryland during the three months and nine months ended September 30, 2018, as compared to the same periods in 2017, primarily due to an increase in attrition and cancellation fee collections. The nine-month 2018 increase was also impacted by increased ancillary revenue, such as parking and resort fees associated with the increase in occupancy. Other hotel expenses decreased slightly in the three-month 2018 period, as compared to the 2017 period. Other hotel expenses increased in the nine-month 2018 period, as compared to the 2017 period, primarily due to increased sales and marketing expenses.</w:t>
      </w:r>
    </w:p>
    <w:p>
      <w:pPr>
        <w:spacing w:after="0" w:line="153"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Depreciation and amortization increased at Gaylord Opryland during the three months and nine months ended September 30, 2018, as compared to the same periods in 2017, primarily as a result of recent rooms renovation projects that resulted in increased depreciable asset levels.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4" w:name="page35"/>
    <w:bookmarkEnd w:id="3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i w:val="1"/>
          <w:iCs w:val="1"/>
          <w:color w:val="auto"/>
        </w:rPr>
        <w:t xml:space="preserve">Gaylord Palms Results. </w:t>
      </w:r>
      <w:r>
        <w:rPr>
          <w:rFonts w:ascii="Arial" w:cs="Arial" w:eastAsia="Arial" w:hAnsi="Arial"/>
          <w:sz w:val="18"/>
          <w:szCs w:val="18"/>
          <w:color w:val="auto"/>
        </w:rPr>
        <w:t>The results of Gaylord Palms for the three months and nine months ended September 30, 2018 and</w:t>
      </w:r>
      <w:r>
        <w:rPr>
          <w:rFonts w:ascii="Arial" w:cs="Arial" w:eastAsia="Arial" w:hAnsi="Arial"/>
          <w:sz w:val="18"/>
          <w:szCs w:val="18"/>
          <w:i w:val="1"/>
          <w:iCs w:val="1"/>
          <w:color w:val="auto"/>
        </w:rPr>
        <w:t xml:space="preserve"> </w:t>
      </w:r>
      <w:r>
        <w:rPr>
          <w:rFonts w:ascii="Arial" w:cs="Arial" w:eastAsia="Arial" w:hAnsi="Arial"/>
          <w:sz w:val="18"/>
          <w:szCs w:val="18"/>
          <w:color w:val="auto"/>
        </w:rPr>
        <w:t>2017 are as follows (in thousands, except percentages and performance metrics):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80" w:type="dxa"/>
            <w:vAlign w:val="bottom"/>
            <w:gridSpan w:val="5"/>
          </w:tcPr>
          <w:p>
            <w:pPr>
              <w:jc w:val="right"/>
              <w:ind w:right="60"/>
              <w:spacing w:after="0"/>
              <w:rPr>
                <w:sz w:val="20"/>
                <w:szCs w:val="20"/>
                <w:color w:val="auto"/>
              </w:rPr>
            </w:pPr>
            <w:r>
              <w:rPr>
                <w:rFonts w:ascii="Arial" w:cs="Arial" w:eastAsia="Arial" w:hAnsi="Arial"/>
                <w:sz w:val="14"/>
                <w:szCs w:val="14"/>
                <w:b w:val="1"/>
                <w:bCs w:val="1"/>
                <w:color w:val="auto"/>
              </w:rPr>
              <w:t>Three Months Ended</w:t>
            </w: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60" w:type="dxa"/>
            <w:vAlign w:val="bottom"/>
            <w:gridSpan w:val="6"/>
          </w:tcPr>
          <w:p>
            <w:pPr>
              <w:jc w:val="right"/>
              <w:ind w:right="180"/>
              <w:spacing w:after="0"/>
              <w:rPr>
                <w:sz w:val="20"/>
                <w:szCs w:val="20"/>
                <w:color w:val="auto"/>
              </w:rPr>
            </w:pPr>
            <w:r>
              <w:rPr>
                <w:rFonts w:ascii="Arial" w:cs="Arial" w:eastAsia="Arial" w:hAnsi="Arial"/>
                <w:sz w:val="14"/>
                <w:szCs w:val="14"/>
                <w:b w:val="1"/>
                <w:bCs w:val="1"/>
                <w:color w:val="auto"/>
              </w:rPr>
              <w:t>Nine Months Ended</w:t>
            </w: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9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4"/>
          </w:tcPr>
          <w:p>
            <w:pPr>
              <w:jc w:val="right"/>
              <w:ind w:right="300"/>
              <w:spacing w:after="0"/>
              <w:rPr>
                <w:sz w:val="20"/>
                <w:szCs w:val="20"/>
                <w:color w:val="auto"/>
              </w:rPr>
            </w:pPr>
            <w:r>
              <w:rPr>
                <w:rFonts w:ascii="Arial" w:cs="Arial" w:eastAsia="Arial" w:hAnsi="Arial"/>
                <w:sz w:val="14"/>
                <w:szCs w:val="14"/>
                <w:b w:val="1"/>
                <w:bCs w:val="1"/>
                <w:color w:val="auto"/>
                <w:w w:val="91"/>
              </w:rPr>
              <w:t>September 30,</w:t>
            </w:r>
          </w:p>
        </w:tc>
        <w:tc>
          <w:tcPr>
            <w:tcW w:w="50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5"/>
          </w:tcPr>
          <w:p>
            <w:pPr>
              <w:jc w:val="right"/>
              <w:ind w:right="380"/>
              <w:spacing w:after="0"/>
              <w:rPr>
                <w:sz w:val="20"/>
                <w:szCs w:val="20"/>
                <w:color w:val="auto"/>
              </w:rPr>
            </w:pPr>
            <w:r>
              <w:rPr>
                <w:rFonts w:ascii="Arial" w:cs="Arial" w:eastAsia="Arial" w:hAnsi="Arial"/>
                <w:sz w:val="14"/>
                <w:szCs w:val="14"/>
                <w:b w:val="1"/>
                <w:bCs w:val="1"/>
                <w:color w:val="auto"/>
                <w:w w:val="91"/>
              </w:rPr>
              <w:t>September 30,</w:t>
            </w:r>
          </w:p>
        </w:tc>
        <w:tc>
          <w:tcPr>
            <w:tcW w:w="4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9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vMerge w:val="restart"/>
          </w:tcPr>
          <w:p>
            <w:pPr>
              <w:jc w:val="right"/>
              <w:ind w:right="132"/>
              <w:spacing w:after="0"/>
              <w:rPr>
                <w:sz w:val="20"/>
                <w:szCs w:val="20"/>
                <w:color w:val="auto"/>
              </w:rPr>
            </w:pPr>
            <w:r>
              <w:rPr>
                <w:rFonts w:ascii="Arial" w:cs="Arial" w:eastAsia="Arial" w:hAnsi="Arial"/>
                <w:sz w:val="14"/>
                <w:szCs w:val="14"/>
                <w:b w:val="1"/>
                <w:bCs w:val="1"/>
                <w:color w:val="auto"/>
              </w:rPr>
              <w:t>2018</w:t>
            </w:r>
          </w:p>
        </w:tc>
        <w:tc>
          <w:tcPr>
            <w:tcW w:w="200" w:type="dxa"/>
            <w:vAlign w:val="bottom"/>
          </w:tcPr>
          <w:p>
            <w:pPr>
              <w:spacing w:after="0"/>
              <w:rPr>
                <w:sz w:val="10"/>
                <w:szCs w:val="10"/>
                <w:color w:val="auto"/>
              </w:rPr>
            </w:pPr>
          </w:p>
        </w:tc>
        <w:tc>
          <w:tcPr>
            <w:tcW w:w="760" w:type="dxa"/>
            <w:vAlign w:val="bottom"/>
            <w:gridSpan w:val="2"/>
            <w:vMerge w:val="restart"/>
          </w:tcPr>
          <w:p>
            <w:pPr>
              <w:jc w:val="right"/>
              <w:ind w:right="110"/>
              <w:spacing w:after="0"/>
              <w:rPr>
                <w:sz w:val="20"/>
                <w:szCs w:val="20"/>
                <w:color w:val="auto"/>
              </w:rPr>
            </w:pPr>
            <w:r>
              <w:rPr>
                <w:rFonts w:ascii="Arial" w:cs="Arial" w:eastAsia="Arial" w:hAnsi="Arial"/>
                <w:sz w:val="14"/>
                <w:szCs w:val="14"/>
                <w:b w:val="1"/>
                <w:bCs w:val="1"/>
                <w:color w:val="auto"/>
              </w:rPr>
              <w:t>2017</w:t>
            </w:r>
          </w:p>
        </w:tc>
        <w:tc>
          <w:tcPr>
            <w:tcW w:w="240" w:type="dxa"/>
            <w:vAlign w:val="bottom"/>
          </w:tcPr>
          <w:p>
            <w:pPr>
              <w:spacing w:after="0"/>
              <w:rPr>
                <w:sz w:val="10"/>
                <w:szCs w:val="10"/>
                <w:color w:val="auto"/>
              </w:rPr>
            </w:pPr>
          </w:p>
        </w:tc>
        <w:tc>
          <w:tcPr>
            <w:tcW w:w="500" w:type="dxa"/>
            <w:vAlign w:val="bottom"/>
          </w:tcPr>
          <w:p>
            <w:pPr>
              <w:jc w:val="right"/>
              <w:ind w:right="93"/>
              <w:spacing w:after="0" w:line="119" w:lineRule="exact"/>
              <w:rPr>
                <w:sz w:val="20"/>
                <w:szCs w:val="20"/>
                <w:color w:val="auto"/>
              </w:rPr>
            </w:pPr>
            <w:r>
              <w:rPr>
                <w:rFonts w:ascii="Arial" w:cs="Arial" w:eastAsia="Arial" w:hAnsi="Arial"/>
                <w:sz w:val="13"/>
                <w:szCs w:val="13"/>
                <w:b w:val="1"/>
                <w:bCs w:val="1"/>
                <w:color w:val="auto"/>
              </w:rPr>
              <w:t>%</w:t>
            </w: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vMerge w:val="restart"/>
          </w:tcPr>
          <w:p>
            <w:pPr>
              <w:jc w:val="right"/>
              <w:ind w:right="172"/>
              <w:spacing w:after="0"/>
              <w:rPr>
                <w:sz w:val="20"/>
                <w:szCs w:val="20"/>
                <w:color w:val="auto"/>
              </w:rPr>
            </w:pPr>
            <w:r>
              <w:rPr>
                <w:rFonts w:ascii="Arial" w:cs="Arial" w:eastAsia="Arial" w:hAnsi="Arial"/>
                <w:sz w:val="14"/>
                <w:szCs w:val="14"/>
                <w:b w:val="1"/>
                <w:bCs w:val="1"/>
                <w:color w:val="auto"/>
              </w:rPr>
              <w:t>2018</w:t>
            </w: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vMerge w:val="restart"/>
          </w:tcPr>
          <w:p>
            <w:pPr>
              <w:jc w:val="right"/>
              <w:ind w:right="171"/>
              <w:spacing w:after="0"/>
              <w:rPr>
                <w:sz w:val="20"/>
                <w:szCs w:val="20"/>
                <w:color w:val="auto"/>
              </w:rPr>
            </w:pPr>
            <w:r>
              <w:rPr>
                <w:rFonts w:ascii="Arial" w:cs="Arial" w:eastAsia="Arial" w:hAnsi="Arial"/>
                <w:sz w:val="14"/>
                <w:szCs w:val="14"/>
                <w:b w:val="1"/>
                <w:bCs w:val="1"/>
                <w:color w:val="auto"/>
              </w:rPr>
              <w:t>2017</w:t>
            </w:r>
          </w:p>
        </w:tc>
        <w:tc>
          <w:tcPr>
            <w:tcW w:w="240" w:type="dxa"/>
            <w:vAlign w:val="bottom"/>
          </w:tcPr>
          <w:p>
            <w:pPr>
              <w:spacing w:after="0"/>
              <w:rPr>
                <w:sz w:val="10"/>
                <w:szCs w:val="10"/>
                <w:color w:val="auto"/>
              </w:rPr>
            </w:pPr>
          </w:p>
        </w:tc>
        <w:tc>
          <w:tcPr>
            <w:tcW w:w="480" w:type="dxa"/>
            <w:vAlign w:val="bottom"/>
          </w:tcPr>
          <w:p>
            <w:pPr>
              <w:jc w:val="right"/>
              <w:ind w:right="73"/>
              <w:spacing w:after="0" w:line="119" w:lineRule="exact"/>
              <w:rPr>
                <w:sz w:val="20"/>
                <w:szCs w:val="20"/>
                <w:color w:val="auto"/>
              </w:rPr>
            </w:pPr>
            <w:r>
              <w:rPr>
                <w:rFonts w:ascii="Arial" w:cs="Arial" w:eastAsia="Arial" w:hAnsi="Arial"/>
                <w:sz w:val="13"/>
                <w:szCs w:val="13"/>
                <w:b w:val="1"/>
                <w:bCs w:val="1"/>
                <w:color w:val="auto"/>
              </w:rPr>
              <w:t>%</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9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89"/>
              </w:rPr>
              <w:t>Change</w:t>
            </w:r>
          </w:p>
        </w:tc>
        <w:tc>
          <w:tcPr>
            <w:tcW w:w="68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3"/>
              </w:rPr>
              <w:t>Change</w:t>
            </w:r>
          </w:p>
        </w:tc>
        <w:tc>
          <w:tcPr>
            <w:tcW w:w="0" w:type="dxa"/>
            <w:vAlign w:val="bottom"/>
          </w:tcPr>
          <w:p>
            <w:pPr>
              <w:spacing w:after="0"/>
              <w:rPr>
                <w:sz w:val="1"/>
                <w:szCs w:val="1"/>
                <w:color w:val="auto"/>
              </w:rPr>
            </w:pPr>
          </w:p>
        </w:tc>
      </w:tr>
      <w:tr>
        <w:trPr>
          <w:trHeight w:val="210"/>
        </w:trPr>
        <w:tc>
          <w:tcPr>
            <w:tcW w:w="2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Revenues:</w:t>
            </w:r>
          </w:p>
        </w:tc>
        <w:tc>
          <w:tcPr>
            <w:tcW w:w="7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80" w:type="dxa"/>
            <w:vAlign w:val="bottom"/>
          </w:tcPr>
          <w:p>
            <w:pPr>
              <w:ind w:left="120"/>
              <w:spacing w:after="0"/>
              <w:rPr>
                <w:sz w:val="20"/>
                <w:szCs w:val="20"/>
                <w:color w:val="auto"/>
              </w:rPr>
            </w:pPr>
            <w:r>
              <w:rPr>
                <w:rFonts w:ascii="Arial" w:cs="Arial" w:eastAsia="Arial" w:hAnsi="Arial"/>
                <w:sz w:val="18"/>
                <w:szCs w:val="18"/>
                <w:color w:val="auto"/>
              </w:rPr>
              <w:t>Rooms</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4"/>
              </w:rPr>
              <w:t>15,299</w:t>
            </w:r>
          </w:p>
        </w:tc>
        <w:tc>
          <w:tcPr>
            <w:tcW w:w="2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w w:val="99"/>
              </w:rPr>
              <w:t>$ 14,667</w:t>
            </w:r>
          </w:p>
        </w:tc>
        <w:tc>
          <w:tcPr>
            <w:tcW w:w="240" w:type="dxa"/>
            <w:vAlign w:val="bottom"/>
          </w:tcPr>
          <w:p>
            <w:pPr>
              <w:spacing w:after="0"/>
              <w:rPr>
                <w:sz w:val="18"/>
                <w:szCs w:val="18"/>
                <w:color w:val="auto"/>
              </w:rPr>
            </w:pPr>
          </w:p>
        </w:tc>
        <w:tc>
          <w:tcPr>
            <w:tcW w:w="860" w:type="dxa"/>
            <w:vAlign w:val="bottom"/>
            <w:gridSpan w:val="3"/>
          </w:tcPr>
          <w:p>
            <w:pPr>
              <w:jc w:val="right"/>
              <w:ind w:right="40"/>
              <w:spacing w:after="0"/>
              <w:rPr>
                <w:sz w:val="20"/>
                <w:szCs w:val="20"/>
                <w:color w:val="auto"/>
              </w:rPr>
            </w:pPr>
            <w:r>
              <w:rPr>
                <w:rFonts w:ascii="Arial" w:cs="Arial" w:eastAsia="Arial" w:hAnsi="Arial"/>
                <w:sz w:val="18"/>
                <w:szCs w:val="18"/>
                <w:color w:val="auto"/>
              </w:rPr>
              <w:t>4.3 % $</w:t>
            </w:r>
          </w:p>
        </w:tc>
        <w:tc>
          <w:tcPr>
            <w:tcW w:w="680" w:type="dxa"/>
            <w:vAlign w:val="bottom"/>
          </w:tcPr>
          <w:p>
            <w:pPr>
              <w:jc w:val="right"/>
              <w:spacing w:after="0"/>
              <w:rPr>
                <w:sz w:val="20"/>
                <w:szCs w:val="20"/>
                <w:color w:val="auto"/>
              </w:rPr>
            </w:pPr>
            <w:r>
              <w:rPr>
                <w:rFonts w:ascii="Arial" w:cs="Arial" w:eastAsia="Arial" w:hAnsi="Arial"/>
                <w:sz w:val="18"/>
                <w:szCs w:val="18"/>
                <w:color w:val="auto"/>
              </w:rPr>
              <w:t>56,990</w:t>
            </w:r>
          </w:p>
        </w:tc>
        <w:tc>
          <w:tcPr>
            <w:tcW w:w="200" w:type="dxa"/>
            <w:vAlign w:val="bottom"/>
          </w:tcPr>
          <w:p>
            <w:pPr>
              <w:spacing w:after="0"/>
              <w:rPr>
                <w:sz w:val="18"/>
                <w:szCs w:val="18"/>
                <w:color w:val="auto"/>
              </w:rPr>
            </w:pPr>
          </w:p>
        </w:tc>
        <w:tc>
          <w:tcPr>
            <w:tcW w:w="16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54,526</w:t>
            </w:r>
          </w:p>
        </w:tc>
        <w:tc>
          <w:tcPr>
            <w:tcW w:w="24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4.5 %</w:t>
            </w:r>
          </w:p>
        </w:tc>
        <w:tc>
          <w:tcPr>
            <w:tcW w:w="0" w:type="dxa"/>
            <w:vAlign w:val="bottom"/>
          </w:tcPr>
          <w:p>
            <w:pPr>
              <w:spacing w:after="0"/>
              <w:rPr>
                <w:sz w:val="1"/>
                <w:szCs w:val="1"/>
                <w:color w:val="auto"/>
              </w:rPr>
            </w:pPr>
          </w:p>
        </w:tc>
      </w:tr>
      <w:tr>
        <w:trPr>
          <w:trHeight w:val="216"/>
        </w:trPr>
        <w:tc>
          <w:tcPr>
            <w:tcW w:w="29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Food and beverage</w:t>
            </w: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18,731</w:t>
            </w: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18,330</w:t>
            </w:r>
          </w:p>
        </w:tc>
        <w:tc>
          <w:tcPr>
            <w:tcW w:w="2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2.2 %</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74,380</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71,635</w:t>
            </w:r>
          </w:p>
        </w:tc>
        <w:tc>
          <w:tcPr>
            <w:tcW w:w="2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3.8 %</w:t>
            </w:r>
          </w:p>
        </w:tc>
        <w:tc>
          <w:tcPr>
            <w:tcW w:w="0" w:type="dxa"/>
            <w:vAlign w:val="bottom"/>
          </w:tcPr>
          <w:p>
            <w:pPr>
              <w:spacing w:after="0"/>
              <w:rPr>
                <w:sz w:val="1"/>
                <w:szCs w:val="1"/>
                <w:color w:val="auto"/>
              </w:rPr>
            </w:pPr>
          </w:p>
        </w:tc>
      </w:tr>
      <w:tr>
        <w:trPr>
          <w:trHeight w:val="216"/>
        </w:trPr>
        <w:tc>
          <w:tcPr>
            <w:tcW w:w="2980" w:type="dxa"/>
            <w:vAlign w:val="bottom"/>
          </w:tcPr>
          <w:p>
            <w:pPr>
              <w:ind w:left="120"/>
              <w:spacing w:after="0"/>
              <w:rPr>
                <w:sz w:val="20"/>
                <w:szCs w:val="20"/>
                <w:color w:val="auto"/>
              </w:rPr>
            </w:pPr>
            <w:r>
              <w:rPr>
                <w:rFonts w:ascii="Arial" w:cs="Arial" w:eastAsia="Arial" w:hAnsi="Arial"/>
                <w:sz w:val="18"/>
                <w:szCs w:val="18"/>
                <w:color w:val="auto"/>
              </w:rPr>
              <w:t>Other hotel revenue</w:t>
            </w: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4,871</w:t>
            </w:r>
          </w:p>
        </w:tc>
        <w:tc>
          <w:tcPr>
            <w:tcW w:w="2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4,241</w:t>
            </w:r>
          </w:p>
        </w:tc>
        <w:tc>
          <w:tcPr>
            <w:tcW w:w="2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14.9 %</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15,701</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13,458</w:t>
            </w:r>
          </w:p>
        </w:tc>
        <w:tc>
          <w:tcPr>
            <w:tcW w:w="24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16.7 %</w:t>
            </w:r>
          </w:p>
        </w:tc>
        <w:tc>
          <w:tcPr>
            <w:tcW w:w="0" w:type="dxa"/>
            <w:vAlign w:val="bottom"/>
          </w:tcPr>
          <w:p>
            <w:pPr>
              <w:spacing w:after="0"/>
              <w:rPr>
                <w:sz w:val="1"/>
                <w:szCs w:val="1"/>
                <w:color w:val="auto"/>
              </w:rPr>
            </w:pPr>
          </w:p>
        </w:tc>
      </w:tr>
      <w:tr>
        <w:trPr>
          <w:trHeight w:val="210"/>
        </w:trPr>
        <w:tc>
          <w:tcPr>
            <w:tcW w:w="298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revenue</w:t>
            </w:r>
          </w:p>
        </w:tc>
        <w:tc>
          <w:tcPr>
            <w:tcW w:w="7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38,901</w:t>
            </w:r>
          </w:p>
        </w:tc>
        <w:tc>
          <w:tcPr>
            <w:tcW w:w="2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37,238</w:t>
            </w:r>
          </w:p>
        </w:tc>
        <w:tc>
          <w:tcPr>
            <w:tcW w:w="24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4.5 %</w:t>
            </w:r>
          </w:p>
        </w:tc>
        <w:tc>
          <w:tcPr>
            <w:tcW w:w="1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147,071</w:t>
            </w:r>
          </w:p>
        </w:tc>
        <w:tc>
          <w:tcPr>
            <w:tcW w:w="2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139,619</w:t>
            </w:r>
          </w:p>
        </w:tc>
        <w:tc>
          <w:tcPr>
            <w:tcW w:w="24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5.3 %</w:t>
            </w:r>
          </w:p>
        </w:tc>
        <w:tc>
          <w:tcPr>
            <w:tcW w:w="0" w:type="dxa"/>
            <w:vAlign w:val="bottom"/>
          </w:tcPr>
          <w:p>
            <w:pPr>
              <w:spacing w:after="0"/>
              <w:rPr>
                <w:sz w:val="1"/>
                <w:szCs w:val="1"/>
                <w:color w:val="auto"/>
              </w:rPr>
            </w:pPr>
          </w:p>
        </w:tc>
      </w:tr>
      <w:tr>
        <w:trPr>
          <w:trHeight w:val="216"/>
        </w:trPr>
        <w:tc>
          <w:tcPr>
            <w:tcW w:w="2980" w:type="dxa"/>
            <w:vAlign w:val="bottom"/>
          </w:tcPr>
          <w:p>
            <w:pPr>
              <w:spacing w:after="0"/>
              <w:rPr>
                <w:sz w:val="20"/>
                <w:szCs w:val="20"/>
                <w:color w:val="auto"/>
              </w:rPr>
            </w:pPr>
            <w:r>
              <w:rPr>
                <w:rFonts w:ascii="Arial" w:cs="Arial" w:eastAsia="Arial" w:hAnsi="Arial"/>
                <w:sz w:val="18"/>
                <w:szCs w:val="18"/>
                <w:color w:val="auto"/>
              </w:rPr>
              <w:t>Operating expenses:</w:t>
            </w: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Rooms</w:t>
            </w: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3,939</w:t>
            </w: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3,572</w:t>
            </w:r>
          </w:p>
        </w:tc>
        <w:tc>
          <w:tcPr>
            <w:tcW w:w="2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10.3 %</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12,500</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12,192</w:t>
            </w:r>
          </w:p>
        </w:tc>
        <w:tc>
          <w:tcPr>
            <w:tcW w:w="2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2.5 %</w:t>
            </w:r>
          </w:p>
        </w:tc>
        <w:tc>
          <w:tcPr>
            <w:tcW w:w="0" w:type="dxa"/>
            <w:vAlign w:val="bottom"/>
          </w:tcPr>
          <w:p>
            <w:pPr>
              <w:spacing w:after="0"/>
              <w:rPr>
                <w:sz w:val="1"/>
                <w:szCs w:val="1"/>
                <w:color w:val="auto"/>
              </w:rPr>
            </w:pPr>
          </w:p>
        </w:tc>
      </w:tr>
      <w:tr>
        <w:trPr>
          <w:trHeight w:val="216"/>
        </w:trPr>
        <w:tc>
          <w:tcPr>
            <w:tcW w:w="2980" w:type="dxa"/>
            <w:vAlign w:val="bottom"/>
          </w:tcPr>
          <w:p>
            <w:pPr>
              <w:ind w:left="120"/>
              <w:spacing w:after="0"/>
              <w:rPr>
                <w:sz w:val="20"/>
                <w:szCs w:val="20"/>
                <w:color w:val="auto"/>
              </w:rPr>
            </w:pPr>
            <w:r>
              <w:rPr>
                <w:rFonts w:ascii="Arial" w:cs="Arial" w:eastAsia="Arial" w:hAnsi="Arial"/>
                <w:sz w:val="18"/>
                <w:szCs w:val="18"/>
                <w:color w:val="auto"/>
              </w:rPr>
              <w:t>Food and beverage</w:t>
            </w: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4"/>
              </w:rPr>
              <w:t>10,961</w:t>
            </w:r>
          </w:p>
        </w:tc>
        <w:tc>
          <w:tcPr>
            <w:tcW w:w="2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11,292</w:t>
            </w:r>
          </w:p>
        </w:tc>
        <w:tc>
          <w:tcPr>
            <w:tcW w:w="2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38,412</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38,550</w:t>
            </w:r>
          </w:p>
        </w:tc>
        <w:tc>
          <w:tcPr>
            <w:tcW w:w="24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16"/>
        </w:trPr>
        <w:tc>
          <w:tcPr>
            <w:tcW w:w="29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 hotel expenses</w:t>
            </w: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15,227</w:t>
            </w: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13,821</w:t>
            </w:r>
          </w:p>
        </w:tc>
        <w:tc>
          <w:tcPr>
            <w:tcW w:w="2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10.2 %</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48,137</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45,882</w:t>
            </w:r>
          </w:p>
        </w:tc>
        <w:tc>
          <w:tcPr>
            <w:tcW w:w="2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4.9 %</w:t>
            </w:r>
          </w:p>
        </w:tc>
        <w:tc>
          <w:tcPr>
            <w:tcW w:w="0" w:type="dxa"/>
            <w:vAlign w:val="bottom"/>
          </w:tcPr>
          <w:p>
            <w:pPr>
              <w:spacing w:after="0"/>
              <w:rPr>
                <w:sz w:val="1"/>
                <w:szCs w:val="1"/>
                <w:color w:val="auto"/>
              </w:rPr>
            </w:pPr>
          </w:p>
        </w:tc>
      </w:tr>
      <w:tr>
        <w:trPr>
          <w:trHeight w:val="216"/>
        </w:trPr>
        <w:tc>
          <w:tcPr>
            <w:tcW w:w="2980" w:type="dxa"/>
            <w:vAlign w:val="bottom"/>
          </w:tcPr>
          <w:p>
            <w:pPr>
              <w:ind w:left="120"/>
              <w:spacing w:after="0"/>
              <w:rPr>
                <w:sz w:val="20"/>
                <w:szCs w:val="20"/>
                <w:color w:val="auto"/>
              </w:rPr>
            </w:pPr>
            <w:r>
              <w:rPr>
                <w:rFonts w:ascii="Arial" w:cs="Arial" w:eastAsia="Arial" w:hAnsi="Arial"/>
                <w:sz w:val="18"/>
                <w:szCs w:val="18"/>
                <w:color w:val="auto"/>
              </w:rPr>
              <w:t>Management fees, net</w:t>
            </w: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981</w:t>
            </w:r>
          </w:p>
        </w:tc>
        <w:tc>
          <w:tcPr>
            <w:tcW w:w="2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692</w:t>
            </w:r>
          </w:p>
        </w:tc>
        <w:tc>
          <w:tcPr>
            <w:tcW w:w="2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41.8 %</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4,017</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3,079</w:t>
            </w:r>
          </w:p>
        </w:tc>
        <w:tc>
          <w:tcPr>
            <w:tcW w:w="24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30.5 %</w:t>
            </w:r>
          </w:p>
        </w:tc>
        <w:tc>
          <w:tcPr>
            <w:tcW w:w="0" w:type="dxa"/>
            <w:vAlign w:val="bottom"/>
          </w:tcPr>
          <w:p>
            <w:pPr>
              <w:spacing w:after="0"/>
              <w:rPr>
                <w:sz w:val="1"/>
                <w:szCs w:val="1"/>
                <w:color w:val="auto"/>
              </w:rPr>
            </w:pPr>
          </w:p>
        </w:tc>
      </w:tr>
      <w:tr>
        <w:trPr>
          <w:trHeight w:val="216"/>
        </w:trPr>
        <w:tc>
          <w:tcPr>
            <w:tcW w:w="29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Depreciation and amortization</w:t>
            </w: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4,868</w:t>
            </w: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4,753</w:t>
            </w:r>
          </w:p>
        </w:tc>
        <w:tc>
          <w:tcPr>
            <w:tcW w:w="2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2.4 %</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14,456</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14,307</w:t>
            </w:r>
          </w:p>
        </w:tc>
        <w:tc>
          <w:tcPr>
            <w:tcW w:w="2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1.0 %</w:t>
            </w:r>
          </w:p>
        </w:tc>
        <w:tc>
          <w:tcPr>
            <w:tcW w:w="0" w:type="dxa"/>
            <w:vAlign w:val="bottom"/>
          </w:tcPr>
          <w:p>
            <w:pPr>
              <w:spacing w:after="0"/>
              <w:rPr>
                <w:sz w:val="1"/>
                <w:szCs w:val="1"/>
                <w:color w:val="auto"/>
              </w:rPr>
            </w:pPr>
          </w:p>
        </w:tc>
      </w:tr>
      <w:tr>
        <w:trPr>
          <w:trHeight w:val="210"/>
        </w:trPr>
        <w:tc>
          <w:tcPr>
            <w:tcW w:w="2980" w:type="dxa"/>
            <w:vAlign w:val="bottom"/>
          </w:tcPr>
          <w:p>
            <w:pPr>
              <w:ind w:left="220"/>
              <w:spacing w:after="0"/>
              <w:rPr>
                <w:sz w:val="20"/>
                <w:szCs w:val="20"/>
                <w:color w:val="auto"/>
              </w:rPr>
            </w:pPr>
            <w:r>
              <w:rPr>
                <w:rFonts w:ascii="Arial" w:cs="Arial" w:eastAsia="Arial" w:hAnsi="Arial"/>
                <w:sz w:val="18"/>
                <w:szCs w:val="18"/>
                <w:color w:val="auto"/>
              </w:rPr>
              <w:t>Total operating expenses</w:t>
            </w:r>
          </w:p>
        </w:tc>
        <w:tc>
          <w:tcPr>
            <w:tcW w:w="7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35,976</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34,130</w:t>
            </w:r>
          </w:p>
        </w:tc>
        <w:tc>
          <w:tcPr>
            <w:tcW w:w="2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5.4 %</w:t>
            </w:r>
          </w:p>
        </w:tc>
        <w:tc>
          <w:tcPr>
            <w:tcW w:w="1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117,522</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114,010</w:t>
            </w:r>
          </w:p>
        </w:tc>
        <w:tc>
          <w:tcPr>
            <w:tcW w:w="24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3.1 %</w:t>
            </w:r>
          </w:p>
        </w:tc>
        <w:tc>
          <w:tcPr>
            <w:tcW w:w="0" w:type="dxa"/>
            <w:vAlign w:val="bottom"/>
          </w:tcPr>
          <w:p>
            <w:pPr>
              <w:spacing w:after="0"/>
              <w:rPr>
                <w:sz w:val="1"/>
                <w:szCs w:val="1"/>
                <w:color w:val="auto"/>
              </w:rPr>
            </w:pPr>
          </w:p>
        </w:tc>
      </w:tr>
      <w:tr>
        <w:trPr>
          <w:trHeight w:val="216"/>
        </w:trPr>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Performance metrics:</w:t>
            </w: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80" w:type="dxa"/>
            <w:vAlign w:val="bottom"/>
          </w:tcPr>
          <w:p>
            <w:pPr>
              <w:ind w:left="120"/>
              <w:spacing w:after="0"/>
              <w:rPr>
                <w:sz w:val="20"/>
                <w:szCs w:val="20"/>
                <w:color w:val="auto"/>
              </w:rPr>
            </w:pPr>
            <w:r>
              <w:rPr>
                <w:rFonts w:ascii="Arial" w:cs="Arial" w:eastAsia="Arial" w:hAnsi="Arial"/>
                <w:sz w:val="18"/>
                <w:szCs w:val="18"/>
                <w:color w:val="auto"/>
              </w:rPr>
              <w:t>Occupancy</w:t>
            </w: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72.8 %</w:t>
            </w:r>
          </w:p>
        </w:tc>
        <w:tc>
          <w:tcPr>
            <w:tcW w:w="1000" w:type="dxa"/>
            <w:vAlign w:val="bottom"/>
            <w:gridSpan w:val="3"/>
          </w:tcPr>
          <w:p>
            <w:pPr>
              <w:jc w:val="right"/>
              <w:ind w:right="80"/>
              <w:spacing w:after="0"/>
              <w:rPr>
                <w:sz w:val="20"/>
                <w:szCs w:val="20"/>
                <w:color w:val="auto"/>
              </w:rPr>
            </w:pPr>
            <w:r>
              <w:rPr>
                <w:rFonts w:ascii="Arial" w:cs="Arial" w:eastAsia="Arial" w:hAnsi="Arial"/>
                <w:sz w:val="18"/>
                <w:szCs w:val="18"/>
                <w:color w:val="auto"/>
              </w:rPr>
              <w:t>73.3 %</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(0.7)%</w:t>
            </w:r>
          </w:p>
        </w:tc>
        <w:tc>
          <w:tcPr>
            <w:tcW w:w="12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78.6 %</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77.8 %</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1.0 %</w:t>
            </w:r>
          </w:p>
        </w:tc>
        <w:tc>
          <w:tcPr>
            <w:tcW w:w="0" w:type="dxa"/>
            <w:vAlign w:val="bottom"/>
          </w:tcPr>
          <w:p>
            <w:pPr>
              <w:spacing w:after="0"/>
              <w:rPr>
                <w:sz w:val="1"/>
                <w:szCs w:val="1"/>
                <w:color w:val="auto"/>
              </w:rPr>
            </w:pPr>
          </w:p>
        </w:tc>
      </w:tr>
      <w:tr>
        <w:trPr>
          <w:trHeight w:val="216"/>
        </w:trPr>
        <w:tc>
          <w:tcPr>
            <w:tcW w:w="29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ADR</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161.31</w:t>
            </w: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$ 153.62</w:t>
            </w:r>
          </w:p>
        </w:tc>
        <w:tc>
          <w:tcPr>
            <w:tcW w:w="24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5.0 % $</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187.57</w:t>
            </w:r>
          </w:p>
        </w:tc>
        <w:tc>
          <w:tcPr>
            <w:tcW w:w="2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181.32</w:t>
            </w:r>
          </w:p>
        </w:tc>
        <w:tc>
          <w:tcPr>
            <w:tcW w:w="2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3.4 %</w:t>
            </w:r>
          </w:p>
        </w:tc>
        <w:tc>
          <w:tcPr>
            <w:tcW w:w="0" w:type="dxa"/>
            <w:vAlign w:val="bottom"/>
          </w:tcPr>
          <w:p>
            <w:pPr>
              <w:spacing w:after="0"/>
              <w:rPr>
                <w:sz w:val="1"/>
                <w:szCs w:val="1"/>
                <w:color w:val="auto"/>
              </w:rPr>
            </w:pPr>
          </w:p>
        </w:tc>
      </w:tr>
      <w:tr>
        <w:trPr>
          <w:trHeight w:val="216"/>
        </w:trPr>
        <w:tc>
          <w:tcPr>
            <w:tcW w:w="2980" w:type="dxa"/>
            <w:vAlign w:val="bottom"/>
          </w:tcPr>
          <w:p>
            <w:pPr>
              <w:ind w:left="120"/>
              <w:spacing w:after="0"/>
              <w:rPr>
                <w:sz w:val="20"/>
                <w:szCs w:val="20"/>
                <w:color w:val="auto"/>
              </w:rPr>
            </w:pPr>
            <w:r>
              <w:rPr>
                <w:rFonts w:ascii="Arial" w:cs="Arial" w:eastAsia="Arial" w:hAnsi="Arial"/>
                <w:sz w:val="18"/>
                <w:szCs w:val="18"/>
                <w:color w:val="auto"/>
              </w:rPr>
              <w:t>RevPAR</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4"/>
              </w:rPr>
              <w:t>117.44</w:t>
            </w:r>
          </w:p>
        </w:tc>
        <w:tc>
          <w:tcPr>
            <w:tcW w:w="2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w w:val="99"/>
              </w:rPr>
              <w:t>$ 112.59</w:t>
            </w:r>
          </w:p>
        </w:tc>
        <w:tc>
          <w:tcPr>
            <w:tcW w:w="240" w:type="dxa"/>
            <w:vAlign w:val="bottom"/>
          </w:tcPr>
          <w:p>
            <w:pPr>
              <w:spacing w:after="0"/>
              <w:rPr>
                <w:sz w:val="18"/>
                <w:szCs w:val="18"/>
                <w:color w:val="auto"/>
              </w:rPr>
            </w:pPr>
          </w:p>
        </w:tc>
        <w:tc>
          <w:tcPr>
            <w:tcW w:w="860" w:type="dxa"/>
            <w:vAlign w:val="bottom"/>
            <w:gridSpan w:val="3"/>
          </w:tcPr>
          <w:p>
            <w:pPr>
              <w:jc w:val="right"/>
              <w:ind w:right="40"/>
              <w:spacing w:after="0"/>
              <w:rPr>
                <w:sz w:val="20"/>
                <w:szCs w:val="20"/>
                <w:color w:val="auto"/>
              </w:rPr>
            </w:pPr>
            <w:r>
              <w:rPr>
                <w:rFonts w:ascii="Arial" w:cs="Arial" w:eastAsia="Arial" w:hAnsi="Arial"/>
                <w:sz w:val="18"/>
                <w:szCs w:val="18"/>
                <w:color w:val="auto"/>
              </w:rPr>
              <w:t>4.3 % $</w:t>
            </w:r>
          </w:p>
        </w:tc>
        <w:tc>
          <w:tcPr>
            <w:tcW w:w="680" w:type="dxa"/>
            <w:vAlign w:val="bottom"/>
          </w:tcPr>
          <w:p>
            <w:pPr>
              <w:jc w:val="right"/>
              <w:spacing w:after="0"/>
              <w:rPr>
                <w:sz w:val="20"/>
                <w:szCs w:val="20"/>
                <w:color w:val="auto"/>
              </w:rPr>
            </w:pPr>
            <w:r>
              <w:rPr>
                <w:rFonts w:ascii="Arial" w:cs="Arial" w:eastAsia="Arial" w:hAnsi="Arial"/>
                <w:sz w:val="18"/>
                <w:szCs w:val="18"/>
                <w:color w:val="auto"/>
              </w:rPr>
              <w:t>147.43</w:t>
            </w:r>
          </w:p>
        </w:tc>
        <w:tc>
          <w:tcPr>
            <w:tcW w:w="200" w:type="dxa"/>
            <w:vAlign w:val="bottom"/>
          </w:tcPr>
          <w:p>
            <w:pPr>
              <w:spacing w:after="0"/>
              <w:rPr>
                <w:sz w:val="18"/>
                <w:szCs w:val="18"/>
                <w:color w:val="auto"/>
              </w:rPr>
            </w:pPr>
          </w:p>
        </w:tc>
        <w:tc>
          <w:tcPr>
            <w:tcW w:w="16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141.05</w:t>
            </w:r>
          </w:p>
        </w:tc>
        <w:tc>
          <w:tcPr>
            <w:tcW w:w="24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4.5 %</w:t>
            </w:r>
          </w:p>
        </w:tc>
        <w:tc>
          <w:tcPr>
            <w:tcW w:w="0" w:type="dxa"/>
            <w:vAlign w:val="bottom"/>
          </w:tcPr>
          <w:p>
            <w:pPr>
              <w:spacing w:after="0"/>
              <w:rPr>
                <w:sz w:val="1"/>
                <w:szCs w:val="1"/>
                <w:color w:val="auto"/>
              </w:rPr>
            </w:pPr>
          </w:p>
        </w:tc>
      </w:tr>
      <w:tr>
        <w:trPr>
          <w:trHeight w:val="216"/>
        </w:trPr>
        <w:tc>
          <w:tcPr>
            <w:tcW w:w="29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 RevPAR</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298.62</w:t>
            </w: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$ 285.85</w:t>
            </w:r>
          </w:p>
        </w:tc>
        <w:tc>
          <w:tcPr>
            <w:tcW w:w="24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4.5 % $</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380.45</w:t>
            </w:r>
          </w:p>
        </w:tc>
        <w:tc>
          <w:tcPr>
            <w:tcW w:w="2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361.18</w:t>
            </w:r>
          </w:p>
        </w:tc>
        <w:tc>
          <w:tcPr>
            <w:tcW w:w="2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5.3 %</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Rooms revenue and RevPAR increased at Gaylord Palms during the three months and nine months ended September 30, 2018, as compared to the same periods in 2017, due primarily to an increase in ADR for both group and transient business. Rooms expenses increased during the 2018 periods, as compared to the 2017 periods, primarily due to increased group commissions.</w:t>
      </w:r>
    </w:p>
    <w:p>
      <w:pPr>
        <w:spacing w:after="0" w:line="16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Food and beverage revenue increased at Gaylord Palms during the three months and nine months ended September 30, 2018, as compared to the same periods in 2017, due primarily to increased catering revenue. Food and beverage expenses decreased slightly in the 2018 periods, as compared to the 2017 periods, as the increase in variable costs associated with the increase in revenue was offset by improved labor and food margins.</w:t>
      </w:r>
    </w:p>
    <w:p>
      <w:pPr>
        <w:spacing w:after="0" w:line="146"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Other hotel revenue at Gaylord Palms increased during the three months and nine months ended September 30, 2018, as compared to the same periods in 2017, primarily due to an increase in attrition and cancellation fee collections. The nine-month 2018 period increase was also impacted by increased holiday programming revenue that continued into January 2018. Other hotel expenses increased in the 2018 periods, as compared to the 2017 periods, primarily as a result of increased sales and marketing expenses, as well as the prior periods including a one-time beneficial sales tax audit settlement.</w:t>
      </w:r>
    </w:p>
    <w:p>
      <w:pPr>
        <w:spacing w:after="0" w:line="118" w:lineRule="exact"/>
        <w:rPr>
          <w:sz w:val="20"/>
          <w:szCs w:val="20"/>
          <w:color w:val="auto"/>
        </w:rPr>
      </w:pPr>
    </w:p>
    <w:p>
      <w:pPr>
        <w:ind w:right="800"/>
        <w:spacing w:after="0" w:line="277" w:lineRule="auto"/>
        <w:rPr>
          <w:sz w:val="20"/>
          <w:szCs w:val="20"/>
          <w:color w:val="auto"/>
        </w:rPr>
      </w:pPr>
      <w:r>
        <w:rPr>
          <w:rFonts w:ascii="Arial" w:cs="Arial" w:eastAsia="Arial" w:hAnsi="Arial"/>
          <w:sz w:val="18"/>
          <w:szCs w:val="18"/>
          <w:color w:val="auto"/>
        </w:rPr>
        <w:t>Depreciation and amortization increased slightly at Gaylord Palms during the three months and nine months ended September 30, 2018, as compared to the same periods in 2017.</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5" w:name="page36"/>
    <w:bookmarkEnd w:id="3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i w:val="1"/>
          <w:iCs w:val="1"/>
          <w:color w:val="auto"/>
        </w:rPr>
        <w:t xml:space="preserve">Gaylord Texan Results. </w:t>
      </w:r>
      <w:r>
        <w:rPr>
          <w:rFonts w:ascii="Arial" w:cs="Arial" w:eastAsia="Arial" w:hAnsi="Arial"/>
          <w:sz w:val="18"/>
          <w:szCs w:val="18"/>
          <w:color w:val="auto"/>
        </w:rPr>
        <w:t>The results of Gaylord Texan for the three months and nine months ended September 30, 2018 and</w:t>
      </w:r>
      <w:r>
        <w:rPr>
          <w:rFonts w:ascii="Arial" w:cs="Arial" w:eastAsia="Arial" w:hAnsi="Arial"/>
          <w:sz w:val="18"/>
          <w:szCs w:val="18"/>
          <w:i w:val="1"/>
          <w:iCs w:val="1"/>
          <w:color w:val="auto"/>
        </w:rPr>
        <w:t xml:space="preserve"> </w:t>
      </w:r>
      <w:r>
        <w:rPr>
          <w:rFonts w:ascii="Arial" w:cs="Arial" w:eastAsia="Arial" w:hAnsi="Arial"/>
          <w:sz w:val="18"/>
          <w:szCs w:val="18"/>
          <w:color w:val="auto"/>
        </w:rPr>
        <w:t>2017 are as follows (in thousands, except percentages and performance metrics):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80" w:type="dxa"/>
            <w:vAlign w:val="bottom"/>
            <w:gridSpan w:val="5"/>
          </w:tcPr>
          <w:p>
            <w:pPr>
              <w:jc w:val="right"/>
              <w:ind w:right="60"/>
              <w:spacing w:after="0"/>
              <w:rPr>
                <w:sz w:val="20"/>
                <w:szCs w:val="20"/>
                <w:color w:val="auto"/>
              </w:rPr>
            </w:pPr>
            <w:r>
              <w:rPr>
                <w:rFonts w:ascii="Arial" w:cs="Arial" w:eastAsia="Arial" w:hAnsi="Arial"/>
                <w:sz w:val="14"/>
                <w:szCs w:val="14"/>
                <w:b w:val="1"/>
                <w:bCs w:val="1"/>
                <w:color w:val="auto"/>
              </w:rPr>
              <w:t>Three Months Ended</w:t>
            </w: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60" w:type="dxa"/>
            <w:vAlign w:val="bottom"/>
            <w:gridSpan w:val="6"/>
          </w:tcPr>
          <w:p>
            <w:pPr>
              <w:jc w:val="right"/>
              <w:ind w:right="180"/>
              <w:spacing w:after="0"/>
              <w:rPr>
                <w:sz w:val="20"/>
                <w:szCs w:val="20"/>
                <w:color w:val="auto"/>
              </w:rPr>
            </w:pPr>
            <w:r>
              <w:rPr>
                <w:rFonts w:ascii="Arial" w:cs="Arial" w:eastAsia="Arial" w:hAnsi="Arial"/>
                <w:sz w:val="14"/>
                <w:szCs w:val="14"/>
                <w:b w:val="1"/>
                <w:bCs w:val="1"/>
                <w:color w:val="auto"/>
              </w:rPr>
              <w:t>Nine Months Ended</w:t>
            </w: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9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4"/>
          </w:tcPr>
          <w:p>
            <w:pPr>
              <w:jc w:val="right"/>
              <w:ind w:right="300"/>
              <w:spacing w:after="0"/>
              <w:rPr>
                <w:sz w:val="20"/>
                <w:szCs w:val="20"/>
                <w:color w:val="auto"/>
              </w:rPr>
            </w:pPr>
            <w:r>
              <w:rPr>
                <w:rFonts w:ascii="Arial" w:cs="Arial" w:eastAsia="Arial" w:hAnsi="Arial"/>
                <w:sz w:val="14"/>
                <w:szCs w:val="14"/>
                <w:b w:val="1"/>
                <w:bCs w:val="1"/>
                <w:color w:val="auto"/>
                <w:w w:val="91"/>
              </w:rPr>
              <w:t>September 30,</w:t>
            </w:r>
          </w:p>
        </w:tc>
        <w:tc>
          <w:tcPr>
            <w:tcW w:w="50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5"/>
          </w:tcPr>
          <w:p>
            <w:pPr>
              <w:jc w:val="right"/>
              <w:ind w:right="380"/>
              <w:spacing w:after="0"/>
              <w:rPr>
                <w:sz w:val="20"/>
                <w:szCs w:val="20"/>
                <w:color w:val="auto"/>
              </w:rPr>
            </w:pPr>
            <w:r>
              <w:rPr>
                <w:rFonts w:ascii="Arial" w:cs="Arial" w:eastAsia="Arial" w:hAnsi="Arial"/>
                <w:sz w:val="14"/>
                <w:szCs w:val="14"/>
                <w:b w:val="1"/>
                <w:bCs w:val="1"/>
                <w:color w:val="auto"/>
                <w:w w:val="91"/>
              </w:rPr>
              <w:t>September 30,</w:t>
            </w:r>
          </w:p>
        </w:tc>
        <w:tc>
          <w:tcPr>
            <w:tcW w:w="4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9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vMerge w:val="restart"/>
          </w:tcPr>
          <w:p>
            <w:pPr>
              <w:jc w:val="right"/>
              <w:ind w:right="132"/>
              <w:spacing w:after="0"/>
              <w:rPr>
                <w:sz w:val="20"/>
                <w:szCs w:val="20"/>
                <w:color w:val="auto"/>
              </w:rPr>
            </w:pPr>
            <w:r>
              <w:rPr>
                <w:rFonts w:ascii="Arial" w:cs="Arial" w:eastAsia="Arial" w:hAnsi="Arial"/>
                <w:sz w:val="14"/>
                <w:szCs w:val="14"/>
                <w:b w:val="1"/>
                <w:bCs w:val="1"/>
                <w:color w:val="auto"/>
              </w:rPr>
              <w:t>2018</w:t>
            </w:r>
          </w:p>
        </w:tc>
        <w:tc>
          <w:tcPr>
            <w:tcW w:w="200" w:type="dxa"/>
            <w:vAlign w:val="bottom"/>
          </w:tcPr>
          <w:p>
            <w:pPr>
              <w:spacing w:after="0"/>
              <w:rPr>
                <w:sz w:val="10"/>
                <w:szCs w:val="10"/>
                <w:color w:val="auto"/>
              </w:rPr>
            </w:pPr>
          </w:p>
        </w:tc>
        <w:tc>
          <w:tcPr>
            <w:tcW w:w="760" w:type="dxa"/>
            <w:vAlign w:val="bottom"/>
            <w:gridSpan w:val="2"/>
            <w:vMerge w:val="restart"/>
          </w:tcPr>
          <w:p>
            <w:pPr>
              <w:jc w:val="right"/>
              <w:ind w:right="110"/>
              <w:spacing w:after="0"/>
              <w:rPr>
                <w:sz w:val="20"/>
                <w:szCs w:val="20"/>
                <w:color w:val="auto"/>
              </w:rPr>
            </w:pPr>
            <w:r>
              <w:rPr>
                <w:rFonts w:ascii="Arial" w:cs="Arial" w:eastAsia="Arial" w:hAnsi="Arial"/>
                <w:sz w:val="14"/>
                <w:szCs w:val="14"/>
                <w:b w:val="1"/>
                <w:bCs w:val="1"/>
                <w:color w:val="auto"/>
              </w:rPr>
              <w:t>2017</w:t>
            </w:r>
          </w:p>
        </w:tc>
        <w:tc>
          <w:tcPr>
            <w:tcW w:w="240" w:type="dxa"/>
            <w:vAlign w:val="bottom"/>
          </w:tcPr>
          <w:p>
            <w:pPr>
              <w:spacing w:after="0"/>
              <w:rPr>
                <w:sz w:val="10"/>
                <w:szCs w:val="10"/>
                <w:color w:val="auto"/>
              </w:rPr>
            </w:pPr>
          </w:p>
        </w:tc>
        <w:tc>
          <w:tcPr>
            <w:tcW w:w="500" w:type="dxa"/>
            <w:vAlign w:val="bottom"/>
          </w:tcPr>
          <w:p>
            <w:pPr>
              <w:jc w:val="right"/>
              <w:ind w:right="93"/>
              <w:spacing w:after="0" w:line="119" w:lineRule="exact"/>
              <w:rPr>
                <w:sz w:val="20"/>
                <w:szCs w:val="20"/>
                <w:color w:val="auto"/>
              </w:rPr>
            </w:pPr>
            <w:r>
              <w:rPr>
                <w:rFonts w:ascii="Arial" w:cs="Arial" w:eastAsia="Arial" w:hAnsi="Arial"/>
                <w:sz w:val="13"/>
                <w:szCs w:val="13"/>
                <w:b w:val="1"/>
                <w:bCs w:val="1"/>
                <w:color w:val="auto"/>
              </w:rPr>
              <w:t>%</w:t>
            </w: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vMerge w:val="restart"/>
          </w:tcPr>
          <w:p>
            <w:pPr>
              <w:jc w:val="right"/>
              <w:ind w:right="172"/>
              <w:spacing w:after="0"/>
              <w:rPr>
                <w:sz w:val="20"/>
                <w:szCs w:val="20"/>
                <w:color w:val="auto"/>
              </w:rPr>
            </w:pPr>
            <w:r>
              <w:rPr>
                <w:rFonts w:ascii="Arial" w:cs="Arial" w:eastAsia="Arial" w:hAnsi="Arial"/>
                <w:sz w:val="14"/>
                <w:szCs w:val="14"/>
                <w:b w:val="1"/>
                <w:bCs w:val="1"/>
                <w:color w:val="auto"/>
              </w:rPr>
              <w:t>2018</w:t>
            </w: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vMerge w:val="restart"/>
          </w:tcPr>
          <w:p>
            <w:pPr>
              <w:jc w:val="right"/>
              <w:ind w:right="171"/>
              <w:spacing w:after="0"/>
              <w:rPr>
                <w:sz w:val="20"/>
                <w:szCs w:val="20"/>
                <w:color w:val="auto"/>
              </w:rPr>
            </w:pPr>
            <w:r>
              <w:rPr>
                <w:rFonts w:ascii="Arial" w:cs="Arial" w:eastAsia="Arial" w:hAnsi="Arial"/>
                <w:sz w:val="14"/>
                <w:szCs w:val="14"/>
                <w:b w:val="1"/>
                <w:bCs w:val="1"/>
                <w:color w:val="auto"/>
              </w:rPr>
              <w:t>2017</w:t>
            </w:r>
          </w:p>
        </w:tc>
        <w:tc>
          <w:tcPr>
            <w:tcW w:w="240" w:type="dxa"/>
            <w:vAlign w:val="bottom"/>
          </w:tcPr>
          <w:p>
            <w:pPr>
              <w:spacing w:after="0"/>
              <w:rPr>
                <w:sz w:val="10"/>
                <w:szCs w:val="10"/>
                <w:color w:val="auto"/>
              </w:rPr>
            </w:pPr>
          </w:p>
        </w:tc>
        <w:tc>
          <w:tcPr>
            <w:tcW w:w="480" w:type="dxa"/>
            <w:vAlign w:val="bottom"/>
          </w:tcPr>
          <w:p>
            <w:pPr>
              <w:jc w:val="right"/>
              <w:ind w:right="73"/>
              <w:spacing w:after="0" w:line="119" w:lineRule="exact"/>
              <w:rPr>
                <w:sz w:val="20"/>
                <w:szCs w:val="20"/>
                <w:color w:val="auto"/>
              </w:rPr>
            </w:pPr>
            <w:r>
              <w:rPr>
                <w:rFonts w:ascii="Arial" w:cs="Arial" w:eastAsia="Arial" w:hAnsi="Arial"/>
                <w:sz w:val="13"/>
                <w:szCs w:val="13"/>
                <w:b w:val="1"/>
                <w:bCs w:val="1"/>
                <w:color w:val="auto"/>
              </w:rPr>
              <w:t>%</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9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89"/>
              </w:rPr>
              <w:t>Change</w:t>
            </w:r>
          </w:p>
        </w:tc>
        <w:tc>
          <w:tcPr>
            <w:tcW w:w="68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3"/>
              </w:rPr>
              <w:t>Change</w:t>
            </w:r>
          </w:p>
        </w:tc>
        <w:tc>
          <w:tcPr>
            <w:tcW w:w="0" w:type="dxa"/>
            <w:vAlign w:val="bottom"/>
          </w:tcPr>
          <w:p>
            <w:pPr>
              <w:spacing w:after="0"/>
              <w:rPr>
                <w:sz w:val="1"/>
                <w:szCs w:val="1"/>
                <w:color w:val="auto"/>
              </w:rPr>
            </w:pPr>
          </w:p>
        </w:tc>
      </w:tr>
      <w:tr>
        <w:trPr>
          <w:trHeight w:val="210"/>
        </w:trPr>
        <w:tc>
          <w:tcPr>
            <w:tcW w:w="2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Revenues:</w:t>
            </w:r>
          </w:p>
        </w:tc>
        <w:tc>
          <w:tcPr>
            <w:tcW w:w="7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80" w:type="dxa"/>
            <w:vAlign w:val="bottom"/>
          </w:tcPr>
          <w:p>
            <w:pPr>
              <w:ind w:left="120"/>
              <w:spacing w:after="0"/>
              <w:rPr>
                <w:sz w:val="20"/>
                <w:szCs w:val="20"/>
                <w:color w:val="auto"/>
              </w:rPr>
            </w:pPr>
            <w:r>
              <w:rPr>
                <w:rFonts w:ascii="Arial" w:cs="Arial" w:eastAsia="Arial" w:hAnsi="Arial"/>
                <w:sz w:val="18"/>
                <w:szCs w:val="18"/>
                <w:color w:val="auto"/>
              </w:rPr>
              <w:t>Rooms</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4"/>
              </w:rPr>
              <w:t>23,463</w:t>
            </w:r>
          </w:p>
        </w:tc>
        <w:tc>
          <w:tcPr>
            <w:tcW w:w="2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w w:val="99"/>
              </w:rPr>
              <w:t>$ 19,178</w:t>
            </w:r>
          </w:p>
        </w:tc>
        <w:tc>
          <w:tcPr>
            <w:tcW w:w="240" w:type="dxa"/>
            <w:vAlign w:val="bottom"/>
          </w:tcPr>
          <w:p>
            <w:pPr>
              <w:spacing w:after="0"/>
              <w:rPr>
                <w:sz w:val="18"/>
                <w:szCs w:val="18"/>
                <w:color w:val="auto"/>
              </w:rPr>
            </w:pPr>
          </w:p>
        </w:tc>
        <w:tc>
          <w:tcPr>
            <w:tcW w:w="860" w:type="dxa"/>
            <w:vAlign w:val="bottom"/>
            <w:gridSpan w:val="3"/>
          </w:tcPr>
          <w:p>
            <w:pPr>
              <w:jc w:val="right"/>
              <w:ind w:right="40"/>
              <w:spacing w:after="0"/>
              <w:rPr>
                <w:sz w:val="20"/>
                <w:szCs w:val="20"/>
                <w:color w:val="auto"/>
              </w:rPr>
            </w:pPr>
            <w:r>
              <w:rPr>
                <w:rFonts w:ascii="Arial" w:cs="Arial" w:eastAsia="Arial" w:hAnsi="Arial"/>
                <w:sz w:val="18"/>
                <w:szCs w:val="18"/>
                <w:color w:val="auto"/>
              </w:rPr>
              <w:t>22.3 % $</w:t>
            </w:r>
          </w:p>
        </w:tc>
        <w:tc>
          <w:tcPr>
            <w:tcW w:w="680" w:type="dxa"/>
            <w:vAlign w:val="bottom"/>
          </w:tcPr>
          <w:p>
            <w:pPr>
              <w:jc w:val="right"/>
              <w:spacing w:after="0"/>
              <w:rPr>
                <w:sz w:val="20"/>
                <w:szCs w:val="20"/>
                <w:color w:val="auto"/>
              </w:rPr>
            </w:pPr>
            <w:r>
              <w:rPr>
                <w:rFonts w:ascii="Arial" w:cs="Arial" w:eastAsia="Arial" w:hAnsi="Arial"/>
                <w:sz w:val="18"/>
                <w:szCs w:val="18"/>
                <w:color w:val="auto"/>
              </w:rPr>
              <w:t>65,295</w:t>
            </w:r>
          </w:p>
        </w:tc>
        <w:tc>
          <w:tcPr>
            <w:tcW w:w="200" w:type="dxa"/>
            <w:vAlign w:val="bottom"/>
          </w:tcPr>
          <w:p>
            <w:pPr>
              <w:spacing w:after="0"/>
              <w:rPr>
                <w:sz w:val="18"/>
                <w:szCs w:val="18"/>
                <w:color w:val="auto"/>
              </w:rPr>
            </w:pPr>
          </w:p>
        </w:tc>
        <w:tc>
          <w:tcPr>
            <w:tcW w:w="16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58,682</w:t>
            </w:r>
          </w:p>
        </w:tc>
        <w:tc>
          <w:tcPr>
            <w:tcW w:w="24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11.3 %</w:t>
            </w:r>
          </w:p>
        </w:tc>
        <w:tc>
          <w:tcPr>
            <w:tcW w:w="0" w:type="dxa"/>
            <w:vAlign w:val="bottom"/>
          </w:tcPr>
          <w:p>
            <w:pPr>
              <w:spacing w:after="0"/>
              <w:rPr>
                <w:sz w:val="1"/>
                <w:szCs w:val="1"/>
                <w:color w:val="auto"/>
              </w:rPr>
            </w:pPr>
          </w:p>
        </w:tc>
      </w:tr>
      <w:tr>
        <w:trPr>
          <w:trHeight w:val="216"/>
        </w:trPr>
        <w:tc>
          <w:tcPr>
            <w:tcW w:w="29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Food and beverage</w:t>
            </w: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32,205</w:t>
            </w: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25,289</w:t>
            </w:r>
          </w:p>
        </w:tc>
        <w:tc>
          <w:tcPr>
            <w:tcW w:w="2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27.3 %</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95,777</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84,902</w:t>
            </w:r>
          </w:p>
        </w:tc>
        <w:tc>
          <w:tcPr>
            <w:tcW w:w="2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12.8 %</w:t>
            </w:r>
          </w:p>
        </w:tc>
        <w:tc>
          <w:tcPr>
            <w:tcW w:w="0" w:type="dxa"/>
            <w:vAlign w:val="bottom"/>
          </w:tcPr>
          <w:p>
            <w:pPr>
              <w:spacing w:after="0"/>
              <w:rPr>
                <w:sz w:val="1"/>
                <w:szCs w:val="1"/>
                <w:color w:val="auto"/>
              </w:rPr>
            </w:pPr>
          </w:p>
        </w:tc>
      </w:tr>
      <w:tr>
        <w:trPr>
          <w:trHeight w:val="216"/>
        </w:trPr>
        <w:tc>
          <w:tcPr>
            <w:tcW w:w="2980" w:type="dxa"/>
            <w:vAlign w:val="bottom"/>
          </w:tcPr>
          <w:p>
            <w:pPr>
              <w:ind w:left="120"/>
              <w:spacing w:after="0"/>
              <w:rPr>
                <w:sz w:val="20"/>
                <w:szCs w:val="20"/>
                <w:color w:val="auto"/>
              </w:rPr>
            </w:pPr>
            <w:r>
              <w:rPr>
                <w:rFonts w:ascii="Arial" w:cs="Arial" w:eastAsia="Arial" w:hAnsi="Arial"/>
                <w:sz w:val="18"/>
                <w:szCs w:val="18"/>
                <w:color w:val="auto"/>
              </w:rPr>
              <w:t>Other hotel revenue</w:t>
            </w: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7,158</w:t>
            </w:r>
          </w:p>
        </w:tc>
        <w:tc>
          <w:tcPr>
            <w:tcW w:w="2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5,699</w:t>
            </w:r>
          </w:p>
        </w:tc>
        <w:tc>
          <w:tcPr>
            <w:tcW w:w="2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25.6 %</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18,722</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16,099</w:t>
            </w:r>
          </w:p>
        </w:tc>
        <w:tc>
          <w:tcPr>
            <w:tcW w:w="24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16.3 %</w:t>
            </w:r>
          </w:p>
        </w:tc>
        <w:tc>
          <w:tcPr>
            <w:tcW w:w="0" w:type="dxa"/>
            <w:vAlign w:val="bottom"/>
          </w:tcPr>
          <w:p>
            <w:pPr>
              <w:spacing w:after="0"/>
              <w:rPr>
                <w:sz w:val="1"/>
                <w:szCs w:val="1"/>
                <w:color w:val="auto"/>
              </w:rPr>
            </w:pPr>
          </w:p>
        </w:tc>
      </w:tr>
      <w:tr>
        <w:trPr>
          <w:trHeight w:val="210"/>
        </w:trPr>
        <w:tc>
          <w:tcPr>
            <w:tcW w:w="298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revenue</w:t>
            </w:r>
          </w:p>
        </w:tc>
        <w:tc>
          <w:tcPr>
            <w:tcW w:w="7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62,826</w:t>
            </w:r>
          </w:p>
        </w:tc>
        <w:tc>
          <w:tcPr>
            <w:tcW w:w="2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50,166</w:t>
            </w:r>
          </w:p>
        </w:tc>
        <w:tc>
          <w:tcPr>
            <w:tcW w:w="24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25.2 %</w:t>
            </w:r>
          </w:p>
        </w:tc>
        <w:tc>
          <w:tcPr>
            <w:tcW w:w="1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179,794</w:t>
            </w:r>
          </w:p>
        </w:tc>
        <w:tc>
          <w:tcPr>
            <w:tcW w:w="2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159,683</w:t>
            </w:r>
          </w:p>
        </w:tc>
        <w:tc>
          <w:tcPr>
            <w:tcW w:w="24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12.6 %</w:t>
            </w:r>
          </w:p>
        </w:tc>
        <w:tc>
          <w:tcPr>
            <w:tcW w:w="0" w:type="dxa"/>
            <w:vAlign w:val="bottom"/>
          </w:tcPr>
          <w:p>
            <w:pPr>
              <w:spacing w:after="0"/>
              <w:rPr>
                <w:sz w:val="1"/>
                <w:szCs w:val="1"/>
                <w:color w:val="auto"/>
              </w:rPr>
            </w:pPr>
          </w:p>
        </w:tc>
      </w:tr>
      <w:tr>
        <w:trPr>
          <w:trHeight w:val="216"/>
        </w:trPr>
        <w:tc>
          <w:tcPr>
            <w:tcW w:w="2980" w:type="dxa"/>
            <w:vAlign w:val="bottom"/>
          </w:tcPr>
          <w:p>
            <w:pPr>
              <w:spacing w:after="0"/>
              <w:rPr>
                <w:sz w:val="20"/>
                <w:szCs w:val="20"/>
                <w:color w:val="auto"/>
              </w:rPr>
            </w:pPr>
            <w:r>
              <w:rPr>
                <w:rFonts w:ascii="Arial" w:cs="Arial" w:eastAsia="Arial" w:hAnsi="Arial"/>
                <w:sz w:val="18"/>
                <w:szCs w:val="18"/>
                <w:color w:val="auto"/>
              </w:rPr>
              <w:t>Operating expenses:</w:t>
            </w: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Rooms</w:t>
            </w: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5,076</w:t>
            </w: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4,212</w:t>
            </w:r>
          </w:p>
        </w:tc>
        <w:tc>
          <w:tcPr>
            <w:tcW w:w="2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20.5 %</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13,999</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12,792</w:t>
            </w:r>
          </w:p>
        </w:tc>
        <w:tc>
          <w:tcPr>
            <w:tcW w:w="2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9.4 %</w:t>
            </w:r>
          </w:p>
        </w:tc>
        <w:tc>
          <w:tcPr>
            <w:tcW w:w="0" w:type="dxa"/>
            <w:vAlign w:val="bottom"/>
          </w:tcPr>
          <w:p>
            <w:pPr>
              <w:spacing w:after="0"/>
              <w:rPr>
                <w:sz w:val="1"/>
                <w:szCs w:val="1"/>
                <w:color w:val="auto"/>
              </w:rPr>
            </w:pPr>
          </w:p>
        </w:tc>
      </w:tr>
      <w:tr>
        <w:trPr>
          <w:trHeight w:val="216"/>
        </w:trPr>
        <w:tc>
          <w:tcPr>
            <w:tcW w:w="2980" w:type="dxa"/>
            <w:vAlign w:val="bottom"/>
          </w:tcPr>
          <w:p>
            <w:pPr>
              <w:ind w:left="120"/>
              <w:spacing w:after="0"/>
              <w:rPr>
                <w:sz w:val="20"/>
                <w:szCs w:val="20"/>
                <w:color w:val="auto"/>
              </w:rPr>
            </w:pPr>
            <w:r>
              <w:rPr>
                <w:rFonts w:ascii="Arial" w:cs="Arial" w:eastAsia="Arial" w:hAnsi="Arial"/>
                <w:sz w:val="18"/>
                <w:szCs w:val="18"/>
                <w:color w:val="auto"/>
              </w:rPr>
              <w:t>Food and beverage</w:t>
            </w: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4"/>
              </w:rPr>
              <w:t>16,089</w:t>
            </w:r>
          </w:p>
        </w:tc>
        <w:tc>
          <w:tcPr>
            <w:tcW w:w="2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14,141</w:t>
            </w:r>
          </w:p>
        </w:tc>
        <w:tc>
          <w:tcPr>
            <w:tcW w:w="2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13.8 %</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47,391</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44,151</w:t>
            </w:r>
          </w:p>
        </w:tc>
        <w:tc>
          <w:tcPr>
            <w:tcW w:w="24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7.3 %</w:t>
            </w:r>
          </w:p>
        </w:tc>
        <w:tc>
          <w:tcPr>
            <w:tcW w:w="0" w:type="dxa"/>
            <w:vAlign w:val="bottom"/>
          </w:tcPr>
          <w:p>
            <w:pPr>
              <w:spacing w:after="0"/>
              <w:rPr>
                <w:sz w:val="1"/>
                <w:szCs w:val="1"/>
                <w:color w:val="auto"/>
              </w:rPr>
            </w:pPr>
          </w:p>
        </w:tc>
      </w:tr>
      <w:tr>
        <w:trPr>
          <w:trHeight w:val="216"/>
        </w:trPr>
        <w:tc>
          <w:tcPr>
            <w:tcW w:w="29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 hotel expenses</w:t>
            </w: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16,502</w:t>
            </w: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15,286</w:t>
            </w:r>
          </w:p>
        </w:tc>
        <w:tc>
          <w:tcPr>
            <w:tcW w:w="2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8.0 %</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47,360</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44,959</w:t>
            </w:r>
          </w:p>
        </w:tc>
        <w:tc>
          <w:tcPr>
            <w:tcW w:w="2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5.3 %</w:t>
            </w:r>
          </w:p>
        </w:tc>
        <w:tc>
          <w:tcPr>
            <w:tcW w:w="0" w:type="dxa"/>
            <w:vAlign w:val="bottom"/>
          </w:tcPr>
          <w:p>
            <w:pPr>
              <w:spacing w:after="0"/>
              <w:rPr>
                <w:sz w:val="1"/>
                <w:szCs w:val="1"/>
                <w:color w:val="auto"/>
              </w:rPr>
            </w:pPr>
          </w:p>
        </w:tc>
      </w:tr>
      <w:tr>
        <w:trPr>
          <w:trHeight w:val="216"/>
        </w:trPr>
        <w:tc>
          <w:tcPr>
            <w:tcW w:w="2980" w:type="dxa"/>
            <w:vAlign w:val="bottom"/>
          </w:tcPr>
          <w:p>
            <w:pPr>
              <w:ind w:left="120"/>
              <w:spacing w:after="0"/>
              <w:rPr>
                <w:sz w:val="20"/>
                <w:szCs w:val="20"/>
                <w:color w:val="auto"/>
              </w:rPr>
            </w:pPr>
            <w:r>
              <w:rPr>
                <w:rFonts w:ascii="Arial" w:cs="Arial" w:eastAsia="Arial" w:hAnsi="Arial"/>
                <w:sz w:val="18"/>
                <w:szCs w:val="18"/>
                <w:color w:val="auto"/>
              </w:rPr>
              <w:t>Management fees, net</w:t>
            </w: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1,562</w:t>
            </w:r>
          </w:p>
        </w:tc>
        <w:tc>
          <w:tcPr>
            <w:tcW w:w="2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951</w:t>
            </w:r>
          </w:p>
        </w:tc>
        <w:tc>
          <w:tcPr>
            <w:tcW w:w="2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64.2 %</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5,335</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3,434</w:t>
            </w:r>
          </w:p>
        </w:tc>
        <w:tc>
          <w:tcPr>
            <w:tcW w:w="24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55.4 %</w:t>
            </w:r>
          </w:p>
        </w:tc>
        <w:tc>
          <w:tcPr>
            <w:tcW w:w="0" w:type="dxa"/>
            <w:vAlign w:val="bottom"/>
          </w:tcPr>
          <w:p>
            <w:pPr>
              <w:spacing w:after="0"/>
              <w:rPr>
                <w:sz w:val="1"/>
                <w:szCs w:val="1"/>
                <w:color w:val="auto"/>
              </w:rPr>
            </w:pPr>
          </w:p>
        </w:tc>
      </w:tr>
      <w:tr>
        <w:trPr>
          <w:trHeight w:val="216"/>
        </w:trPr>
        <w:tc>
          <w:tcPr>
            <w:tcW w:w="29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Depreciation and amortization</w:t>
            </w: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6,581</w:t>
            </w: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5,175</w:t>
            </w:r>
          </w:p>
        </w:tc>
        <w:tc>
          <w:tcPr>
            <w:tcW w:w="2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27.2 %</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17,749</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15,425</w:t>
            </w:r>
          </w:p>
        </w:tc>
        <w:tc>
          <w:tcPr>
            <w:tcW w:w="2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15.1 %</w:t>
            </w:r>
          </w:p>
        </w:tc>
        <w:tc>
          <w:tcPr>
            <w:tcW w:w="0" w:type="dxa"/>
            <w:vAlign w:val="bottom"/>
          </w:tcPr>
          <w:p>
            <w:pPr>
              <w:spacing w:after="0"/>
              <w:rPr>
                <w:sz w:val="1"/>
                <w:szCs w:val="1"/>
                <w:color w:val="auto"/>
              </w:rPr>
            </w:pPr>
          </w:p>
        </w:tc>
      </w:tr>
      <w:tr>
        <w:trPr>
          <w:trHeight w:val="210"/>
        </w:trPr>
        <w:tc>
          <w:tcPr>
            <w:tcW w:w="2980" w:type="dxa"/>
            <w:vAlign w:val="bottom"/>
          </w:tcPr>
          <w:p>
            <w:pPr>
              <w:ind w:left="220"/>
              <w:spacing w:after="0"/>
              <w:rPr>
                <w:sz w:val="20"/>
                <w:szCs w:val="20"/>
                <w:color w:val="auto"/>
              </w:rPr>
            </w:pPr>
            <w:r>
              <w:rPr>
                <w:rFonts w:ascii="Arial" w:cs="Arial" w:eastAsia="Arial" w:hAnsi="Arial"/>
                <w:sz w:val="18"/>
                <w:szCs w:val="18"/>
                <w:color w:val="auto"/>
              </w:rPr>
              <w:t>Total operating expenses</w:t>
            </w:r>
          </w:p>
        </w:tc>
        <w:tc>
          <w:tcPr>
            <w:tcW w:w="7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45,810</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39,765</w:t>
            </w:r>
          </w:p>
        </w:tc>
        <w:tc>
          <w:tcPr>
            <w:tcW w:w="2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15.2 %</w:t>
            </w:r>
          </w:p>
        </w:tc>
        <w:tc>
          <w:tcPr>
            <w:tcW w:w="1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131,834</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120,761</w:t>
            </w:r>
          </w:p>
        </w:tc>
        <w:tc>
          <w:tcPr>
            <w:tcW w:w="24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9.2 %</w:t>
            </w:r>
          </w:p>
        </w:tc>
        <w:tc>
          <w:tcPr>
            <w:tcW w:w="0" w:type="dxa"/>
            <w:vAlign w:val="bottom"/>
          </w:tcPr>
          <w:p>
            <w:pPr>
              <w:spacing w:after="0"/>
              <w:rPr>
                <w:sz w:val="1"/>
                <w:szCs w:val="1"/>
                <w:color w:val="auto"/>
              </w:rPr>
            </w:pPr>
          </w:p>
        </w:tc>
      </w:tr>
      <w:tr>
        <w:trPr>
          <w:trHeight w:val="216"/>
        </w:trPr>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Performance metrics:</w:t>
            </w: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80" w:type="dxa"/>
            <w:vAlign w:val="bottom"/>
          </w:tcPr>
          <w:p>
            <w:pPr>
              <w:ind w:left="120"/>
              <w:spacing w:after="0"/>
              <w:rPr>
                <w:sz w:val="20"/>
                <w:szCs w:val="20"/>
                <w:color w:val="auto"/>
              </w:rPr>
            </w:pPr>
            <w:r>
              <w:rPr>
                <w:rFonts w:ascii="Arial" w:cs="Arial" w:eastAsia="Arial" w:hAnsi="Arial"/>
                <w:sz w:val="18"/>
                <w:szCs w:val="18"/>
                <w:color w:val="auto"/>
              </w:rPr>
              <w:t>Occupancy</w:t>
            </w: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76.2 %</w:t>
            </w:r>
          </w:p>
        </w:tc>
        <w:tc>
          <w:tcPr>
            <w:tcW w:w="1000" w:type="dxa"/>
            <w:vAlign w:val="bottom"/>
            <w:gridSpan w:val="3"/>
          </w:tcPr>
          <w:p>
            <w:pPr>
              <w:jc w:val="right"/>
              <w:ind w:right="80"/>
              <w:spacing w:after="0"/>
              <w:rPr>
                <w:sz w:val="20"/>
                <w:szCs w:val="20"/>
                <w:color w:val="auto"/>
              </w:rPr>
            </w:pPr>
            <w:r>
              <w:rPr>
                <w:rFonts w:ascii="Arial" w:cs="Arial" w:eastAsia="Arial" w:hAnsi="Arial"/>
                <w:sz w:val="18"/>
                <w:szCs w:val="18"/>
                <w:color w:val="auto"/>
              </w:rPr>
              <w:t>75.0 %</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1.6 %</w:t>
            </w:r>
          </w:p>
        </w:tc>
        <w:tc>
          <w:tcPr>
            <w:tcW w:w="12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75.2 %</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75.7 %</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16"/>
        </w:trPr>
        <w:tc>
          <w:tcPr>
            <w:tcW w:w="29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ADR</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184.45</w:t>
            </w: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$ 183.90</w:t>
            </w:r>
          </w:p>
        </w:tc>
        <w:tc>
          <w:tcPr>
            <w:tcW w:w="24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0.3 % $</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190.99</w:t>
            </w:r>
          </w:p>
        </w:tc>
        <w:tc>
          <w:tcPr>
            <w:tcW w:w="2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187.80</w:t>
            </w:r>
          </w:p>
        </w:tc>
        <w:tc>
          <w:tcPr>
            <w:tcW w:w="2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1.7 %</w:t>
            </w:r>
          </w:p>
        </w:tc>
        <w:tc>
          <w:tcPr>
            <w:tcW w:w="0" w:type="dxa"/>
            <w:vAlign w:val="bottom"/>
          </w:tcPr>
          <w:p>
            <w:pPr>
              <w:spacing w:after="0"/>
              <w:rPr>
                <w:sz w:val="1"/>
                <w:szCs w:val="1"/>
                <w:color w:val="auto"/>
              </w:rPr>
            </w:pPr>
          </w:p>
        </w:tc>
      </w:tr>
      <w:tr>
        <w:trPr>
          <w:trHeight w:val="216"/>
        </w:trPr>
        <w:tc>
          <w:tcPr>
            <w:tcW w:w="2980" w:type="dxa"/>
            <w:vAlign w:val="bottom"/>
          </w:tcPr>
          <w:p>
            <w:pPr>
              <w:ind w:left="120"/>
              <w:spacing w:after="0"/>
              <w:rPr>
                <w:sz w:val="20"/>
                <w:szCs w:val="20"/>
                <w:color w:val="auto"/>
              </w:rPr>
            </w:pPr>
            <w:r>
              <w:rPr>
                <w:rFonts w:ascii="Arial" w:cs="Arial" w:eastAsia="Arial" w:hAnsi="Arial"/>
                <w:sz w:val="18"/>
                <w:szCs w:val="18"/>
                <w:color w:val="auto"/>
              </w:rPr>
              <w:t>RevPAR</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4"/>
              </w:rPr>
              <w:t>140.59</w:t>
            </w:r>
          </w:p>
        </w:tc>
        <w:tc>
          <w:tcPr>
            <w:tcW w:w="2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w w:val="99"/>
              </w:rPr>
              <w:t>$ 137.96</w:t>
            </w:r>
          </w:p>
        </w:tc>
        <w:tc>
          <w:tcPr>
            <w:tcW w:w="240" w:type="dxa"/>
            <w:vAlign w:val="bottom"/>
          </w:tcPr>
          <w:p>
            <w:pPr>
              <w:spacing w:after="0"/>
              <w:rPr>
                <w:sz w:val="18"/>
                <w:szCs w:val="18"/>
                <w:color w:val="auto"/>
              </w:rPr>
            </w:pPr>
          </w:p>
        </w:tc>
        <w:tc>
          <w:tcPr>
            <w:tcW w:w="860" w:type="dxa"/>
            <w:vAlign w:val="bottom"/>
            <w:gridSpan w:val="3"/>
          </w:tcPr>
          <w:p>
            <w:pPr>
              <w:jc w:val="right"/>
              <w:ind w:right="40"/>
              <w:spacing w:after="0"/>
              <w:rPr>
                <w:sz w:val="20"/>
                <w:szCs w:val="20"/>
                <w:color w:val="auto"/>
              </w:rPr>
            </w:pPr>
            <w:r>
              <w:rPr>
                <w:rFonts w:ascii="Arial" w:cs="Arial" w:eastAsia="Arial" w:hAnsi="Arial"/>
                <w:sz w:val="18"/>
                <w:szCs w:val="18"/>
                <w:color w:val="auto"/>
              </w:rPr>
              <w:t>1.9 % $</w:t>
            </w:r>
          </w:p>
        </w:tc>
        <w:tc>
          <w:tcPr>
            <w:tcW w:w="680" w:type="dxa"/>
            <w:vAlign w:val="bottom"/>
          </w:tcPr>
          <w:p>
            <w:pPr>
              <w:jc w:val="right"/>
              <w:spacing w:after="0"/>
              <w:rPr>
                <w:sz w:val="20"/>
                <w:szCs w:val="20"/>
                <w:color w:val="auto"/>
              </w:rPr>
            </w:pPr>
            <w:r>
              <w:rPr>
                <w:rFonts w:ascii="Arial" w:cs="Arial" w:eastAsia="Arial" w:hAnsi="Arial"/>
                <w:sz w:val="18"/>
                <w:szCs w:val="18"/>
                <w:color w:val="auto"/>
              </w:rPr>
              <w:t>143.68</w:t>
            </w:r>
          </w:p>
        </w:tc>
        <w:tc>
          <w:tcPr>
            <w:tcW w:w="200" w:type="dxa"/>
            <w:vAlign w:val="bottom"/>
          </w:tcPr>
          <w:p>
            <w:pPr>
              <w:spacing w:after="0"/>
              <w:rPr>
                <w:sz w:val="18"/>
                <w:szCs w:val="18"/>
                <w:color w:val="auto"/>
              </w:rPr>
            </w:pPr>
          </w:p>
        </w:tc>
        <w:tc>
          <w:tcPr>
            <w:tcW w:w="16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142.26</w:t>
            </w:r>
          </w:p>
        </w:tc>
        <w:tc>
          <w:tcPr>
            <w:tcW w:w="24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1.0 %</w:t>
            </w:r>
          </w:p>
        </w:tc>
        <w:tc>
          <w:tcPr>
            <w:tcW w:w="0" w:type="dxa"/>
            <w:vAlign w:val="bottom"/>
          </w:tcPr>
          <w:p>
            <w:pPr>
              <w:spacing w:after="0"/>
              <w:rPr>
                <w:sz w:val="1"/>
                <w:szCs w:val="1"/>
                <w:color w:val="auto"/>
              </w:rPr>
            </w:pPr>
          </w:p>
        </w:tc>
      </w:tr>
      <w:tr>
        <w:trPr>
          <w:trHeight w:val="216"/>
        </w:trPr>
        <w:tc>
          <w:tcPr>
            <w:tcW w:w="29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 RevPAR</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376.45</w:t>
            </w: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$ 360.87</w:t>
            </w:r>
          </w:p>
        </w:tc>
        <w:tc>
          <w:tcPr>
            <w:tcW w:w="24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4.3 % $</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395.63</w:t>
            </w:r>
          </w:p>
        </w:tc>
        <w:tc>
          <w:tcPr>
            <w:tcW w:w="2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387.11</w:t>
            </w:r>
          </w:p>
        </w:tc>
        <w:tc>
          <w:tcPr>
            <w:tcW w:w="2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2.2 %</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40"/>
        <w:spacing w:after="0" w:line="255" w:lineRule="auto"/>
        <w:rPr>
          <w:sz w:val="20"/>
          <w:szCs w:val="20"/>
          <w:color w:val="auto"/>
        </w:rPr>
      </w:pPr>
      <w:r>
        <w:rPr>
          <w:rFonts w:ascii="Arial" w:cs="Arial" w:eastAsia="Arial" w:hAnsi="Arial"/>
          <w:sz w:val="18"/>
          <w:szCs w:val="18"/>
          <w:color w:val="auto"/>
        </w:rPr>
        <w:t>Rooms revenue and RevPAR increased at Gaylord Texan during the three months and nine months ended September 30, 2018, as compared to the same periods in 2017, due primarily to an increase in ADR for group business and an increase in group occupancy. The 2018 periods were also positively impacted by additional room availability from the recently completed rooms expansion, as well as the absence of hurricane-related impacts that occurred in the prior year. Rooms expenses increased during the 2018 periods, as compared to the 2017 periods, primarily due to an increase in group commissions.</w:t>
      </w:r>
    </w:p>
    <w:p>
      <w:pPr>
        <w:spacing w:after="0" w:line="166"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Food and beverage revenue increased at Gaylord Texan during the three months and nine months ended September 30, 2018, as compared to the same periods in 2017, due to an increase in catering revenue. Food and beverage expenses increased in the 2018 periods, as compared to the 2017 periods, primarily due to the increase in variable costs associated with the increase in revenue, partially offset by improved food and labor margins.</w:t>
      </w:r>
    </w:p>
    <w:p>
      <w:pPr>
        <w:spacing w:after="0" w:line="13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Other hotel revenue at Gaylord Texan increased during the three months and nine months ended September 30, 2018, as compared to the same periods in 2017, primarily as a result of increased ancillary revenue, such as parking and resort fees associated with the increase in total room nights sold. Other hotel expenses increased in the 2018 periods, as compared to the 2017 periods, due primarily to increased property tax and marketing expenses associated with the recent rooms and meeting space expansion.</w:t>
      </w:r>
    </w:p>
    <w:p>
      <w:pPr>
        <w:spacing w:after="0" w:line="148"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Depreciation and amortization increased at Gaylord Texan during the three months and nine months ended September 30, 2018, as compared to the 2017 periods, primarily as a result of the recent rooms and meeting space expansion that resulted in increased depreciable asset levels.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6" w:name="page37"/>
    <w:bookmarkEnd w:id="3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i w:val="1"/>
          <w:iCs w:val="1"/>
          <w:color w:val="auto"/>
        </w:rPr>
        <w:t xml:space="preserve">Gaylord National Results. </w:t>
      </w:r>
      <w:r>
        <w:rPr>
          <w:rFonts w:ascii="Arial" w:cs="Arial" w:eastAsia="Arial" w:hAnsi="Arial"/>
          <w:sz w:val="18"/>
          <w:szCs w:val="18"/>
          <w:color w:val="auto"/>
        </w:rPr>
        <w:t>The results of Gaylord National for the three months and nine months ended September 30, 2018</w:t>
      </w:r>
      <w:r>
        <w:rPr>
          <w:rFonts w:ascii="Arial" w:cs="Arial" w:eastAsia="Arial" w:hAnsi="Arial"/>
          <w:sz w:val="18"/>
          <w:szCs w:val="18"/>
          <w:i w:val="1"/>
          <w:iCs w:val="1"/>
          <w:color w:val="auto"/>
        </w:rPr>
        <w:t xml:space="preserve"> </w:t>
      </w:r>
      <w:r>
        <w:rPr>
          <w:rFonts w:ascii="Arial" w:cs="Arial" w:eastAsia="Arial" w:hAnsi="Arial"/>
          <w:sz w:val="18"/>
          <w:szCs w:val="18"/>
          <w:color w:val="auto"/>
        </w:rPr>
        <w:t>and 2017 are as follows (in thousands, except percentages and performance metrics):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80" w:type="dxa"/>
            <w:vAlign w:val="bottom"/>
            <w:gridSpan w:val="5"/>
          </w:tcPr>
          <w:p>
            <w:pPr>
              <w:jc w:val="right"/>
              <w:ind w:right="60"/>
              <w:spacing w:after="0"/>
              <w:rPr>
                <w:sz w:val="20"/>
                <w:szCs w:val="20"/>
                <w:color w:val="auto"/>
              </w:rPr>
            </w:pPr>
            <w:r>
              <w:rPr>
                <w:rFonts w:ascii="Arial" w:cs="Arial" w:eastAsia="Arial" w:hAnsi="Arial"/>
                <w:sz w:val="14"/>
                <w:szCs w:val="14"/>
                <w:b w:val="1"/>
                <w:bCs w:val="1"/>
                <w:color w:val="auto"/>
              </w:rPr>
              <w:t>Three Months Ended</w:t>
            </w: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60" w:type="dxa"/>
            <w:vAlign w:val="bottom"/>
            <w:gridSpan w:val="6"/>
          </w:tcPr>
          <w:p>
            <w:pPr>
              <w:jc w:val="right"/>
              <w:ind w:right="180"/>
              <w:spacing w:after="0"/>
              <w:rPr>
                <w:sz w:val="20"/>
                <w:szCs w:val="20"/>
                <w:color w:val="auto"/>
              </w:rPr>
            </w:pPr>
            <w:r>
              <w:rPr>
                <w:rFonts w:ascii="Arial" w:cs="Arial" w:eastAsia="Arial" w:hAnsi="Arial"/>
                <w:sz w:val="14"/>
                <w:szCs w:val="14"/>
                <w:b w:val="1"/>
                <w:bCs w:val="1"/>
                <w:color w:val="auto"/>
              </w:rPr>
              <w:t>Nine Months Ended</w:t>
            </w: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9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4"/>
          </w:tcPr>
          <w:p>
            <w:pPr>
              <w:jc w:val="right"/>
              <w:ind w:right="300"/>
              <w:spacing w:after="0"/>
              <w:rPr>
                <w:sz w:val="20"/>
                <w:szCs w:val="20"/>
                <w:color w:val="auto"/>
              </w:rPr>
            </w:pPr>
            <w:r>
              <w:rPr>
                <w:rFonts w:ascii="Arial" w:cs="Arial" w:eastAsia="Arial" w:hAnsi="Arial"/>
                <w:sz w:val="14"/>
                <w:szCs w:val="14"/>
                <w:b w:val="1"/>
                <w:bCs w:val="1"/>
                <w:color w:val="auto"/>
                <w:w w:val="91"/>
              </w:rPr>
              <w:t>September 30,</w:t>
            </w:r>
          </w:p>
        </w:tc>
        <w:tc>
          <w:tcPr>
            <w:tcW w:w="50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5"/>
          </w:tcPr>
          <w:p>
            <w:pPr>
              <w:jc w:val="right"/>
              <w:ind w:right="380"/>
              <w:spacing w:after="0"/>
              <w:rPr>
                <w:sz w:val="20"/>
                <w:szCs w:val="20"/>
                <w:color w:val="auto"/>
              </w:rPr>
            </w:pPr>
            <w:r>
              <w:rPr>
                <w:rFonts w:ascii="Arial" w:cs="Arial" w:eastAsia="Arial" w:hAnsi="Arial"/>
                <w:sz w:val="14"/>
                <w:szCs w:val="14"/>
                <w:b w:val="1"/>
                <w:bCs w:val="1"/>
                <w:color w:val="auto"/>
                <w:w w:val="91"/>
              </w:rPr>
              <w:t>September 30,</w:t>
            </w:r>
          </w:p>
        </w:tc>
        <w:tc>
          <w:tcPr>
            <w:tcW w:w="4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9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vMerge w:val="restart"/>
          </w:tcPr>
          <w:p>
            <w:pPr>
              <w:jc w:val="right"/>
              <w:ind w:right="132"/>
              <w:spacing w:after="0"/>
              <w:rPr>
                <w:sz w:val="20"/>
                <w:szCs w:val="20"/>
                <w:color w:val="auto"/>
              </w:rPr>
            </w:pPr>
            <w:r>
              <w:rPr>
                <w:rFonts w:ascii="Arial" w:cs="Arial" w:eastAsia="Arial" w:hAnsi="Arial"/>
                <w:sz w:val="14"/>
                <w:szCs w:val="14"/>
                <w:b w:val="1"/>
                <w:bCs w:val="1"/>
                <w:color w:val="auto"/>
              </w:rPr>
              <w:t>2018</w:t>
            </w:r>
          </w:p>
        </w:tc>
        <w:tc>
          <w:tcPr>
            <w:tcW w:w="200" w:type="dxa"/>
            <w:vAlign w:val="bottom"/>
          </w:tcPr>
          <w:p>
            <w:pPr>
              <w:spacing w:after="0"/>
              <w:rPr>
                <w:sz w:val="10"/>
                <w:szCs w:val="10"/>
                <w:color w:val="auto"/>
              </w:rPr>
            </w:pPr>
          </w:p>
        </w:tc>
        <w:tc>
          <w:tcPr>
            <w:tcW w:w="760" w:type="dxa"/>
            <w:vAlign w:val="bottom"/>
            <w:gridSpan w:val="2"/>
            <w:vMerge w:val="restart"/>
          </w:tcPr>
          <w:p>
            <w:pPr>
              <w:jc w:val="right"/>
              <w:ind w:right="110"/>
              <w:spacing w:after="0"/>
              <w:rPr>
                <w:sz w:val="20"/>
                <w:szCs w:val="20"/>
                <w:color w:val="auto"/>
              </w:rPr>
            </w:pPr>
            <w:r>
              <w:rPr>
                <w:rFonts w:ascii="Arial" w:cs="Arial" w:eastAsia="Arial" w:hAnsi="Arial"/>
                <w:sz w:val="14"/>
                <w:szCs w:val="14"/>
                <w:b w:val="1"/>
                <w:bCs w:val="1"/>
                <w:color w:val="auto"/>
              </w:rPr>
              <w:t>2017</w:t>
            </w:r>
          </w:p>
        </w:tc>
        <w:tc>
          <w:tcPr>
            <w:tcW w:w="240" w:type="dxa"/>
            <w:vAlign w:val="bottom"/>
          </w:tcPr>
          <w:p>
            <w:pPr>
              <w:spacing w:after="0"/>
              <w:rPr>
                <w:sz w:val="10"/>
                <w:szCs w:val="10"/>
                <w:color w:val="auto"/>
              </w:rPr>
            </w:pPr>
          </w:p>
        </w:tc>
        <w:tc>
          <w:tcPr>
            <w:tcW w:w="500" w:type="dxa"/>
            <w:vAlign w:val="bottom"/>
          </w:tcPr>
          <w:p>
            <w:pPr>
              <w:jc w:val="right"/>
              <w:ind w:right="93"/>
              <w:spacing w:after="0" w:line="119" w:lineRule="exact"/>
              <w:rPr>
                <w:sz w:val="20"/>
                <w:szCs w:val="20"/>
                <w:color w:val="auto"/>
              </w:rPr>
            </w:pPr>
            <w:r>
              <w:rPr>
                <w:rFonts w:ascii="Arial" w:cs="Arial" w:eastAsia="Arial" w:hAnsi="Arial"/>
                <w:sz w:val="13"/>
                <w:szCs w:val="13"/>
                <w:b w:val="1"/>
                <w:bCs w:val="1"/>
                <w:color w:val="auto"/>
              </w:rPr>
              <w:t>%</w:t>
            </w: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vMerge w:val="restart"/>
          </w:tcPr>
          <w:p>
            <w:pPr>
              <w:jc w:val="right"/>
              <w:ind w:right="172"/>
              <w:spacing w:after="0"/>
              <w:rPr>
                <w:sz w:val="20"/>
                <w:szCs w:val="20"/>
                <w:color w:val="auto"/>
              </w:rPr>
            </w:pPr>
            <w:r>
              <w:rPr>
                <w:rFonts w:ascii="Arial" w:cs="Arial" w:eastAsia="Arial" w:hAnsi="Arial"/>
                <w:sz w:val="14"/>
                <w:szCs w:val="14"/>
                <w:b w:val="1"/>
                <w:bCs w:val="1"/>
                <w:color w:val="auto"/>
              </w:rPr>
              <w:t>2018</w:t>
            </w: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vMerge w:val="restart"/>
          </w:tcPr>
          <w:p>
            <w:pPr>
              <w:jc w:val="right"/>
              <w:ind w:right="171"/>
              <w:spacing w:after="0"/>
              <w:rPr>
                <w:sz w:val="20"/>
                <w:szCs w:val="20"/>
                <w:color w:val="auto"/>
              </w:rPr>
            </w:pPr>
            <w:r>
              <w:rPr>
                <w:rFonts w:ascii="Arial" w:cs="Arial" w:eastAsia="Arial" w:hAnsi="Arial"/>
                <w:sz w:val="14"/>
                <w:szCs w:val="14"/>
                <w:b w:val="1"/>
                <w:bCs w:val="1"/>
                <w:color w:val="auto"/>
              </w:rPr>
              <w:t>2017</w:t>
            </w:r>
          </w:p>
        </w:tc>
        <w:tc>
          <w:tcPr>
            <w:tcW w:w="240" w:type="dxa"/>
            <w:vAlign w:val="bottom"/>
          </w:tcPr>
          <w:p>
            <w:pPr>
              <w:spacing w:after="0"/>
              <w:rPr>
                <w:sz w:val="10"/>
                <w:szCs w:val="10"/>
                <w:color w:val="auto"/>
              </w:rPr>
            </w:pPr>
          </w:p>
        </w:tc>
        <w:tc>
          <w:tcPr>
            <w:tcW w:w="480" w:type="dxa"/>
            <w:vAlign w:val="bottom"/>
          </w:tcPr>
          <w:p>
            <w:pPr>
              <w:jc w:val="right"/>
              <w:ind w:right="73"/>
              <w:spacing w:after="0" w:line="119" w:lineRule="exact"/>
              <w:rPr>
                <w:sz w:val="20"/>
                <w:szCs w:val="20"/>
                <w:color w:val="auto"/>
              </w:rPr>
            </w:pPr>
            <w:r>
              <w:rPr>
                <w:rFonts w:ascii="Arial" w:cs="Arial" w:eastAsia="Arial" w:hAnsi="Arial"/>
                <w:sz w:val="13"/>
                <w:szCs w:val="13"/>
                <w:b w:val="1"/>
                <w:bCs w:val="1"/>
                <w:color w:val="auto"/>
              </w:rPr>
              <w:t>%</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9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Change</w:t>
            </w:r>
          </w:p>
        </w:tc>
        <w:tc>
          <w:tcPr>
            <w:tcW w:w="12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3"/>
              </w:rPr>
              <w:t>Change</w:t>
            </w:r>
          </w:p>
        </w:tc>
        <w:tc>
          <w:tcPr>
            <w:tcW w:w="0" w:type="dxa"/>
            <w:vAlign w:val="bottom"/>
          </w:tcPr>
          <w:p>
            <w:pPr>
              <w:spacing w:after="0"/>
              <w:rPr>
                <w:sz w:val="1"/>
                <w:szCs w:val="1"/>
                <w:color w:val="auto"/>
              </w:rPr>
            </w:pPr>
          </w:p>
        </w:tc>
      </w:tr>
      <w:tr>
        <w:trPr>
          <w:trHeight w:val="210"/>
        </w:trPr>
        <w:tc>
          <w:tcPr>
            <w:tcW w:w="2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Revenues:</w:t>
            </w:r>
          </w:p>
        </w:tc>
        <w:tc>
          <w:tcPr>
            <w:tcW w:w="7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80" w:type="dxa"/>
            <w:vAlign w:val="bottom"/>
          </w:tcPr>
          <w:p>
            <w:pPr>
              <w:ind w:left="120"/>
              <w:spacing w:after="0"/>
              <w:rPr>
                <w:sz w:val="20"/>
                <w:szCs w:val="20"/>
                <w:color w:val="auto"/>
              </w:rPr>
            </w:pPr>
            <w:r>
              <w:rPr>
                <w:rFonts w:ascii="Arial" w:cs="Arial" w:eastAsia="Arial" w:hAnsi="Arial"/>
                <w:sz w:val="18"/>
                <w:szCs w:val="18"/>
                <w:color w:val="auto"/>
              </w:rPr>
              <w:t>Rooms</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4"/>
              </w:rPr>
              <w:t>24,489</w:t>
            </w:r>
          </w:p>
        </w:tc>
        <w:tc>
          <w:tcPr>
            <w:tcW w:w="2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w w:val="99"/>
              </w:rPr>
              <w:t>$ 25,181</w:t>
            </w:r>
          </w:p>
        </w:tc>
        <w:tc>
          <w:tcPr>
            <w:tcW w:w="2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(2.7)%</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82,097</w:t>
            </w:r>
          </w:p>
        </w:tc>
        <w:tc>
          <w:tcPr>
            <w:tcW w:w="200" w:type="dxa"/>
            <w:vAlign w:val="bottom"/>
          </w:tcPr>
          <w:p>
            <w:pPr>
              <w:spacing w:after="0"/>
              <w:rPr>
                <w:sz w:val="18"/>
                <w:szCs w:val="18"/>
                <w:color w:val="auto"/>
              </w:rPr>
            </w:pPr>
          </w:p>
        </w:tc>
        <w:tc>
          <w:tcPr>
            <w:tcW w:w="16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82,537</w:t>
            </w:r>
          </w:p>
        </w:tc>
        <w:tc>
          <w:tcPr>
            <w:tcW w:w="24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16"/>
        </w:trPr>
        <w:tc>
          <w:tcPr>
            <w:tcW w:w="29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Food and beverage</w:t>
            </w: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30,799</w:t>
            </w: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29,177</w:t>
            </w:r>
          </w:p>
        </w:tc>
        <w:tc>
          <w:tcPr>
            <w:tcW w:w="2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5.6 %</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101,970</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96,776</w:t>
            </w:r>
          </w:p>
        </w:tc>
        <w:tc>
          <w:tcPr>
            <w:tcW w:w="2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5.4 %</w:t>
            </w:r>
          </w:p>
        </w:tc>
        <w:tc>
          <w:tcPr>
            <w:tcW w:w="0" w:type="dxa"/>
            <w:vAlign w:val="bottom"/>
          </w:tcPr>
          <w:p>
            <w:pPr>
              <w:spacing w:after="0"/>
              <w:rPr>
                <w:sz w:val="1"/>
                <w:szCs w:val="1"/>
                <w:color w:val="auto"/>
              </w:rPr>
            </w:pPr>
          </w:p>
        </w:tc>
      </w:tr>
      <w:tr>
        <w:trPr>
          <w:trHeight w:val="216"/>
        </w:trPr>
        <w:tc>
          <w:tcPr>
            <w:tcW w:w="2980" w:type="dxa"/>
            <w:vAlign w:val="bottom"/>
          </w:tcPr>
          <w:p>
            <w:pPr>
              <w:ind w:left="120"/>
              <w:spacing w:after="0"/>
              <w:rPr>
                <w:sz w:val="20"/>
                <w:szCs w:val="20"/>
                <w:color w:val="auto"/>
              </w:rPr>
            </w:pPr>
            <w:r>
              <w:rPr>
                <w:rFonts w:ascii="Arial" w:cs="Arial" w:eastAsia="Arial" w:hAnsi="Arial"/>
                <w:sz w:val="18"/>
                <w:szCs w:val="18"/>
                <w:color w:val="auto"/>
              </w:rPr>
              <w:t>Other hotel revenue</w:t>
            </w: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5,015</w:t>
            </w:r>
          </w:p>
        </w:tc>
        <w:tc>
          <w:tcPr>
            <w:tcW w:w="2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4,578</w:t>
            </w:r>
          </w:p>
        </w:tc>
        <w:tc>
          <w:tcPr>
            <w:tcW w:w="2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9.5 %</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16,679</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16,075</w:t>
            </w:r>
          </w:p>
        </w:tc>
        <w:tc>
          <w:tcPr>
            <w:tcW w:w="24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3.8 %</w:t>
            </w:r>
          </w:p>
        </w:tc>
        <w:tc>
          <w:tcPr>
            <w:tcW w:w="0" w:type="dxa"/>
            <w:vAlign w:val="bottom"/>
          </w:tcPr>
          <w:p>
            <w:pPr>
              <w:spacing w:after="0"/>
              <w:rPr>
                <w:sz w:val="1"/>
                <w:szCs w:val="1"/>
                <w:color w:val="auto"/>
              </w:rPr>
            </w:pPr>
          </w:p>
        </w:tc>
      </w:tr>
      <w:tr>
        <w:trPr>
          <w:trHeight w:val="210"/>
        </w:trPr>
        <w:tc>
          <w:tcPr>
            <w:tcW w:w="298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revenue</w:t>
            </w:r>
          </w:p>
        </w:tc>
        <w:tc>
          <w:tcPr>
            <w:tcW w:w="7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60,303</w:t>
            </w:r>
          </w:p>
        </w:tc>
        <w:tc>
          <w:tcPr>
            <w:tcW w:w="2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58,936</w:t>
            </w:r>
          </w:p>
        </w:tc>
        <w:tc>
          <w:tcPr>
            <w:tcW w:w="24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2.3 %</w:t>
            </w:r>
          </w:p>
        </w:tc>
        <w:tc>
          <w:tcPr>
            <w:tcW w:w="1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200,746</w:t>
            </w:r>
          </w:p>
        </w:tc>
        <w:tc>
          <w:tcPr>
            <w:tcW w:w="2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195,388</w:t>
            </w:r>
          </w:p>
        </w:tc>
        <w:tc>
          <w:tcPr>
            <w:tcW w:w="24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2.7 %</w:t>
            </w:r>
          </w:p>
        </w:tc>
        <w:tc>
          <w:tcPr>
            <w:tcW w:w="0" w:type="dxa"/>
            <w:vAlign w:val="bottom"/>
          </w:tcPr>
          <w:p>
            <w:pPr>
              <w:spacing w:after="0"/>
              <w:rPr>
                <w:sz w:val="1"/>
                <w:szCs w:val="1"/>
                <w:color w:val="auto"/>
              </w:rPr>
            </w:pPr>
          </w:p>
        </w:tc>
      </w:tr>
      <w:tr>
        <w:trPr>
          <w:trHeight w:val="216"/>
        </w:trPr>
        <w:tc>
          <w:tcPr>
            <w:tcW w:w="2980" w:type="dxa"/>
            <w:vAlign w:val="bottom"/>
          </w:tcPr>
          <w:p>
            <w:pPr>
              <w:spacing w:after="0"/>
              <w:rPr>
                <w:sz w:val="20"/>
                <w:szCs w:val="20"/>
                <w:color w:val="auto"/>
              </w:rPr>
            </w:pPr>
            <w:r>
              <w:rPr>
                <w:rFonts w:ascii="Arial" w:cs="Arial" w:eastAsia="Arial" w:hAnsi="Arial"/>
                <w:sz w:val="18"/>
                <w:szCs w:val="18"/>
                <w:color w:val="auto"/>
              </w:rPr>
              <w:t>Operating expenses:</w:t>
            </w: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Rooms</w:t>
            </w: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9,888</w:t>
            </w: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9,617</w:t>
            </w:r>
          </w:p>
        </w:tc>
        <w:tc>
          <w:tcPr>
            <w:tcW w:w="2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2.8 %</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30,564</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29,798</w:t>
            </w:r>
          </w:p>
        </w:tc>
        <w:tc>
          <w:tcPr>
            <w:tcW w:w="2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2.6 %</w:t>
            </w:r>
          </w:p>
        </w:tc>
        <w:tc>
          <w:tcPr>
            <w:tcW w:w="0" w:type="dxa"/>
            <w:vAlign w:val="bottom"/>
          </w:tcPr>
          <w:p>
            <w:pPr>
              <w:spacing w:after="0"/>
              <w:rPr>
                <w:sz w:val="1"/>
                <w:szCs w:val="1"/>
                <w:color w:val="auto"/>
              </w:rPr>
            </w:pPr>
          </w:p>
        </w:tc>
      </w:tr>
      <w:tr>
        <w:trPr>
          <w:trHeight w:val="216"/>
        </w:trPr>
        <w:tc>
          <w:tcPr>
            <w:tcW w:w="2980" w:type="dxa"/>
            <w:vAlign w:val="bottom"/>
          </w:tcPr>
          <w:p>
            <w:pPr>
              <w:ind w:left="120"/>
              <w:spacing w:after="0"/>
              <w:rPr>
                <w:sz w:val="20"/>
                <w:szCs w:val="20"/>
                <w:color w:val="auto"/>
              </w:rPr>
            </w:pPr>
            <w:r>
              <w:rPr>
                <w:rFonts w:ascii="Arial" w:cs="Arial" w:eastAsia="Arial" w:hAnsi="Arial"/>
                <w:sz w:val="18"/>
                <w:szCs w:val="18"/>
                <w:color w:val="auto"/>
              </w:rPr>
              <w:t>Food and beverage</w:t>
            </w: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4"/>
              </w:rPr>
              <w:t>19,936</w:t>
            </w:r>
          </w:p>
        </w:tc>
        <w:tc>
          <w:tcPr>
            <w:tcW w:w="2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18,884</w:t>
            </w:r>
          </w:p>
        </w:tc>
        <w:tc>
          <w:tcPr>
            <w:tcW w:w="2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5.6 %</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62,746</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59,957</w:t>
            </w:r>
          </w:p>
        </w:tc>
        <w:tc>
          <w:tcPr>
            <w:tcW w:w="24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4.7 %</w:t>
            </w:r>
          </w:p>
        </w:tc>
        <w:tc>
          <w:tcPr>
            <w:tcW w:w="0" w:type="dxa"/>
            <w:vAlign w:val="bottom"/>
          </w:tcPr>
          <w:p>
            <w:pPr>
              <w:spacing w:after="0"/>
              <w:rPr>
                <w:sz w:val="1"/>
                <w:szCs w:val="1"/>
                <w:color w:val="auto"/>
              </w:rPr>
            </w:pPr>
          </w:p>
        </w:tc>
      </w:tr>
      <w:tr>
        <w:trPr>
          <w:trHeight w:val="216"/>
        </w:trPr>
        <w:tc>
          <w:tcPr>
            <w:tcW w:w="29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 hotel expenses</w:t>
            </w: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18,260</w:t>
            </w: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18,465</w:t>
            </w:r>
          </w:p>
        </w:tc>
        <w:tc>
          <w:tcPr>
            <w:tcW w:w="2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56,252</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55,161</w:t>
            </w:r>
          </w:p>
        </w:tc>
        <w:tc>
          <w:tcPr>
            <w:tcW w:w="2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2.0 %</w:t>
            </w:r>
          </w:p>
        </w:tc>
        <w:tc>
          <w:tcPr>
            <w:tcW w:w="0" w:type="dxa"/>
            <w:vAlign w:val="bottom"/>
          </w:tcPr>
          <w:p>
            <w:pPr>
              <w:spacing w:after="0"/>
              <w:rPr>
                <w:sz w:val="1"/>
                <w:szCs w:val="1"/>
                <w:color w:val="auto"/>
              </w:rPr>
            </w:pPr>
          </w:p>
        </w:tc>
      </w:tr>
      <w:tr>
        <w:trPr>
          <w:trHeight w:val="216"/>
        </w:trPr>
        <w:tc>
          <w:tcPr>
            <w:tcW w:w="2980" w:type="dxa"/>
            <w:vAlign w:val="bottom"/>
          </w:tcPr>
          <w:p>
            <w:pPr>
              <w:ind w:left="120"/>
              <w:spacing w:after="0"/>
              <w:rPr>
                <w:sz w:val="20"/>
                <w:szCs w:val="20"/>
                <w:color w:val="auto"/>
              </w:rPr>
            </w:pPr>
            <w:r>
              <w:rPr>
                <w:rFonts w:ascii="Arial" w:cs="Arial" w:eastAsia="Arial" w:hAnsi="Arial"/>
                <w:sz w:val="18"/>
                <w:szCs w:val="18"/>
                <w:color w:val="auto"/>
              </w:rPr>
              <w:t>Management fees, net</w:t>
            </w: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985</w:t>
            </w:r>
          </w:p>
        </w:tc>
        <w:tc>
          <w:tcPr>
            <w:tcW w:w="2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960</w:t>
            </w:r>
          </w:p>
        </w:tc>
        <w:tc>
          <w:tcPr>
            <w:tcW w:w="2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2.6 %</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3,348</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3,244</w:t>
            </w:r>
          </w:p>
        </w:tc>
        <w:tc>
          <w:tcPr>
            <w:tcW w:w="24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3.2 %</w:t>
            </w:r>
          </w:p>
        </w:tc>
        <w:tc>
          <w:tcPr>
            <w:tcW w:w="0" w:type="dxa"/>
            <w:vAlign w:val="bottom"/>
          </w:tcPr>
          <w:p>
            <w:pPr>
              <w:spacing w:after="0"/>
              <w:rPr>
                <w:sz w:val="1"/>
                <w:szCs w:val="1"/>
                <w:color w:val="auto"/>
              </w:rPr>
            </w:pPr>
          </w:p>
        </w:tc>
      </w:tr>
      <w:tr>
        <w:trPr>
          <w:trHeight w:val="216"/>
        </w:trPr>
        <w:tc>
          <w:tcPr>
            <w:tcW w:w="29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Depreciation and amortization</w:t>
            </w: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6,891</w:t>
            </w: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6,701</w:t>
            </w:r>
          </w:p>
        </w:tc>
        <w:tc>
          <w:tcPr>
            <w:tcW w:w="2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2.8 %</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20,647</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19,830</w:t>
            </w:r>
          </w:p>
        </w:tc>
        <w:tc>
          <w:tcPr>
            <w:tcW w:w="2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4.1 %</w:t>
            </w:r>
          </w:p>
        </w:tc>
        <w:tc>
          <w:tcPr>
            <w:tcW w:w="0" w:type="dxa"/>
            <w:vAlign w:val="bottom"/>
          </w:tcPr>
          <w:p>
            <w:pPr>
              <w:spacing w:after="0"/>
              <w:rPr>
                <w:sz w:val="1"/>
                <w:szCs w:val="1"/>
                <w:color w:val="auto"/>
              </w:rPr>
            </w:pPr>
          </w:p>
        </w:tc>
      </w:tr>
      <w:tr>
        <w:trPr>
          <w:trHeight w:val="210"/>
        </w:trPr>
        <w:tc>
          <w:tcPr>
            <w:tcW w:w="2980" w:type="dxa"/>
            <w:vAlign w:val="bottom"/>
          </w:tcPr>
          <w:p>
            <w:pPr>
              <w:ind w:left="220"/>
              <w:spacing w:after="0"/>
              <w:rPr>
                <w:sz w:val="20"/>
                <w:szCs w:val="20"/>
                <w:color w:val="auto"/>
              </w:rPr>
            </w:pPr>
            <w:r>
              <w:rPr>
                <w:rFonts w:ascii="Arial" w:cs="Arial" w:eastAsia="Arial" w:hAnsi="Arial"/>
                <w:sz w:val="18"/>
                <w:szCs w:val="18"/>
                <w:color w:val="auto"/>
              </w:rPr>
              <w:t>Total operating expenses</w:t>
            </w:r>
          </w:p>
        </w:tc>
        <w:tc>
          <w:tcPr>
            <w:tcW w:w="7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55,960</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54,627</w:t>
            </w:r>
          </w:p>
        </w:tc>
        <w:tc>
          <w:tcPr>
            <w:tcW w:w="2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2.4 %</w:t>
            </w:r>
          </w:p>
        </w:tc>
        <w:tc>
          <w:tcPr>
            <w:tcW w:w="1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173,557</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167,990</w:t>
            </w:r>
          </w:p>
        </w:tc>
        <w:tc>
          <w:tcPr>
            <w:tcW w:w="24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3.3 %</w:t>
            </w:r>
          </w:p>
        </w:tc>
        <w:tc>
          <w:tcPr>
            <w:tcW w:w="0" w:type="dxa"/>
            <w:vAlign w:val="bottom"/>
          </w:tcPr>
          <w:p>
            <w:pPr>
              <w:spacing w:after="0"/>
              <w:rPr>
                <w:sz w:val="1"/>
                <w:szCs w:val="1"/>
                <w:color w:val="auto"/>
              </w:rPr>
            </w:pPr>
          </w:p>
        </w:tc>
      </w:tr>
      <w:tr>
        <w:trPr>
          <w:trHeight w:val="216"/>
        </w:trPr>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Performance metrics:</w:t>
            </w: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80" w:type="dxa"/>
            <w:vAlign w:val="bottom"/>
          </w:tcPr>
          <w:p>
            <w:pPr>
              <w:ind w:left="120"/>
              <w:spacing w:after="0"/>
              <w:rPr>
                <w:sz w:val="20"/>
                <w:szCs w:val="20"/>
                <w:color w:val="auto"/>
              </w:rPr>
            </w:pPr>
            <w:r>
              <w:rPr>
                <w:rFonts w:ascii="Arial" w:cs="Arial" w:eastAsia="Arial" w:hAnsi="Arial"/>
                <w:sz w:val="18"/>
                <w:szCs w:val="18"/>
                <w:color w:val="auto"/>
              </w:rPr>
              <w:t>Occupancy</w:t>
            </w: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71.9 %</w:t>
            </w:r>
          </w:p>
        </w:tc>
        <w:tc>
          <w:tcPr>
            <w:tcW w:w="1000" w:type="dxa"/>
            <w:vAlign w:val="bottom"/>
            <w:gridSpan w:val="3"/>
          </w:tcPr>
          <w:p>
            <w:pPr>
              <w:jc w:val="right"/>
              <w:ind w:right="80"/>
              <w:spacing w:after="0"/>
              <w:rPr>
                <w:sz w:val="20"/>
                <w:szCs w:val="20"/>
                <w:color w:val="auto"/>
              </w:rPr>
            </w:pPr>
            <w:r>
              <w:rPr>
                <w:rFonts w:ascii="Arial" w:cs="Arial" w:eastAsia="Arial" w:hAnsi="Arial"/>
                <w:sz w:val="18"/>
                <w:szCs w:val="18"/>
                <w:color w:val="auto"/>
              </w:rPr>
              <w:t>74.2 %</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73.7 %</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75.1 %</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29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ADR</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185.56</w:t>
            </w: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$ 184.89</w:t>
            </w:r>
          </w:p>
        </w:tc>
        <w:tc>
          <w:tcPr>
            <w:tcW w:w="24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0.4 % $</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204.35</w:t>
            </w:r>
          </w:p>
        </w:tc>
        <w:tc>
          <w:tcPr>
            <w:tcW w:w="2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201.77</w:t>
            </w:r>
          </w:p>
        </w:tc>
        <w:tc>
          <w:tcPr>
            <w:tcW w:w="2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1.3 %</w:t>
            </w:r>
          </w:p>
        </w:tc>
        <w:tc>
          <w:tcPr>
            <w:tcW w:w="0" w:type="dxa"/>
            <w:vAlign w:val="bottom"/>
          </w:tcPr>
          <w:p>
            <w:pPr>
              <w:spacing w:after="0"/>
              <w:rPr>
                <w:sz w:val="1"/>
                <w:szCs w:val="1"/>
                <w:color w:val="auto"/>
              </w:rPr>
            </w:pPr>
          </w:p>
        </w:tc>
      </w:tr>
      <w:tr>
        <w:trPr>
          <w:trHeight w:val="216"/>
        </w:trPr>
        <w:tc>
          <w:tcPr>
            <w:tcW w:w="2980" w:type="dxa"/>
            <w:vAlign w:val="bottom"/>
          </w:tcPr>
          <w:p>
            <w:pPr>
              <w:ind w:left="120"/>
              <w:spacing w:after="0"/>
              <w:rPr>
                <w:sz w:val="20"/>
                <w:szCs w:val="20"/>
                <w:color w:val="auto"/>
              </w:rPr>
            </w:pPr>
            <w:r>
              <w:rPr>
                <w:rFonts w:ascii="Arial" w:cs="Arial" w:eastAsia="Arial" w:hAnsi="Arial"/>
                <w:sz w:val="18"/>
                <w:szCs w:val="18"/>
                <w:color w:val="auto"/>
              </w:rPr>
              <w:t>RevPAR</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4"/>
              </w:rPr>
              <w:t>133.36</w:t>
            </w:r>
          </w:p>
        </w:tc>
        <w:tc>
          <w:tcPr>
            <w:tcW w:w="2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w w:val="99"/>
              </w:rPr>
              <w:t>$ 137.13</w:t>
            </w:r>
          </w:p>
        </w:tc>
        <w:tc>
          <w:tcPr>
            <w:tcW w:w="2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(2.7)%</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150.66</w:t>
            </w:r>
          </w:p>
        </w:tc>
        <w:tc>
          <w:tcPr>
            <w:tcW w:w="200" w:type="dxa"/>
            <w:vAlign w:val="bottom"/>
          </w:tcPr>
          <w:p>
            <w:pPr>
              <w:spacing w:after="0"/>
              <w:rPr>
                <w:sz w:val="18"/>
                <w:szCs w:val="18"/>
                <w:color w:val="auto"/>
              </w:rPr>
            </w:pPr>
          </w:p>
        </w:tc>
        <w:tc>
          <w:tcPr>
            <w:tcW w:w="16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151.47</w:t>
            </w:r>
          </w:p>
        </w:tc>
        <w:tc>
          <w:tcPr>
            <w:tcW w:w="24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16"/>
        </w:trPr>
        <w:tc>
          <w:tcPr>
            <w:tcW w:w="29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 RevPAR</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328.39</w:t>
            </w: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$ 320.95</w:t>
            </w:r>
          </w:p>
        </w:tc>
        <w:tc>
          <w:tcPr>
            <w:tcW w:w="24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2.3 % $</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368.40</w:t>
            </w:r>
          </w:p>
        </w:tc>
        <w:tc>
          <w:tcPr>
            <w:tcW w:w="2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358.57</w:t>
            </w:r>
          </w:p>
        </w:tc>
        <w:tc>
          <w:tcPr>
            <w:tcW w:w="2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2.7 %</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Rooms revenue and RevPAR decreased at Gaylord National during the three months and nine months ended September 30, 2018, as compared to the same periods in 2017. The three-month 2018 decreases are due primarily to a decrease in transient occupancy and a decrease in ADR for group business. These decreases were partially offset by an increase in group occupancy and an increase in ADR for transient business. The nine-month 2018 decreases are due to a decrease in both group and transient occupancy, partially offset by an increase in ADR for both group and transient business. Both periods were negatively impacted by Hurricane Florence in September 2018. Rooms expenses increased at Gaylord National during the 2018 periods, as compared to the 2017 periods, primarily due to increased labor costs.</w:t>
      </w:r>
    </w:p>
    <w:p>
      <w:pPr>
        <w:spacing w:after="0" w:line="14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Food and beverage revenue increased at Gaylord National during the three months and nine months ended September 30, 2018, as compared to the same periods in 2017, primarily as a result of an increase in banquets. Food and beverage expenses increased in the 2018 periods, as compared to the 2017 periods, as a result of increased variable costs associated with the increase in revenue.</w:t>
      </w:r>
    </w:p>
    <w:p>
      <w:pPr>
        <w:spacing w:after="0" w:line="146"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Other hotel revenue increased at Gaylord National during the three months ended September 30, 2018, as compared to the same period in 2017, primarily due to an increase in resort fees, as the prior year included several government groups, who, per standard government policy, do not pay a resort fee. Other hotel revenue increased during the nine months ended September 30, 2018, as compared to the same period in 2017, primarily due to an increase in attrition and cancellation fee collections. Other hotel expenses decreased slightly in the three-month 2018 period, as compared to the 2017 period, due to decreased property taxes due to prior period tax settlements and decreased maintenance costs. Other hotel expenses increased in the nine-month 2018 period, as compared to the 2017 period, due to an increase in sales and marketing expenses, partially offset by the decrease in property taxes.</w:t>
      </w:r>
    </w:p>
    <w:p>
      <w:pPr>
        <w:spacing w:after="0" w:line="138"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Depreciation and amortization at Gaylord National increased during the three months and nine months ended September 30, 2018, as compared to the same periods in 2017, primarily due to the completion of a new riverfront ballroom in 2017, and the resulting increase in depreciable asset levels.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7" w:name="page38"/>
    <w:bookmarkEnd w:id="3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Entertainment Segment</w:t>
      </w:r>
    </w:p>
    <w:p>
      <w:pPr>
        <w:spacing w:after="0" w:line="185"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i w:val="1"/>
          <w:iCs w:val="1"/>
          <w:color w:val="auto"/>
        </w:rPr>
        <w:t xml:space="preserve">Total Segment Results. </w:t>
      </w:r>
      <w:r>
        <w:rPr>
          <w:rFonts w:ascii="Arial" w:cs="Arial" w:eastAsia="Arial" w:hAnsi="Arial"/>
          <w:sz w:val="18"/>
          <w:szCs w:val="18"/>
          <w:color w:val="auto"/>
        </w:rPr>
        <w:t>The following presents the financial results of our Entertainment segment for the three months and</w:t>
      </w:r>
      <w:r>
        <w:rPr>
          <w:rFonts w:ascii="Arial" w:cs="Arial" w:eastAsia="Arial" w:hAnsi="Arial"/>
          <w:sz w:val="18"/>
          <w:szCs w:val="18"/>
          <w:i w:val="1"/>
          <w:iCs w:val="1"/>
          <w:color w:val="auto"/>
        </w:rPr>
        <w:t xml:space="preserve"> </w:t>
      </w:r>
      <w:r>
        <w:rPr>
          <w:rFonts w:ascii="Arial" w:cs="Arial" w:eastAsia="Arial" w:hAnsi="Arial"/>
          <w:sz w:val="18"/>
          <w:szCs w:val="18"/>
          <w:color w:val="auto"/>
        </w:rPr>
        <w:t>nine months ended September 30, 2018 and 2017 (in thousands, except percentages):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8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340" w:type="dxa"/>
            <w:vAlign w:val="bottom"/>
            <w:gridSpan w:val="6"/>
          </w:tcPr>
          <w:p>
            <w:pPr>
              <w:jc w:val="right"/>
              <w:ind w:right="61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4"/>
                <w:szCs w:val="14"/>
                <w:color w:val="auto"/>
              </w:rPr>
            </w:pPr>
          </w:p>
        </w:tc>
        <w:tc>
          <w:tcPr>
            <w:tcW w:w="1680" w:type="dxa"/>
            <w:vAlign w:val="bottom"/>
            <w:gridSpan w:val="4"/>
          </w:tcPr>
          <w:p>
            <w:pPr>
              <w:jc w:val="center"/>
              <w:ind w:left="278"/>
              <w:spacing w:after="0"/>
              <w:rPr>
                <w:sz w:val="20"/>
                <w:szCs w:val="20"/>
                <w:color w:val="auto"/>
              </w:rPr>
            </w:pPr>
            <w:r>
              <w:rPr>
                <w:rFonts w:ascii="Arial" w:cs="Arial" w:eastAsia="Arial" w:hAnsi="Arial"/>
                <w:sz w:val="14"/>
                <w:szCs w:val="14"/>
                <w:b w:val="1"/>
                <w:bCs w:val="1"/>
                <w:color w:val="auto"/>
                <w:w w:val="94"/>
              </w:rPr>
              <w:t>Nine Months Ended</w:t>
            </w: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28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1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4"/>
          </w:tcPr>
          <w:p>
            <w:pPr>
              <w:jc w:val="center"/>
              <w:ind w:left="238"/>
              <w:spacing w:after="0"/>
              <w:rPr>
                <w:sz w:val="20"/>
                <w:szCs w:val="20"/>
                <w:color w:val="auto"/>
              </w:rPr>
            </w:pPr>
            <w:r>
              <w:rPr>
                <w:rFonts w:ascii="Arial" w:cs="Arial" w:eastAsia="Arial" w:hAnsi="Arial"/>
                <w:sz w:val="14"/>
                <w:szCs w:val="14"/>
                <w:b w:val="1"/>
                <w:bCs w:val="1"/>
                <w:color w:val="auto"/>
                <w:w w:val="91"/>
              </w:rPr>
              <w:t>September 30,</w:t>
            </w:r>
          </w:p>
        </w:tc>
        <w:tc>
          <w:tcPr>
            <w:tcW w:w="4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28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vMerge w:val="restart"/>
          </w:tcPr>
          <w:p>
            <w:pPr>
              <w:jc w:val="right"/>
              <w:ind w:right="138"/>
              <w:spacing w:after="0"/>
              <w:rPr>
                <w:sz w:val="20"/>
                <w:szCs w:val="20"/>
                <w:color w:val="auto"/>
              </w:rPr>
            </w:pPr>
            <w:r>
              <w:rPr>
                <w:rFonts w:ascii="Arial" w:cs="Arial" w:eastAsia="Arial" w:hAnsi="Arial"/>
                <w:sz w:val="14"/>
                <w:szCs w:val="14"/>
                <w:b w:val="1"/>
                <w:bCs w:val="1"/>
                <w:color w:val="auto"/>
              </w:rPr>
              <w:t>2018</w:t>
            </w:r>
          </w:p>
        </w:tc>
        <w:tc>
          <w:tcPr>
            <w:tcW w:w="860" w:type="dxa"/>
            <w:vAlign w:val="bottom"/>
            <w:gridSpan w:val="2"/>
            <w:vMerge w:val="restart"/>
          </w:tcPr>
          <w:p>
            <w:pPr>
              <w:jc w:val="right"/>
              <w:ind w:right="110"/>
              <w:spacing w:after="0"/>
              <w:rPr>
                <w:sz w:val="20"/>
                <w:szCs w:val="20"/>
                <w:color w:val="auto"/>
              </w:rPr>
            </w:pPr>
            <w:r>
              <w:rPr>
                <w:rFonts w:ascii="Arial" w:cs="Arial" w:eastAsia="Arial" w:hAnsi="Arial"/>
                <w:sz w:val="14"/>
                <w:szCs w:val="14"/>
                <w:b w:val="1"/>
                <w:bCs w:val="1"/>
                <w:color w:val="auto"/>
              </w:rPr>
              <w:t>2017</w:t>
            </w:r>
          </w:p>
        </w:tc>
        <w:tc>
          <w:tcPr>
            <w:tcW w:w="640" w:type="dxa"/>
            <w:vAlign w:val="bottom"/>
            <w:gridSpan w:val="2"/>
          </w:tcPr>
          <w:p>
            <w:pPr>
              <w:jc w:val="right"/>
              <w:ind w:right="99"/>
              <w:spacing w:after="0" w:line="119" w:lineRule="exact"/>
              <w:rPr>
                <w:sz w:val="20"/>
                <w:szCs w:val="20"/>
                <w:color w:val="auto"/>
              </w:rPr>
            </w:pPr>
            <w:r>
              <w:rPr>
                <w:rFonts w:ascii="Arial" w:cs="Arial" w:eastAsia="Arial" w:hAnsi="Arial"/>
                <w:sz w:val="13"/>
                <w:szCs w:val="13"/>
                <w:b w:val="1"/>
                <w:bCs w:val="1"/>
                <w:color w:val="auto"/>
              </w:rPr>
              <w:t>%</w:t>
            </w: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vMerge w:val="restart"/>
          </w:tcPr>
          <w:p>
            <w:pPr>
              <w:jc w:val="right"/>
              <w:ind w:right="178"/>
              <w:spacing w:after="0"/>
              <w:rPr>
                <w:sz w:val="20"/>
                <w:szCs w:val="20"/>
                <w:color w:val="auto"/>
              </w:rPr>
            </w:pPr>
            <w:r>
              <w:rPr>
                <w:rFonts w:ascii="Arial" w:cs="Arial" w:eastAsia="Arial" w:hAnsi="Arial"/>
                <w:sz w:val="14"/>
                <w:szCs w:val="14"/>
                <w:b w:val="1"/>
                <w:bCs w:val="1"/>
                <w:color w:val="auto"/>
              </w:rPr>
              <w:t>2018</w:t>
            </w:r>
          </w:p>
        </w:tc>
        <w:tc>
          <w:tcPr>
            <w:tcW w:w="140" w:type="dxa"/>
            <w:vAlign w:val="bottom"/>
          </w:tcPr>
          <w:p>
            <w:pPr>
              <w:spacing w:after="0"/>
              <w:rPr>
                <w:sz w:val="10"/>
                <w:szCs w:val="10"/>
                <w:color w:val="auto"/>
              </w:rPr>
            </w:pPr>
          </w:p>
        </w:tc>
        <w:tc>
          <w:tcPr>
            <w:tcW w:w="700" w:type="dxa"/>
            <w:vAlign w:val="bottom"/>
            <w:vMerge w:val="restart"/>
          </w:tcPr>
          <w:p>
            <w:pPr>
              <w:jc w:val="right"/>
              <w:ind w:right="114"/>
              <w:spacing w:after="0"/>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0"/>
                <w:szCs w:val="10"/>
                <w:color w:val="auto"/>
              </w:rPr>
            </w:pPr>
          </w:p>
        </w:tc>
        <w:tc>
          <w:tcPr>
            <w:tcW w:w="480" w:type="dxa"/>
            <w:vAlign w:val="bottom"/>
          </w:tcPr>
          <w:p>
            <w:pPr>
              <w:jc w:val="right"/>
              <w:ind w:right="77"/>
              <w:spacing w:after="0" w:line="119" w:lineRule="exact"/>
              <w:rPr>
                <w:sz w:val="20"/>
                <w:szCs w:val="20"/>
                <w:color w:val="auto"/>
              </w:rPr>
            </w:pPr>
            <w:r>
              <w:rPr>
                <w:rFonts w:ascii="Arial" w:cs="Arial" w:eastAsia="Arial" w:hAnsi="Arial"/>
                <w:sz w:val="13"/>
                <w:szCs w:val="13"/>
                <w:b w:val="1"/>
                <w:bCs w:val="1"/>
                <w:color w:val="auto"/>
              </w:rPr>
              <w:t>%</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28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gridSpan w:val="2"/>
          </w:tcPr>
          <w:p>
            <w:pPr>
              <w:jc w:val="right"/>
              <w:ind w:right="150"/>
              <w:spacing w:after="0"/>
              <w:rPr>
                <w:sz w:val="20"/>
                <w:szCs w:val="20"/>
                <w:color w:val="auto"/>
              </w:rPr>
            </w:pPr>
            <w:r>
              <w:rPr>
                <w:rFonts w:ascii="Arial" w:cs="Arial" w:eastAsia="Arial" w:hAnsi="Arial"/>
                <w:sz w:val="14"/>
                <w:szCs w:val="14"/>
                <w:b w:val="1"/>
                <w:bCs w:val="1"/>
                <w:color w:val="auto"/>
                <w:w w:val="89"/>
              </w:rPr>
              <w:t>Change</w:t>
            </w:r>
          </w:p>
        </w:tc>
        <w:tc>
          <w:tcPr>
            <w:tcW w:w="12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gridSpan w:val="2"/>
          </w:tcPr>
          <w:p>
            <w:pPr>
              <w:jc w:val="right"/>
              <w:ind w:right="70"/>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210"/>
        </w:trPr>
        <w:tc>
          <w:tcPr>
            <w:tcW w:w="41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Revenues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43,009</w:t>
            </w:r>
          </w:p>
        </w:tc>
        <w:tc>
          <w:tcPr>
            <w:tcW w:w="1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$ 35,134</w:t>
            </w:r>
          </w:p>
        </w:tc>
        <w:tc>
          <w:tcPr>
            <w:tcW w:w="16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240" w:type="dxa"/>
            <w:vAlign w:val="bottom"/>
            <w:tcBorders>
              <w:top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108,446</w:t>
            </w:r>
          </w:p>
        </w:tc>
        <w:tc>
          <w:tcPr>
            <w:tcW w:w="1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$ 92,427</w:t>
            </w:r>
          </w:p>
        </w:tc>
        <w:tc>
          <w:tcPr>
            <w:tcW w:w="16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6"/>
        </w:trPr>
        <w:tc>
          <w:tcPr>
            <w:tcW w:w="414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4"/>
              </w:rPr>
              <w:t>31,327</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22,651</w:t>
            </w:r>
          </w:p>
        </w:tc>
        <w:tc>
          <w:tcPr>
            <w:tcW w:w="880" w:type="dxa"/>
            <w:vAlign w:val="bottom"/>
            <w:gridSpan w:val="3"/>
          </w:tcPr>
          <w:p>
            <w:pPr>
              <w:jc w:val="right"/>
              <w:ind w:right="10"/>
              <w:spacing w:after="0"/>
              <w:rPr>
                <w:sz w:val="20"/>
                <w:szCs w:val="20"/>
                <w:color w:val="auto"/>
              </w:rPr>
            </w:pPr>
            <w:r>
              <w:rPr>
                <w:rFonts w:ascii="Arial" w:cs="Arial" w:eastAsia="Arial" w:hAnsi="Arial"/>
                <w:sz w:val="18"/>
                <w:szCs w:val="18"/>
                <w:color w:val="auto"/>
              </w:rPr>
              <w:t>38.3 %</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80,947</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61,637</w:t>
            </w:r>
          </w:p>
        </w:tc>
        <w:tc>
          <w:tcPr>
            <w:tcW w:w="16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31.3 %</w:t>
            </w:r>
          </w:p>
        </w:tc>
        <w:tc>
          <w:tcPr>
            <w:tcW w:w="0" w:type="dxa"/>
            <w:vAlign w:val="bottom"/>
          </w:tcPr>
          <w:p>
            <w:pPr>
              <w:spacing w:after="0"/>
              <w:rPr>
                <w:sz w:val="1"/>
                <w:szCs w:val="1"/>
                <w:color w:val="auto"/>
              </w:rPr>
            </w:pPr>
          </w:p>
        </w:tc>
      </w:tr>
      <w:tr>
        <w:trPr>
          <w:trHeight w:val="216"/>
        </w:trPr>
        <w:tc>
          <w:tcPr>
            <w:tcW w:w="4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2,613</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1,965</w:t>
            </w:r>
          </w:p>
        </w:tc>
        <w:tc>
          <w:tcPr>
            <w:tcW w:w="88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33.0 %</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6,885</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5,465</w:t>
            </w: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26.0 %</w:t>
            </w:r>
          </w:p>
        </w:tc>
        <w:tc>
          <w:tcPr>
            <w:tcW w:w="0" w:type="dxa"/>
            <w:vAlign w:val="bottom"/>
          </w:tcPr>
          <w:p>
            <w:pPr>
              <w:spacing w:after="0"/>
              <w:rPr>
                <w:sz w:val="1"/>
                <w:szCs w:val="1"/>
                <w:color w:val="auto"/>
              </w:rPr>
            </w:pPr>
          </w:p>
        </w:tc>
      </w:tr>
      <w:tr>
        <w:trPr>
          <w:trHeight w:val="217"/>
        </w:trPr>
        <w:tc>
          <w:tcPr>
            <w:tcW w:w="4140" w:type="dxa"/>
            <w:vAlign w:val="bottom"/>
            <w:gridSpan w:val="2"/>
          </w:tcPr>
          <w:p>
            <w:pPr>
              <w:spacing w:after="0"/>
              <w:rPr>
                <w:sz w:val="20"/>
                <w:szCs w:val="20"/>
                <w:color w:val="auto"/>
              </w:rPr>
            </w:pPr>
            <w:r>
              <w:rPr>
                <w:rFonts w:ascii="Arial" w:cs="Arial" w:eastAsia="Arial" w:hAnsi="Arial"/>
                <w:sz w:val="18"/>
                <w:szCs w:val="18"/>
                <w:color w:val="auto"/>
              </w:rPr>
              <w:t>Operating income (1)</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9,069</w:t>
            </w:r>
          </w:p>
        </w:tc>
        <w:tc>
          <w:tcPr>
            <w:tcW w:w="16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$ 10,518</w:t>
            </w:r>
          </w:p>
        </w:tc>
        <w:tc>
          <w:tcPr>
            <w:tcW w:w="880" w:type="dxa"/>
            <w:vAlign w:val="bottom"/>
            <w:gridSpan w:val="3"/>
          </w:tcPr>
          <w:p>
            <w:pPr>
              <w:jc w:val="right"/>
              <w:ind w:right="10"/>
              <w:spacing w:after="0"/>
              <w:rPr>
                <w:sz w:val="20"/>
                <w:szCs w:val="20"/>
                <w:color w:val="auto"/>
              </w:rPr>
            </w:pPr>
            <w:r>
              <w:rPr>
                <w:rFonts w:ascii="Arial" w:cs="Arial" w:eastAsia="Arial" w:hAnsi="Arial"/>
                <w:sz w:val="18"/>
                <w:szCs w:val="18"/>
                <w:color w:val="auto"/>
              </w:rPr>
              <w:t>(13.8)%</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20,614</w:t>
            </w:r>
          </w:p>
        </w:tc>
        <w:tc>
          <w:tcPr>
            <w:tcW w:w="14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$ 25,325</w:t>
            </w:r>
          </w:p>
        </w:tc>
        <w:tc>
          <w:tcPr>
            <w:tcW w:w="16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w w:val="98"/>
              </w:rPr>
              <w:t>(18.6)%</w:t>
            </w:r>
          </w:p>
        </w:tc>
        <w:tc>
          <w:tcPr>
            <w:tcW w:w="0" w:type="dxa"/>
            <w:vAlign w:val="bottom"/>
          </w:tcPr>
          <w:p>
            <w:pPr>
              <w:spacing w:after="0"/>
              <w:rPr>
                <w:sz w:val="1"/>
                <w:szCs w:val="1"/>
                <w:color w:val="auto"/>
              </w:rPr>
            </w:pPr>
          </w:p>
        </w:tc>
      </w:tr>
      <w:tr>
        <w:trPr>
          <w:trHeight w:val="108"/>
        </w:trPr>
        <w:tc>
          <w:tcPr>
            <w:tcW w:w="2280" w:type="dxa"/>
            <w:vAlign w:val="bottom"/>
            <w:tcBorders>
              <w:bottom w:val="single" w:sz="8" w:color="auto"/>
            </w:tcBorders>
          </w:tcPr>
          <w:p>
            <w:pPr>
              <w:spacing w:after="0"/>
              <w:rPr>
                <w:sz w:val="9"/>
                <w:szCs w:val="9"/>
                <w:color w:val="auto"/>
              </w:rPr>
            </w:pPr>
          </w:p>
        </w:tc>
        <w:tc>
          <w:tcPr>
            <w:tcW w:w="18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160" w:type="dxa"/>
            <w:vAlign w:val="bottom"/>
          </w:tcPr>
          <w:p>
            <w:pPr>
              <w:spacing w:after="0"/>
              <w:rPr>
                <w:sz w:val="9"/>
                <w:szCs w:val="9"/>
                <w:color w:val="auto"/>
              </w:rPr>
            </w:pPr>
          </w:p>
        </w:tc>
        <w:tc>
          <w:tcPr>
            <w:tcW w:w="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4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320" w:right="300" w:hanging="317"/>
        <w:spacing w:after="0" w:line="302" w:lineRule="auto"/>
        <w:tabs>
          <w:tab w:leader="none" w:pos="3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Entertainment segment operating income does not include preopening costs of $0.1 million and $0.9 million in the three months ended September 30, 2018 and 2017, respectively, and $1.7 million and $1.4 million in the nine months ended September 30, 2018 and 2017, respectively. Entertainment segment operating income also does not include impairment and other charges of $4.5 million in the 2018 periods. See discussion of these items below.</w:t>
      </w:r>
    </w:p>
    <w:p>
      <w:pPr>
        <w:spacing w:after="0" w:line="114"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Entertainment segment revenue increased during the three months and nine months ended September 30, 2018, as compared to the same periods in 2017, primarily due to the opening of our flagship Ole Red location in Nashville in May 2018, as well as revenue from Opry City Stage subsequent to our purchase of the remaining 50% joint venture interest in the second quarter of 2018.</w:t>
      </w:r>
    </w:p>
    <w:p>
      <w:pPr>
        <w:spacing w:after="0" w:line="146"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Entertainment operating expenses increased during the three months and nine months ended September 30, 2018, as compared to the same periods in 2017, primarily as a result of the opening of our Ole Red Nashville location in May 2018, expenses associated with Opry City Stage subsequent to our purchase of the remaining 50% joint venture interest in the second quarter of 2018, and increased compensation and consulting costs.</w:t>
      </w:r>
    </w:p>
    <w:p>
      <w:pPr>
        <w:spacing w:after="0" w:line="160"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Entertainment depreciation expense increased in the three months and nine months ended September 30, 2018, as compared to the same periods in 2017, primarily as a result of the opening of Ole Red Nashville that resulted in increased depreciable asset levels.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and Other Segment</w:t>
      </w:r>
    </w:p>
    <w:p>
      <w:pPr>
        <w:spacing w:after="0" w:line="185" w:lineRule="exact"/>
        <w:rPr>
          <w:sz w:val="20"/>
          <w:szCs w:val="20"/>
          <w:color w:val="auto"/>
        </w:rPr>
      </w:pPr>
    </w:p>
    <w:p>
      <w:pPr>
        <w:jc w:val="both"/>
        <w:ind w:right="120"/>
        <w:spacing w:after="0" w:line="277" w:lineRule="auto"/>
        <w:rPr>
          <w:sz w:val="20"/>
          <w:szCs w:val="20"/>
          <w:color w:val="auto"/>
        </w:rPr>
      </w:pPr>
      <w:r>
        <w:rPr>
          <w:rFonts w:ascii="Arial" w:cs="Arial" w:eastAsia="Arial" w:hAnsi="Arial"/>
          <w:sz w:val="18"/>
          <w:szCs w:val="18"/>
          <w:i w:val="1"/>
          <w:iCs w:val="1"/>
          <w:color w:val="auto"/>
        </w:rPr>
        <w:t xml:space="preserve">Total Segment Results. </w:t>
      </w:r>
      <w:r>
        <w:rPr>
          <w:rFonts w:ascii="Arial" w:cs="Arial" w:eastAsia="Arial" w:hAnsi="Arial"/>
          <w:sz w:val="18"/>
          <w:szCs w:val="18"/>
          <w:color w:val="auto"/>
        </w:rPr>
        <w:t>The following presents the financial results of our Corporate and Other segment for the three months</w:t>
      </w:r>
      <w:r>
        <w:rPr>
          <w:rFonts w:ascii="Arial" w:cs="Arial" w:eastAsia="Arial" w:hAnsi="Arial"/>
          <w:sz w:val="18"/>
          <w:szCs w:val="18"/>
          <w:i w:val="1"/>
          <w:iCs w:val="1"/>
          <w:color w:val="auto"/>
        </w:rPr>
        <w:t xml:space="preserve"> </w:t>
      </w:r>
      <w:r>
        <w:rPr>
          <w:rFonts w:ascii="Arial" w:cs="Arial" w:eastAsia="Arial" w:hAnsi="Arial"/>
          <w:sz w:val="18"/>
          <w:szCs w:val="18"/>
          <w:color w:val="auto"/>
        </w:rPr>
        <w:t>and nine months ended September 30, 2018 and 2017 (in thousands, except percentages):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40" w:type="dxa"/>
            <w:vAlign w:val="bottom"/>
            <w:gridSpan w:val="7"/>
          </w:tcPr>
          <w:p>
            <w:pPr>
              <w:jc w:val="right"/>
              <w:ind w:right="640"/>
              <w:spacing w:after="0"/>
              <w:rPr>
                <w:sz w:val="20"/>
                <w:szCs w:val="20"/>
                <w:color w:val="auto"/>
              </w:rPr>
            </w:pPr>
            <w:r>
              <w:rPr>
                <w:rFonts w:ascii="Arial" w:cs="Arial" w:eastAsia="Arial" w:hAnsi="Arial"/>
                <w:sz w:val="14"/>
                <w:szCs w:val="14"/>
                <w:b w:val="1"/>
                <w:bCs w:val="1"/>
                <w:color w:val="auto"/>
              </w:rPr>
              <w:t>Three Months Ended</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20" w:type="dxa"/>
            <w:vAlign w:val="bottom"/>
            <w:gridSpan w:val="5"/>
          </w:tcPr>
          <w:p>
            <w:pPr>
              <w:jc w:val="center"/>
              <w:ind w:left="279"/>
              <w:spacing w:after="0"/>
              <w:rPr>
                <w:sz w:val="20"/>
                <w:szCs w:val="20"/>
                <w:color w:val="auto"/>
              </w:rPr>
            </w:pPr>
            <w:r>
              <w:rPr>
                <w:rFonts w:ascii="Arial" w:cs="Arial" w:eastAsia="Arial" w:hAnsi="Arial"/>
                <w:sz w:val="14"/>
                <w:szCs w:val="14"/>
                <w:b w:val="1"/>
                <w:bCs w:val="1"/>
                <w:color w:val="auto"/>
                <w:w w:val="94"/>
              </w:rPr>
              <w:t>Nine Months Ended</w:t>
            </w: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September 30,</w:t>
            </w:r>
          </w:p>
        </w:tc>
        <w:tc>
          <w:tcPr>
            <w:tcW w:w="1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5"/>
          </w:tcPr>
          <w:p>
            <w:pPr>
              <w:jc w:val="center"/>
              <w:ind w:left="239"/>
              <w:spacing w:after="0"/>
              <w:rPr>
                <w:sz w:val="20"/>
                <w:szCs w:val="20"/>
                <w:color w:val="auto"/>
              </w:rPr>
            </w:pPr>
            <w:r>
              <w:rPr>
                <w:rFonts w:ascii="Arial" w:cs="Arial" w:eastAsia="Arial" w:hAnsi="Arial"/>
                <w:sz w:val="14"/>
                <w:szCs w:val="14"/>
                <w:b w:val="1"/>
                <w:bCs w:val="1"/>
                <w:color w:val="auto"/>
                <w:w w:val="91"/>
              </w:rPr>
              <w:t>September 30,</w:t>
            </w:r>
          </w:p>
        </w:tc>
        <w:tc>
          <w:tcPr>
            <w:tcW w:w="4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vMerge w:val="restart"/>
          </w:tcPr>
          <w:p>
            <w:pPr>
              <w:jc w:val="right"/>
              <w:ind w:right="119"/>
              <w:spacing w:after="0"/>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vMerge w:val="restart"/>
          </w:tcPr>
          <w:p>
            <w:pPr>
              <w:jc w:val="right"/>
              <w:ind w:right="114"/>
              <w:spacing w:after="0"/>
              <w:rPr>
                <w:sz w:val="20"/>
                <w:szCs w:val="20"/>
                <w:color w:val="auto"/>
              </w:rPr>
            </w:pPr>
            <w:r>
              <w:rPr>
                <w:rFonts w:ascii="Arial" w:cs="Arial" w:eastAsia="Arial" w:hAnsi="Arial"/>
                <w:sz w:val="14"/>
                <w:szCs w:val="14"/>
                <w:b w:val="1"/>
                <w:bCs w:val="1"/>
                <w:color w:val="auto"/>
              </w:rPr>
              <w:t>2017</w:t>
            </w:r>
          </w:p>
        </w:tc>
        <w:tc>
          <w:tcPr>
            <w:tcW w:w="640" w:type="dxa"/>
            <w:vAlign w:val="bottom"/>
            <w:gridSpan w:val="2"/>
          </w:tcPr>
          <w:p>
            <w:pPr>
              <w:jc w:val="right"/>
              <w:ind w:right="99"/>
              <w:spacing w:after="0" w:line="119" w:lineRule="exact"/>
              <w:rPr>
                <w:sz w:val="20"/>
                <w:szCs w:val="20"/>
                <w:color w:val="auto"/>
              </w:rPr>
            </w:pPr>
            <w:r>
              <w:rPr>
                <w:rFonts w:ascii="Arial" w:cs="Arial" w:eastAsia="Arial" w:hAnsi="Arial"/>
                <w:sz w:val="13"/>
                <w:szCs w:val="13"/>
                <w:b w:val="1"/>
                <w:bCs w:val="1"/>
                <w:color w:val="auto"/>
              </w:rPr>
              <w:t>%</w:t>
            </w: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vMerge w:val="restart"/>
          </w:tcPr>
          <w:p>
            <w:pPr>
              <w:jc w:val="right"/>
              <w:ind w:right="159"/>
              <w:spacing w:after="0"/>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vMerge w:val="restart"/>
          </w:tcPr>
          <w:p>
            <w:pPr>
              <w:jc w:val="right"/>
              <w:ind w:right="154"/>
              <w:spacing w:after="0"/>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0"/>
                <w:szCs w:val="10"/>
                <w:color w:val="auto"/>
              </w:rPr>
            </w:pPr>
          </w:p>
        </w:tc>
        <w:tc>
          <w:tcPr>
            <w:tcW w:w="480" w:type="dxa"/>
            <w:vAlign w:val="bottom"/>
          </w:tcPr>
          <w:p>
            <w:pPr>
              <w:jc w:val="right"/>
              <w:ind w:right="78"/>
              <w:spacing w:after="0" w:line="119" w:lineRule="exact"/>
              <w:rPr>
                <w:sz w:val="20"/>
                <w:szCs w:val="20"/>
                <w:color w:val="auto"/>
              </w:rPr>
            </w:pPr>
            <w:r>
              <w:rPr>
                <w:rFonts w:ascii="Arial" w:cs="Arial" w:eastAsia="Arial" w:hAnsi="Arial"/>
                <w:sz w:val="13"/>
                <w:szCs w:val="13"/>
                <w:b w:val="1"/>
                <w:bCs w:val="1"/>
                <w:color w:val="auto"/>
              </w:rPr>
              <w:t>%</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16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vMerge w:val="continue"/>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vMerge w:val="continue"/>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5"/>
              </w:rPr>
              <w:t>Change</w:t>
            </w:r>
          </w:p>
        </w:tc>
        <w:tc>
          <w:tcPr>
            <w:tcW w:w="20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vMerge w:val="continue"/>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vMerge w:val="continue"/>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Change</w:t>
            </w:r>
          </w:p>
        </w:tc>
        <w:tc>
          <w:tcPr>
            <w:tcW w:w="1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7,212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7,909</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(8.8)%</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23,181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22,786</w:t>
            </w: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6"/>
        </w:trPr>
        <w:tc>
          <w:tcPr>
            <w:tcW w:w="41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Depreciation and amortization</w:t>
            </w:r>
          </w:p>
        </w:tc>
        <w:tc>
          <w:tcPr>
            <w:tcW w:w="1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435</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520</w:t>
            </w:r>
          </w:p>
        </w:tc>
        <w:tc>
          <w:tcPr>
            <w:tcW w:w="840" w:type="dxa"/>
            <w:vAlign w:val="bottom"/>
            <w:tcBorders>
              <w:bottom w:val="single" w:sz="8" w:color="CCEEFF"/>
            </w:tcBorders>
            <w:gridSpan w:val="3"/>
          </w:tcPr>
          <w:p>
            <w:pPr>
              <w:jc w:val="right"/>
              <w:ind w:right="60"/>
              <w:spacing w:after="0"/>
              <w:rPr>
                <w:sz w:val="20"/>
                <w:szCs w:val="20"/>
                <w:color w:val="auto"/>
              </w:rPr>
            </w:pPr>
            <w:r>
              <w:rPr>
                <w:rFonts w:ascii="Arial" w:cs="Arial" w:eastAsia="Arial" w:hAnsi="Arial"/>
                <w:sz w:val="18"/>
                <w:szCs w:val="18"/>
                <w:color w:val="auto"/>
              </w:rPr>
              <w:t>(16.3)%</w:t>
            </w:r>
          </w:p>
        </w:tc>
        <w:tc>
          <w:tcPr>
            <w:tcW w:w="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1,391</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1,611</w:t>
            </w:r>
          </w:p>
        </w:tc>
        <w:tc>
          <w:tcPr>
            <w:tcW w:w="160" w:type="dxa"/>
            <w:vAlign w:val="bottom"/>
            <w:tcBorders>
              <w:bottom w:val="single" w:sz="8" w:color="CCEEFF"/>
            </w:tcBorders>
          </w:tcPr>
          <w:p>
            <w:pPr>
              <w:spacing w:after="0"/>
              <w:rPr>
                <w:sz w:val="18"/>
                <w:szCs w:val="18"/>
                <w:color w:val="auto"/>
              </w:rPr>
            </w:pPr>
          </w:p>
        </w:tc>
        <w:tc>
          <w:tcPr>
            <w:tcW w:w="64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w w:val="98"/>
              </w:rPr>
              <w:t>(13.7)%</w:t>
            </w:r>
          </w:p>
        </w:tc>
        <w:tc>
          <w:tcPr>
            <w:tcW w:w="0" w:type="dxa"/>
            <w:vAlign w:val="bottom"/>
          </w:tcPr>
          <w:p>
            <w:pPr>
              <w:spacing w:after="0"/>
              <w:rPr>
                <w:sz w:val="1"/>
                <w:szCs w:val="1"/>
                <w:color w:val="auto"/>
              </w:rPr>
            </w:pPr>
          </w:p>
        </w:tc>
      </w:tr>
      <w:tr>
        <w:trPr>
          <w:trHeight w:val="217"/>
        </w:trPr>
        <w:tc>
          <w:tcPr>
            <w:tcW w:w="4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(7,647)</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(8,429)</w:t>
            </w:r>
          </w:p>
        </w:tc>
        <w:tc>
          <w:tcPr>
            <w:tcW w:w="84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9.3 %</w:t>
            </w:r>
          </w:p>
        </w:tc>
        <w:tc>
          <w:tcPr>
            <w:tcW w:w="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(24,572)</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(24,397)</w:t>
            </w:r>
          </w:p>
        </w:tc>
        <w:tc>
          <w:tcPr>
            <w:tcW w:w="16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Corporate and Other operating expenses, which consist primarily of costs associated with senior management salaries and benefits, legal, human resources, accounting, pension, information technology and other administrative costs, decreased in the three months ended September 30, 2018, as compared to the same period in 2017, primarily due to a decrease in employee benefit expense. Corporate and Other operating expenses increased in the nine months ended September 30, 2018, as compared to the same period in 2017, primarily due to increased administrative and employment costs associated with supporting our growth initiatives within our Hospitality and Entertainment segments.</w:t>
      </w:r>
    </w:p>
    <w:p>
      <w:pPr>
        <w:spacing w:after="0" w:line="138" w:lineRule="exact"/>
        <w:rPr>
          <w:sz w:val="20"/>
          <w:szCs w:val="20"/>
          <w:color w:val="auto"/>
        </w:rPr>
      </w:pPr>
    </w:p>
    <w:p>
      <w:pPr>
        <w:ind w:right="860"/>
        <w:spacing w:after="0" w:line="277" w:lineRule="auto"/>
        <w:rPr>
          <w:sz w:val="20"/>
          <w:szCs w:val="20"/>
          <w:color w:val="auto"/>
        </w:rPr>
      </w:pPr>
      <w:r>
        <w:rPr>
          <w:rFonts w:ascii="Arial" w:cs="Arial" w:eastAsia="Arial" w:hAnsi="Arial"/>
          <w:sz w:val="18"/>
          <w:szCs w:val="18"/>
          <w:color w:val="auto"/>
        </w:rPr>
        <w:t>Corporate and Other depreciation and amortization expense decreased in the three months and nine months ended September 30, 2018, as compared with the same periods in 2017.</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8" w:name="page39"/>
    <w:bookmarkEnd w:id="3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Results – Preopening Costs</w:t>
      </w:r>
    </w:p>
    <w:p>
      <w:pPr>
        <w:spacing w:after="0" w:line="185"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Preopening costs of $4.0 million during the nine months ended September 30, 2018 primarily include costs associated with an expansion of the guest rooms and convention space at Gaylord Texan, which opened in the second quarter of 2018, and costs associated with Ole Red Nashville, which opened in May 2018. Preopening costs of $0.9 million and $1.6 million during the three months and nine months ended September 30, 2017, respectively, include costs associated with a riverfront ballroom at Gaylord National, which opened in the second quarter of 2017, and costs associated with our various Entertainment segment projects.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Results – Impairment and Other Charges</w:t>
      </w:r>
    </w:p>
    <w:p>
      <w:pPr>
        <w:spacing w:after="0" w:line="185"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Impairment charges in the 2018 periods represent the impairment of a portion of our carrying value in Opry City Stage assets. Subsequent to our purchase of the remaining 50% joint venture interest in the second quarter of 2018, we determined that current ongoing operations were not meeting our revenue expectations from the time of purchase. In September 2018, we announced that we were temporarily suspending operations at Opry City Stage to appropriately reposition the venue and its operations. As a result, we performed an impairment assessment of the carrying amount of Opry City Stage assets based on the related estimated total future net cash flows and determined that an impairment charge of $4.5 million was warranted.</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Non-Operating Results Affecting Net Income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other factors which affected our net income for the three months and nine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2018 and 2017 (in thousands, except percentages):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80" w:type="dxa"/>
            <w:vAlign w:val="bottom"/>
          </w:tcPr>
          <w:p>
            <w:pPr>
              <w:spacing w:after="0"/>
              <w:rPr>
                <w:sz w:val="14"/>
                <w:szCs w:val="14"/>
                <w:color w:val="auto"/>
              </w:rPr>
            </w:pPr>
          </w:p>
        </w:tc>
        <w:tc>
          <w:tcPr>
            <w:tcW w:w="1880" w:type="dxa"/>
            <w:vAlign w:val="bottom"/>
            <w:gridSpan w:val="6"/>
          </w:tcPr>
          <w:p>
            <w:pPr>
              <w:jc w:val="center"/>
              <w:ind w:left="477"/>
              <w:spacing w:after="0"/>
              <w:rPr>
                <w:sz w:val="20"/>
                <w:szCs w:val="20"/>
                <w:color w:val="auto"/>
              </w:rPr>
            </w:pPr>
            <w:r>
              <w:rPr>
                <w:rFonts w:ascii="Arial" w:cs="Arial" w:eastAsia="Arial" w:hAnsi="Arial"/>
                <w:sz w:val="14"/>
                <w:szCs w:val="14"/>
                <w:b w:val="1"/>
                <w:bCs w:val="1"/>
                <w:color w:val="auto"/>
                <w:w w:val="95"/>
              </w:rPr>
              <w:t>Three Months Ended</w:t>
            </w: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900" w:type="dxa"/>
            <w:vAlign w:val="bottom"/>
            <w:gridSpan w:val="5"/>
          </w:tcPr>
          <w:p>
            <w:pPr>
              <w:jc w:val="center"/>
              <w:ind w:left="542"/>
              <w:spacing w:after="0"/>
              <w:rPr>
                <w:sz w:val="20"/>
                <w:szCs w:val="20"/>
                <w:color w:val="auto"/>
              </w:rPr>
            </w:pPr>
            <w:r>
              <w:rPr>
                <w:rFonts w:ascii="Arial" w:cs="Arial" w:eastAsia="Arial" w:hAnsi="Arial"/>
                <w:sz w:val="14"/>
                <w:szCs w:val="14"/>
                <w:b w:val="1"/>
                <w:bCs w:val="1"/>
                <w:color w:val="auto"/>
                <w:w w:val="94"/>
              </w:rPr>
              <w:t>Nine Months Ended</w:t>
            </w: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680" w:type="dxa"/>
            <w:vAlign w:val="bottom"/>
          </w:tcPr>
          <w:p>
            <w:pPr>
              <w:spacing w:after="0"/>
              <w:rPr>
                <w:sz w:val="14"/>
                <w:szCs w:val="14"/>
                <w:color w:val="auto"/>
              </w:rPr>
            </w:pPr>
          </w:p>
        </w:tc>
        <w:tc>
          <w:tcPr>
            <w:tcW w:w="1880" w:type="dxa"/>
            <w:vAlign w:val="bottom"/>
            <w:tcBorders>
              <w:bottom w:val="single" w:sz="8" w:color="auto"/>
            </w:tcBorders>
            <w:gridSpan w:val="6"/>
          </w:tcPr>
          <w:p>
            <w:pPr>
              <w:jc w:val="center"/>
              <w:ind w:left="437"/>
              <w:spacing w:after="0"/>
              <w:rPr>
                <w:sz w:val="20"/>
                <w:szCs w:val="20"/>
                <w:color w:val="auto"/>
              </w:rPr>
            </w:pPr>
            <w:r>
              <w:rPr>
                <w:rFonts w:ascii="Arial" w:cs="Arial" w:eastAsia="Arial" w:hAnsi="Arial"/>
                <w:sz w:val="14"/>
                <w:szCs w:val="14"/>
                <w:b w:val="1"/>
                <w:bCs w:val="1"/>
                <w:color w:val="auto"/>
                <w:w w:val="91"/>
              </w:rPr>
              <w:t>September 30,</w:t>
            </w:r>
          </w:p>
        </w:tc>
        <w:tc>
          <w:tcPr>
            <w:tcW w:w="5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4"/>
          </w:tcPr>
          <w:p>
            <w:pPr>
              <w:jc w:val="center"/>
              <w:ind w:right="200"/>
              <w:spacing w:after="0"/>
              <w:rPr>
                <w:sz w:val="20"/>
                <w:szCs w:val="20"/>
                <w:color w:val="auto"/>
              </w:rPr>
            </w:pPr>
            <w:r>
              <w:rPr>
                <w:rFonts w:ascii="Arial" w:cs="Arial" w:eastAsia="Arial" w:hAnsi="Arial"/>
                <w:sz w:val="14"/>
                <w:szCs w:val="14"/>
                <w:b w:val="1"/>
                <w:bCs w:val="1"/>
                <w:color w:val="auto"/>
                <w:w w:val="91"/>
              </w:rPr>
              <w:t>September 30,</w:t>
            </w:r>
          </w:p>
        </w:tc>
        <w:tc>
          <w:tcPr>
            <w:tcW w:w="6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680" w:type="dxa"/>
            <w:vAlign w:val="bottom"/>
          </w:tcPr>
          <w:p>
            <w:pPr>
              <w:spacing w:after="0"/>
              <w:rPr>
                <w:sz w:val="10"/>
                <w:szCs w:val="10"/>
                <w:color w:val="auto"/>
              </w:rPr>
            </w:pPr>
          </w:p>
        </w:tc>
        <w:tc>
          <w:tcPr>
            <w:tcW w:w="780" w:type="dxa"/>
            <w:vAlign w:val="bottom"/>
            <w:vMerge w:val="restart"/>
          </w:tcPr>
          <w:p>
            <w:pPr>
              <w:jc w:val="right"/>
              <w:ind w:right="157"/>
              <w:spacing w:after="0"/>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0"/>
                <w:szCs w:val="10"/>
                <w:color w:val="auto"/>
              </w:rPr>
            </w:pPr>
          </w:p>
        </w:tc>
        <w:tc>
          <w:tcPr>
            <w:tcW w:w="60" w:type="dxa"/>
            <w:vAlign w:val="bottom"/>
            <w:vMerge w:val="restart"/>
          </w:tcPr>
          <w:p>
            <w:pPr>
              <w:spacing w:after="0"/>
              <w:rPr>
                <w:sz w:val="10"/>
                <w:szCs w:val="10"/>
                <w:color w:val="auto"/>
              </w:rPr>
            </w:pPr>
          </w:p>
        </w:tc>
        <w:tc>
          <w:tcPr>
            <w:tcW w:w="780" w:type="dxa"/>
            <w:vAlign w:val="bottom"/>
            <w:vMerge w:val="restart"/>
          </w:tcPr>
          <w:p>
            <w:pPr>
              <w:jc w:val="right"/>
              <w:ind w:right="159"/>
              <w:spacing w:after="0"/>
              <w:rPr>
                <w:sz w:val="20"/>
                <w:szCs w:val="20"/>
                <w:color w:val="auto"/>
              </w:rPr>
            </w:pPr>
            <w:r>
              <w:rPr>
                <w:rFonts w:ascii="Arial" w:cs="Arial" w:eastAsia="Arial" w:hAnsi="Arial"/>
                <w:sz w:val="14"/>
                <w:szCs w:val="14"/>
                <w:b w:val="1"/>
                <w:bCs w:val="1"/>
                <w:color w:val="auto"/>
              </w:rPr>
              <w:t>2017</w:t>
            </w: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40" w:type="dxa"/>
            <w:vAlign w:val="bottom"/>
          </w:tcPr>
          <w:p>
            <w:pPr>
              <w:jc w:val="right"/>
              <w:ind w:right="136"/>
              <w:spacing w:after="0" w:line="119" w:lineRule="exact"/>
              <w:rPr>
                <w:sz w:val="20"/>
                <w:szCs w:val="20"/>
                <w:color w:val="auto"/>
              </w:rPr>
            </w:pPr>
            <w:r>
              <w:rPr>
                <w:rFonts w:ascii="Arial" w:cs="Arial" w:eastAsia="Arial" w:hAnsi="Arial"/>
                <w:sz w:val="13"/>
                <w:szCs w:val="13"/>
                <w:b w:val="1"/>
                <w:bCs w:val="1"/>
                <w:color w:val="auto"/>
              </w:rPr>
              <w:t>%</w:t>
            </w:r>
          </w:p>
        </w:tc>
        <w:tc>
          <w:tcPr>
            <w:tcW w:w="200" w:type="dxa"/>
            <w:vAlign w:val="bottom"/>
          </w:tcPr>
          <w:p>
            <w:pPr>
              <w:spacing w:after="0"/>
              <w:rPr>
                <w:sz w:val="10"/>
                <w:szCs w:val="10"/>
                <w:color w:val="auto"/>
              </w:rPr>
            </w:pPr>
          </w:p>
        </w:tc>
        <w:tc>
          <w:tcPr>
            <w:tcW w:w="60" w:type="dxa"/>
            <w:vAlign w:val="bottom"/>
            <w:vMerge w:val="restart"/>
          </w:tcPr>
          <w:p>
            <w:pPr>
              <w:spacing w:after="0"/>
              <w:rPr>
                <w:sz w:val="10"/>
                <w:szCs w:val="10"/>
                <w:color w:val="auto"/>
              </w:rPr>
            </w:pPr>
          </w:p>
        </w:tc>
        <w:tc>
          <w:tcPr>
            <w:tcW w:w="780" w:type="dxa"/>
            <w:vAlign w:val="bottom"/>
            <w:vMerge w:val="restart"/>
          </w:tcPr>
          <w:p>
            <w:pPr>
              <w:jc w:val="right"/>
              <w:ind w:right="182"/>
              <w:spacing w:after="0"/>
              <w:rPr>
                <w:sz w:val="20"/>
                <w:szCs w:val="20"/>
                <w:color w:val="auto"/>
              </w:rPr>
            </w:pPr>
            <w:r>
              <w:rPr>
                <w:rFonts w:ascii="Arial" w:cs="Arial" w:eastAsia="Arial" w:hAnsi="Arial"/>
                <w:sz w:val="14"/>
                <w:szCs w:val="14"/>
                <w:b w:val="1"/>
                <w:bCs w:val="1"/>
                <w:color w:val="auto"/>
              </w:rPr>
              <w:t>2018</w:t>
            </w:r>
          </w:p>
        </w:tc>
        <w:tc>
          <w:tcPr>
            <w:tcW w:w="140" w:type="dxa"/>
            <w:vAlign w:val="bottom"/>
            <w:vMerge w:val="restart"/>
          </w:tcPr>
          <w:p>
            <w:pPr>
              <w:spacing w:after="0"/>
              <w:rPr>
                <w:sz w:val="10"/>
                <w:szCs w:val="10"/>
                <w:color w:val="auto"/>
              </w:rPr>
            </w:pPr>
          </w:p>
        </w:tc>
        <w:tc>
          <w:tcPr>
            <w:tcW w:w="780" w:type="dxa"/>
            <w:vAlign w:val="bottom"/>
            <w:vMerge w:val="restart"/>
          </w:tcPr>
          <w:p>
            <w:pPr>
              <w:jc w:val="right"/>
              <w:ind w:right="159"/>
              <w:spacing w:after="0"/>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jc w:val="right"/>
              <w:ind w:right="176"/>
              <w:spacing w:after="0" w:line="119" w:lineRule="exact"/>
              <w:rPr>
                <w:sz w:val="20"/>
                <w:szCs w:val="20"/>
                <w:color w:val="auto"/>
              </w:rPr>
            </w:pPr>
            <w:r>
              <w:rPr>
                <w:rFonts w:ascii="Arial" w:cs="Arial" w:eastAsia="Arial" w:hAnsi="Arial"/>
                <w:sz w:val="13"/>
                <w:szCs w:val="13"/>
                <w:b w:val="1"/>
                <w:bCs w:val="1"/>
                <w:color w:val="auto"/>
              </w:rPr>
              <w:t>%</w:t>
            </w: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680" w:type="dxa"/>
            <w:vAlign w:val="bottom"/>
            <w:tcBorders>
              <w:bottom w:val="single" w:sz="8" w:color="CCEEFF"/>
            </w:tcBorders>
          </w:tcPr>
          <w:p>
            <w:pPr>
              <w:spacing w:after="0"/>
              <w:rPr>
                <w:sz w:val="14"/>
                <w:szCs w:val="14"/>
                <w:color w:val="auto"/>
              </w:rPr>
            </w:pPr>
          </w:p>
        </w:tc>
        <w:tc>
          <w:tcPr>
            <w:tcW w:w="78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vMerge w:val="continue"/>
          </w:tcPr>
          <w:p>
            <w:pPr>
              <w:spacing w:after="0"/>
              <w:rPr>
                <w:sz w:val="14"/>
                <w:szCs w:val="14"/>
                <w:color w:val="auto"/>
              </w:rPr>
            </w:pPr>
          </w:p>
        </w:tc>
        <w:tc>
          <w:tcPr>
            <w:tcW w:w="780" w:type="dxa"/>
            <w:vAlign w:val="bottom"/>
            <w:tcBorders>
              <w:bottom w:val="single" w:sz="8" w:color="auto"/>
            </w:tcBorders>
            <w:vMerge w:val="continue"/>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Change</w:t>
            </w:r>
          </w:p>
        </w:tc>
        <w:tc>
          <w:tcPr>
            <w:tcW w:w="20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vMerge w:val="continue"/>
          </w:tcPr>
          <w:p>
            <w:pPr>
              <w:spacing w:after="0"/>
              <w:rPr>
                <w:sz w:val="14"/>
                <w:szCs w:val="14"/>
                <w:color w:val="auto"/>
              </w:rPr>
            </w:pPr>
          </w:p>
        </w:tc>
        <w:tc>
          <w:tcPr>
            <w:tcW w:w="780" w:type="dxa"/>
            <w:vAlign w:val="bottom"/>
            <w:tcBorders>
              <w:bottom w:val="single" w:sz="8" w:color="auto"/>
            </w:tcBorders>
            <w:vMerge w:val="continue"/>
          </w:tcPr>
          <w:p>
            <w:pPr>
              <w:spacing w:after="0"/>
              <w:rPr>
                <w:sz w:val="14"/>
                <w:szCs w:val="14"/>
                <w:color w:val="auto"/>
              </w:rPr>
            </w:pPr>
          </w:p>
        </w:tc>
        <w:tc>
          <w:tcPr>
            <w:tcW w:w="140" w:type="dxa"/>
            <w:vAlign w:val="bottom"/>
            <w:tcBorders>
              <w:bottom w:val="single" w:sz="8" w:color="CCEEFF"/>
            </w:tcBorders>
            <w:vMerge w:val="continue"/>
          </w:tcPr>
          <w:p>
            <w:pPr>
              <w:spacing w:after="0"/>
              <w:rPr>
                <w:sz w:val="14"/>
                <w:szCs w:val="14"/>
                <w:color w:val="auto"/>
              </w:rPr>
            </w:pPr>
          </w:p>
        </w:tc>
        <w:tc>
          <w:tcPr>
            <w:tcW w:w="780" w:type="dxa"/>
            <w:vAlign w:val="bottom"/>
            <w:tcBorders>
              <w:bottom w:val="single" w:sz="8" w:color="auto"/>
            </w:tcBorders>
            <w:vMerge w:val="continue"/>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Change</w:t>
            </w:r>
          </w:p>
        </w:tc>
        <w:tc>
          <w:tcPr>
            <w:tcW w:w="18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 (19,220)</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 (16,621)</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(15.6)%</w:t>
            </w:r>
          </w:p>
        </w:tc>
        <w:tc>
          <w:tcPr>
            <w:tcW w:w="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 (55,574)</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 (49,640)</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Interest income</w:t>
            </w:r>
          </w:p>
        </w:tc>
        <w:tc>
          <w:tcPr>
            <w:tcW w:w="780" w:type="dxa"/>
            <w:vAlign w:val="bottom"/>
          </w:tcPr>
          <w:p>
            <w:pPr>
              <w:jc w:val="right"/>
              <w:spacing w:after="0"/>
              <w:rPr>
                <w:sz w:val="20"/>
                <w:szCs w:val="20"/>
                <w:color w:val="auto"/>
              </w:rPr>
            </w:pPr>
            <w:r>
              <w:rPr>
                <w:rFonts w:ascii="Arial" w:cs="Arial" w:eastAsia="Arial" w:hAnsi="Arial"/>
                <w:sz w:val="18"/>
                <w:szCs w:val="18"/>
                <w:color w:val="auto"/>
              </w:rPr>
              <w:t>2,678</w:t>
            </w:r>
          </w:p>
        </w:tc>
        <w:tc>
          <w:tcPr>
            <w:tcW w:w="8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2,957</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(9.4)%</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8,197</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8,874</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16"/>
        </w:trPr>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Loss from joint ventures</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(985)</w:t>
            </w:r>
          </w:p>
        </w:tc>
        <w:tc>
          <w:tcPr>
            <w:tcW w:w="9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(899)</w:t>
            </w:r>
          </w:p>
        </w:tc>
        <w:tc>
          <w:tcPr>
            <w:tcW w:w="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(9.6)%</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(2,227)</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(2,616)</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14.9 %</w:t>
            </w:r>
          </w:p>
        </w:tc>
        <w:tc>
          <w:tcPr>
            <w:tcW w:w="0" w:type="dxa"/>
            <w:vAlign w:val="bottom"/>
          </w:tcPr>
          <w:p>
            <w:pPr>
              <w:spacing w:after="0"/>
              <w:rPr>
                <w:sz w:val="1"/>
                <w:szCs w:val="1"/>
                <w:color w:val="auto"/>
              </w:rPr>
            </w:pP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Other gains and (losses), net</w:t>
            </w:r>
          </w:p>
        </w:tc>
        <w:tc>
          <w:tcPr>
            <w:tcW w:w="780" w:type="dxa"/>
            <w:vAlign w:val="bottom"/>
          </w:tcPr>
          <w:p>
            <w:pPr>
              <w:jc w:val="right"/>
              <w:spacing w:after="0"/>
              <w:rPr>
                <w:sz w:val="20"/>
                <w:szCs w:val="20"/>
                <w:color w:val="auto"/>
              </w:rPr>
            </w:pPr>
            <w:r>
              <w:rPr>
                <w:rFonts w:ascii="Arial" w:cs="Arial" w:eastAsia="Arial" w:hAnsi="Arial"/>
                <w:sz w:val="18"/>
                <w:szCs w:val="18"/>
                <w:color w:val="auto"/>
              </w:rPr>
              <w:t>1,881</w:t>
            </w:r>
          </w:p>
        </w:tc>
        <w:tc>
          <w:tcPr>
            <w:tcW w:w="8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1,453</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29.5 %</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2,085</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57</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w w:val="93"/>
              </w:rPr>
              <w:t>3,557.9 %</w:t>
            </w:r>
          </w:p>
        </w:tc>
        <w:tc>
          <w:tcPr>
            <w:tcW w:w="0" w:type="dxa"/>
            <w:vAlign w:val="bottom"/>
          </w:tcPr>
          <w:p>
            <w:pPr>
              <w:spacing w:after="0"/>
              <w:rPr>
                <w:sz w:val="1"/>
                <w:szCs w:val="1"/>
                <w:color w:val="auto"/>
              </w:rPr>
            </w:pPr>
          </w:p>
        </w:tc>
      </w:tr>
      <w:tr>
        <w:trPr>
          <w:trHeight w:val="216"/>
        </w:trPr>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(1,863)</w:t>
            </w:r>
          </w:p>
        </w:tc>
        <w:tc>
          <w:tcPr>
            <w:tcW w:w="9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(530)</w:t>
            </w:r>
          </w:p>
        </w:tc>
        <w:tc>
          <w:tcPr>
            <w:tcW w:w="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3"/>
              </w:rPr>
              <w:t>(251.5)%</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(9,748)</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(2,022)</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(382.1)%</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198"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Interest expense increased $2.6 million during the three months and increased $5.9 million in the nine months ended September 30, 2018, as compared to the same periods in 2017. The three-month 2018 increase is due primarily to increased borrowings under our revolving credit facility, as well as increased interest rates on our variable rate debt. The nine-month 2018 increase is due primarily to increased interest expense incurred in connection with our term loan A and increased borrowings under our term loan B, which were both refinanced in May 2017, and increased interest rates on our variable rate debt. This increase was partially offset by increased capitalized interest in the current period.</w:t>
      </w:r>
    </w:p>
    <w:p>
      <w:pPr>
        <w:spacing w:after="0" w:line="138"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Cash interest expense increased $2.9 million to $19.7 million in the three months and increased $7.7 million to $56.8 million in the nine months ended September 30, 2018, as compared to the same periods in 2017. Non-cash interest expense, which includes amortization of deferred financing costs and the write-off of deferred financing costs, offset by capitalized interest, decreased $0.3 million to $(0.5) million in the three months and decreased $1.8 million to $(1.2) million in the nine months ended September 30, 2018, as compared to the same periods in 2017.</w:t>
      </w:r>
    </w:p>
    <w:p>
      <w:pPr>
        <w:spacing w:after="0" w:line="132"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Our weighted average interest rate on our borrowings, excluding the write-off of deferred financing costs and capitalized interest, was 4.9% and 4.5% for the three months ended September 30, 2018 and 2017, respectively, and 4.8% and 4.4% for the nine months ended September 30, 2018 and 2017, respectively.</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9" w:name="page40"/>
    <w:bookmarkEnd w:id="3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w:t>
      </w:r>
    </w:p>
    <w:p>
      <w:pPr>
        <w:spacing w:after="0" w:line="18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Interest income for the three months and nine months ended September 30, 2018 and 2017 primarily includes amounts earned on the bonds that were received in connection with the development of Gaylord National, which we hold as notes receivable. See Note 6 to the accompanying condensed consolidated financial statements for additional discussion of interest income on these bonds.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Loss from Joint Ventures</w:t>
      </w:r>
    </w:p>
    <w:p>
      <w:pPr>
        <w:spacing w:after="0" w:line="185"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The loss from joint ventures for the three months and nine months ended September 30, 2018 and 2017 primarily represents preopening expenses incurred by our Gaylord Rockies joint venture, which is anticipated to open in late 2018, as well as pre-opening expenses in the 2017 period, and losses incurred in the 2018 period, by our Opry City Stage joint venture in Times Square in New York City, which opened in December 2017. We acquired the remaining 50% joint venture interest in Opry City Stage in the second quarter of 2018. In addition, the nine-month 2018 period includes a gain of $2.8 million recognized from the re-measurement of the pre-existing Opry City Stage equity method investment prior to consolidation. In September 2018, we announced that we were temporarily suspending operations at Opry City Stage to appropriately reposition the venue and its operations.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Gains and (Losses), net</w:t>
      </w:r>
    </w:p>
    <w:p>
      <w:pPr>
        <w:spacing w:after="0" w:line="198"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Other gains and (losses), net for the three months and nine months ended September 30, 2018 and 2017 primarily includes gains of $2.7 million and $2.6 million, respectively, from a fund associated with the Gaylord National bonds to reimburse us for certain marketing and maintenance expenses. These gains are partially offset by pension settlement losses associated with our defined benefit pension plan in the three months and nine months ended September 30, 2018 and 2017 of $1.0 million and $1.2 million, respectively. Other gains and (losses), net for the nine-month 2017 period also includes a loss on certain assets that were disposed of in our Entertainment and Corporate segments.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Provision for Income Taxes</w:t>
      </w:r>
    </w:p>
    <w:p>
      <w:pPr>
        <w:spacing w:after="0" w:line="185"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As a REIT, we generally will not be subject to federal corporate income taxes on ordinary taxable income and capital gains income from real estate investments that we distribute to our stockholders. We will continue to be required to pay federal and state corporate income taxes on earnings of our TRSs.</w:t>
      </w:r>
    </w:p>
    <w:p>
      <w:pPr>
        <w:spacing w:after="0" w:line="154"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For the three months ended September 30, 2018 and 2017, we recorded an income tax provision of $1.9 million and $0.5 million, respectively. For the nine months ended September 30, 2018 and 2017, we recorded an income tax provision of $9.7 million and $2.0 million, respectively. These results differ from the statutory rate primarily due to the REIT dividends paid deduction in both periods and the change in valuation allowance required at the TRSs for the 2017 periods.</w:t>
      </w:r>
    </w:p>
    <w:p>
      <w:pPr>
        <w:spacing w:after="0" w:line="114"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On December 22, 2017, the Tax Cuts and Jobs Act (“TCJA”) was enacted and included a reduction to the U.S. federal corporate income tax rate from 35% to 21% for tax years beginning after December 31, 2017. As discussed in SEC Staff Accounting Bulletin No. 118, the accounting for the TCJA should be completed within one year from enactment. As of September 30, 2018, we have completed our accounting for all of the enactment-date income tax effects of the TCJA. During the nine months ended September 30, 2018, we have made no adjustments to the provisional amounts recorded at December 31, 2017.</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198" w:lineRule="exact"/>
        <w:rPr>
          <w:sz w:val="20"/>
          <w:szCs w:val="20"/>
          <w:color w:val="auto"/>
        </w:rPr>
      </w:pPr>
    </w:p>
    <w:p>
      <w:pPr>
        <w:ind w:right="160"/>
        <w:spacing w:after="0" w:line="285" w:lineRule="auto"/>
        <w:rPr>
          <w:sz w:val="20"/>
          <w:szCs w:val="20"/>
          <w:color w:val="auto"/>
        </w:rPr>
      </w:pPr>
      <w:r>
        <w:rPr>
          <w:rFonts w:ascii="Arial" w:cs="Arial" w:eastAsia="Arial" w:hAnsi="Arial"/>
          <w:sz w:val="16"/>
          <w:szCs w:val="16"/>
          <w:i w:val="1"/>
          <w:iCs w:val="1"/>
          <w:color w:val="auto"/>
        </w:rPr>
        <w:t>Cash Flows From Operating Activities</w:t>
      </w:r>
      <w:r>
        <w:rPr>
          <w:rFonts w:ascii="Arial" w:cs="Arial" w:eastAsia="Arial" w:hAnsi="Arial"/>
          <w:sz w:val="16"/>
          <w:szCs w:val="16"/>
          <w:color w:val="auto"/>
        </w:rPr>
        <w:t>. Cash flow from operating activities is the principal source of cash used to fund our</w:t>
      </w:r>
      <w:r>
        <w:rPr>
          <w:rFonts w:ascii="Arial" w:cs="Arial" w:eastAsia="Arial" w:hAnsi="Arial"/>
          <w:sz w:val="16"/>
          <w:szCs w:val="16"/>
          <w:i w:val="1"/>
          <w:iCs w:val="1"/>
          <w:color w:val="auto"/>
        </w:rPr>
        <w:t xml:space="preserve"> </w:t>
      </w:r>
      <w:r>
        <w:rPr>
          <w:rFonts w:ascii="Arial" w:cs="Arial" w:eastAsia="Arial" w:hAnsi="Arial"/>
          <w:sz w:val="16"/>
          <w:szCs w:val="16"/>
          <w:color w:val="auto"/>
        </w:rPr>
        <w:t>operating expenses, interest payments on debt, maintenance capital expenditures, and dividends to stockholders. During the nine months ended September 30, 2018, our net cash flows provided by operating activities were $225.3 million, primarily reflecting cash provided by our income before depreciation expense, amortization expense and other non-cash charges of approximately $220.3 million, and favorable changes in working capital of approximately $5.0 million. During the</w:t>
      </w:r>
    </w:p>
    <w:p>
      <w:pPr>
        <w:spacing w:after="0" w:line="2"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color w:val="auto"/>
        </w:rPr>
        <w:t>nine months ended September 30, 2017, our net cash flows provided by operating activities were $215.8 million, primarily reflecting cash provided by our income before depreciation expense, amortization expense and other non-cash charges of approximately $197.0 million, and favorable changes in working capital of</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0" w:name="page41"/>
    <w:bookmarkEnd w:id="4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approximately $18.8 million. The changes in working capital in both periods primarily resulted from an increase in accounts payable and accrued liabilities primarily attributable to an increase in deferred revenues associated with our Christmas-related programs and an increase in accrued interest on our outstanding debt, partially offset by an increase in trade receivables due to a seasonal change in the timing of payments received from corporate group customers at our Gaylord Hotels properties.</w:t>
      </w:r>
    </w:p>
    <w:p>
      <w:pPr>
        <w:spacing w:after="0" w:line="148" w:lineRule="exact"/>
        <w:rPr>
          <w:sz w:val="20"/>
          <w:szCs w:val="20"/>
          <w:color w:val="auto"/>
        </w:rPr>
      </w:pPr>
    </w:p>
    <w:p>
      <w:pPr>
        <w:ind w:right="200"/>
        <w:spacing w:after="0" w:line="276" w:lineRule="auto"/>
        <w:rPr>
          <w:sz w:val="20"/>
          <w:szCs w:val="20"/>
          <w:color w:val="auto"/>
        </w:rPr>
      </w:pPr>
      <w:r>
        <w:rPr>
          <w:rFonts w:ascii="Arial" w:cs="Arial" w:eastAsia="Arial" w:hAnsi="Arial"/>
          <w:sz w:val="17"/>
          <w:szCs w:val="17"/>
          <w:i w:val="1"/>
          <w:iCs w:val="1"/>
          <w:color w:val="auto"/>
        </w:rPr>
        <w:t xml:space="preserve">Cash Flows From Investing Activities. </w:t>
      </w:r>
      <w:r>
        <w:rPr>
          <w:rFonts w:ascii="Arial" w:cs="Arial" w:eastAsia="Arial" w:hAnsi="Arial"/>
          <w:sz w:val="17"/>
          <w:szCs w:val="17"/>
          <w:color w:val="auto"/>
        </w:rPr>
        <w:t>During the nine months ended September 30, 2018, our primary uses of funds for</w:t>
      </w:r>
      <w:r>
        <w:rPr>
          <w:rFonts w:ascii="Arial" w:cs="Arial" w:eastAsia="Arial" w:hAnsi="Arial"/>
          <w:sz w:val="17"/>
          <w:szCs w:val="17"/>
          <w:i w:val="1"/>
          <w:iCs w:val="1"/>
          <w:color w:val="auto"/>
        </w:rPr>
        <w:t xml:space="preserve"> </w:t>
      </w:r>
      <w:r>
        <w:rPr>
          <w:rFonts w:ascii="Arial" w:cs="Arial" w:eastAsia="Arial" w:hAnsi="Arial"/>
          <w:sz w:val="17"/>
          <w:szCs w:val="17"/>
          <w:color w:val="auto"/>
        </w:rPr>
        <w:t>investing activities were purchases of property and equipment, which totaled $132.8 million, and consisted primarily of construction of the new waterpark at Gaylord Opryland, the expansion of the guest rooms and convention space at Gaylord Texan, construction of Ole Red Nashville, an expansion of the retail, ticketing and parking areas at the Grand Ole Opry House, and ongoing maintenance capital expenditures for our existing properties.</w:t>
      </w:r>
    </w:p>
    <w:p>
      <w:pPr>
        <w:spacing w:after="0" w:line="146"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During the nine months ended September 30, 2017, our primary uses of funds for investing activities were purchases of property and equipment, which totaled $127.1 million, and our investment of $16.3 million in the Gaylord Rockies joint venture. Purchases of property and equipment consisted primarily of the expansion of the guest rooms and convention space at Gaylord Texan, the renovation of a portion of the guest rooms at Gaylord Opryland, the commencement of construction for the new waterpark at Gaylord Opryland, a freestanding event ballroom and an expanded event space at Gaylord National, and ongoing maintenance capital expenditures for our existing properties.</w:t>
      </w:r>
    </w:p>
    <w:p>
      <w:pPr>
        <w:spacing w:after="0" w:line="138" w:lineRule="exact"/>
        <w:rPr>
          <w:sz w:val="20"/>
          <w:szCs w:val="20"/>
          <w:color w:val="auto"/>
        </w:rPr>
      </w:pPr>
    </w:p>
    <w:p>
      <w:pPr>
        <w:jc w:val="both"/>
        <w:ind w:right="100"/>
        <w:spacing w:after="0" w:line="279" w:lineRule="auto"/>
        <w:rPr>
          <w:sz w:val="20"/>
          <w:szCs w:val="20"/>
          <w:color w:val="auto"/>
        </w:rPr>
      </w:pPr>
      <w:r>
        <w:rPr>
          <w:rFonts w:ascii="Arial" w:cs="Arial" w:eastAsia="Arial" w:hAnsi="Arial"/>
          <w:sz w:val="17"/>
          <w:szCs w:val="17"/>
          <w:i w:val="1"/>
          <w:iCs w:val="1"/>
          <w:color w:val="auto"/>
        </w:rPr>
        <w:t>Cash Flows From Financing Activities</w:t>
      </w:r>
      <w:r>
        <w:rPr>
          <w:rFonts w:ascii="Arial" w:cs="Arial" w:eastAsia="Arial" w:hAnsi="Arial"/>
          <w:sz w:val="17"/>
          <w:szCs w:val="17"/>
          <w:color w:val="auto"/>
        </w:rPr>
        <w:t>. Our cash flows from financing activities primarily reflect the incurrence of debt, the</w:t>
      </w:r>
      <w:r>
        <w:rPr>
          <w:rFonts w:ascii="Arial" w:cs="Arial" w:eastAsia="Arial" w:hAnsi="Arial"/>
          <w:sz w:val="17"/>
          <w:szCs w:val="17"/>
          <w:i w:val="1"/>
          <w:iCs w:val="1"/>
          <w:color w:val="auto"/>
        </w:rPr>
        <w:t xml:space="preserve"> </w:t>
      </w:r>
      <w:r>
        <w:rPr>
          <w:rFonts w:ascii="Arial" w:cs="Arial" w:eastAsia="Arial" w:hAnsi="Arial"/>
          <w:sz w:val="17"/>
          <w:szCs w:val="17"/>
          <w:color w:val="auto"/>
        </w:rPr>
        <w:t>repayment of long-term debt and the payment of cash dividends. During the nine months ended September 30, 2018, our net cash flows used in financing activities were approximately $37.0 million, primarily reflecting the payment of $128.8 million in cash dividends, partially offset by $99.0 million in net borrowings under our revolving credit facility.</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color w:val="auto"/>
        </w:rPr>
        <w:t>During the nine months ended September 30, 2017, our net cash flows used in financing activities were approximately $65.2</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million, primarily reflecting the repayment of $235.9 million under our refinanced revolving credit facility, the payment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$120.7 million in cash dividends and the payment of $12.3 million in deferred financing costs related to our refinanced credit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facility. These uses of cash were partially offset by $200.0 million in borrowings under our new term loan A and $107.5</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million in net borrowings under our refinanced term loan B.</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Liquidity</w:t>
      </w:r>
    </w:p>
    <w:p>
      <w:pPr>
        <w:spacing w:after="0" w:line="18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At September 30, 2018, we had $86.0 million in unrestricted cash and $427.6 million available for borrowing under our revolving credit facility. During the nine months ended September 30, 2018, we net borrowed $99.0 million under our revolving credit facility, incurred capital expenditures of $132.8 million and paid cash dividends of $128.8 million. These net outflows were offset by cash flows from operating activities discussed above, resulting in the increase in our cash balance from December 31, 2017 to September 30, 2018.</w:t>
      </w:r>
    </w:p>
    <w:p>
      <w:pPr>
        <w:spacing w:after="0" w:line="148" w:lineRule="exact"/>
        <w:rPr>
          <w:sz w:val="20"/>
          <w:szCs w:val="20"/>
          <w:color w:val="auto"/>
        </w:rPr>
      </w:pPr>
    </w:p>
    <w:p>
      <w:pPr>
        <w:ind w:right="120"/>
        <w:spacing w:after="0" w:line="297" w:lineRule="auto"/>
        <w:rPr>
          <w:sz w:val="20"/>
          <w:szCs w:val="20"/>
          <w:color w:val="auto"/>
        </w:rPr>
      </w:pPr>
      <w:r>
        <w:rPr>
          <w:rFonts w:ascii="Arial" w:cs="Arial" w:eastAsia="Arial" w:hAnsi="Arial"/>
          <w:sz w:val="16"/>
          <w:szCs w:val="16"/>
          <w:color w:val="auto"/>
        </w:rPr>
        <w:t>We currently plan to pay a quarterly cash dividend of $0.85 per share in January 2019, subject to determinations as to the timing and amount by our board of directors. We anticipate investing in our operations during the remainder of 2018 by spending approximately $242 million to purchase an additional investment interest in the Gaylord Rockies joint venture and by spending between $45 million and $65 million in capital expenditures, which primarily includes ongoing maintenance capital of our current facilities and the construction of a luxury indoor/outdoor waterpark at Gaylord Opryland.</w:t>
      </w:r>
    </w:p>
    <w:p>
      <w:pPr>
        <w:spacing w:after="0" w:line="131"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We believe that our cash on hand and cash from operations will be adequate to fund our general short-term commitments, as well as: (i) normal operating expenses, (ii) interest expense on long-term debt obligations, (iii) capital lease and operating lease obligations, and (iv) declared dividends. If our existing cash and cash from operations were inadequate to fund such items, as well as capital expenditures and our planned additional investment in the Gaylord Rockies joint venture, we could draw on our credit facility, subject to the satisfaction of covenants in the credit facility.</w:t>
      </w:r>
    </w:p>
    <w:p>
      <w:pPr>
        <w:spacing w:after="0" w:line="132"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Our outstanding principal debt agreements, none of which mature prior to 2021, are described below. Based on current projections for compliance under our financial covenants contained in these agreements, we do not foresee a maturity issue prior to their scheduled maturity date.</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color w:val="auto"/>
        </w:rPr>
        <w:t>At September 30, 2018, we were in compliance with all covenants related to our outstanding debt.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1" w:name="page42"/>
    <w:bookmarkEnd w:id="4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Principal Debt Agreements</w:t>
      </w:r>
    </w:p>
    <w:p>
      <w:pPr>
        <w:spacing w:after="0" w:line="185"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i w:val="1"/>
          <w:iCs w:val="1"/>
          <w:color w:val="auto"/>
        </w:rPr>
        <w:t>Credit Facility</w:t>
      </w:r>
      <w:r>
        <w:rPr>
          <w:rFonts w:ascii="Arial" w:cs="Arial" w:eastAsia="Arial" w:hAnsi="Arial"/>
          <w:sz w:val="17"/>
          <w:szCs w:val="17"/>
          <w:color w:val="auto"/>
        </w:rPr>
        <w:t>. On May 11, 2017, we entered into a Fifth Amended and Restated Credit Agreement (the “Credit</w:t>
      </w:r>
      <w:r>
        <w:rPr>
          <w:rFonts w:ascii="Arial" w:cs="Arial" w:eastAsia="Arial" w:hAnsi="Arial"/>
          <w:sz w:val="17"/>
          <w:szCs w:val="17"/>
          <w:i w:val="1"/>
          <w:iCs w:val="1"/>
          <w:color w:val="auto"/>
        </w:rPr>
        <w:t xml:space="preserve"> </w:t>
      </w:r>
      <w:r>
        <w:rPr>
          <w:rFonts w:ascii="Arial" w:cs="Arial" w:eastAsia="Arial" w:hAnsi="Arial"/>
          <w:sz w:val="17"/>
          <w:szCs w:val="17"/>
          <w:color w:val="auto"/>
        </w:rPr>
        <w:t>Agreement”) among the Company, as a guarantor, the Operating Partnership, as borrower, certain other subsidiaries of the Company party thereto, as guarantors, certain subsidiaries of the Company party thereto, as pledgors, the lenders party thereto and Wells Fargo Bank, N.A., as administrative agent, which amended and restated the Company’s existing credit facility. In addition, on May 23, 2017, we entered into an Amendment No. 1 (the “Amendment No. 1”) and on June 26, 2018, we entered into an Amendment No. 2 (the “Amendment No. 2”) to the Credit Agreement among the same parties, as discussed below. As amended, our credit facility consists of a $700.0 million senior secured revolving credit facility (the “Revolver”), a $200.0 million senior secured term loan A (the “Term Loan A”), and a $500.0 million senior secured term loan B (the “Term Loan B”), each as discussed below.</w:t>
      </w:r>
    </w:p>
    <w:p>
      <w:pPr>
        <w:spacing w:after="0" w:line="15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Each of the Revolver, Term Loan A and Term Loan B is guaranteed by us, each of our four wholly-owned subsidiaries that own the Gaylord Hotels properties, and certain of our other subsidiaries. Each is secured by (i) a first mortgage lien on the real property of each of our Gaylord Hotels properties, (ii) pledges of equity interests in our subsidiaries that own the Gaylord Hotels properties, (iii) our personal property and the personal property of the Operating Partnership and our guarantor subsidiaries and (iv) all proceeds and products from our Gaylord Hotels properties. Advances are subject to a 55% borrowing base, based on the appraisal value of the Gaylord Hotels properties (reduced to 50% in the event one of the Gaylord Hotels properties is sold).</w:t>
      </w:r>
    </w:p>
    <w:p>
      <w:pPr>
        <w:spacing w:after="0" w:line="149"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In addition, each of the Revolver, Term Loan A and Term Loan B contains certain covenants which, among other things, limit the incurrence of additional indebtedness, investments, dividends, transactions with affiliates, asset sales, acquisitions, mergers and consolidations, liens and encumbrances and other matters customarily restricted in such agreements. The material financial covenants, ratios or tests contained in the Credit Agreement are as follows (and are unchanged from the previous credit agreement):</w:t>
      </w:r>
    </w:p>
    <w:p>
      <w:pPr>
        <w:spacing w:after="0" w:line="148" w:lineRule="exact"/>
        <w:rPr>
          <w:sz w:val="20"/>
          <w:szCs w:val="20"/>
          <w:color w:val="auto"/>
        </w:rPr>
      </w:pPr>
    </w:p>
    <w:p>
      <w:pPr>
        <w:ind w:left="660" w:right="20" w:hanging="333"/>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must maintain a consolidated funded indebtedness to total asset value ratio as of the end of each calendar quarter of not more than .65 to 1.0.</w:t>
      </w:r>
    </w:p>
    <w:p>
      <w:pPr>
        <w:spacing w:after="0" w:line="129" w:lineRule="exact"/>
        <w:rPr>
          <w:rFonts w:ascii="Arial" w:cs="Arial" w:eastAsia="Arial" w:hAnsi="Arial"/>
          <w:sz w:val="18"/>
          <w:szCs w:val="18"/>
          <w:color w:val="auto"/>
        </w:rPr>
      </w:pPr>
    </w:p>
    <w:p>
      <w:pPr>
        <w:ind w:left="660" w:right="180" w:hanging="333"/>
        <w:spacing w:after="0" w:line="342" w:lineRule="auto"/>
        <w:tabs>
          <w:tab w:leader="none" w:pos="6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We must maintain a consolidated tangible net worth (as defined in the Credit Agreement) of not less than $175 million plus 75% of the proceeds received by us or any of our subsidiaries in connection with any equity issuance.</w:t>
      </w:r>
    </w:p>
    <w:p>
      <w:pPr>
        <w:spacing w:after="0" w:line="83" w:lineRule="exact"/>
        <w:rPr>
          <w:rFonts w:ascii="Arial" w:cs="Arial" w:eastAsia="Arial" w:hAnsi="Arial"/>
          <w:sz w:val="16"/>
          <w:szCs w:val="16"/>
          <w:color w:val="auto"/>
        </w:rPr>
      </w:pPr>
    </w:p>
    <w:p>
      <w:pPr>
        <w:ind w:left="660" w:right="180" w:hanging="333"/>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must maintain a consolidated fixed charge coverage ratio (as defined in the Credit Agreement) of not less than 1.50 to 1.00.</w:t>
      </w:r>
    </w:p>
    <w:p>
      <w:pPr>
        <w:spacing w:after="0" w:line="129" w:lineRule="exact"/>
        <w:rPr>
          <w:rFonts w:ascii="Arial" w:cs="Arial" w:eastAsia="Arial" w:hAnsi="Arial"/>
          <w:sz w:val="18"/>
          <w:szCs w:val="18"/>
          <w:color w:val="auto"/>
        </w:rPr>
      </w:pPr>
    </w:p>
    <w:p>
      <w:pPr>
        <w:ind w:left="660" w:right="100" w:hanging="333"/>
        <w:spacing w:after="0" w:line="264"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must maintain an implied debt service coverage ratio (the ratio of adjusted net operating income to monthly principal and interest that would be required if the outstanding balance were amortized over 25 years at an assumed fixed rate) of not less than 1.60 to 1.00.</w:t>
      </w:r>
    </w:p>
    <w:p>
      <w:pPr>
        <w:spacing w:after="0" w:line="141" w:lineRule="exact"/>
        <w:rPr>
          <w:sz w:val="20"/>
          <w:szCs w:val="20"/>
          <w:color w:val="auto"/>
        </w:rPr>
      </w:pPr>
    </w:p>
    <w:p>
      <w:pPr>
        <w:ind w:right="220"/>
        <w:spacing w:after="0" w:line="286" w:lineRule="auto"/>
        <w:rPr>
          <w:sz w:val="20"/>
          <w:szCs w:val="20"/>
          <w:color w:val="auto"/>
        </w:rPr>
      </w:pPr>
      <w:r>
        <w:rPr>
          <w:rFonts w:ascii="Arial" w:cs="Arial" w:eastAsia="Arial" w:hAnsi="Arial"/>
          <w:sz w:val="17"/>
          <w:szCs w:val="17"/>
          <w:color w:val="auto"/>
        </w:rPr>
        <w:t>If an event of default shall occur and be continuing under the Credit Agreement, the commitments under the Credit Agreement may be terminated and the principal amount outstanding under the Credit Agreement, together with all accrued unpaid interest and other amounts owing in respect thereof, may be declared immediately due and payable.</w:t>
      </w:r>
    </w:p>
    <w:p>
      <w:pPr>
        <w:spacing w:after="0" w:line="139"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i w:val="1"/>
          <w:iCs w:val="1"/>
          <w:color w:val="auto"/>
        </w:rPr>
        <w:t>$700 Million Revolving Credit Facility</w:t>
      </w:r>
      <w:r>
        <w:rPr>
          <w:rFonts w:ascii="Arial" w:cs="Arial" w:eastAsia="Arial" w:hAnsi="Arial"/>
          <w:sz w:val="17"/>
          <w:szCs w:val="17"/>
          <w:color w:val="auto"/>
        </w:rPr>
        <w:t>. Pursuant to Amendment No. 1, we extended the maturity of the Revolver to May 23,</w:t>
      </w:r>
      <w:r>
        <w:rPr>
          <w:rFonts w:ascii="Arial" w:cs="Arial" w:eastAsia="Arial" w:hAnsi="Arial"/>
          <w:sz w:val="17"/>
          <w:szCs w:val="17"/>
          <w:i w:val="1"/>
          <w:iCs w:val="1"/>
          <w:color w:val="auto"/>
        </w:rPr>
        <w:t xml:space="preserve"> </w:t>
      </w:r>
      <w:r>
        <w:rPr>
          <w:rFonts w:ascii="Arial" w:cs="Arial" w:eastAsia="Arial" w:hAnsi="Arial"/>
          <w:sz w:val="17"/>
          <w:szCs w:val="17"/>
          <w:color w:val="auto"/>
        </w:rPr>
        <w:t>2021, with two additional six-month extension options, at our election. Borrowings under the Revolver bear interest at an annual rate equal to, at our option, either (i) LIBOR plus the applicable margin ranging from 1.55% to 2.40%, dependent upon our funded debt to total asset value ratio (as defined in the Credit Agreement) or (ii) a base rate as set in the Credit Agreement. At September 30, 2018, the interest rate on the Revolver was LIBOR plus 1.55%. Principal is payable in full at maturity. No additional amounts were borrowed under the Revolver at closing.</w:t>
      </w:r>
    </w:p>
    <w:p>
      <w:pPr>
        <w:spacing w:after="0" w:line="138"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At September 30, 2018, $270.0 million of borrowings were outstanding under the Revolver, and the lending banks had issued $2.4 million of letters of credit under the Credit Agreement, which left $427.6 million of availability under the Revolver (subject to the satisfaction of debt incurrence tests under the indentures governing our $350 million in aggregate principal amount of senior notes due 2021 (the “$350 Million 5% Senior Notes”) and $400 million in</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2" w:name="page43"/>
    <w:bookmarkEnd w:id="4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aggregate principal amount of senior notes due 2023 (the “$400 Million 5% Senior Notes”), which we met at September 30, 2018).</w:t>
      </w:r>
    </w:p>
    <w:p>
      <w:pPr>
        <w:spacing w:after="0" w:line="130"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i w:val="1"/>
          <w:iCs w:val="1"/>
          <w:color w:val="auto"/>
        </w:rPr>
        <w:t xml:space="preserve">$200 Million Term Loan A Facility. </w:t>
      </w:r>
      <w:r>
        <w:rPr>
          <w:rFonts w:ascii="Arial" w:cs="Arial" w:eastAsia="Arial" w:hAnsi="Arial"/>
          <w:sz w:val="16"/>
          <w:szCs w:val="16"/>
          <w:color w:val="auto"/>
        </w:rPr>
        <w:t>Amendment No. 1 also provides for the Term Loan A, which has a maturity date of</w:t>
      </w:r>
      <w:r>
        <w:rPr>
          <w:rFonts w:ascii="Arial" w:cs="Arial" w:eastAsia="Arial" w:hAnsi="Arial"/>
          <w:sz w:val="16"/>
          <w:szCs w:val="16"/>
          <w:i w:val="1"/>
          <w:iCs w:val="1"/>
          <w:color w:val="auto"/>
        </w:rPr>
        <w:t xml:space="preserve"> </w:t>
      </w:r>
      <w:r>
        <w:rPr>
          <w:rFonts w:ascii="Arial" w:cs="Arial" w:eastAsia="Arial" w:hAnsi="Arial"/>
          <w:sz w:val="16"/>
          <w:szCs w:val="16"/>
          <w:color w:val="auto"/>
        </w:rPr>
        <w:t>May 23, 2022. Borrowings bear interest at an annual rate equal to, at our option, either (i) LIBOR plus the applicable margin ranging from 1.50% to 2.35%, dependent upon our funded debt to total asset value ratio (as defined in the Credit Agreement) or (ii) a base rate as set in the Credit Agreement. At September 30, 2018, the interest rate on the Term Loan A was LIBOR plus 1.50%. Amounts borrowed under the Term Loan A that are repaid or prepaid may not be reborrowed. At closing, we drew down on the Term Loan A in full and proceeds were used to pay down a portion of the Revolver.</w:t>
      </w:r>
    </w:p>
    <w:p>
      <w:pPr>
        <w:spacing w:after="0" w:line="138" w:lineRule="exact"/>
        <w:rPr>
          <w:sz w:val="20"/>
          <w:szCs w:val="20"/>
          <w:color w:val="auto"/>
        </w:rPr>
      </w:pPr>
    </w:p>
    <w:p>
      <w:pPr>
        <w:spacing w:after="0" w:line="286" w:lineRule="auto"/>
        <w:rPr>
          <w:sz w:val="20"/>
          <w:szCs w:val="20"/>
          <w:color w:val="auto"/>
        </w:rPr>
      </w:pPr>
      <w:r>
        <w:rPr>
          <w:rFonts w:ascii="Arial" w:cs="Arial" w:eastAsia="Arial" w:hAnsi="Arial"/>
          <w:sz w:val="16"/>
          <w:szCs w:val="16"/>
          <w:i w:val="1"/>
          <w:iCs w:val="1"/>
          <w:color w:val="auto"/>
        </w:rPr>
        <w:t xml:space="preserve">$500 Million Term Loan B Facility. </w:t>
      </w:r>
      <w:r>
        <w:rPr>
          <w:rFonts w:ascii="Arial" w:cs="Arial" w:eastAsia="Arial" w:hAnsi="Arial"/>
          <w:sz w:val="16"/>
          <w:szCs w:val="16"/>
          <w:color w:val="auto"/>
        </w:rPr>
        <w:t>In May 2017, as part of the Credit Agreement discussed above, we increased the capacity</w:t>
      </w:r>
      <w:r>
        <w:rPr>
          <w:rFonts w:ascii="Arial" w:cs="Arial" w:eastAsia="Arial" w:hAnsi="Arial"/>
          <w:sz w:val="16"/>
          <w:szCs w:val="16"/>
          <w:i w:val="1"/>
          <w:iCs w:val="1"/>
          <w:color w:val="auto"/>
        </w:rPr>
        <w:t xml:space="preserve"> </w:t>
      </w:r>
      <w:r>
        <w:rPr>
          <w:rFonts w:ascii="Arial" w:cs="Arial" w:eastAsia="Arial" w:hAnsi="Arial"/>
          <w:sz w:val="16"/>
          <w:szCs w:val="16"/>
          <w:color w:val="auto"/>
        </w:rPr>
        <w:t>under our previous $400 million term loan B to $500 million. The Term Loan B has a maturity date of May 11, 2024 and, prior to June 26, 2018, borrowings bore interest at an annual rate equal to, at our option, either (i) LIBOR plus 2.25% or (ii) a base rate as set in the Credit Agreement. On June 26, 2018, we entered into Amendment No. 2 that reduces the applicable interest rate margins for borrowings under the Term Loan B to, at our option, either (i) LIBOR plus 2.00% or (ii) a base rate as set in the Credit Agreement. At September 30, 2018, the interest rate on the Term Loan B was LIBOR plus 2.00%. The Term Loan B amortizes in equal quarterly installments in aggregate annual amounts equal to 1.0% of the original principal amount of $500.0 million, with the balance due at maturity. In addition, if for any fiscal year, there is Excess Cash Flow (as defined in the Credit Agreement), an additional principal amount is required. As a result of Amendment No. 2, the commencement date for any Excess Cash Flow payments has been extended to December 31, 2019. Amounts borrowed under the Term Loan B that are repaid or prepaid may not be reborrowed. At closing of Amendment No. 1, we drew down on the Term Loan B in full. Net proceeds, after the repayment of the original $400 million term loan B and certain transaction expenses payable at closing, were used to pay down a portion of the Revolver. Amendment No. 2 did not change the maturity dates existing under the Credit Agreement or result in any increase or decrease in outstanding borrowings.</w:t>
      </w:r>
    </w:p>
    <w:p>
      <w:pPr>
        <w:spacing w:after="0" w:line="131"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As a result of the repricing of the Term Loan B in 2018, we wrote off $2.0 million of deferred financing costs during the nine months ended September 30, 2018, which is included in interest expense in the accompanying condensed consolidated statement of operations. At September 30, 2018, $493.8 million in borrowings were outstanding under the Term Loan B.</w:t>
      </w:r>
    </w:p>
    <w:p>
      <w:pPr>
        <w:spacing w:after="0" w:line="106" w:lineRule="exact"/>
        <w:rPr>
          <w:sz w:val="20"/>
          <w:szCs w:val="20"/>
          <w:color w:val="auto"/>
        </w:rPr>
      </w:pPr>
    </w:p>
    <w:p>
      <w:pPr>
        <w:spacing w:after="0" w:line="268" w:lineRule="auto"/>
        <w:rPr>
          <w:sz w:val="20"/>
          <w:szCs w:val="20"/>
          <w:color w:val="auto"/>
        </w:rPr>
      </w:pPr>
      <w:r>
        <w:rPr>
          <w:rFonts w:ascii="Arial" w:cs="Arial" w:eastAsia="Arial" w:hAnsi="Arial"/>
          <w:sz w:val="17"/>
          <w:szCs w:val="17"/>
          <w:i w:val="1"/>
          <w:iCs w:val="1"/>
          <w:color w:val="auto"/>
        </w:rPr>
        <w:t xml:space="preserve">$350 Million 5% Senior Notes. </w:t>
      </w:r>
      <w:r>
        <w:rPr>
          <w:rFonts w:ascii="Arial" w:cs="Arial" w:eastAsia="Arial" w:hAnsi="Arial"/>
          <w:sz w:val="17"/>
          <w:szCs w:val="17"/>
          <w:color w:val="auto"/>
        </w:rPr>
        <w:t>In 2013, the Operating Partnership and Finco completed the private placement of $350.0</w:t>
      </w:r>
      <w:r>
        <w:rPr>
          <w:rFonts w:ascii="Arial" w:cs="Arial" w:eastAsia="Arial" w:hAnsi="Arial"/>
          <w:sz w:val="17"/>
          <w:szCs w:val="17"/>
          <w:i w:val="1"/>
          <w:iCs w:val="1"/>
          <w:color w:val="auto"/>
        </w:rPr>
        <w:t xml:space="preserve"> </w:t>
      </w:r>
      <w:r>
        <w:rPr>
          <w:rFonts w:ascii="Arial" w:cs="Arial" w:eastAsia="Arial" w:hAnsi="Arial"/>
          <w:sz w:val="17"/>
          <w:szCs w:val="17"/>
          <w:color w:val="auto"/>
        </w:rPr>
        <w:t>million in aggregate principal amount of senior notes due 2021, which are guaranteed by the Company and its subsidiaries that guarantee the Credit Agreement. The $350 Million 5% Senior Notes and guarantees were issued pursuant to an indenture by and among the issuing subsidiaries and the guarantors and U.S. Bank National Association as trustee. The $350 Million 5% Senior Notes have a maturity date of April 15, 2021 and bear interest at 5% per annum, payable semi-annually in cash in arrears on April 15 and October 15 of each year. The $350 Million 5% Senior Notes are general unsecured and unsubordinated obligations of the issuing subsidiaries and rank equal in right of payment with such subsidiaries’ existing and future senior unsecured indebtedness and senior in right of payment to future subordinated indebtedness, if any. The $350 Million 5% Senior Notes are effectively subordinated to the issuing subsidiaries’ secured indebtedness to the extent of the value of the assets securing such indebtedness. The guarantees rank equally in right of payment with the applicable guarantor’s existing and future senior unsecured indebtedness and senior in right of payment to any future subordinated indebtedness of such guarantor. The $350 Million 5% Senior Notes will be effectively subordinated to any secured indebtedness of any guarantor to the extent of the value of the assets securing such indebtedness and structurally subordinated to all indebtedness and other obligations of the Operating Partnership’s subsidiaries that do not guarantee the $350 Million 5% Senior Notes.</w:t>
      </w:r>
    </w:p>
    <w:p>
      <w:pPr>
        <w:spacing w:after="0" w:line="156" w:lineRule="exact"/>
        <w:rPr>
          <w:sz w:val="20"/>
          <w:szCs w:val="20"/>
          <w:color w:val="auto"/>
        </w:rPr>
      </w:pPr>
    </w:p>
    <w:p>
      <w:pPr>
        <w:ind w:right="240"/>
        <w:spacing w:after="0" w:line="286" w:lineRule="auto"/>
        <w:rPr>
          <w:sz w:val="20"/>
          <w:szCs w:val="20"/>
          <w:color w:val="auto"/>
        </w:rPr>
      </w:pPr>
      <w:r>
        <w:rPr>
          <w:rFonts w:ascii="Arial" w:cs="Arial" w:eastAsia="Arial" w:hAnsi="Arial"/>
          <w:sz w:val="17"/>
          <w:szCs w:val="17"/>
          <w:color w:val="auto"/>
        </w:rPr>
        <w:t>The $350 Million 5% Senior Notes are redeemable, in whole or in part, at a redemption price expressed as a percentage of the principal amount thereof, which percentage is 101.25%, and 100.00% beginning on April 15 of 2018 and 2019, respectively, plus accrued and unpaid interest thereon to, but not including, the redemption date.</w:t>
      </w:r>
    </w:p>
    <w:p>
      <w:pPr>
        <w:spacing w:after="0" w:line="125"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In connection with the issuance of the $350 Million 5% Senior Notes, we completed a registered offer to exchange the $350 Million 5% Senior Notes for registered notes with substantially identical terms as the $350 Million 5% Senior Notes in November 2013.</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43" w:name="page44"/>
    <w:bookmarkEnd w:id="4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$400 Million 5% Senior Notes. </w:t>
      </w:r>
      <w:r>
        <w:rPr>
          <w:rFonts w:ascii="Arial" w:cs="Arial" w:eastAsia="Arial" w:hAnsi="Arial"/>
          <w:sz w:val="18"/>
          <w:szCs w:val="18"/>
          <w:color w:val="auto"/>
        </w:rPr>
        <w:t>In 2015, the Operating Partnership and Finco completed the private placement of</w:t>
      </w:r>
    </w:p>
    <w:p>
      <w:pPr>
        <w:spacing w:after="0" w:line="23"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$400.0 million in aggregate principal amount of senior notes due 2023. The $400 Million 5% Senior Notes are general unsecured senior obligations of the Company’s issuing subsidiaries and are guaranteed by the Company and its subsidiaries that guarantee the Credit Agreement. The $400 Million 5% Senior Notes and guarantees were issued pursuant to an indenture by and among the issuing subsidiaries and the guarantors and U.S. Bank National Association as trustee. The $400 Million 5% Senior Notes have a maturity date of April 15, 2023 and bear interest at 5% per annum, payable semi-annually in cash in arrears on April 15 and October 15 of each year. The $400 Million 5% Senior Notes are general unsecured and unsubordinated obligations of the issuing subsidiaries and rank equal in right of payment with such subsidiaries’ existing and future senior unsecured indebtedness, including the $350 Million 5% Senior Notes, and senior in right of payment to future subordinated indebtedness, if any. The $400 Million 5% Senior Notes are effectively subordinated to the issuing subsidiaries’ secured indebtedness to the extent of the value of the assets securing such indebtedness. The guarantees rank equally in right of payment with the applicable guarantor’s existing and future senior unsecured indebtedness and senior in right of payment to any future subordinated indebtedness of such guarantor. The $400 Million 5% Senior Notes are effectively subordinated to any secured indebtedness of any guarantor to the extent of the value of the assets securing such indebtedness and structurally subordinated to all indebtedness and other obligations of the Operating Partnership’s subsidiaries that do not guarantee the $400 Million 5% Senior Notes.</w:t>
      </w:r>
    </w:p>
    <w:p>
      <w:pPr>
        <w:spacing w:after="0" w:line="137"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The $400 Million 5% Senior Notes are redeemable, in whole or in part, at any time on or after April 15, 2018 at a redemption price expressed as a percentage of the principal amount thereof, which percentage is 103.75%, 102.50%, 101.25%, and</w:t>
      </w:r>
    </w:p>
    <w:p>
      <w:pPr>
        <w:ind w:right="80"/>
        <w:spacing w:after="0" w:line="261" w:lineRule="auto"/>
        <w:rPr>
          <w:sz w:val="20"/>
          <w:szCs w:val="20"/>
          <w:color w:val="auto"/>
        </w:rPr>
      </w:pPr>
      <w:r>
        <w:rPr>
          <w:rFonts w:ascii="Arial" w:cs="Arial" w:eastAsia="Arial" w:hAnsi="Arial"/>
          <w:sz w:val="18"/>
          <w:szCs w:val="18"/>
          <w:color w:val="auto"/>
        </w:rPr>
        <w:t>100.00% beginning on April 15 of 2018, 2019, 2020, and 2021, respectively, plus accrued and unpaid interest thereon to, but not including, the redemption date.</w:t>
      </w:r>
    </w:p>
    <w:p>
      <w:pPr>
        <w:spacing w:after="0" w:line="157"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In connection with the issuance of the $400 Million 5% Senior Notes, we completed a registered offer to exchange the $400 Million 5% Senior Notes for registered notes with substantially identical terms as the $400 Million 5% Senior Notes in September 2015.</w:t>
      </w:r>
    </w:p>
    <w:p>
      <w:pPr>
        <w:spacing w:after="0" w:line="14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i w:val="1"/>
          <w:iCs w:val="1"/>
          <w:color w:val="auto"/>
        </w:rPr>
        <w:t>Additional Debt Limitations</w:t>
      </w:r>
      <w:r>
        <w:rPr>
          <w:rFonts w:ascii="Arial" w:cs="Arial" w:eastAsia="Arial" w:hAnsi="Arial"/>
          <w:sz w:val="18"/>
          <w:szCs w:val="18"/>
          <w:color w:val="auto"/>
        </w:rPr>
        <w:t>. Pursuant to the terms of the management agreements and pooling agreement with Marriott, we</w:t>
      </w:r>
      <w:r>
        <w:rPr>
          <w:rFonts w:ascii="Arial" w:cs="Arial" w:eastAsia="Arial" w:hAnsi="Arial"/>
          <w:sz w:val="18"/>
          <w:szCs w:val="18"/>
          <w:i w:val="1"/>
          <w:iCs w:val="1"/>
          <w:color w:val="auto"/>
        </w:rPr>
        <w:t xml:space="preserve"> </w:t>
      </w:r>
      <w:r>
        <w:rPr>
          <w:rFonts w:ascii="Arial" w:cs="Arial" w:eastAsia="Arial" w:hAnsi="Arial"/>
          <w:sz w:val="18"/>
          <w:szCs w:val="18"/>
          <w:color w:val="auto"/>
        </w:rPr>
        <w:t>are subject to certain debt limitations described below.</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The management agreements provide for the following limitations on indebtedness encumbering a hotel:</w:t>
      </w:r>
    </w:p>
    <w:p>
      <w:pPr>
        <w:spacing w:after="0" w:line="198" w:lineRule="exact"/>
        <w:rPr>
          <w:sz w:val="20"/>
          <w:szCs w:val="20"/>
          <w:color w:val="auto"/>
        </w:rPr>
      </w:pPr>
    </w:p>
    <w:p>
      <w:pPr>
        <w:ind w:left="660" w:right="100" w:hanging="333"/>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aggregate principal balance of all mortgage and mezzanine debt encumbering the hotel shall be no greater than 75% of the fair market value of the hotel; and</w:t>
      </w:r>
    </w:p>
    <w:p>
      <w:pPr>
        <w:spacing w:after="0" w:line="129" w:lineRule="exact"/>
        <w:rPr>
          <w:rFonts w:ascii="Arial" w:cs="Arial" w:eastAsia="Arial" w:hAnsi="Arial"/>
          <w:sz w:val="18"/>
          <w:szCs w:val="18"/>
          <w:color w:val="auto"/>
        </w:rPr>
      </w:pPr>
    </w:p>
    <w:p>
      <w:pPr>
        <w:ind w:left="660" w:right="60" w:hanging="333"/>
        <w:spacing w:after="0" w:line="264"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ratio of (a) aggregate Operating Profit (as defined in the management agreement) in the 12 months prior to the closing on the mortgage or mezzanine debt to (b) annual debt service for the hotel shall equal or exceed 1.2:1; but is subject to the pooling agreement described below.</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color w:val="auto"/>
        </w:rPr>
        <w:t>The pooled limitations on Secured Debt (as defined in the pooling agreement) are as follows:</w:t>
      </w:r>
    </w:p>
    <w:p>
      <w:pPr>
        <w:spacing w:after="0" w:line="185" w:lineRule="exact"/>
        <w:rPr>
          <w:sz w:val="20"/>
          <w:szCs w:val="20"/>
          <w:color w:val="auto"/>
        </w:rPr>
      </w:pPr>
    </w:p>
    <w:p>
      <w:pPr>
        <w:ind w:left="660" w:right="320" w:hanging="333"/>
        <w:spacing w:after="0" w:line="27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aggregate principal balance of all mortgage and mezzanine debt on Pooled Hotels (as defined in the pooling agreement), shall be no more than 75% of the fair market value of Pooled Hotels.</w:t>
      </w:r>
    </w:p>
    <w:p>
      <w:pPr>
        <w:spacing w:after="0" w:line="129" w:lineRule="exact"/>
        <w:rPr>
          <w:rFonts w:ascii="Arial" w:cs="Arial" w:eastAsia="Arial" w:hAnsi="Arial"/>
          <w:sz w:val="18"/>
          <w:szCs w:val="18"/>
          <w:color w:val="auto"/>
        </w:rPr>
      </w:pPr>
    </w:p>
    <w:p>
      <w:pPr>
        <w:ind w:left="660" w:right="100" w:hanging="333"/>
        <w:spacing w:after="0" w:line="264"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ratio of (a) aggregate Operating Profit (as defined in the pooling agreement) of Pooled Hotels in the 12 months prior to closing on any mortgage or mezzanine debt to (b) annual debt service for the Pooled Hotels, shall equal or exceed 1.2:1.</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Off-Balance Sheet Arrangements</w:t>
      </w:r>
    </w:p>
    <w:p>
      <w:pPr>
        <w:spacing w:after="0" w:line="185"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As described in Note 12 to our condensed consolidated financial statements included herein, we have invested in a joint venture that is building and owns Gaylord Rockies. In connection with this investment, we agreed to provide guarantees of the hotel’s construction loan, including a principal repayment guaranty of up to $21 million of the total $500 million principal amount of the construction loan previously obtained from a consortium of eight banks, with such amount reducing to $14 million and further reducing to $8.75 million upon Gaylord Rockies’ satisfaction of designated debt</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4" w:name="page45"/>
    <w:bookmarkEnd w:id="4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service coverage requirements following completion and opening of the hotel. We have also provided a completion guarantee under the construction loan capped at our pro rata share of all costs necessary to complete the project within the time specified in the senior loan documents. Further, we have agreed to a guaranty capped at our pro rata share of the joint venture’s obligations under the construction loan prior to the hotel’s opening related to interest accruing under the construction loan and the operating expenses of the property (estimated pro rata share of interest prior to the hotel opening is $9.8 million). In addition to guaranties related to the construction loan, we agreed to provide a guaranty of the mezzanine debt related to the hotel including a payment guaranty capped at $8.75 million for which we are only liable in the event there is a casualty or condemnation event at the hotel and the construction lenders elect to apply those proceeds to the construction loan balance and release the construction loan guaranties and liens. The guaranty related to the mezzanine debt also includes an uncapped completion guaranty and an uncapped guaranty of the joint venture’s obligations under the mezzanine loan prior to the hotel’s opening related to interest accruing under the mezzanine loan and the operating expenses of the property to the extent not already satisfied by the parties under the guaranties related to the construction loan. As of September 30, 2018, we have not recorded any liability in the condensed consolidated balance sheet associated with these guarantees.</w:t>
      </w:r>
    </w:p>
    <w:p>
      <w:pPr>
        <w:spacing w:after="0" w:line="134"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In addition, we enter into commitments under letters of credit, primarily for the purpose of securing our deductible obligations with our insurers, and lending banks under our Credit Agreement had issued $2.4 million of letters of credit at September 30, 2018. Except as set forth in these paragraphs, we do not have any off-balance sheet arrangements that have or are reasonably likely to have a current or future effect on our financial condition, changes in financial condition, revenues or expenses, results of operations, liquidity, capital expenditures or capital resources.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Commitments and Contractual Obligations</w:t>
      </w:r>
    </w:p>
    <w:p>
      <w:pPr>
        <w:spacing w:after="0" w:line="18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following table summarizes our significant contractual obligations at September 30, 2018, including long-term debt and operating and capital lease commitments (amounts in thousands):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1"/>
              </w:rPr>
              <w:t>Total amounts</w:t>
            </w:r>
          </w:p>
        </w:tc>
        <w:tc>
          <w:tcPr>
            <w:tcW w:w="1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Payment due by Period</w:t>
            </w:r>
          </w:p>
        </w:tc>
        <w:tc>
          <w:tcPr>
            <w:tcW w:w="1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240" w:type="dxa"/>
            <w:vAlign w:val="bottom"/>
            <w:gridSpan w:val="3"/>
            <w:vMerge w:val="restart"/>
          </w:tcPr>
          <w:p>
            <w:pPr>
              <w:ind w:left="920"/>
              <w:spacing w:after="0"/>
              <w:rPr>
                <w:sz w:val="20"/>
                <w:szCs w:val="20"/>
                <w:color w:val="auto"/>
              </w:rPr>
            </w:pPr>
            <w:r>
              <w:rPr>
                <w:rFonts w:ascii="Arial" w:cs="Arial" w:eastAsia="Arial" w:hAnsi="Arial"/>
                <w:sz w:val="14"/>
                <w:szCs w:val="14"/>
                <w:b w:val="1"/>
                <w:bCs w:val="1"/>
                <w:color w:val="auto"/>
              </w:rPr>
              <w:t>Contractual obligations</w:t>
            </w:r>
          </w:p>
        </w:tc>
        <w:tc>
          <w:tcPr>
            <w:tcW w:w="160" w:type="dxa"/>
            <w:vAlign w:val="bottom"/>
          </w:tcPr>
          <w:p>
            <w:pPr>
              <w:spacing w:after="0"/>
              <w:rPr>
                <w:sz w:val="10"/>
                <w:szCs w:val="10"/>
                <w:color w:val="auto"/>
              </w:rPr>
            </w:pPr>
          </w:p>
        </w:tc>
        <w:tc>
          <w:tcPr>
            <w:tcW w:w="94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rPr>
              <w:t>Less than</w:t>
            </w:r>
          </w:p>
        </w:tc>
        <w:tc>
          <w:tcPr>
            <w:tcW w:w="160" w:type="dxa"/>
            <w:vAlign w:val="bottom"/>
          </w:tcPr>
          <w:p>
            <w:pPr>
              <w:spacing w:after="0"/>
              <w:rPr>
                <w:sz w:val="10"/>
                <w:szCs w:val="10"/>
                <w:color w:val="auto"/>
              </w:rPr>
            </w:pPr>
          </w:p>
        </w:tc>
        <w:tc>
          <w:tcPr>
            <w:tcW w:w="800" w:type="dxa"/>
            <w:vAlign w:val="bottom"/>
            <w:vMerge w:val="restart"/>
          </w:tcPr>
          <w:p>
            <w:pPr>
              <w:jc w:val="right"/>
              <w:ind w:right="57"/>
              <w:spacing w:after="0"/>
              <w:rPr>
                <w:sz w:val="20"/>
                <w:szCs w:val="20"/>
                <w:color w:val="auto"/>
              </w:rPr>
            </w:pPr>
            <w:r>
              <w:rPr>
                <w:rFonts w:ascii="Arial" w:cs="Arial" w:eastAsia="Arial" w:hAnsi="Arial"/>
                <w:sz w:val="14"/>
                <w:szCs w:val="14"/>
                <w:b w:val="1"/>
                <w:bCs w:val="1"/>
                <w:color w:val="auto"/>
              </w:rPr>
              <w:t>1-3 years</w:t>
            </w:r>
          </w:p>
        </w:tc>
        <w:tc>
          <w:tcPr>
            <w:tcW w:w="140" w:type="dxa"/>
            <w:vAlign w:val="bottom"/>
          </w:tcPr>
          <w:p>
            <w:pPr>
              <w:spacing w:after="0"/>
              <w:rPr>
                <w:sz w:val="10"/>
                <w:szCs w:val="10"/>
                <w:color w:val="auto"/>
              </w:rPr>
            </w:pPr>
          </w:p>
        </w:tc>
        <w:tc>
          <w:tcPr>
            <w:tcW w:w="800" w:type="dxa"/>
            <w:vAlign w:val="bottom"/>
            <w:vMerge w:val="restart"/>
          </w:tcPr>
          <w:p>
            <w:pPr>
              <w:jc w:val="right"/>
              <w:ind w:right="34"/>
              <w:spacing w:after="0"/>
              <w:rPr>
                <w:sz w:val="20"/>
                <w:szCs w:val="20"/>
                <w:color w:val="auto"/>
              </w:rPr>
            </w:pPr>
            <w:r>
              <w:rPr>
                <w:rFonts w:ascii="Arial" w:cs="Arial" w:eastAsia="Arial" w:hAnsi="Arial"/>
                <w:sz w:val="14"/>
                <w:szCs w:val="14"/>
                <w:b w:val="1"/>
                <w:bCs w:val="1"/>
                <w:color w:val="auto"/>
              </w:rPr>
              <w:t>3-5 years</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jc w:val="right"/>
              <w:ind w:right="56"/>
              <w:spacing w:after="0" w:line="119" w:lineRule="exact"/>
              <w:rPr>
                <w:sz w:val="20"/>
                <w:szCs w:val="20"/>
                <w:color w:val="auto"/>
              </w:rPr>
            </w:pPr>
            <w:r>
              <w:rPr>
                <w:rFonts w:ascii="Arial" w:cs="Arial" w:eastAsia="Arial" w:hAnsi="Arial"/>
                <w:sz w:val="13"/>
                <w:szCs w:val="13"/>
                <w:b w:val="1"/>
                <w:bCs w:val="1"/>
                <w:color w:val="auto"/>
              </w:rPr>
              <w:t>More than</w:t>
            </w:r>
          </w:p>
        </w:tc>
        <w:tc>
          <w:tcPr>
            <w:tcW w:w="0" w:type="dxa"/>
            <w:vAlign w:val="bottom"/>
          </w:tcPr>
          <w:p>
            <w:pPr>
              <w:spacing w:after="0"/>
              <w:rPr>
                <w:sz w:val="1"/>
                <w:szCs w:val="1"/>
                <w:color w:val="auto"/>
              </w:rPr>
            </w:pPr>
          </w:p>
        </w:tc>
      </w:tr>
      <w:tr>
        <w:trPr>
          <w:trHeight w:val="171"/>
        </w:trPr>
        <w:tc>
          <w:tcPr>
            <w:tcW w:w="324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jc w:val="right"/>
              <w:ind w:right="79"/>
              <w:spacing w:after="0"/>
              <w:rPr>
                <w:sz w:val="20"/>
                <w:szCs w:val="20"/>
                <w:color w:val="auto"/>
              </w:rPr>
            </w:pPr>
            <w:r>
              <w:rPr>
                <w:rFonts w:ascii="Arial" w:cs="Arial" w:eastAsia="Arial" w:hAnsi="Arial"/>
                <w:sz w:val="14"/>
                <w:szCs w:val="14"/>
                <w:b w:val="1"/>
                <w:bCs w:val="1"/>
                <w:color w:val="auto"/>
              </w:rPr>
              <w:t>committed</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right"/>
              <w:ind w:right="73"/>
              <w:spacing w:after="0"/>
              <w:rPr>
                <w:sz w:val="20"/>
                <w:szCs w:val="20"/>
                <w:color w:val="auto"/>
              </w:rPr>
            </w:pPr>
            <w:r>
              <w:rPr>
                <w:rFonts w:ascii="Arial" w:cs="Arial" w:eastAsia="Arial" w:hAnsi="Arial"/>
                <w:sz w:val="14"/>
                <w:szCs w:val="14"/>
                <w:b w:val="1"/>
                <w:bCs w:val="1"/>
                <w:color w:val="auto"/>
                <w:w w:val="98"/>
              </w:rPr>
              <w:t>1 year</w:t>
            </w:r>
          </w:p>
        </w:tc>
        <w:tc>
          <w:tcPr>
            <w:tcW w:w="16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right"/>
              <w:ind w:right="176"/>
              <w:spacing w:after="0"/>
              <w:rPr>
                <w:sz w:val="20"/>
                <w:szCs w:val="20"/>
                <w:color w:val="auto"/>
              </w:rPr>
            </w:pPr>
            <w:r>
              <w:rPr>
                <w:rFonts w:ascii="Arial" w:cs="Arial" w:eastAsia="Arial" w:hAnsi="Arial"/>
                <w:sz w:val="14"/>
                <w:szCs w:val="14"/>
                <w:b w:val="1"/>
                <w:bCs w:val="1"/>
                <w:color w:val="auto"/>
              </w:rPr>
              <w:t>5 years</w:t>
            </w: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232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Long-term debt (1)</w:t>
            </w:r>
          </w:p>
        </w:tc>
        <w:tc>
          <w:tcPr>
            <w:tcW w:w="16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$ 1,713,750</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16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$ 630,000</w:t>
            </w:r>
          </w:p>
        </w:tc>
        <w:tc>
          <w:tcPr>
            <w:tcW w:w="1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$ 610,000</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468,750</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320" w:type="dxa"/>
            <w:vAlign w:val="bottom"/>
            <w:gridSpan w:val="2"/>
          </w:tcPr>
          <w:p>
            <w:pPr>
              <w:spacing w:after="0"/>
              <w:rPr>
                <w:sz w:val="20"/>
                <w:szCs w:val="20"/>
                <w:color w:val="auto"/>
              </w:rPr>
            </w:pPr>
            <w:r>
              <w:rPr>
                <w:rFonts w:ascii="Arial" w:cs="Arial" w:eastAsia="Arial" w:hAnsi="Arial"/>
                <w:sz w:val="18"/>
                <w:szCs w:val="18"/>
                <w:color w:val="auto"/>
              </w:rPr>
              <w:t>Capital leases</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623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21</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45</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48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509</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leases (2)</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676,924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7,504</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16,273</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17,336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635,811</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320" w:type="dxa"/>
            <w:vAlign w:val="bottom"/>
            <w:gridSpan w:val="2"/>
          </w:tcPr>
          <w:p>
            <w:pPr>
              <w:spacing w:after="0"/>
              <w:rPr>
                <w:sz w:val="20"/>
                <w:szCs w:val="20"/>
                <w:color w:val="auto"/>
              </w:rPr>
            </w:pPr>
            <w:r>
              <w:rPr>
                <w:rFonts w:ascii="Arial" w:cs="Arial" w:eastAsia="Arial" w:hAnsi="Arial"/>
                <w:sz w:val="18"/>
                <w:szCs w:val="18"/>
                <w:color w:val="auto"/>
                <w:w w:val="95"/>
              </w:rPr>
              <w:t>Construction commitments (3)</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37,222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0"/>
              </w:rPr>
              <w:t>37,222</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920" w:type="dxa"/>
            <w:vAlign w:val="bottom"/>
          </w:tcPr>
          <w:p>
            <w:pPr>
              <w:spacing w:after="0"/>
              <w:rPr>
                <w:sz w:val="18"/>
                <w:szCs w:val="18"/>
                <w:color w:val="auto"/>
              </w:rPr>
            </w:pPr>
          </w:p>
        </w:tc>
        <w:tc>
          <w:tcPr>
            <w:tcW w:w="23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contractual obligations</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$ 2,428,519</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49,747</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$ 646,318</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$ 627,384</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1,105,070</w:t>
            </w:r>
          </w:p>
        </w:tc>
        <w:tc>
          <w:tcPr>
            <w:tcW w:w="0" w:type="dxa"/>
            <w:vAlign w:val="bottom"/>
          </w:tcPr>
          <w:p>
            <w:pPr>
              <w:spacing w:after="0"/>
              <w:rPr>
                <w:sz w:val="1"/>
                <w:szCs w:val="1"/>
                <w:color w:val="auto"/>
              </w:rPr>
            </w:pPr>
          </w:p>
        </w:tc>
      </w:tr>
      <w:tr>
        <w:trPr>
          <w:trHeight w:val="115"/>
        </w:trPr>
        <w:tc>
          <w:tcPr>
            <w:tcW w:w="920" w:type="dxa"/>
            <w:vAlign w:val="bottom"/>
            <w:tcBorders>
              <w:bottom w:val="single" w:sz="8" w:color="auto"/>
            </w:tcBorders>
          </w:tcPr>
          <w:p>
            <w:pPr>
              <w:spacing w:after="0"/>
              <w:rPr>
                <w:sz w:val="10"/>
                <w:szCs w:val="10"/>
                <w:color w:val="auto"/>
              </w:rPr>
            </w:pPr>
          </w:p>
        </w:tc>
        <w:tc>
          <w:tcPr>
            <w:tcW w:w="1360" w:type="dxa"/>
            <w:vAlign w:val="bottom"/>
            <w:tcBorders>
              <w:bottom w:val="single" w:sz="8" w:color="auto"/>
            </w:tcBorders>
          </w:tcPr>
          <w:p>
            <w:pPr>
              <w:spacing w:after="0"/>
              <w:rPr>
                <w:sz w:val="10"/>
                <w:szCs w:val="10"/>
                <w:color w:val="auto"/>
              </w:rPr>
            </w:pPr>
          </w:p>
        </w:tc>
        <w:tc>
          <w:tcPr>
            <w:tcW w:w="9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320" w:hanging="317"/>
        <w:spacing w:after="0" w:line="218" w:lineRule="exact"/>
        <w:tabs>
          <w:tab w:leader="none" w:pos="3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Long-term debt commitments do not include approximately $306.9 million in interest payments projected to be due in future years (less than 1 year – $76.6 million; 1</w:t>
      </w:r>
      <w:r>
        <w:rPr>
          <w:rFonts w:ascii="MS PGothic" w:cs="MS PGothic" w:eastAsia="MS PGothic" w:hAnsi="MS PGothic"/>
          <w:sz w:val="16"/>
          <w:szCs w:val="16"/>
          <w:color w:val="auto"/>
        </w:rPr>
        <w:t>‑</w:t>
      </w:r>
      <w:r>
        <w:rPr>
          <w:rFonts w:ascii="Arial" w:cs="Arial" w:eastAsia="Arial" w:hAnsi="Arial"/>
          <w:sz w:val="16"/>
          <w:szCs w:val="16"/>
          <w:color w:val="auto"/>
        </w:rPr>
        <w:t>3 years – $140.9 million; 3</w:t>
      </w:r>
      <w:r>
        <w:rPr>
          <w:rFonts w:ascii="MS PGothic" w:cs="MS PGothic" w:eastAsia="MS PGothic" w:hAnsi="MS PGothic"/>
          <w:sz w:val="16"/>
          <w:szCs w:val="16"/>
          <w:color w:val="auto"/>
        </w:rPr>
        <w:t>‑</w:t>
      </w:r>
      <w:r>
        <w:rPr>
          <w:rFonts w:ascii="Arial" w:cs="Arial" w:eastAsia="Arial" w:hAnsi="Arial"/>
          <w:sz w:val="16"/>
          <w:szCs w:val="16"/>
          <w:color w:val="auto"/>
        </w:rPr>
        <w:t>5 years – $76.8 million; more than 5 years – $12.6 million) based on the stated interest rates on our fixed-rate debt and the rates in effect at September 30, 2018 for our variable-rate debt. Variable rates, as well as outstanding principal balances, could change in future periods. See “Principal Debt Agreements” above for a discussion of our outstanding long-term debt. See “Supplemental Cash Flow Information” in Note 1 to the consolidated financial statements included in our Annual Report on Form 10</w:t>
      </w:r>
      <w:r>
        <w:rPr>
          <w:rFonts w:ascii="MS PGothic" w:cs="MS PGothic" w:eastAsia="MS PGothic" w:hAnsi="MS PGothic"/>
          <w:sz w:val="16"/>
          <w:szCs w:val="16"/>
          <w:color w:val="auto"/>
        </w:rPr>
        <w:t>‑</w:t>
      </w:r>
      <w:r>
        <w:rPr>
          <w:rFonts w:ascii="Arial" w:cs="Arial" w:eastAsia="Arial" w:hAnsi="Arial"/>
          <w:sz w:val="16"/>
          <w:szCs w:val="16"/>
          <w:color w:val="auto"/>
        </w:rPr>
        <w:t>K for the year ended December 31, 2017 for a discussion of the interest we paid during the fiscal years 2017, 2016 and 2015.</w:t>
      </w:r>
    </w:p>
    <w:p>
      <w:pPr>
        <w:spacing w:after="0" w:line="164" w:lineRule="exact"/>
        <w:rPr>
          <w:rFonts w:ascii="Arial" w:cs="Arial" w:eastAsia="Arial" w:hAnsi="Arial"/>
          <w:sz w:val="16"/>
          <w:szCs w:val="16"/>
          <w:color w:val="auto"/>
        </w:rPr>
      </w:pPr>
    </w:p>
    <w:p>
      <w:pPr>
        <w:ind w:left="320" w:right="260" w:hanging="317"/>
        <w:spacing w:after="0" w:line="221" w:lineRule="exact"/>
        <w:tabs>
          <w:tab w:leader="none" w:pos="3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Total operating lease commitments of $676.9 million includes the 75</w:t>
      </w:r>
      <w:r>
        <w:rPr>
          <w:rFonts w:ascii="MS PGothic" w:cs="MS PGothic" w:eastAsia="MS PGothic" w:hAnsi="MS PGothic"/>
          <w:sz w:val="18"/>
          <w:szCs w:val="18"/>
          <w:color w:val="auto"/>
        </w:rPr>
        <w:t>‑</w:t>
      </w:r>
      <w:r>
        <w:rPr>
          <w:rFonts w:ascii="Arial" w:cs="Arial" w:eastAsia="Arial" w:hAnsi="Arial"/>
          <w:sz w:val="18"/>
          <w:szCs w:val="18"/>
          <w:color w:val="auto"/>
        </w:rPr>
        <w:t>year operating lease agreement we entered into during 1999 for 65.3 acres of land located in Osceola County, Florida where Gaylord Palms is located, which we may extend until January 2101.</w:t>
      </w:r>
    </w:p>
    <w:p>
      <w:pPr>
        <w:spacing w:after="0" w:line="161" w:lineRule="exact"/>
        <w:rPr>
          <w:rFonts w:ascii="Arial" w:cs="Arial" w:eastAsia="Arial" w:hAnsi="Arial"/>
          <w:sz w:val="18"/>
          <w:szCs w:val="18"/>
          <w:color w:val="auto"/>
        </w:rPr>
      </w:pPr>
    </w:p>
    <w:p>
      <w:pPr>
        <w:ind w:left="320" w:right="300" w:hanging="317"/>
        <w:spacing w:after="0" w:line="293" w:lineRule="auto"/>
        <w:tabs>
          <w:tab w:leader="none" w:pos="3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With respect to our properties that are operated under management agreements with Marriott, we are obligated to maintain an FF&amp;E reserve account for future planned and emergency-related capital expenditures at these properties. The amount funded into each of these reserve accounts is determined pursuant to the management agreements and is generally 5.0% of the respective property’s total annual revenue. At September 30, 2018, $37.2 million was held in FF&amp;E reserve accounts for future capital expenditures at our properties. According to the terms of each management agreement with Marriott, the reserve funds are to be held by Marriott in a restricted cash</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5" w:name="page46"/>
    <w:bookmarkEnd w:id="4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320" w:right="140"/>
        <w:spacing w:after="0" w:line="277" w:lineRule="auto"/>
        <w:rPr>
          <w:sz w:val="20"/>
          <w:szCs w:val="20"/>
          <w:color w:val="auto"/>
        </w:rPr>
      </w:pPr>
      <w:r>
        <w:rPr>
          <w:rFonts w:ascii="Arial" w:cs="Arial" w:eastAsia="Arial" w:hAnsi="Arial"/>
          <w:sz w:val="18"/>
          <w:szCs w:val="18"/>
          <w:color w:val="auto"/>
        </w:rPr>
        <w:t>account. Although it is not required that such funds be expended in a given year, each management agreement provides any excess funds will carry over for use in future years.</w:t>
      </w:r>
    </w:p>
    <w:p>
      <w:pPr>
        <w:spacing w:after="0" w:line="130" w:lineRule="exact"/>
        <w:rPr>
          <w:sz w:val="20"/>
          <w:szCs w:val="20"/>
          <w:color w:val="auto"/>
        </w:rPr>
      </w:pPr>
    </w:p>
    <w:p>
      <w:pPr>
        <w:ind w:right="460"/>
        <w:spacing w:after="0" w:line="219" w:lineRule="exact"/>
        <w:rPr>
          <w:sz w:val="20"/>
          <w:szCs w:val="20"/>
          <w:color w:val="auto"/>
        </w:rPr>
      </w:pPr>
      <w:r>
        <w:rPr>
          <w:rFonts w:ascii="Arial" w:cs="Arial" w:eastAsia="Arial" w:hAnsi="Arial"/>
          <w:sz w:val="18"/>
          <w:szCs w:val="18"/>
          <w:color w:val="auto"/>
        </w:rPr>
        <w:t>The expected cash flows under our defined benefit pension plan, our non-qualified retirement plan, our non-qualified contributory deferred compensation plan and our defined benefit postretirement health care and life insurance plan are estimated based upon the best information currently available, but are not driven by contractual terms. Therefore, these obligations have been excluded from the contractual obligations table above. See Note 8 and Note 9 to the consolidated financial statements included in our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for the year ended December 31, 2017 for further discussion related to these obligations.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Accounting Policies and Estimates</w:t>
      </w:r>
    </w:p>
    <w:p>
      <w:pPr>
        <w:spacing w:after="0" w:line="198" w:lineRule="exact"/>
        <w:rPr>
          <w:sz w:val="20"/>
          <w:szCs w:val="20"/>
          <w:color w:val="auto"/>
        </w:rPr>
      </w:pPr>
    </w:p>
    <w:p>
      <w:pPr>
        <w:spacing w:after="0" w:line="217" w:lineRule="exact"/>
        <w:rPr>
          <w:sz w:val="20"/>
          <w:szCs w:val="20"/>
          <w:color w:val="auto"/>
        </w:rPr>
      </w:pPr>
      <w:r>
        <w:rPr>
          <w:rFonts w:ascii="Arial" w:cs="Arial" w:eastAsia="Arial" w:hAnsi="Arial"/>
          <w:sz w:val="16"/>
          <w:szCs w:val="16"/>
          <w:color w:val="auto"/>
        </w:rPr>
        <w:t>We prepare our condensed consolidated financial statements in conformity with accounting principles generally accepted in the United States. Certain of our accounting policies, including those related to revenue recognition, impairment of long-lived and other assets, stock-based compensation, depreciation and amortization, income taxes, pension and postretirement benefits other than pension plans, and legal contingencies, require that we apply significant judgment in defining the appropriate assumptions for calculating financial estimates. By their nature, these judgments are subject to an inherent degree of uncertainty. Our judgments are based on our historical experience, our observance of trends in the industry, and information available from other outside sources, as appropriate. There can be no assurance that actual results will not differ from our estimates. For a discussion of our critical accounting policies and estimates, please refer to Item 7, “Management’s Discussion and Analysis of Financial Condition and Results of Operations” and “Notes to Consolidated Financial Statements” presented in our Annual Report on Form 10</w:t>
      </w:r>
      <w:r>
        <w:rPr>
          <w:rFonts w:ascii="MS PGothic" w:cs="MS PGothic" w:eastAsia="MS PGothic" w:hAnsi="MS PGothic"/>
          <w:sz w:val="16"/>
          <w:szCs w:val="16"/>
          <w:color w:val="auto"/>
        </w:rPr>
        <w:t>‑</w:t>
      </w:r>
      <w:r>
        <w:rPr>
          <w:rFonts w:ascii="Arial" w:cs="Arial" w:eastAsia="Arial" w:hAnsi="Arial"/>
          <w:sz w:val="16"/>
          <w:szCs w:val="16"/>
          <w:color w:val="auto"/>
        </w:rPr>
        <w:t>K for the year ended December 31, 2017. There were no newly identified critical accounting policies in the first nine months of 2018 nor were there any material changes to the critical accounting policies and estimates discussed in our Annual Report on Form 10</w:t>
      </w:r>
      <w:r>
        <w:rPr>
          <w:rFonts w:ascii="MS PGothic" w:cs="MS PGothic" w:eastAsia="MS PGothic" w:hAnsi="MS PGothic"/>
          <w:sz w:val="16"/>
          <w:szCs w:val="16"/>
          <w:color w:val="auto"/>
        </w:rPr>
        <w:t>‑</w:t>
      </w:r>
      <w:r>
        <w:rPr>
          <w:rFonts w:ascii="Arial" w:cs="Arial" w:eastAsia="Arial" w:hAnsi="Arial"/>
          <w:sz w:val="16"/>
          <w:szCs w:val="16"/>
          <w:color w:val="auto"/>
        </w:rPr>
        <w:t>K for the year ended December 31, 2017.</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89"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Market risk is the risk of loss arising from adverse changes in market rates and prices, such as interest rates, foreign currency exchange rates and commodity prices. Our primary exposures to market risk are from changes in interest rates and changes in asset values of investments that fund our pension plan.</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 Related to Changes in Interest Rates</w:t>
      </w:r>
    </w:p>
    <w:p>
      <w:pPr>
        <w:spacing w:after="0" w:line="185"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color w:val="auto"/>
        </w:rPr>
        <w:t>Borrowings outstanding under the Revolver bear interest at an annual rate of LIBOR plus 1.55%, subject to adjustment as described in the Credit Agreement. If LIBOR were to increase by 100 basis points, our annual interest cost on the $270.0 million in borrowings outstanding under the Revolver at September 30, 2018 would increase by approximately $2.7 million.</w:t>
      </w:r>
    </w:p>
    <w:p>
      <w:pPr>
        <w:spacing w:after="0" w:line="106"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Borrowings outstanding under our Term Loan A currently bear interest at an annual rate of LIBOR plus 1.50%, subject to adjustment as described in the Credit Agreement. If LIBOR were to increase by 100 basis points, our annual interest cost on the $200.0 million in borrowings outstanding under our Term Loan A at September 30, 2018 would increase by approximately $2.0 million.</w:t>
      </w:r>
    </w:p>
    <w:p>
      <w:pPr>
        <w:spacing w:after="0" w:line="160"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Borrowings outstanding under our Term Loan B currently bear interest at an annual rate of LIBOR plus 2.00%, subject to adjustment as described in the Credit Agreement. If LIBOR were to increase by 100 basis points, our annual interest cost on the $493.8 million in borrowings outstanding under our Term Loan B at September 30, 2018 would increase by approximately $4.9 million.</w:t>
      </w:r>
    </w:p>
    <w:p>
      <w:pPr>
        <w:spacing w:after="0" w:line="146" w:lineRule="exact"/>
        <w:rPr>
          <w:sz w:val="20"/>
          <w:szCs w:val="20"/>
          <w:color w:val="auto"/>
        </w:rPr>
      </w:pPr>
    </w:p>
    <w:p>
      <w:pPr>
        <w:ind w:right="240"/>
        <w:spacing w:after="0" w:line="286" w:lineRule="auto"/>
        <w:rPr>
          <w:sz w:val="20"/>
          <w:szCs w:val="20"/>
          <w:color w:val="auto"/>
        </w:rPr>
      </w:pPr>
      <w:r>
        <w:rPr>
          <w:rFonts w:ascii="Arial" w:cs="Arial" w:eastAsia="Arial" w:hAnsi="Arial"/>
          <w:sz w:val="17"/>
          <w:szCs w:val="17"/>
          <w:color w:val="auto"/>
        </w:rPr>
        <w:t>Certain of our outstanding cash balances are occasionally invested overnight with high credit quality financial institutions. We do not have significant exposure to changing interest rates on invested cash at September 30, 2018. As a result, the interest rate market risk implicit in these investments at September 30, 2018, if any, is low.</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6" w:name="page47"/>
    <w:bookmarkEnd w:id="4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 Related to Changes in Asset Values that Fund our Pension Plans</w:t>
      </w:r>
    </w:p>
    <w:p>
      <w:pPr>
        <w:spacing w:after="0" w:line="18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expected rates of return on the assets that fund our defined benefit pension plan are based on the asset allocation of the plan and the long-term projected return on those assets, which represent a diversified mix of equity securities, fixed income securities and cash. At September 30, 2018, the value of the investments in the pension plan was $68.6 million, and an immediate 10% decrease in this value would have reduced the value of the investments in the pension plan by approximately $6.9 million.</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89" w:lineRule="exact"/>
        <w:rPr>
          <w:sz w:val="20"/>
          <w:szCs w:val="20"/>
          <w:color w:val="auto"/>
        </w:rPr>
      </w:pPr>
    </w:p>
    <w:p>
      <w:pPr>
        <w:spacing w:after="0" w:line="218" w:lineRule="exact"/>
        <w:rPr>
          <w:sz w:val="20"/>
          <w:szCs w:val="20"/>
          <w:color w:val="auto"/>
        </w:rPr>
      </w:pPr>
      <w:r>
        <w:rPr>
          <w:rFonts w:ascii="Arial" w:cs="Arial" w:eastAsia="Arial" w:hAnsi="Arial"/>
          <w:sz w:val="17"/>
          <w:szCs w:val="17"/>
          <w:color w:val="auto"/>
        </w:rPr>
        <w:t>The Company maintains disclosure controls and procedures, as defined in Rule 13a</w:t>
      </w:r>
      <w:r>
        <w:rPr>
          <w:rFonts w:ascii="MS PGothic" w:cs="MS PGothic" w:eastAsia="MS PGothic" w:hAnsi="MS PGothic"/>
          <w:sz w:val="17"/>
          <w:szCs w:val="17"/>
          <w:color w:val="auto"/>
        </w:rPr>
        <w:t>‑</w:t>
      </w:r>
      <w:r>
        <w:rPr>
          <w:rFonts w:ascii="Arial" w:cs="Arial" w:eastAsia="Arial" w:hAnsi="Arial"/>
          <w:sz w:val="17"/>
          <w:szCs w:val="17"/>
          <w:color w:val="auto"/>
        </w:rPr>
        <w:t>15(e) promulgated under the Exchange Act, that are designed to ensure that information required to be disclosed by us in the reports that we file or submit under the Exchange Act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 The Company carried out an evaluation under the supervision and with the participation of our management, including our Chief Executive Officer and Chief Financial Officer, of the effectiveness of the design and operation of our disclosure controls and procedures as of the end of the period covered by this report. Based on the evaluation of these disclosure controls and procedures, the Chief Executive Officer and Chief Financial Officer concluded that our disclosure controls and procedures were effective as of the end of the period covered by this report.</w:t>
      </w:r>
    </w:p>
    <w:p>
      <w:pPr>
        <w:spacing w:after="0" w:line="162" w:lineRule="exact"/>
        <w:rPr>
          <w:sz w:val="20"/>
          <w:szCs w:val="20"/>
          <w:color w:val="auto"/>
        </w:rPr>
      </w:pPr>
    </w:p>
    <w:p>
      <w:pPr>
        <w:ind w:right="380"/>
        <w:spacing w:after="0" w:line="342" w:lineRule="auto"/>
        <w:rPr>
          <w:sz w:val="20"/>
          <w:szCs w:val="20"/>
          <w:color w:val="auto"/>
        </w:rPr>
      </w:pPr>
      <w:r>
        <w:rPr>
          <w:rFonts w:ascii="Arial" w:cs="Arial" w:eastAsia="Arial" w:hAnsi="Arial"/>
          <w:sz w:val="16"/>
          <w:szCs w:val="16"/>
          <w:color w:val="auto"/>
        </w:rPr>
        <w:t>There has been no change in our internal control over financial reporting that occurred during the period covered by this report that materially affected, or is reasonably likely to materially affect, our internal control over financial reporting.</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89"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The Company is a party to certain litigation in the ordinary course, as described in Note 12, “Commitments and Contingencies,” to our condensed consolidated financial statements included herein and which our management deems will not have a material effect on our financial statements.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89" w:lineRule="exact"/>
        <w:rPr>
          <w:sz w:val="20"/>
          <w:szCs w:val="20"/>
          <w:color w:val="auto"/>
        </w:rPr>
      </w:pPr>
    </w:p>
    <w:p>
      <w:pPr>
        <w:ind w:right="80"/>
        <w:spacing w:after="0" w:line="223" w:lineRule="exact"/>
        <w:rPr>
          <w:sz w:val="20"/>
          <w:szCs w:val="20"/>
          <w:color w:val="auto"/>
        </w:rPr>
      </w:pPr>
      <w:r>
        <w:rPr>
          <w:rFonts w:ascii="Arial" w:cs="Arial" w:eastAsia="Arial" w:hAnsi="Arial"/>
          <w:sz w:val="18"/>
          <w:szCs w:val="18"/>
          <w:color w:val="auto"/>
        </w:rPr>
        <w:t>Except as otherwise described herein, there have been no material changes from the risk factors disclosed in Part I, Item 1A, “Risk Factors,” of our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for the fiscal year ended December 31, 2017.</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fail to complete the Rockies Interest Purchase on a timely basis or at all.</w:t>
      </w:r>
    </w:p>
    <w:p>
      <w:pPr>
        <w:spacing w:after="0" w:line="198"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Although we expect to complete the Rockies Interest Purchase by the end of 2018, the completion of the Rockies Interest Purchase is subject to closing conditions and there can be no assurance that the Rockies Interest Purchase will be completed on the anticipated schedule or at all. In particular, closing conditions involving third parties, such as the lender to the Gaylord Rockies joint venture and Marriott, may be difficult to satisfy and may not be satisfied on the anticipated schedule or at all. If we fail to consummate the Rockies Interest Purchase or should the completion of the Rockies Interest Purchase be significantly delayed, we will have incurred significant costs related to the Rockies Interest Purchase, such as costs for legal and accounting services, without realizing all or a portion of the intended economic benefits of the Rockies Interest Purchase. Even if we consummate the Rockies Interest Purchase, we may not realize the intended economic benefits. As a general matter, any failure to complete the Rockies Interest Purchase could have a negative impact on our business, results of operations or financial condition.</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consummation of the Rockies Interest Purchase will subject us to additional liability and risk.</w:t>
      </w:r>
    </w:p>
    <w:p>
      <w:pPr>
        <w:spacing w:after="0" w:line="185"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Following the consummation of the Rockies Interest Purchase, and as a result of our increased ownership in the Gaylord Rockies joint venture, we will be subject to additional liability, including an expected increase in our obligations relating to various guarantees and environmental indemnities of the construction loan for the development and construction of Gaylord Rockies (as well as future financings). Additionally, we will be subject to increased risks related to the</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47" w:name="page48"/>
    <w:bookmarkEnd w:id="4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prevailing market conditions in the greater Denver area, as well as the general operating performance of Gaylord Rockies. The additional liabilities and risks associated with the completion of the Rockies Interest Purchase could have a material adverse effect on our business, financial condition and results of operations.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Inapplicable.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Inapplicable.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Inapplicable.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Inapplicable.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Exhibit Number</w:t>
            </w:r>
          </w:p>
        </w:tc>
        <w:tc>
          <w:tcPr>
            <w:tcW w:w="240" w:type="dxa"/>
            <w:vAlign w:val="bottom"/>
          </w:tcPr>
          <w:p>
            <w:pPr>
              <w:spacing w:after="0"/>
              <w:rPr>
                <w:sz w:val="20"/>
                <w:szCs w:val="20"/>
                <w:color w:val="auto"/>
              </w:rPr>
            </w:pPr>
          </w:p>
        </w:tc>
        <w:tc>
          <w:tcPr>
            <w:tcW w:w="1560" w:type="dxa"/>
            <w:vAlign w:val="bottom"/>
            <w:tcBorders>
              <w:bottom w:val="single" w:sz="8" w:color="auto"/>
            </w:tcBorders>
          </w:tcPr>
          <w:p>
            <w:pPr>
              <w:spacing w:after="0"/>
              <w:rPr>
                <w:sz w:val="20"/>
                <w:szCs w:val="20"/>
                <w:color w:val="auto"/>
              </w:rPr>
            </w:pPr>
          </w:p>
        </w:tc>
        <w:tc>
          <w:tcPr>
            <w:tcW w:w="5980" w:type="dxa"/>
            <w:vAlign w:val="bottom"/>
            <w:tcBorders>
              <w:bottom w:val="single" w:sz="8" w:color="auto"/>
            </w:tcBorders>
            <w:gridSpan w:val="11"/>
          </w:tcPr>
          <w:p>
            <w:pPr>
              <w:ind w:left="1800"/>
              <w:spacing w:after="0"/>
              <w:rPr>
                <w:sz w:val="20"/>
                <w:szCs w:val="20"/>
                <w:color w:val="auto"/>
              </w:rPr>
            </w:pPr>
            <w:r>
              <w:rPr>
                <w:rFonts w:ascii="Arial" w:cs="Arial" w:eastAsia="Arial" w:hAnsi="Arial"/>
                <w:sz w:val="18"/>
                <w:szCs w:val="18"/>
                <w:color w:val="auto"/>
              </w:rPr>
              <w:t>Description</w:t>
            </w:r>
          </w:p>
        </w:tc>
      </w:tr>
      <w:tr>
        <w:trPr>
          <w:trHeight w:val="385"/>
        </w:trPr>
        <w:tc>
          <w:tcPr>
            <w:tcW w:w="1280" w:type="dxa"/>
            <w:vAlign w:val="bottom"/>
          </w:tcPr>
          <w:p>
            <w:pPr>
              <w:ind w:left="480"/>
              <w:spacing w:after="0"/>
              <w:rPr>
                <w:sz w:val="20"/>
                <w:szCs w:val="20"/>
                <w:color w:val="auto"/>
              </w:rPr>
            </w:pPr>
            <w:r>
              <w:rPr>
                <w:rFonts w:ascii="Arial" w:cs="Arial" w:eastAsia="Arial" w:hAnsi="Arial"/>
                <w:sz w:val="18"/>
                <w:szCs w:val="18"/>
                <w:color w:val="auto"/>
              </w:rPr>
              <w:t>2.1</w:t>
            </w:r>
          </w:p>
        </w:tc>
        <w:tc>
          <w:tcPr>
            <w:tcW w:w="240" w:type="dxa"/>
            <w:vAlign w:val="bottom"/>
          </w:tcPr>
          <w:p>
            <w:pPr>
              <w:spacing w:after="0"/>
              <w:rPr>
                <w:sz w:val="24"/>
                <w:szCs w:val="24"/>
                <w:color w:val="auto"/>
              </w:rPr>
            </w:pPr>
          </w:p>
        </w:tc>
        <w:tc>
          <w:tcPr>
            <w:tcW w:w="7200" w:type="dxa"/>
            <w:vAlign w:val="bottom"/>
            <w:tcBorders>
              <w:bottom w:val="single" w:sz="8" w:color="0000EE"/>
            </w:tcBorders>
            <w:gridSpan w:val="9"/>
          </w:tcPr>
          <w:p>
            <w:pPr>
              <w:spacing w:after="0"/>
              <w:rPr>
                <w:rFonts w:ascii="Arial" w:cs="Arial" w:eastAsia="Arial" w:hAnsi="Arial"/>
                <w:sz w:val="18"/>
                <w:szCs w:val="18"/>
                <w:color w:val="0000EE"/>
                <w:w w:val="89"/>
              </w:rPr>
            </w:pPr>
            <w:hyperlink r:id="rId50">
              <w:r>
                <w:rPr>
                  <w:rFonts w:ascii="Arial" w:cs="Arial" w:eastAsia="Arial" w:hAnsi="Arial"/>
                  <w:sz w:val="18"/>
                  <w:szCs w:val="18"/>
                  <w:color w:val="0000EE"/>
                  <w:w w:val="89"/>
                </w:rPr>
                <w:t>Purchase Agreement, dated as of September 13, 2018, by and among Ryman Hospitality Properties,</w:t>
              </w:r>
            </w:hyperlink>
          </w:p>
        </w:tc>
        <w:tc>
          <w:tcPr>
            <w:tcW w:w="340" w:type="dxa"/>
            <w:vAlign w:val="bottom"/>
            <w:gridSpan w:val="3"/>
          </w:tcPr>
          <w:p>
            <w:pPr>
              <w:spacing w:after="0"/>
              <w:rPr>
                <w:sz w:val="24"/>
                <w:szCs w:val="24"/>
                <w:color w:val="auto"/>
              </w:rPr>
            </w:pPr>
          </w:p>
        </w:tc>
      </w:tr>
      <w:tr>
        <w:trPr>
          <w:trHeight w:val="196"/>
        </w:trPr>
        <w:tc>
          <w:tcPr>
            <w:tcW w:w="1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80" w:type="dxa"/>
            <w:vAlign w:val="bottom"/>
            <w:tcBorders>
              <w:bottom w:val="single" w:sz="8" w:color="0000EE"/>
            </w:tcBorders>
            <w:gridSpan w:val="11"/>
          </w:tcPr>
          <w:p>
            <w:pPr>
              <w:spacing w:after="0" w:line="196" w:lineRule="exact"/>
              <w:rPr>
                <w:rFonts w:ascii="Arial" w:cs="Arial" w:eastAsia="Arial" w:hAnsi="Arial"/>
                <w:sz w:val="18"/>
                <w:szCs w:val="18"/>
                <w:color w:val="0000EE"/>
                <w:w w:val="94"/>
              </w:rPr>
            </w:pPr>
            <w:hyperlink r:id="rId50">
              <w:r>
                <w:rPr>
                  <w:rFonts w:ascii="Arial" w:cs="Arial" w:eastAsia="Arial" w:hAnsi="Arial"/>
                  <w:sz w:val="18"/>
                  <w:szCs w:val="18"/>
                  <w:color w:val="0000EE"/>
                  <w:w w:val="94"/>
                </w:rPr>
                <w:t>Inc., Aurora Convention Center Hotel Partners LLC, AREG Aurora CCH LLC, and RIDA Aurora LLC</w:t>
              </w:r>
            </w:hyperlink>
          </w:p>
        </w:tc>
        <w:tc>
          <w:tcPr>
            <w:tcW w:w="60" w:type="dxa"/>
            <w:vAlign w:val="bottom"/>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760" w:type="dxa"/>
            <w:vAlign w:val="bottom"/>
            <w:tcBorders>
              <w:bottom w:val="single" w:sz="8" w:color="0000EE"/>
            </w:tcBorders>
            <w:gridSpan w:val="6"/>
          </w:tcPr>
          <w:p>
            <w:pPr>
              <w:spacing w:after="0" w:line="196" w:lineRule="exact"/>
              <w:rPr>
                <w:rFonts w:ascii="Arial" w:cs="Arial" w:eastAsia="Arial" w:hAnsi="Arial"/>
                <w:sz w:val="18"/>
                <w:szCs w:val="18"/>
                <w:color w:val="0000EE"/>
                <w:w w:val="92"/>
              </w:rPr>
            </w:pPr>
            <w:hyperlink r:id="rId50">
              <w:r>
                <w:rPr>
                  <w:rFonts w:ascii="Arial" w:cs="Arial" w:eastAsia="Arial" w:hAnsi="Arial"/>
                  <w:sz w:val="18"/>
                  <w:szCs w:val="18"/>
                  <w:color w:val="0000EE"/>
                  <w:w w:val="92"/>
                </w:rPr>
                <w:t>(incorporated by reference to Exhibit 2.1 to the Company’s Current Report on Form 8-K filed</w:t>
              </w:r>
            </w:hyperlink>
          </w:p>
        </w:tc>
        <w:tc>
          <w:tcPr>
            <w:tcW w:w="780" w:type="dxa"/>
            <w:vAlign w:val="bottom"/>
            <w:gridSpan w:val="6"/>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60" w:type="dxa"/>
            <w:vAlign w:val="bottom"/>
            <w:tcBorders>
              <w:bottom w:val="single" w:sz="8" w:color="0000EE"/>
            </w:tcBorders>
          </w:tcPr>
          <w:p>
            <w:pPr>
              <w:spacing w:after="0" w:line="196" w:lineRule="exact"/>
              <w:rPr>
                <w:rFonts w:ascii="Arial" w:cs="Arial" w:eastAsia="Arial" w:hAnsi="Arial"/>
                <w:sz w:val="18"/>
                <w:szCs w:val="18"/>
                <w:color w:val="0000EE"/>
                <w:w w:val="88"/>
              </w:rPr>
            </w:pPr>
            <w:hyperlink r:id="rId50">
              <w:r>
                <w:rPr>
                  <w:rFonts w:ascii="Arial" w:cs="Arial" w:eastAsia="Arial" w:hAnsi="Arial"/>
                  <w:sz w:val="18"/>
                  <w:szCs w:val="18"/>
                  <w:color w:val="0000EE"/>
                  <w:w w:val="88"/>
                </w:rPr>
                <w:t>September 14, 2018).</w:t>
              </w:r>
            </w:hyperlink>
          </w:p>
        </w:tc>
        <w:tc>
          <w:tcPr>
            <w:tcW w:w="5980" w:type="dxa"/>
            <w:vAlign w:val="bottom"/>
            <w:gridSpan w:val="11"/>
          </w:tcPr>
          <w:p>
            <w:pPr>
              <w:spacing w:after="0"/>
              <w:rPr>
                <w:sz w:val="17"/>
                <w:szCs w:val="17"/>
                <w:color w:val="auto"/>
              </w:rPr>
            </w:pPr>
          </w:p>
        </w:tc>
      </w:tr>
      <w:tr>
        <w:trPr>
          <w:trHeight w:val="412"/>
        </w:trPr>
        <w:tc>
          <w:tcPr>
            <w:tcW w:w="1280" w:type="dxa"/>
            <w:vAlign w:val="bottom"/>
          </w:tcPr>
          <w:p>
            <w:pPr>
              <w:ind w:left="480"/>
              <w:spacing w:after="0"/>
              <w:rPr>
                <w:sz w:val="20"/>
                <w:szCs w:val="20"/>
                <w:color w:val="auto"/>
              </w:rPr>
            </w:pPr>
            <w:r>
              <w:rPr>
                <w:rFonts w:ascii="Arial" w:cs="Arial" w:eastAsia="Arial" w:hAnsi="Arial"/>
                <w:sz w:val="18"/>
                <w:szCs w:val="18"/>
                <w:color w:val="auto"/>
              </w:rPr>
              <w:t>3.1</w:t>
            </w:r>
          </w:p>
        </w:tc>
        <w:tc>
          <w:tcPr>
            <w:tcW w:w="240" w:type="dxa"/>
            <w:vAlign w:val="bottom"/>
          </w:tcPr>
          <w:p>
            <w:pPr>
              <w:spacing w:after="0"/>
              <w:rPr>
                <w:sz w:val="24"/>
                <w:szCs w:val="24"/>
                <w:color w:val="auto"/>
              </w:rPr>
            </w:pPr>
          </w:p>
        </w:tc>
        <w:tc>
          <w:tcPr>
            <w:tcW w:w="7460" w:type="dxa"/>
            <w:vAlign w:val="bottom"/>
            <w:tcBorders>
              <w:bottom w:val="single" w:sz="8" w:color="0000EE"/>
            </w:tcBorders>
            <w:gridSpan w:val="10"/>
          </w:tcPr>
          <w:p>
            <w:pPr>
              <w:spacing w:after="0"/>
              <w:rPr>
                <w:rFonts w:ascii="Arial" w:cs="Arial" w:eastAsia="Arial" w:hAnsi="Arial"/>
                <w:sz w:val="18"/>
                <w:szCs w:val="18"/>
                <w:color w:val="0000EE"/>
                <w:w w:val="91"/>
              </w:rPr>
            </w:pPr>
            <w:hyperlink r:id="rId51">
              <w:r>
                <w:rPr>
                  <w:rFonts w:ascii="Arial" w:cs="Arial" w:eastAsia="Arial" w:hAnsi="Arial"/>
                  <w:sz w:val="18"/>
                  <w:szCs w:val="18"/>
                  <w:color w:val="0000EE"/>
                  <w:w w:val="91"/>
                </w:rPr>
                <w:t>Amended and Restated Certificate of Incorporation of Ryman Hospitality Properties, Inc. (incorporated</w:t>
              </w:r>
            </w:hyperlink>
          </w:p>
        </w:tc>
        <w:tc>
          <w:tcPr>
            <w:tcW w:w="80" w:type="dxa"/>
            <w:vAlign w:val="bottom"/>
            <w:gridSpan w:val="2"/>
          </w:tcPr>
          <w:p>
            <w:pPr>
              <w:spacing w:after="0"/>
              <w:rPr>
                <w:sz w:val="24"/>
                <w:szCs w:val="24"/>
                <w:color w:val="auto"/>
              </w:rPr>
            </w:pPr>
          </w:p>
        </w:tc>
      </w:tr>
      <w:tr>
        <w:trPr>
          <w:trHeight w:val="196"/>
        </w:trPr>
        <w:tc>
          <w:tcPr>
            <w:tcW w:w="1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60" w:type="dxa"/>
            <w:vAlign w:val="bottom"/>
            <w:tcBorders>
              <w:bottom w:val="single" w:sz="8" w:color="0000EE"/>
            </w:tcBorders>
            <w:gridSpan w:val="7"/>
          </w:tcPr>
          <w:p>
            <w:pPr>
              <w:spacing w:after="0" w:line="196" w:lineRule="exact"/>
              <w:rPr>
                <w:rFonts w:ascii="Arial" w:cs="Arial" w:eastAsia="Arial" w:hAnsi="Arial"/>
                <w:sz w:val="18"/>
                <w:szCs w:val="18"/>
                <w:color w:val="0000EE"/>
                <w:w w:val="91"/>
              </w:rPr>
            </w:pPr>
            <w:hyperlink r:id="rId51">
              <w:r>
                <w:rPr>
                  <w:rFonts w:ascii="Arial" w:cs="Arial" w:eastAsia="Arial" w:hAnsi="Arial"/>
                  <w:sz w:val="18"/>
                  <w:szCs w:val="18"/>
                  <w:color w:val="0000EE"/>
                  <w:w w:val="91"/>
                </w:rPr>
                <w:t>by reference to Exhibit 3.1 to the Company’s Current Report on Form 8</w:t>
              </w:r>
              <w:r>
                <w:rPr>
                  <w:rFonts w:ascii="MS PGothic" w:cs="MS PGothic" w:eastAsia="MS PGothic" w:hAnsi="MS PGothic"/>
                  <w:sz w:val="18"/>
                  <w:szCs w:val="18"/>
                  <w:color w:val="0000EE"/>
                  <w:w w:val="91"/>
                </w:rPr>
                <w:t>‑</w:t>
              </w:r>
              <w:r>
                <w:rPr>
                  <w:rFonts w:ascii="Arial" w:cs="Arial" w:eastAsia="Arial" w:hAnsi="Arial"/>
                  <w:sz w:val="18"/>
                  <w:szCs w:val="18"/>
                  <w:color w:val="0000EE"/>
                  <w:w w:val="91"/>
                </w:rPr>
                <w:t>K filed October 1, 2012).</w:t>
              </w:r>
            </w:hyperlink>
          </w:p>
        </w:tc>
        <w:tc>
          <w:tcPr>
            <w:tcW w:w="480" w:type="dxa"/>
            <w:vAlign w:val="bottom"/>
            <w:gridSpan w:val="5"/>
          </w:tcPr>
          <w:p>
            <w:pPr>
              <w:spacing w:after="0"/>
              <w:rPr>
                <w:sz w:val="17"/>
                <w:szCs w:val="17"/>
                <w:color w:val="auto"/>
              </w:rPr>
            </w:pPr>
          </w:p>
        </w:tc>
      </w:tr>
      <w:tr>
        <w:trPr>
          <w:trHeight w:val="412"/>
        </w:trPr>
        <w:tc>
          <w:tcPr>
            <w:tcW w:w="1280" w:type="dxa"/>
            <w:vAlign w:val="bottom"/>
          </w:tcPr>
          <w:p>
            <w:pPr>
              <w:ind w:left="480"/>
              <w:spacing w:after="0"/>
              <w:rPr>
                <w:sz w:val="20"/>
                <w:szCs w:val="20"/>
                <w:color w:val="auto"/>
              </w:rPr>
            </w:pPr>
            <w:r>
              <w:rPr>
                <w:rFonts w:ascii="Arial" w:cs="Arial" w:eastAsia="Arial" w:hAnsi="Arial"/>
                <w:sz w:val="18"/>
                <w:szCs w:val="18"/>
                <w:color w:val="auto"/>
              </w:rPr>
              <w:t>3.2</w:t>
            </w:r>
          </w:p>
        </w:tc>
        <w:tc>
          <w:tcPr>
            <w:tcW w:w="240" w:type="dxa"/>
            <w:vAlign w:val="bottom"/>
          </w:tcPr>
          <w:p>
            <w:pPr>
              <w:spacing w:after="0"/>
              <w:rPr>
                <w:sz w:val="24"/>
                <w:szCs w:val="24"/>
                <w:color w:val="auto"/>
              </w:rPr>
            </w:pPr>
          </w:p>
        </w:tc>
        <w:tc>
          <w:tcPr>
            <w:tcW w:w="7140" w:type="dxa"/>
            <w:vAlign w:val="bottom"/>
            <w:tcBorders>
              <w:bottom w:val="single" w:sz="8" w:color="0000EE"/>
            </w:tcBorders>
            <w:gridSpan w:val="8"/>
          </w:tcPr>
          <w:p>
            <w:pPr>
              <w:spacing w:after="0"/>
              <w:rPr>
                <w:rFonts w:ascii="Arial" w:cs="Arial" w:eastAsia="Arial" w:hAnsi="Arial"/>
                <w:sz w:val="18"/>
                <w:szCs w:val="18"/>
                <w:color w:val="0000EE"/>
                <w:w w:val="90"/>
              </w:rPr>
            </w:pPr>
            <w:hyperlink r:id="rId52">
              <w:r>
                <w:rPr>
                  <w:rFonts w:ascii="Arial" w:cs="Arial" w:eastAsia="Arial" w:hAnsi="Arial"/>
                  <w:sz w:val="18"/>
                  <w:szCs w:val="18"/>
                  <w:color w:val="0000EE"/>
                  <w:w w:val="90"/>
                </w:rPr>
                <w:t>Amended and Restated Bylaws of Ryman Hospitality Properties, Inc. (incorporated by reference to</w:t>
              </w:r>
            </w:hyperlink>
          </w:p>
        </w:tc>
        <w:tc>
          <w:tcPr>
            <w:tcW w:w="400" w:type="dxa"/>
            <w:vAlign w:val="bottom"/>
            <w:gridSpan w:val="4"/>
          </w:tcPr>
          <w:p>
            <w:pPr>
              <w:spacing w:after="0"/>
              <w:rPr>
                <w:sz w:val="24"/>
                <w:szCs w:val="24"/>
                <w:color w:val="auto"/>
              </w:rPr>
            </w:pPr>
          </w:p>
        </w:tc>
      </w:tr>
      <w:tr>
        <w:trPr>
          <w:trHeight w:val="196"/>
        </w:trPr>
        <w:tc>
          <w:tcPr>
            <w:tcW w:w="1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540" w:type="dxa"/>
            <w:vAlign w:val="bottom"/>
            <w:gridSpan w:val="12"/>
          </w:tcPr>
          <w:p>
            <w:pPr>
              <w:spacing w:after="0" w:line="196" w:lineRule="exact"/>
              <w:rPr>
                <w:rFonts w:ascii="Arial" w:cs="Arial" w:eastAsia="Arial" w:hAnsi="Arial"/>
                <w:sz w:val="18"/>
                <w:szCs w:val="18"/>
                <w:color w:val="0000EE"/>
              </w:rPr>
            </w:pPr>
            <w:hyperlink r:id="rId52">
              <w:r>
                <w:rPr>
                  <w:rFonts w:ascii="Arial" w:cs="Arial" w:eastAsia="Arial" w:hAnsi="Arial"/>
                  <w:sz w:val="18"/>
                  <w:szCs w:val="18"/>
                  <w:color w:val="0000EE"/>
                </w:rPr>
                <w:t>Exhibit 3.2 to the Company’s Current Report on Form 8</w:t>
              </w:r>
              <w:r>
                <w:rPr>
                  <w:rFonts w:ascii="MS PGothic" w:cs="MS PGothic" w:eastAsia="MS PGothic" w:hAnsi="MS PGothic"/>
                  <w:sz w:val="18"/>
                  <w:szCs w:val="18"/>
                  <w:color w:val="0000EE"/>
                </w:rPr>
                <w:t>‑</w:t>
              </w:r>
              <w:r>
                <w:rPr>
                  <w:rFonts w:ascii="Arial" w:cs="Arial" w:eastAsia="Arial" w:hAnsi="Arial"/>
                  <w:sz w:val="18"/>
                  <w:szCs w:val="18"/>
                  <w:color w:val="0000EE"/>
                </w:rPr>
                <w:t>K filed October 1, 2012).</w:t>
              </w:r>
            </w:hyperlink>
          </w:p>
        </w:tc>
      </w:tr>
      <w:tr>
        <w:trPr>
          <w:trHeight w:val="20"/>
        </w:trPr>
        <w:tc>
          <w:tcPr>
            <w:tcW w:w="1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60" w:type="dxa"/>
            <w:vAlign w:val="bottom"/>
            <w:gridSpan w:val="2"/>
            <w:shd w:val="clear" w:color="auto" w:fill="0000EE"/>
          </w:tcPr>
          <w:p>
            <w:pPr>
              <w:spacing w:after="0" w:line="20" w:lineRule="exact"/>
              <w:rPr>
                <w:sz w:val="1"/>
                <w:szCs w:val="1"/>
                <w:color w:val="auto"/>
              </w:rPr>
            </w:pPr>
          </w:p>
        </w:tc>
        <w:tc>
          <w:tcPr>
            <w:tcW w:w="186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r>
      <w:tr>
        <w:trPr>
          <w:trHeight w:val="412"/>
        </w:trPr>
        <w:tc>
          <w:tcPr>
            <w:tcW w:w="1280" w:type="dxa"/>
            <w:vAlign w:val="bottom"/>
          </w:tcPr>
          <w:p>
            <w:pPr>
              <w:ind w:left="480"/>
              <w:spacing w:after="0"/>
              <w:rPr>
                <w:sz w:val="20"/>
                <w:szCs w:val="20"/>
                <w:color w:val="auto"/>
              </w:rPr>
            </w:pPr>
            <w:r>
              <w:rPr>
                <w:rFonts w:ascii="Arial" w:cs="Arial" w:eastAsia="Arial" w:hAnsi="Arial"/>
                <w:sz w:val="18"/>
                <w:szCs w:val="18"/>
                <w:color w:val="auto"/>
              </w:rPr>
              <w:t>31.1*</w:t>
            </w:r>
          </w:p>
        </w:tc>
        <w:tc>
          <w:tcPr>
            <w:tcW w:w="240" w:type="dxa"/>
            <w:vAlign w:val="bottom"/>
          </w:tcPr>
          <w:p>
            <w:pPr>
              <w:spacing w:after="0"/>
              <w:rPr>
                <w:sz w:val="24"/>
                <w:szCs w:val="24"/>
                <w:color w:val="auto"/>
              </w:rPr>
            </w:pPr>
          </w:p>
        </w:tc>
        <w:tc>
          <w:tcPr>
            <w:tcW w:w="6260" w:type="dxa"/>
            <w:vAlign w:val="bottom"/>
            <w:tcBorders>
              <w:bottom w:val="single" w:sz="8" w:color="0000EE"/>
            </w:tcBorders>
            <w:gridSpan w:val="4"/>
          </w:tcPr>
          <w:p>
            <w:pPr>
              <w:spacing w:after="0"/>
              <w:rPr>
                <w:rFonts w:ascii="Arial" w:cs="Arial" w:eastAsia="Arial" w:hAnsi="Arial"/>
                <w:sz w:val="18"/>
                <w:szCs w:val="18"/>
                <w:color w:val="0000EE"/>
                <w:w w:val="91"/>
              </w:rPr>
            </w:pPr>
            <w:hyperlink w:anchor="page50">
              <w:r>
                <w:rPr>
                  <w:rFonts w:ascii="Arial" w:cs="Arial" w:eastAsia="Arial" w:hAnsi="Arial"/>
                  <w:sz w:val="18"/>
                  <w:szCs w:val="18"/>
                  <w:color w:val="0000EE"/>
                  <w:w w:val="91"/>
                </w:rPr>
                <w:t>Certification of Colin V. Reed pursuant to Section 302 of Sarbanes-Oxley Act of 2002.</w:t>
              </w:r>
            </w:hyperlink>
          </w:p>
        </w:tc>
        <w:tc>
          <w:tcPr>
            <w:tcW w:w="1280" w:type="dxa"/>
            <w:vAlign w:val="bottom"/>
            <w:gridSpan w:val="8"/>
          </w:tcPr>
          <w:p>
            <w:pPr>
              <w:spacing w:after="0"/>
              <w:rPr>
                <w:sz w:val="24"/>
                <w:szCs w:val="24"/>
                <w:color w:val="auto"/>
              </w:rPr>
            </w:pPr>
          </w:p>
        </w:tc>
      </w:tr>
      <w:tr>
        <w:trPr>
          <w:trHeight w:val="412"/>
        </w:trPr>
        <w:tc>
          <w:tcPr>
            <w:tcW w:w="1280" w:type="dxa"/>
            <w:vAlign w:val="bottom"/>
          </w:tcPr>
          <w:p>
            <w:pPr>
              <w:ind w:left="480"/>
              <w:spacing w:after="0"/>
              <w:rPr>
                <w:sz w:val="20"/>
                <w:szCs w:val="20"/>
                <w:color w:val="auto"/>
              </w:rPr>
            </w:pPr>
            <w:r>
              <w:rPr>
                <w:rFonts w:ascii="Arial" w:cs="Arial" w:eastAsia="Arial" w:hAnsi="Arial"/>
                <w:sz w:val="18"/>
                <w:szCs w:val="18"/>
                <w:color w:val="auto"/>
              </w:rPr>
              <w:t>31.2*</w:t>
            </w:r>
          </w:p>
        </w:tc>
        <w:tc>
          <w:tcPr>
            <w:tcW w:w="240" w:type="dxa"/>
            <w:vAlign w:val="bottom"/>
          </w:tcPr>
          <w:p>
            <w:pPr>
              <w:spacing w:after="0"/>
              <w:rPr>
                <w:sz w:val="24"/>
                <w:szCs w:val="24"/>
                <w:color w:val="auto"/>
              </w:rPr>
            </w:pPr>
          </w:p>
        </w:tc>
        <w:tc>
          <w:tcPr>
            <w:tcW w:w="7540" w:type="dxa"/>
            <w:vAlign w:val="bottom"/>
            <w:gridSpan w:val="12"/>
          </w:tcPr>
          <w:p>
            <w:pPr>
              <w:spacing w:after="0"/>
              <w:rPr>
                <w:rFonts w:ascii="Arial" w:cs="Arial" w:eastAsia="Arial" w:hAnsi="Arial"/>
                <w:sz w:val="18"/>
                <w:szCs w:val="18"/>
                <w:color w:val="0000EE"/>
              </w:rPr>
            </w:pPr>
            <w:hyperlink w:anchor="page51">
              <w:r>
                <w:rPr>
                  <w:rFonts w:ascii="Arial" w:cs="Arial" w:eastAsia="Arial" w:hAnsi="Arial"/>
                  <w:sz w:val="18"/>
                  <w:szCs w:val="18"/>
                  <w:color w:val="0000EE"/>
                </w:rPr>
                <w:t>Certification of Mark Fioravanti pursuant to Section 302 of Sarbanes-Oxley Act of 2002.</w:t>
              </w:r>
            </w:hyperlink>
          </w:p>
        </w:tc>
      </w:tr>
      <w:tr>
        <w:trPr>
          <w:trHeight w:val="20"/>
        </w:trPr>
        <w:tc>
          <w:tcPr>
            <w:tcW w:w="1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60" w:type="dxa"/>
            <w:vAlign w:val="bottom"/>
            <w:gridSpan w:val="2"/>
            <w:shd w:val="clear" w:color="auto" w:fill="0000EE"/>
          </w:tcPr>
          <w:p>
            <w:pPr>
              <w:spacing w:after="0" w:line="20" w:lineRule="exact"/>
              <w:rPr>
                <w:sz w:val="1"/>
                <w:szCs w:val="1"/>
                <w:color w:val="auto"/>
              </w:rPr>
            </w:pPr>
          </w:p>
        </w:tc>
        <w:tc>
          <w:tcPr>
            <w:tcW w:w="2360" w:type="dxa"/>
            <w:vAlign w:val="bottom"/>
            <w:gridSpan w:val="3"/>
            <w:shd w:val="clear" w:color="auto" w:fill="0000EE"/>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r>
      <w:tr>
        <w:trPr>
          <w:trHeight w:val="412"/>
        </w:trPr>
        <w:tc>
          <w:tcPr>
            <w:tcW w:w="1280" w:type="dxa"/>
            <w:vAlign w:val="bottom"/>
          </w:tcPr>
          <w:p>
            <w:pPr>
              <w:ind w:left="480"/>
              <w:spacing w:after="0"/>
              <w:rPr>
                <w:sz w:val="20"/>
                <w:szCs w:val="20"/>
                <w:color w:val="auto"/>
              </w:rPr>
            </w:pPr>
            <w:r>
              <w:rPr>
                <w:rFonts w:ascii="Arial" w:cs="Arial" w:eastAsia="Arial" w:hAnsi="Arial"/>
                <w:sz w:val="18"/>
                <w:szCs w:val="18"/>
                <w:color w:val="auto"/>
              </w:rPr>
              <w:t>32.1**</w:t>
            </w:r>
          </w:p>
        </w:tc>
        <w:tc>
          <w:tcPr>
            <w:tcW w:w="240" w:type="dxa"/>
            <w:vAlign w:val="bottom"/>
          </w:tcPr>
          <w:p>
            <w:pPr>
              <w:spacing w:after="0"/>
              <w:rPr>
                <w:sz w:val="24"/>
                <w:szCs w:val="24"/>
                <w:color w:val="auto"/>
              </w:rPr>
            </w:pPr>
          </w:p>
        </w:tc>
        <w:tc>
          <w:tcPr>
            <w:tcW w:w="7540" w:type="dxa"/>
            <w:vAlign w:val="bottom"/>
            <w:gridSpan w:val="12"/>
          </w:tcPr>
          <w:p>
            <w:pPr>
              <w:spacing w:after="0"/>
              <w:rPr>
                <w:rFonts w:ascii="Arial" w:cs="Arial" w:eastAsia="Arial" w:hAnsi="Arial"/>
                <w:sz w:val="18"/>
                <w:szCs w:val="18"/>
                <w:color w:val="0000EE"/>
                <w:w w:val="96"/>
              </w:rPr>
            </w:pPr>
            <w:hyperlink w:anchor="page52">
              <w:r>
                <w:rPr>
                  <w:rFonts w:ascii="Arial" w:cs="Arial" w:eastAsia="Arial" w:hAnsi="Arial"/>
                  <w:sz w:val="18"/>
                  <w:szCs w:val="18"/>
                  <w:color w:val="0000EE"/>
                  <w:w w:val="96"/>
                </w:rPr>
                <w:t>Certification of Colin V. Reed and Mark Fioravanti pursuant to 18 U.S.C. Section 1350, as adopted</w:t>
              </w:r>
            </w:hyperlink>
          </w:p>
        </w:tc>
      </w:tr>
      <w:tr>
        <w:trPr>
          <w:trHeight w:val="196"/>
        </w:trPr>
        <w:tc>
          <w:tcPr>
            <w:tcW w:w="1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6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0"/>
              </w:rPr>
            </w:pPr>
            <w:hyperlink w:anchor="page52">
              <w:r>
                <w:rPr>
                  <w:rFonts w:ascii="Arial" w:cs="Arial" w:eastAsia="Arial" w:hAnsi="Arial"/>
                  <w:sz w:val="18"/>
                  <w:szCs w:val="18"/>
                  <w:color w:val="0000EE"/>
                  <w:w w:val="90"/>
                </w:rPr>
                <w:t>pursuant to Section 906 of Sarbanes-Oxley Act of 2002.</w:t>
              </w:r>
            </w:hyperlink>
          </w:p>
        </w:tc>
        <w:tc>
          <w:tcPr>
            <w:tcW w:w="3080" w:type="dxa"/>
            <w:vAlign w:val="bottom"/>
            <w:tcBorders>
              <w:top w:val="single" w:sz="8" w:color="0000EE"/>
            </w:tcBorders>
            <w:gridSpan w:val="6"/>
          </w:tcPr>
          <w:p>
            <w:pPr>
              <w:spacing w:after="0"/>
              <w:rPr>
                <w:sz w:val="17"/>
                <w:szCs w:val="17"/>
                <w:color w:val="auto"/>
              </w:rPr>
            </w:pPr>
          </w:p>
        </w:tc>
        <w:tc>
          <w:tcPr>
            <w:tcW w:w="400" w:type="dxa"/>
            <w:vAlign w:val="bottom"/>
            <w:gridSpan w:val="4"/>
          </w:tcPr>
          <w:p>
            <w:pPr>
              <w:spacing w:after="0"/>
              <w:rPr>
                <w:sz w:val="17"/>
                <w:szCs w:val="17"/>
                <w:color w:val="auto"/>
              </w:rPr>
            </w:pPr>
          </w:p>
        </w:tc>
      </w:tr>
      <w:tr>
        <w:trPr>
          <w:trHeight w:val="438"/>
        </w:trPr>
        <w:tc>
          <w:tcPr>
            <w:tcW w:w="1280" w:type="dxa"/>
            <w:vAlign w:val="bottom"/>
          </w:tcPr>
          <w:p>
            <w:pPr>
              <w:ind w:left="480"/>
              <w:spacing w:after="0"/>
              <w:rPr>
                <w:sz w:val="20"/>
                <w:szCs w:val="20"/>
                <w:color w:val="auto"/>
              </w:rPr>
            </w:pPr>
            <w:r>
              <w:rPr>
                <w:rFonts w:ascii="Arial" w:cs="Arial" w:eastAsia="Arial" w:hAnsi="Arial"/>
                <w:sz w:val="18"/>
                <w:szCs w:val="18"/>
                <w:color w:val="auto"/>
              </w:rPr>
              <w:t>101*</w:t>
            </w:r>
          </w:p>
        </w:tc>
        <w:tc>
          <w:tcPr>
            <w:tcW w:w="240" w:type="dxa"/>
            <w:vAlign w:val="bottom"/>
          </w:tcPr>
          <w:p>
            <w:pPr>
              <w:spacing w:after="0"/>
              <w:rPr>
                <w:sz w:val="24"/>
                <w:szCs w:val="24"/>
                <w:color w:val="auto"/>
              </w:rPr>
            </w:pPr>
          </w:p>
        </w:tc>
        <w:tc>
          <w:tcPr>
            <w:tcW w:w="7540" w:type="dxa"/>
            <w:vAlign w:val="bottom"/>
            <w:gridSpan w:val="12"/>
          </w:tcPr>
          <w:p>
            <w:pPr>
              <w:spacing w:after="0" w:line="207" w:lineRule="exact"/>
              <w:rPr>
                <w:sz w:val="20"/>
                <w:szCs w:val="20"/>
                <w:color w:val="auto"/>
              </w:rPr>
            </w:pPr>
            <w:r>
              <w:rPr>
                <w:rFonts w:ascii="Arial" w:cs="Arial" w:eastAsia="Arial" w:hAnsi="Arial"/>
                <w:sz w:val="18"/>
                <w:szCs w:val="18"/>
                <w:color w:val="auto"/>
                <w:w w:val="94"/>
              </w:rPr>
              <w:t>The following materials from Ryman Hospitality Properties, Inc.’s Quarterly Report on Form 10</w:t>
            </w:r>
            <w:r>
              <w:rPr>
                <w:rFonts w:ascii="MS PGothic" w:cs="MS PGothic" w:eastAsia="MS PGothic" w:hAnsi="MS PGothic"/>
                <w:sz w:val="18"/>
                <w:szCs w:val="18"/>
                <w:color w:val="auto"/>
                <w:w w:val="94"/>
              </w:rPr>
              <w:t>‑</w:t>
            </w:r>
            <w:r>
              <w:rPr>
                <w:rFonts w:ascii="Arial" w:cs="Arial" w:eastAsia="Arial" w:hAnsi="Arial"/>
                <w:sz w:val="18"/>
                <w:szCs w:val="18"/>
                <w:color w:val="auto"/>
                <w:w w:val="94"/>
              </w:rPr>
              <w:t>Q for</w:t>
            </w:r>
          </w:p>
        </w:tc>
      </w:tr>
      <w:tr>
        <w:trPr>
          <w:trHeight w:val="216"/>
        </w:trPr>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540" w:type="dxa"/>
            <w:vAlign w:val="bottom"/>
            <w:gridSpan w:val="12"/>
          </w:tcPr>
          <w:p>
            <w:pPr>
              <w:spacing w:after="0"/>
              <w:rPr>
                <w:sz w:val="20"/>
                <w:szCs w:val="20"/>
                <w:color w:val="auto"/>
              </w:rPr>
            </w:pPr>
            <w:r>
              <w:rPr>
                <w:rFonts w:ascii="Arial" w:cs="Arial" w:eastAsia="Arial" w:hAnsi="Arial"/>
                <w:sz w:val="18"/>
                <w:szCs w:val="18"/>
                <w:color w:val="auto"/>
                <w:w w:val="95"/>
              </w:rPr>
              <w:t>the quarterly period ended September 30, 2018, formatted in XBRL (eXtensible Business Reporting</w:t>
            </w:r>
          </w:p>
        </w:tc>
      </w:tr>
      <w:tr>
        <w:trPr>
          <w:trHeight w:val="230"/>
        </w:trPr>
        <w:tc>
          <w:tcPr>
            <w:tcW w:w="1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540" w:type="dxa"/>
            <w:vAlign w:val="bottom"/>
            <w:gridSpan w:val="12"/>
          </w:tcPr>
          <w:p>
            <w:pPr>
              <w:spacing w:after="0"/>
              <w:rPr>
                <w:sz w:val="20"/>
                <w:szCs w:val="20"/>
                <w:color w:val="auto"/>
              </w:rPr>
            </w:pPr>
            <w:r>
              <w:rPr>
                <w:rFonts w:ascii="Arial" w:cs="Arial" w:eastAsia="Arial" w:hAnsi="Arial"/>
                <w:sz w:val="18"/>
                <w:szCs w:val="18"/>
                <w:color w:val="auto"/>
                <w:w w:val="97"/>
              </w:rPr>
              <w:t>Language): (i) Condensed Consolidated Balance Sheets (unaudited) at September 30, 2018 and</w:t>
            </w:r>
          </w:p>
        </w:tc>
      </w:tr>
    </w:tbl>
    <w:p>
      <w:pPr>
        <w:jc w:val="both"/>
        <w:ind w:left="1520" w:right="40"/>
        <w:spacing w:after="0" w:line="295" w:lineRule="auto"/>
        <w:rPr>
          <w:sz w:val="20"/>
          <w:szCs w:val="20"/>
          <w:color w:val="auto"/>
        </w:rPr>
      </w:pPr>
      <w:r>
        <w:rPr>
          <w:rFonts w:ascii="Arial" w:cs="Arial" w:eastAsia="Arial" w:hAnsi="Arial"/>
          <w:sz w:val="16"/>
          <w:szCs w:val="16"/>
          <w:color w:val="auto"/>
        </w:rPr>
        <w:t>December 31, 2017, (ii) Condensed Consolidated Statements of Operations and Comprehensive Income (unaudited) for the three months and nine months ended September 30, 2018 and 2017, (iii) Condensed Consolidated Statements of Cash Flows (unaudited) for the nine months ended September 30, 2018 and 2017, and (iv) Notes to Condensed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43180</wp:posOffset>
            </wp:positionV>
            <wp:extent cx="144081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3">
                      <a:extLst>
                        <a:ext uri="{28A0092B-C50C-407E-A947-70E740481C1C}"/>
                      </a:extLst>
                    </a:blip>
                    <a:srcRect/>
                    <a:stretch>
                      <a:fillRect/>
                    </a:stretch>
                  </pic:blipFill>
                  <pic:spPr bwMode="auto">
                    <a:xfrm>
                      <a:off x="0" y="0"/>
                      <a:ext cx="1440815" cy="8890"/>
                    </a:xfrm>
                    <a:prstGeom prst="rect">
                      <a:avLst/>
                    </a:prstGeom>
                    <a:noFill/>
                  </pic:spPr>
                </pic:pic>
              </a:graphicData>
            </a:graphic>
          </wp:anchor>
        </w:drawing>
      </w:r>
    </w:p>
    <w:p>
      <w:pPr>
        <w:spacing w:after="0" w:line="155" w:lineRule="exact"/>
        <w:rPr>
          <w:sz w:val="20"/>
          <w:szCs w:val="20"/>
          <w:color w:val="auto"/>
        </w:rPr>
      </w:pPr>
    </w:p>
    <w:p>
      <w:pPr>
        <w:ind w:left="320" w:hanging="317"/>
        <w:spacing w:after="0"/>
        <w:tabs>
          <w:tab w:leader="none" w:pos="3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  Furnished herewith.</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8" w:name="page49"/>
    <w:bookmarkEnd w:id="4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2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120" w:type="dxa"/>
            <w:vAlign w:val="bottom"/>
          </w:tcPr>
          <w:p>
            <w:pPr>
              <w:spacing w:after="0"/>
              <w:rPr>
                <w:sz w:val="20"/>
                <w:szCs w:val="20"/>
                <w:color w:val="auto"/>
              </w:rPr>
            </w:pPr>
          </w:p>
        </w:tc>
        <w:tc>
          <w:tcPr>
            <w:tcW w:w="5940" w:type="dxa"/>
            <w:vAlign w:val="bottom"/>
            <w:gridSpan w:val="2"/>
          </w:tcPr>
          <w:p>
            <w:pPr>
              <w:ind w:left="1480"/>
              <w:spacing w:after="0"/>
              <w:rPr>
                <w:sz w:val="20"/>
                <w:szCs w:val="20"/>
                <w:color w:val="auto"/>
              </w:rPr>
            </w:pPr>
            <w:r>
              <w:rPr>
                <w:rFonts w:ascii="Arial" w:cs="Arial" w:eastAsia="Arial" w:hAnsi="Arial"/>
                <w:sz w:val="18"/>
                <w:szCs w:val="18"/>
                <w:b w:val="1"/>
                <w:bCs w:val="1"/>
                <w:color w:val="auto"/>
              </w:rPr>
              <w:t>RYMAN HOSPITALITY PROPERTIES, INC.</w:t>
            </w:r>
          </w:p>
        </w:tc>
      </w:tr>
      <w:tr>
        <w:trPr>
          <w:trHeight w:val="432"/>
        </w:trPr>
        <w:tc>
          <w:tcPr>
            <w:tcW w:w="3120" w:type="dxa"/>
            <w:vAlign w:val="bottom"/>
          </w:tcPr>
          <w:p>
            <w:pPr>
              <w:spacing w:after="0"/>
              <w:rPr>
                <w:sz w:val="20"/>
                <w:szCs w:val="20"/>
                <w:color w:val="auto"/>
              </w:rPr>
            </w:pPr>
            <w:r>
              <w:rPr>
                <w:rFonts w:ascii="Arial" w:cs="Arial" w:eastAsia="Arial" w:hAnsi="Arial"/>
                <w:sz w:val="18"/>
                <w:szCs w:val="18"/>
                <w:color w:val="auto"/>
              </w:rPr>
              <w:t>Date: November 7, 2018</w:t>
            </w:r>
          </w:p>
        </w:tc>
        <w:tc>
          <w:tcPr>
            <w:tcW w:w="5940" w:type="dxa"/>
            <w:vAlign w:val="bottom"/>
            <w:gridSpan w:val="2"/>
          </w:tcPr>
          <w:p>
            <w:pPr>
              <w:ind w:left="1480"/>
              <w:spacing w:after="0"/>
              <w:rPr>
                <w:sz w:val="20"/>
                <w:szCs w:val="20"/>
                <w:color w:val="auto"/>
              </w:rPr>
            </w:pPr>
            <w:r>
              <w:rPr>
                <w:rFonts w:ascii="Arial" w:cs="Arial" w:eastAsia="Arial" w:hAnsi="Arial"/>
                <w:sz w:val="18"/>
                <w:szCs w:val="18"/>
                <w:color w:val="auto"/>
              </w:rPr>
              <w:t>By: /s/ Colin V. Reed</w:t>
            </w:r>
          </w:p>
        </w:tc>
      </w:tr>
      <w:tr>
        <w:trPr>
          <w:trHeight w:val="195"/>
        </w:trPr>
        <w:tc>
          <w:tcPr>
            <w:tcW w:w="312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4160" w:type="dxa"/>
            <w:vAlign w:val="bottom"/>
            <w:tcBorders>
              <w:top w:val="single" w:sz="8" w:color="auto"/>
            </w:tcBorders>
          </w:tcPr>
          <w:p>
            <w:pPr>
              <w:ind w:left="240"/>
              <w:spacing w:after="0" w:line="195" w:lineRule="exact"/>
              <w:rPr>
                <w:sz w:val="20"/>
                <w:szCs w:val="20"/>
                <w:color w:val="auto"/>
              </w:rPr>
            </w:pPr>
            <w:r>
              <w:rPr>
                <w:rFonts w:ascii="Arial" w:cs="Arial" w:eastAsia="Arial" w:hAnsi="Arial"/>
                <w:sz w:val="18"/>
                <w:szCs w:val="18"/>
                <w:color w:val="auto"/>
              </w:rPr>
              <w:t>Colin V. Reed</w:t>
            </w:r>
          </w:p>
        </w:tc>
      </w:tr>
      <w:tr>
        <w:trPr>
          <w:trHeight w:val="216"/>
        </w:trPr>
        <w:tc>
          <w:tcPr>
            <w:tcW w:w="31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4160" w:type="dxa"/>
            <w:vAlign w:val="bottom"/>
          </w:tcPr>
          <w:p>
            <w:pPr>
              <w:ind w:left="240"/>
              <w:spacing w:after="0"/>
              <w:rPr>
                <w:sz w:val="20"/>
                <w:szCs w:val="20"/>
                <w:color w:val="auto"/>
              </w:rPr>
            </w:pPr>
            <w:r>
              <w:rPr>
                <w:rFonts w:ascii="Arial" w:cs="Arial" w:eastAsia="Arial" w:hAnsi="Arial"/>
                <w:sz w:val="18"/>
                <w:szCs w:val="18"/>
                <w:color w:val="auto"/>
              </w:rPr>
              <w:t>Chairman of the Board of Directors and</w:t>
            </w:r>
          </w:p>
        </w:tc>
      </w:tr>
      <w:tr>
        <w:trPr>
          <w:trHeight w:val="230"/>
        </w:trPr>
        <w:tc>
          <w:tcPr>
            <w:tcW w:w="312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4160" w:type="dxa"/>
            <w:vAlign w:val="bottom"/>
          </w:tcPr>
          <w:p>
            <w:pPr>
              <w:ind w:left="240"/>
              <w:spacing w:after="0"/>
              <w:rPr>
                <w:sz w:val="20"/>
                <w:szCs w:val="20"/>
                <w:color w:val="auto"/>
              </w:rPr>
            </w:pPr>
            <w:r>
              <w:rPr>
                <w:rFonts w:ascii="Arial" w:cs="Arial" w:eastAsia="Arial" w:hAnsi="Arial"/>
                <w:sz w:val="18"/>
                <w:szCs w:val="18"/>
                <w:color w:val="auto"/>
              </w:rPr>
              <w:t>Chief Executive Officer</w:t>
            </w:r>
          </w:p>
        </w:tc>
      </w:tr>
      <w:tr>
        <w:trPr>
          <w:trHeight w:val="432"/>
        </w:trPr>
        <w:tc>
          <w:tcPr>
            <w:tcW w:w="3120" w:type="dxa"/>
            <w:vAlign w:val="bottom"/>
          </w:tcPr>
          <w:p>
            <w:pPr>
              <w:spacing w:after="0"/>
              <w:rPr>
                <w:sz w:val="24"/>
                <w:szCs w:val="24"/>
                <w:color w:val="auto"/>
              </w:rPr>
            </w:pPr>
          </w:p>
        </w:tc>
        <w:tc>
          <w:tcPr>
            <w:tcW w:w="5940" w:type="dxa"/>
            <w:vAlign w:val="bottom"/>
            <w:gridSpan w:val="2"/>
          </w:tcPr>
          <w:p>
            <w:pPr>
              <w:ind w:left="1480"/>
              <w:spacing w:after="0"/>
              <w:rPr>
                <w:sz w:val="20"/>
                <w:szCs w:val="20"/>
                <w:color w:val="auto"/>
              </w:rPr>
            </w:pPr>
            <w:r>
              <w:rPr>
                <w:rFonts w:ascii="Arial" w:cs="Arial" w:eastAsia="Arial" w:hAnsi="Arial"/>
                <w:sz w:val="18"/>
                <w:szCs w:val="18"/>
                <w:color w:val="auto"/>
              </w:rPr>
              <w:t>By: /s/ Mark Fioravanti</w:t>
            </w:r>
          </w:p>
        </w:tc>
      </w:tr>
      <w:tr>
        <w:trPr>
          <w:trHeight w:val="195"/>
        </w:trPr>
        <w:tc>
          <w:tcPr>
            <w:tcW w:w="312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4160" w:type="dxa"/>
            <w:vAlign w:val="bottom"/>
            <w:tcBorders>
              <w:top w:val="single" w:sz="8" w:color="auto"/>
            </w:tcBorders>
          </w:tcPr>
          <w:p>
            <w:pPr>
              <w:ind w:left="240"/>
              <w:spacing w:after="0" w:line="195" w:lineRule="exact"/>
              <w:rPr>
                <w:sz w:val="20"/>
                <w:szCs w:val="20"/>
                <w:color w:val="auto"/>
              </w:rPr>
            </w:pPr>
            <w:r>
              <w:rPr>
                <w:rFonts w:ascii="Arial" w:cs="Arial" w:eastAsia="Arial" w:hAnsi="Arial"/>
                <w:sz w:val="18"/>
                <w:szCs w:val="18"/>
                <w:color w:val="auto"/>
              </w:rPr>
              <w:t>Mark Fioravanti</w:t>
            </w:r>
          </w:p>
        </w:tc>
      </w:tr>
      <w:tr>
        <w:trPr>
          <w:trHeight w:val="230"/>
        </w:trPr>
        <w:tc>
          <w:tcPr>
            <w:tcW w:w="312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4160" w:type="dxa"/>
            <w:vAlign w:val="bottom"/>
          </w:tcPr>
          <w:p>
            <w:pPr>
              <w:ind w:left="240"/>
              <w:spacing w:after="0"/>
              <w:rPr>
                <w:sz w:val="20"/>
                <w:szCs w:val="20"/>
                <w:color w:val="auto"/>
              </w:rPr>
            </w:pPr>
            <w:r>
              <w:rPr>
                <w:rFonts w:ascii="Arial" w:cs="Arial" w:eastAsia="Arial" w:hAnsi="Arial"/>
                <w:sz w:val="18"/>
                <w:szCs w:val="18"/>
                <w:color w:val="auto"/>
              </w:rPr>
              <w:t>President and Chief Financial Officer</w:t>
            </w:r>
          </w:p>
        </w:tc>
      </w:tr>
      <w:tr>
        <w:trPr>
          <w:trHeight w:val="432"/>
        </w:trPr>
        <w:tc>
          <w:tcPr>
            <w:tcW w:w="3120" w:type="dxa"/>
            <w:vAlign w:val="bottom"/>
          </w:tcPr>
          <w:p>
            <w:pPr>
              <w:spacing w:after="0"/>
              <w:rPr>
                <w:sz w:val="24"/>
                <w:szCs w:val="24"/>
                <w:color w:val="auto"/>
              </w:rPr>
            </w:pPr>
          </w:p>
        </w:tc>
        <w:tc>
          <w:tcPr>
            <w:tcW w:w="5940" w:type="dxa"/>
            <w:vAlign w:val="bottom"/>
            <w:gridSpan w:val="2"/>
          </w:tcPr>
          <w:p>
            <w:pPr>
              <w:ind w:left="1480"/>
              <w:spacing w:after="0"/>
              <w:rPr>
                <w:sz w:val="20"/>
                <w:szCs w:val="20"/>
                <w:color w:val="auto"/>
              </w:rPr>
            </w:pPr>
            <w:r>
              <w:rPr>
                <w:rFonts w:ascii="Arial" w:cs="Arial" w:eastAsia="Arial" w:hAnsi="Arial"/>
                <w:sz w:val="18"/>
                <w:szCs w:val="18"/>
                <w:color w:val="auto"/>
              </w:rPr>
              <w:t>By: /s/ Jennifer Hutcheson</w:t>
            </w:r>
          </w:p>
        </w:tc>
      </w:tr>
      <w:tr>
        <w:trPr>
          <w:trHeight w:val="195"/>
        </w:trPr>
        <w:tc>
          <w:tcPr>
            <w:tcW w:w="312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4160" w:type="dxa"/>
            <w:vAlign w:val="bottom"/>
            <w:tcBorders>
              <w:top w:val="single" w:sz="8" w:color="auto"/>
            </w:tcBorders>
          </w:tcPr>
          <w:p>
            <w:pPr>
              <w:ind w:left="240"/>
              <w:spacing w:after="0" w:line="195" w:lineRule="exact"/>
              <w:rPr>
                <w:sz w:val="20"/>
                <w:szCs w:val="20"/>
                <w:color w:val="auto"/>
              </w:rPr>
            </w:pPr>
            <w:r>
              <w:rPr>
                <w:rFonts w:ascii="Arial" w:cs="Arial" w:eastAsia="Arial" w:hAnsi="Arial"/>
                <w:sz w:val="18"/>
                <w:szCs w:val="18"/>
                <w:color w:val="auto"/>
              </w:rPr>
              <w:t>Jennifer Hutcheson</w:t>
            </w:r>
          </w:p>
        </w:tc>
      </w:tr>
      <w:tr>
        <w:trPr>
          <w:trHeight w:val="216"/>
        </w:trPr>
        <w:tc>
          <w:tcPr>
            <w:tcW w:w="31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4160" w:type="dxa"/>
            <w:vAlign w:val="bottom"/>
          </w:tcPr>
          <w:p>
            <w:pPr>
              <w:ind w:left="240"/>
              <w:spacing w:after="0"/>
              <w:rPr>
                <w:sz w:val="20"/>
                <w:szCs w:val="20"/>
                <w:color w:val="auto"/>
              </w:rPr>
            </w:pPr>
            <w:r>
              <w:rPr>
                <w:rFonts w:ascii="Arial" w:cs="Arial" w:eastAsia="Arial" w:hAnsi="Arial"/>
                <w:sz w:val="18"/>
                <w:szCs w:val="18"/>
                <w:color w:val="auto"/>
              </w:rPr>
              <w:t>Senior Vice President, Corporate</w:t>
            </w:r>
          </w:p>
        </w:tc>
      </w:tr>
      <w:tr>
        <w:trPr>
          <w:trHeight w:val="230"/>
        </w:trPr>
        <w:tc>
          <w:tcPr>
            <w:tcW w:w="312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4160" w:type="dxa"/>
            <w:vAlign w:val="bottom"/>
          </w:tcPr>
          <w:p>
            <w:pPr>
              <w:ind w:left="240"/>
              <w:spacing w:after="0"/>
              <w:rPr>
                <w:sz w:val="20"/>
                <w:szCs w:val="20"/>
                <w:color w:val="auto"/>
              </w:rPr>
            </w:pPr>
            <w:r>
              <w:rPr>
                <w:rFonts w:ascii="Arial" w:cs="Arial" w:eastAsia="Arial" w:hAnsi="Arial"/>
                <w:sz w:val="18"/>
                <w:szCs w:val="18"/>
                <w:color w:val="auto"/>
              </w:rPr>
              <w:t>Controller and Chief Accounting Officer</w:t>
            </w:r>
          </w:p>
        </w:tc>
      </w:tr>
      <w:tr>
        <w:trPr>
          <w:trHeight w:val="878"/>
        </w:trPr>
        <w:tc>
          <w:tcPr>
            <w:tcW w:w="3120" w:type="dxa"/>
            <w:vAlign w:val="bottom"/>
          </w:tcPr>
          <w:p>
            <w:pPr>
              <w:spacing w:after="0"/>
              <w:rPr>
                <w:sz w:val="24"/>
                <w:szCs w:val="24"/>
                <w:color w:val="auto"/>
              </w:rPr>
            </w:pPr>
          </w:p>
        </w:tc>
        <w:tc>
          <w:tcPr>
            <w:tcW w:w="1780" w:type="dxa"/>
            <w:vAlign w:val="bottom"/>
          </w:tcPr>
          <w:p>
            <w:pPr>
              <w:ind w:left="1320"/>
              <w:spacing w:after="0"/>
              <w:rPr>
                <w:sz w:val="20"/>
                <w:szCs w:val="20"/>
                <w:color w:val="auto"/>
              </w:rPr>
            </w:pPr>
            <w:r>
              <w:rPr>
                <w:rFonts w:ascii="Arial" w:cs="Arial" w:eastAsia="Arial" w:hAnsi="Arial"/>
                <w:sz w:val="18"/>
                <w:szCs w:val="18"/>
                <w:color w:val="auto"/>
              </w:rPr>
              <w:t>49</w:t>
            </w:r>
          </w:p>
        </w:tc>
        <w:tc>
          <w:tcPr>
            <w:tcW w:w="4160" w:type="dxa"/>
            <w:vAlign w:val="bottom"/>
          </w:tcPr>
          <w:p>
            <w:pPr>
              <w:spacing w:after="0"/>
              <w:rPr>
                <w:sz w:val="24"/>
                <w:szCs w:val="24"/>
                <w:color w:val="auto"/>
              </w:rPr>
            </w:pPr>
          </w:p>
        </w:tc>
      </w:tr>
      <w:tr>
        <w:trPr>
          <w:trHeight w:val="129"/>
        </w:trPr>
        <w:tc>
          <w:tcPr>
            <w:tcW w:w="3120" w:type="dxa"/>
            <w:vAlign w:val="bottom"/>
            <w:tcBorders>
              <w:bottom w:val="single" w:sz="8" w:color="auto"/>
            </w:tcBorders>
          </w:tcPr>
          <w:p>
            <w:pPr>
              <w:spacing w:after="0"/>
              <w:rPr>
                <w:sz w:val="11"/>
                <w:szCs w:val="11"/>
                <w:color w:val="auto"/>
              </w:rPr>
            </w:pPr>
          </w:p>
        </w:tc>
        <w:tc>
          <w:tcPr>
            <w:tcW w:w="1780" w:type="dxa"/>
            <w:vAlign w:val="bottom"/>
            <w:tcBorders>
              <w:bottom w:val="single" w:sz="8" w:color="auto"/>
            </w:tcBorders>
          </w:tcPr>
          <w:p>
            <w:pPr>
              <w:spacing w:after="0"/>
              <w:rPr>
                <w:sz w:val="11"/>
                <w:szCs w:val="11"/>
                <w:color w:val="auto"/>
              </w:rPr>
            </w:pPr>
          </w:p>
        </w:tc>
        <w:tc>
          <w:tcPr>
            <w:tcW w:w="4160" w:type="dxa"/>
            <w:vAlign w:val="bottom"/>
            <w:tcBorders>
              <w:bottom w:val="single" w:sz="8" w:color="auto"/>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-2348865</wp:posOffset>
            </wp:positionV>
            <wp:extent cx="2857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5">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9" w:name="page50"/>
    <w:bookmarkEnd w:id="49"/>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ind w:left="1"/>
        <w:spacing w:after="0"/>
        <w:rPr>
          <w:sz w:val="20"/>
          <w:szCs w:val="20"/>
          <w:color w:val="auto"/>
        </w:rPr>
      </w:pPr>
      <w:r>
        <w:rPr>
          <w:rFonts w:ascii="Arial" w:cs="Arial" w:eastAsia="Arial" w:hAnsi="Arial"/>
          <w:sz w:val="18"/>
          <w:szCs w:val="18"/>
          <w:color w:val="auto"/>
        </w:rPr>
        <w:t>I, Colin V. Reed, certify that:</w:t>
      </w:r>
    </w:p>
    <w:p>
      <w:pPr>
        <w:spacing w:after="0" w:line="225" w:lineRule="exact"/>
        <w:rPr>
          <w:sz w:val="20"/>
          <w:szCs w:val="20"/>
          <w:color w:val="auto"/>
        </w:rPr>
      </w:pPr>
    </w:p>
    <w:p>
      <w:pPr>
        <w:ind w:left="641" w:hanging="641"/>
        <w:spacing w:after="0"/>
        <w:tabs>
          <w:tab w:leader="none" w:pos="641" w:val="left"/>
        </w:tabs>
        <w:numPr>
          <w:ilvl w:val="0"/>
          <w:numId w:val="2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Ryman Hospitality Properties, Inc.;</w:t>
      </w:r>
    </w:p>
    <w:p>
      <w:pPr>
        <w:spacing w:after="0" w:line="225" w:lineRule="exact"/>
        <w:rPr>
          <w:rFonts w:ascii="Arial" w:cs="Arial" w:eastAsia="Arial" w:hAnsi="Arial"/>
          <w:sz w:val="18"/>
          <w:szCs w:val="18"/>
          <w:color w:val="auto"/>
        </w:rPr>
      </w:pPr>
    </w:p>
    <w:p>
      <w:pPr>
        <w:ind w:left="641" w:right="360" w:hanging="641"/>
        <w:spacing w:after="0" w:line="264" w:lineRule="auto"/>
        <w:tabs>
          <w:tab w:leader="none" w:pos="641"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41" w:right="80" w:hanging="641"/>
        <w:spacing w:after="0" w:line="264" w:lineRule="auto"/>
        <w:tabs>
          <w:tab w:leader="none" w:pos="641"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1" w:lineRule="exact"/>
        <w:rPr>
          <w:rFonts w:ascii="Arial" w:cs="Arial" w:eastAsia="Arial" w:hAnsi="Arial"/>
          <w:sz w:val="18"/>
          <w:szCs w:val="18"/>
          <w:color w:val="auto"/>
        </w:rPr>
      </w:pPr>
    </w:p>
    <w:p>
      <w:pPr>
        <w:ind w:left="641" w:right="180" w:hanging="641"/>
        <w:spacing w:after="0" w:line="264" w:lineRule="auto"/>
        <w:tabs>
          <w:tab w:leader="none" w:pos="641"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 w:right="120" w:firstLine="648"/>
        <w:spacing w:after="0" w:line="286" w:lineRule="auto"/>
        <w:tabs>
          <w:tab w:leader="none" w:pos="1293" w:val="left"/>
        </w:tabs>
        <w:numPr>
          <w:ilvl w:val="1"/>
          <w:numId w:val="20"/>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Arial" w:cs="Arial" w:eastAsia="Arial" w:hAnsi="Arial"/>
          <w:sz w:val="17"/>
          <w:szCs w:val="17"/>
          <w:color w:val="auto"/>
        </w:rPr>
      </w:pPr>
    </w:p>
    <w:p>
      <w:pPr>
        <w:ind w:left="1" w:right="360" w:firstLine="648"/>
        <w:spacing w:after="0" w:line="286" w:lineRule="auto"/>
        <w:tabs>
          <w:tab w:leader="none" w:pos="1303" w:val="left"/>
        </w:tabs>
        <w:numPr>
          <w:ilvl w:val="1"/>
          <w:numId w:val="20"/>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5" w:lineRule="exact"/>
        <w:rPr>
          <w:rFonts w:ascii="Arial" w:cs="Arial" w:eastAsia="Arial" w:hAnsi="Arial"/>
          <w:sz w:val="17"/>
          <w:szCs w:val="17"/>
          <w:color w:val="auto"/>
        </w:rPr>
      </w:pPr>
    </w:p>
    <w:p>
      <w:pPr>
        <w:ind w:left="1" w:right="260" w:firstLine="648"/>
        <w:spacing w:after="0" w:line="264" w:lineRule="auto"/>
        <w:tabs>
          <w:tab w:leader="none" w:pos="1320" w:val="left"/>
        </w:tabs>
        <w:numPr>
          <w:ilvl w:val="1"/>
          <w:numId w:val="2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1" w:lineRule="exact"/>
        <w:rPr>
          <w:rFonts w:ascii="Arial" w:cs="Arial" w:eastAsia="Arial" w:hAnsi="Arial"/>
          <w:sz w:val="18"/>
          <w:szCs w:val="18"/>
          <w:color w:val="auto"/>
        </w:rPr>
      </w:pPr>
    </w:p>
    <w:p>
      <w:pPr>
        <w:ind w:left="1" w:right="100" w:firstLine="648"/>
        <w:spacing w:after="0" w:line="264" w:lineRule="auto"/>
        <w:tabs>
          <w:tab w:leader="none" w:pos="1303" w:val="left"/>
        </w:tabs>
        <w:numPr>
          <w:ilvl w:val="1"/>
          <w:numId w:val="2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41" w:right="40" w:hanging="641"/>
        <w:spacing w:after="0" w:line="264" w:lineRule="auto"/>
        <w:tabs>
          <w:tab w:leader="none" w:pos="641"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1" w:lineRule="exact"/>
        <w:rPr>
          <w:rFonts w:ascii="Arial" w:cs="Arial" w:eastAsia="Arial" w:hAnsi="Arial"/>
          <w:sz w:val="18"/>
          <w:szCs w:val="18"/>
          <w:color w:val="auto"/>
        </w:rPr>
      </w:pPr>
    </w:p>
    <w:p>
      <w:pPr>
        <w:ind w:left="1" w:right="40" w:firstLine="648"/>
        <w:spacing w:after="0" w:line="342" w:lineRule="auto"/>
        <w:tabs>
          <w:tab w:leader="none" w:pos="1293" w:val="left"/>
        </w:tabs>
        <w:numPr>
          <w:ilvl w:val="1"/>
          <w:numId w:val="2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 w:right="400" w:firstLine="648"/>
        <w:spacing w:after="0" w:line="277" w:lineRule="auto"/>
        <w:tabs>
          <w:tab w:leader="none" w:pos="1303" w:val="left"/>
        </w:tabs>
        <w:numPr>
          <w:ilvl w:val="1"/>
          <w:numId w:val="2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p>
      <w:pPr>
        <w:ind w:left="1"/>
        <w:spacing w:after="0"/>
        <w:rPr>
          <w:sz w:val="20"/>
          <w:szCs w:val="20"/>
          <w:color w:val="auto"/>
        </w:rPr>
      </w:pPr>
      <w:r>
        <w:rPr>
          <w:rFonts w:ascii="Arial" w:cs="Arial" w:eastAsia="Arial" w:hAnsi="Arial"/>
          <w:sz w:val="18"/>
          <w:szCs w:val="18"/>
          <w:color w:val="auto"/>
        </w:rPr>
        <w:t>Date: November 7, 2018</w:t>
      </w:r>
    </w:p>
    <w:p>
      <w:pPr>
        <w:spacing w:after="0" w:line="225" w:lineRule="exact"/>
        <w:rPr>
          <w:sz w:val="20"/>
          <w:szCs w:val="20"/>
          <w:color w:val="auto"/>
        </w:rPr>
      </w:pPr>
    </w:p>
    <w:p>
      <w:pPr>
        <w:ind w:left="1"/>
        <w:spacing w:after="0"/>
        <w:tabs>
          <w:tab w:leader="none" w:pos="440" w:val="left"/>
        </w:tabs>
        <w:rPr>
          <w:sz w:val="20"/>
          <w:szCs w:val="20"/>
          <w:color w:val="auto"/>
        </w:rPr>
      </w:pPr>
      <w:r>
        <w:rPr>
          <w:rFonts w:ascii="Arial" w:cs="Arial" w:eastAsia="Arial" w:hAnsi="Arial"/>
          <w:sz w:val="18"/>
          <w:szCs w:val="18"/>
          <w:color w:val="auto"/>
        </w:rPr>
        <w:t>By:</w:t>
        <w:tab/>
        <w:t>/s/ Colin V. Reed</w:t>
      </w:r>
    </w:p>
    <w:p>
      <w:pPr>
        <w:spacing w:after="0" w:line="23" w:lineRule="exact"/>
        <w:rPr>
          <w:sz w:val="20"/>
          <w:szCs w:val="20"/>
          <w:color w:val="auto"/>
        </w:rPr>
      </w:pPr>
    </w:p>
    <w:p>
      <w:pPr>
        <w:ind w:left="1"/>
        <w:spacing w:after="0"/>
        <w:rPr>
          <w:sz w:val="20"/>
          <w:szCs w:val="20"/>
          <w:color w:val="auto"/>
        </w:rPr>
      </w:pPr>
      <w:r>
        <w:rPr>
          <w:rFonts w:ascii="Arial" w:cs="Arial" w:eastAsia="Arial" w:hAnsi="Arial"/>
          <w:sz w:val="18"/>
          <w:szCs w:val="18"/>
          <w:color w:val="auto"/>
        </w:rPr>
        <w:t>Name: Colin V. Reed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294005</wp:posOffset>
            </wp:positionH>
            <wp:positionV relativeFrom="paragraph">
              <wp:posOffset>-130810</wp:posOffset>
            </wp:positionV>
            <wp:extent cx="29413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6">
                      <a:extLst>
                        <a:ext uri="{28A0092B-C50C-407E-A947-70E740481C1C}"/>
                      </a:extLst>
                    </a:blip>
                    <a:srcRect/>
                    <a:stretch>
                      <a:fillRect/>
                    </a:stretch>
                  </pic:blipFill>
                  <pic:spPr bwMode="auto">
                    <a:xfrm>
                      <a:off x="0" y="0"/>
                      <a:ext cx="2941320" cy="8890"/>
                    </a:xfrm>
                    <a:prstGeom prst="rect">
                      <a:avLst/>
                    </a:prstGeom>
                    <a:noFill/>
                  </pic:spPr>
                </pic:pic>
              </a:graphicData>
            </a:graphic>
          </wp:anchor>
        </w:drawing>
      </w:r>
    </w:p>
    <w:p>
      <w:pPr>
        <w:ind w:left="1"/>
        <w:spacing w:after="0"/>
        <w:rPr>
          <w:sz w:val="20"/>
          <w:szCs w:val="20"/>
          <w:color w:val="auto"/>
        </w:rPr>
      </w:pPr>
      <w:r>
        <w:rPr>
          <w:rFonts w:ascii="Arial" w:cs="Arial" w:eastAsia="Arial" w:hAnsi="Arial"/>
          <w:sz w:val="18"/>
          <w:szCs w:val="18"/>
          <w:color w:val="auto"/>
        </w:rPr>
        <w:t>Title: Chairman of the Board of Directors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280035</wp:posOffset>
            </wp:positionV>
            <wp:extent cx="6388735"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7">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121" w:right="919" w:bottom="1440" w:gutter="0" w:footer="0" w:header="0"/>
        </w:sectPr>
      </w:pPr>
    </w:p>
    <w:bookmarkStart w:id="50" w:name="page51"/>
    <w:bookmarkEnd w:id="50"/>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ind w:left="1"/>
        <w:spacing w:after="0"/>
        <w:rPr>
          <w:sz w:val="20"/>
          <w:szCs w:val="20"/>
          <w:color w:val="auto"/>
        </w:rPr>
      </w:pPr>
      <w:r>
        <w:rPr>
          <w:rFonts w:ascii="Arial" w:cs="Arial" w:eastAsia="Arial" w:hAnsi="Arial"/>
          <w:sz w:val="18"/>
          <w:szCs w:val="18"/>
          <w:color w:val="auto"/>
        </w:rPr>
        <w:t>I, Mark Fioravanti, certify that:</w:t>
      </w:r>
    </w:p>
    <w:p>
      <w:pPr>
        <w:spacing w:after="0" w:line="225" w:lineRule="exact"/>
        <w:rPr>
          <w:sz w:val="20"/>
          <w:szCs w:val="20"/>
          <w:color w:val="auto"/>
        </w:rPr>
      </w:pPr>
    </w:p>
    <w:p>
      <w:pPr>
        <w:ind w:left="681" w:hanging="681"/>
        <w:spacing w:after="0"/>
        <w:tabs>
          <w:tab w:leader="none" w:pos="681" w:val="left"/>
        </w:tabs>
        <w:numPr>
          <w:ilvl w:val="0"/>
          <w:numId w:val="2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Ryman Hospitality Properties, Inc.;</w:t>
      </w:r>
    </w:p>
    <w:p>
      <w:pPr>
        <w:spacing w:after="0" w:line="225" w:lineRule="exact"/>
        <w:rPr>
          <w:rFonts w:ascii="Arial" w:cs="Arial" w:eastAsia="Arial" w:hAnsi="Arial"/>
          <w:sz w:val="18"/>
          <w:szCs w:val="18"/>
          <w:color w:val="auto"/>
        </w:rPr>
      </w:pPr>
    </w:p>
    <w:p>
      <w:pPr>
        <w:ind w:left="1" w:right="80" w:hanging="1"/>
        <w:spacing w:after="0" w:line="264" w:lineRule="auto"/>
        <w:tabs>
          <w:tab w:leader="none" w:pos="676"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1" w:right="240" w:hanging="1"/>
        <w:spacing w:after="0" w:line="264" w:lineRule="auto"/>
        <w:tabs>
          <w:tab w:leader="none" w:pos="676"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1" w:lineRule="exact"/>
        <w:rPr>
          <w:rFonts w:ascii="Arial" w:cs="Arial" w:eastAsia="Arial" w:hAnsi="Arial"/>
          <w:sz w:val="18"/>
          <w:szCs w:val="18"/>
          <w:color w:val="auto"/>
        </w:rPr>
      </w:pPr>
    </w:p>
    <w:p>
      <w:pPr>
        <w:ind w:left="1" w:right="640" w:hanging="1"/>
        <w:spacing w:after="0" w:line="264" w:lineRule="auto"/>
        <w:tabs>
          <w:tab w:leader="none" w:pos="673"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 w:right="120" w:firstLine="648"/>
        <w:spacing w:after="0" w:line="286" w:lineRule="auto"/>
        <w:tabs>
          <w:tab w:leader="none" w:pos="1329" w:val="left"/>
        </w:tabs>
        <w:numPr>
          <w:ilvl w:val="1"/>
          <w:numId w:val="21"/>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Arial" w:cs="Arial" w:eastAsia="Arial" w:hAnsi="Arial"/>
          <w:sz w:val="17"/>
          <w:szCs w:val="17"/>
          <w:color w:val="auto"/>
        </w:rPr>
      </w:pPr>
    </w:p>
    <w:p>
      <w:pPr>
        <w:ind w:left="1" w:right="380" w:firstLine="648"/>
        <w:spacing w:after="0" w:line="286" w:lineRule="auto"/>
        <w:tabs>
          <w:tab w:leader="none" w:pos="1294" w:val="left"/>
        </w:tabs>
        <w:numPr>
          <w:ilvl w:val="1"/>
          <w:numId w:val="21"/>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5" w:lineRule="exact"/>
        <w:rPr>
          <w:rFonts w:ascii="Arial" w:cs="Arial" w:eastAsia="Arial" w:hAnsi="Arial"/>
          <w:sz w:val="17"/>
          <w:szCs w:val="17"/>
          <w:color w:val="auto"/>
        </w:rPr>
      </w:pPr>
    </w:p>
    <w:p>
      <w:pPr>
        <w:ind w:left="1" w:right="260" w:firstLine="648"/>
        <w:spacing w:after="0" w:line="264" w:lineRule="auto"/>
        <w:tabs>
          <w:tab w:leader="none" w:pos="1329" w:val="left"/>
        </w:tabs>
        <w:numPr>
          <w:ilvl w:val="1"/>
          <w:numId w:val="2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1" w:lineRule="exact"/>
        <w:rPr>
          <w:rFonts w:ascii="Arial" w:cs="Arial" w:eastAsia="Arial" w:hAnsi="Arial"/>
          <w:sz w:val="18"/>
          <w:szCs w:val="18"/>
          <w:color w:val="auto"/>
        </w:rPr>
      </w:pPr>
    </w:p>
    <w:p>
      <w:pPr>
        <w:ind w:left="1" w:right="100" w:firstLine="648"/>
        <w:spacing w:after="0" w:line="264" w:lineRule="auto"/>
        <w:tabs>
          <w:tab w:leader="none" w:pos="1294" w:val="left"/>
        </w:tabs>
        <w:numPr>
          <w:ilvl w:val="1"/>
          <w:numId w:val="2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1" w:right="420" w:hanging="1"/>
        <w:spacing w:after="0" w:line="264" w:lineRule="auto"/>
        <w:tabs>
          <w:tab w:leader="none" w:pos="673"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1" w:lineRule="exact"/>
        <w:rPr>
          <w:rFonts w:ascii="Arial" w:cs="Arial" w:eastAsia="Arial" w:hAnsi="Arial"/>
          <w:sz w:val="18"/>
          <w:szCs w:val="18"/>
          <w:color w:val="auto"/>
        </w:rPr>
      </w:pPr>
    </w:p>
    <w:p>
      <w:pPr>
        <w:ind w:left="1" w:firstLine="648"/>
        <w:spacing w:after="0" w:line="342" w:lineRule="auto"/>
        <w:tabs>
          <w:tab w:leader="none" w:pos="1319" w:val="left"/>
        </w:tabs>
        <w:numPr>
          <w:ilvl w:val="1"/>
          <w:numId w:val="2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 w:right="420" w:firstLine="648"/>
        <w:spacing w:after="0" w:line="277" w:lineRule="auto"/>
        <w:tabs>
          <w:tab w:leader="none" w:pos="1284" w:val="left"/>
        </w:tabs>
        <w:numPr>
          <w:ilvl w:val="1"/>
          <w:numId w:val="2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p>
      <w:pPr>
        <w:ind w:left="1"/>
        <w:spacing w:after="0"/>
        <w:rPr>
          <w:sz w:val="20"/>
          <w:szCs w:val="20"/>
          <w:color w:val="auto"/>
        </w:rPr>
      </w:pPr>
      <w:r>
        <w:rPr>
          <w:rFonts w:ascii="Arial" w:cs="Arial" w:eastAsia="Arial" w:hAnsi="Arial"/>
          <w:sz w:val="18"/>
          <w:szCs w:val="18"/>
          <w:color w:val="auto"/>
        </w:rPr>
        <w:t>Date: November 7, 2018</w:t>
      </w:r>
    </w:p>
    <w:p>
      <w:pPr>
        <w:spacing w:after="0" w:line="225" w:lineRule="exact"/>
        <w:rPr>
          <w:sz w:val="20"/>
          <w:szCs w:val="20"/>
          <w:color w:val="auto"/>
        </w:rPr>
      </w:pPr>
    </w:p>
    <w:p>
      <w:pPr>
        <w:ind w:left="1"/>
        <w:spacing w:after="0"/>
        <w:tabs>
          <w:tab w:leader="none" w:pos="500" w:val="left"/>
        </w:tabs>
        <w:rPr>
          <w:sz w:val="20"/>
          <w:szCs w:val="20"/>
          <w:color w:val="auto"/>
        </w:rPr>
      </w:pPr>
      <w:r>
        <w:rPr>
          <w:rFonts w:ascii="Arial" w:cs="Arial" w:eastAsia="Arial" w:hAnsi="Arial"/>
          <w:sz w:val="18"/>
          <w:szCs w:val="18"/>
          <w:color w:val="auto"/>
        </w:rPr>
        <w:t>By:</w:t>
        <w:tab/>
        <w:t>/s/ Mark Fioravanti</w:t>
      </w:r>
    </w:p>
    <w:p>
      <w:pPr>
        <w:spacing w:after="0" w:line="23" w:lineRule="exact"/>
        <w:rPr>
          <w:sz w:val="20"/>
          <w:szCs w:val="20"/>
          <w:color w:val="auto"/>
        </w:rPr>
      </w:pPr>
    </w:p>
    <w:p>
      <w:pPr>
        <w:ind w:left="1"/>
        <w:spacing w:after="0"/>
        <w:rPr>
          <w:sz w:val="20"/>
          <w:szCs w:val="20"/>
          <w:color w:val="auto"/>
        </w:rPr>
      </w:pPr>
      <w:r>
        <w:rPr>
          <w:rFonts w:ascii="Arial" w:cs="Arial" w:eastAsia="Arial" w:hAnsi="Arial"/>
          <w:sz w:val="18"/>
          <w:szCs w:val="18"/>
          <w:color w:val="auto"/>
        </w:rPr>
        <w:t>Name: Mark Fioravanti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328295</wp:posOffset>
            </wp:positionH>
            <wp:positionV relativeFrom="paragraph">
              <wp:posOffset>-130810</wp:posOffset>
            </wp:positionV>
            <wp:extent cx="255587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8">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ind w:left="1"/>
        <w:spacing w:after="0"/>
        <w:rPr>
          <w:sz w:val="20"/>
          <w:szCs w:val="20"/>
          <w:color w:val="auto"/>
        </w:rPr>
      </w:pPr>
      <w:r>
        <w:rPr>
          <w:rFonts w:ascii="Arial" w:cs="Arial" w:eastAsia="Arial" w:hAnsi="Arial"/>
          <w:sz w:val="18"/>
          <w:szCs w:val="18"/>
          <w:color w:val="auto"/>
        </w:rPr>
        <w:t>Title: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280035</wp:posOffset>
            </wp:positionV>
            <wp:extent cx="6388735"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9">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121" w:right="919" w:bottom="1440" w:gutter="0" w:footer="0" w:header="0"/>
        </w:sectPr>
      </w:pPr>
    </w:p>
    <w:bookmarkStart w:id="51" w:name="page52"/>
    <w:bookmarkEnd w:id="51"/>
    <w:p>
      <w:pPr>
        <w:jc w:val="right"/>
        <w:spacing w:after="0"/>
        <w:rPr>
          <w:sz w:val="20"/>
          <w:szCs w:val="20"/>
          <w:color w:val="auto"/>
        </w:rPr>
      </w:pPr>
      <w:r>
        <w:rPr>
          <w:rFonts w:ascii="Arial" w:cs="Arial" w:eastAsia="Arial" w:hAnsi="Arial"/>
          <w:sz w:val="18"/>
          <w:szCs w:val="18"/>
          <w:b w:val="1"/>
          <w:bCs w:val="1"/>
          <w:color w:val="auto"/>
        </w:rPr>
        <w:t>EXHIBIT 32.1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11" w:lineRule="exact"/>
        <w:rPr>
          <w:sz w:val="20"/>
          <w:szCs w:val="20"/>
          <w:color w:val="auto"/>
        </w:rPr>
      </w:pPr>
    </w:p>
    <w:p>
      <w:pPr>
        <w:ind w:right="220" w:firstLine="324"/>
        <w:spacing w:after="0" w:line="286" w:lineRule="auto"/>
        <w:rPr>
          <w:sz w:val="20"/>
          <w:szCs w:val="20"/>
          <w:color w:val="auto"/>
        </w:rPr>
      </w:pPr>
      <w:r>
        <w:rPr>
          <w:rFonts w:ascii="Arial" w:cs="Arial" w:eastAsia="Arial" w:hAnsi="Arial"/>
          <w:sz w:val="17"/>
          <w:szCs w:val="17"/>
          <w:color w:val="auto"/>
        </w:rPr>
        <w:t>In connection with the Quarterly Report of Ryman Hospitality Properties, Inc. (the "Company") on Form 10-Q for the quarter ended September 30, 2018, as filed with the Securities and Exchange Commission on the date hereof (the "Report"), each of the undersigned certifies, pursuant to 18 U.S.C. § 1350, as adopted pursuant to §906 of the Sarbanes-Oxley Act of 2002, that:</w:t>
      </w:r>
    </w:p>
    <w:p>
      <w:pPr>
        <w:spacing w:after="0" w:line="166" w:lineRule="exact"/>
        <w:rPr>
          <w:sz w:val="20"/>
          <w:szCs w:val="20"/>
          <w:color w:val="auto"/>
        </w:rPr>
      </w:pPr>
    </w:p>
    <w:p>
      <w:pPr>
        <w:ind w:left="1260" w:hanging="612"/>
        <w:spacing w:after="0"/>
        <w:tabs>
          <w:tab w:leader="none" w:pos="12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and</w:t>
      </w:r>
    </w:p>
    <w:p>
      <w:pPr>
        <w:spacing w:after="0" w:line="248" w:lineRule="exact"/>
        <w:rPr>
          <w:rFonts w:ascii="Arial" w:cs="Arial" w:eastAsia="Arial" w:hAnsi="Arial"/>
          <w:sz w:val="16"/>
          <w:szCs w:val="16"/>
          <w:color w:val="auto"/>
        </w:rPr>
      </w:pPr>
    </w:p>
    <w:p>
      <w:pPr>
        <w:ind w:right="380" w:firstLine="648"/>
        <w:spacing w:after="0" w:line="277" w:lineRule="auto"/>
        <w:tabs>
          <w:tab w:leader="none" w:pos="12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84" w:lineRule="exact"/>
        <w:rPr>
          <w:sz w:val="20"/>
          <w:szCs w:val="20"/>
          <w:color w:val="auto"/>
        </w:rPr>
      </w:pPr>
    </w:p>
    <w:p>
      <w:pPr>
        <w:ind w:left="740"/>
        <w:spacing w:after="0"/>
        <w:rPr>
          <w:sz w:val="20"/>
          <w:szCs w:val="20"/>
          <w:color w:val="auto"/>
        </w:rPr>
      </w:pPr>
      <w:r>
        <w:rPr>
          <w:rFonts w:ascii="Arial" w:cs="Arial" w:eastAsia="Arial" w:hAnsi="Arial"/>
          <w:sz w:val="18"/>
          <w:szCs w:val="18"/>
          <w:color w:val="auto"/>
        </w:rPr>
        <w:t>By: /s/ Colin V. Reed</w:t>
      </w:r>
    </w:p>
    <w:p>
      <w:pPr>
        <w:spacing w:after="0" w:line="23"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Colin V. Reed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662305</wp:posOffset>
            </wp:positionH>
            <wp:positionV relativeFrom="paragraph">
              <wp:posOffset>-130810</wp:posOffset>
            </wp:positionV>
            <wp:extent cx="222123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0">
                      <a:extLst>
                        <a:ext uri="{28A0092B-C50C-407E-A947-70E740481C1C}"/>
                      </a:extLst>
                    </a:blip>
                    <a:srcRect/>
                    <a:stretch>
                      <a:fillRect/>
                    </a:stretch>
                  </pic:blipFill>
                  <pic:spPr bwMode="auto">
                    <a:xfrm>
                      <a:off x="0" y="0"/>
                      <a:ext cx="2221230" cy="8890"/>
                    </a:xfrm>
                    <a:prstGeom prst="rect">
                      <a:avLst/>
                    </a:prstGeom>
                    <a:noFill/>
                  </pic:spPr>
                </pic:pic>
              </a:graphicData>
            </a:graphic>
          </wp:anchor>
        </w:drawing>
      </w:r>
    </w:p>
    <w:p>
      <w:pPr>
        <w:spacing w:after="0" w:line="3"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Chairman of the Board of Directors and Chief Executive Officer</w:t>
      </w:r>
    </w:p>
    <w:p>
      <w:pPr>
        <w:spacing w:after="0" w:line="9"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November 7, 2018</w:t>
      </w:r>
    </w:p>
    <w:p>
      <w:pPr>
        <w:spacing w:after="0" w:line="211" w:lineRule="exact"/>
        <w:rPr>
          <w:sz w:val="20"/>
          <w:szCs w:val="20"/>
          <w:color w:val="auto"/>
        </w:rPr>
      </w:pPr>
    </w:p>
    <w:p>
      <w:pPr>
        <w:ind w:left="740"/>
        <w:spacing w:after="0"/>
        <w:rPr>
          <w:sz w:val="20"/>
          <w:szCs w:val="20"/>
          <w:color w:val="auto"/>
        </w:rPr>
      </w:pPr>
      <w:r>
        <w:rPr>
          <w:rFonts w:ascii="Arial" w:cs="Arial" w:eastAsia="Arial" w:hAnsi="Arial"/>
          <w:sz w:val="18"/>
          <w:szCs w:val="18"/>
          <w:color w:val="auto"/>
        </w:rPr>
        <w:t>By: /s/ Mark Fioravanti</w:t>
      </w:r>
    </w:p>
    <w:p>
      <w:pPr>
        <w:spacing w:after="0" w:line="23"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Mark Fioravanti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662305</wp:posOffset>
            </wp:positionH>
            <wp:positionV relativeFrom="paragraph">
              <wp:posOffset>-130810</wp:posOffset>
            </wp:positionV>
            <wp:extent cx="222123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1">
                      <a:extLst>
                        <a:ext uri="{28A0092B-C50C-407E-A947-70E740481C1C}"/>
                      </a:extLst>
                    </a:blip>
                    <a:srcRect/>
                    <a:stretch>
                      <a:fillRect/>
                    </a:stretch>
                  </pic:blipFill>
                  <pic:spPr bwMode="auto">
                    <a:xfrm>
                      <a:off x="0" y="0"/>
                      <a:ext cx="2221230" cy="8890"/>
                    </a:xfrm>
                    <a:prstGeom prst="rect">
                      <a:avLst/>
                    </a:prstGeom>
                    <a:noFill/>
                  </pic:spPr>
                </pic:pic>
              </a:graphicData>
            </a:graphic>
          </wp:anchor>
        </w:drawing>
      </w:r>
    </w:p>
    <w:p>
      <w:pPr>
        <w:spacing w:after="0" w:line="3"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President and Chief Financial Officer</w:t>
      </w:r>
    </w:p>
    <w:p>
      <w:pPr>
        <w:spacing w:after="0" w:line="9"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November 7, 2018</w:t>
      </w:r>
    </w:p>
    <w:p>
      <w:pPr>
        <w:spacing w:after="0" w:line="21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264795</wp:posOffset>
            </wp:positionV>
            <wp:extent cx="6388735"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2">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sectPr>
      <w:pgSz w:w="11900" w:h="16838" w:orient="portrait"/>
      <w:cols w:equalWidth="0" w:num="1">
        <w:col w:w="10060"/>
      </w:cols>
      <w:pgMar w:left="920" w:top="121" w:right="9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
      <w:numFmt w:val="bullet"/>
      <w:start w:val="1"/>
    </w:lvl>
  </w:abstractNum>
  <w:abstractNum w:abstractNumId="2">
    <w:nsid w:val="140E0F76"/>
    <w:multiLevelType w:val="hybridMultilevel"/>
    <w:lvl w:ilvl="0">
      <w:lvlJc w:val="left"/>
      <w:lvlText w:val="☒"/>
      <w:numFmt w:val="bullet"/>
      <w:start w:val="1"/>
    </w:lvl>
  </w:abstractNum>
  <w:abstractNum w:abstractNumId="3">
    <w:nsid w:val="3352255A"/>
    <w:multiLevelType w:val="hybridMultilevel"/>
    <w:lvl w:ilvl="0">
      <w:lvlJc w:val="left"/>
      <w:lvlText w:val="·"/>
      <w:numFmt w:val="bullet"/>
      <w:start w:val="1"/>
    </w:lvl>
  </w:abstractNum>
  <w:abstractNum w:abstractNumId="4">
    <w:nsid w:val="109CF92E"/>
    <w:multiLevelType w:val="hybridMultilevel"/>
    <w:lvl w:ilvl="0">
      <w:lvlJc w:val="left"/>
      <w:lvlText w:val="(%1)"/>
      <w:numFmt w:val="lowerRoman"/>
      <w:start w:val="4"/>
    </w:lvl>
  </w:abstractNum>
  <w:abstractNum w:abstractNumId="5">
    <w:nsid w:val="DED7263"/>
    <w:multiLevelType w:val="hybridMultilevel"/>
    <w:lvl w:ilvl="0">
      <w:lvlJc w:val="left"/>
      <w:lvlText w:val="(%1)"/>
      <w:numFmt w:val="lowerRoman"/>
      <w:start w:val="8"/>
    </w:lvl>
  </w:abstractNum>
  <w:abstractNum w:abstractNumId="6">
    <w:nsid w:val="7FDCC233"/>
    <w:multiLevelType w:val="hybridMultilevel"/>
    <w:lvl w:ilvl="0">
      <w:lvlJc w:val="left"/>
      <w:lvlText w:val="·"/>
      <w:numFmt w:val="bullet"/>
      <w:start w:val="1"/>
    </w:lvl>
  </w:abstractNum>
  <w:abstractNum w:abstractNumId="7">
    <w:nsid w:val="1BEFD79F"/>
    <w:multiLevelType w:val="hybridMultilevel"/>
    <w:lvl w:ilvl="0">
      <w:lvlJc w:val="left"/>
      <w:lvlText w:val="·"/>
      <w:numFmt w:val="bullet"/>
      <w:start w:val="1"/>
    </w:lvl>
  </w:abstractNum>
  <w:abstractNum w:abstractNumId="8">
    <w:nsid w:val="41A7C4C9"/>
    <w:multiLevelType w:val="hybridMultilevel"/>
    <w:lvl w:ilvl="0">
      <w:lvlJc w:val="left"/>
      <w:lvlText w:val="(%1)"/>
      <w:numFmt w:val="upperLetter"/>
      <w:start w:val="1"/>
    </w:lvl>
  </w:abstractNum>
  <w:abstractNum w:abstractNumId="9">
    <w:nsid w:val="6B68079A"/>
    <w:multiLevelType w:val="hybridMultilevel"/>
    <w:lvl w:ilvl="0">
      <w:lvlJc w:val="left"/>
      <w:lvlText w:val="·"/>
      <w:numFmt w:val="bullet"/>
      <w:start w:val="1"/>
    </w:lvl>
  </w:abstractNum>
  <w:abstractNum w:abstractNumId="10">
    <w:nsid w:val="4E6AFB66"/>
    <w:multiLevelType w:val="hybridMultilevel"/>
    <w:lvl w:ilvl="0">
      <w:lvlJc w:val="left"/>
      <w:lvlText w:val="·"/>
      <w:numFmt w:val="bullet"/>
      <w:start w:val="1"/>
    </w:lvl>
  </w:abstractNum>
  <w:abstractNum w:abstractNumId="11">
    <w:nsid w:val="25E45D32"/>
    <w:multiLevelType w:val="hybridMultilevel"/>
    <w:lvl w:ilvl="0">
      <w:lvlJc w:val="left"/>
      <w:lvlText w:val="·"/>
      <w:numFmt w:val="bullet"/>
      <w:start w:val="1"/>
    </w:lvl>
  </w:abstractNum>
  <w:abstractNum w:abstractNumId="12">
    <w:nsid w:val="519B500D"/>
    <w:multiLevelType w:val="hybridMultilevel"/>
    <w:lvl w:ilvl="0">
      <w:lvlJc w:val="left"/>
      <w:lvlText w:val="(%1)"/>
      <w:numFmt w:val="decimal"/>
      <w:start w:val="1"/>
    </w:lvl>
  </w:abstractNum>
  <w:abstractNum w:abstractNumId="13">
    <w:nsid w:val="431BD7B7"/>
    <w:multiLevelType w:val="hybridMultilevel"/>
    <w:lvl w:ilvl="0">
      <w:lvlJc w:val="left"/>
      <w:lvlText w:val="(%1)"/>
      <w:numFmt w:val="decimal"/>
      <w:start w:val="1"/>
    </w:lvl>
  </w:abstractNum>
  <w:abstractNum w:abstractNumId="14">
    <w:nsid w:val="3F2DBA31"/>
    <w:multiLevelType w:val="hybridMultilevel"/>
    <w:lvl w:ilvl="0">
      <w:lvlJc w:val="left"/>
      <w:lvlText w:val="·"/>
      <w:numFmt w:val="bullet"/>
      <w:start w:val="1"/>
    </w:lvl>
  </w:abstractNum>
  <w:abstractNum w:abstractNumId="15">
    <w:nsid w:val="7C83E458"/>
    <w:multiLevelType w:val="hybridMultilevel"/>
    <w:lvl w:ilvl="0">
      <w:lvlJc w:val="left"/>
      <w:lvlText w:val="·"/>
      <w:numFmt w:val="bullet"/>
      <w:start w:val="1"/>
    </w:lvl>
  </w:abstractNum>
  <w:abstractNum w:abstractNumId="16">
    <w:nsid w:val="257130A3"/>
    <w:multiLevelType w:val="hybridMultilevel"/>
    <w:lvl w:ilvl="0">
      <w:lvlJc w:val="left"/>
      <w:lvlText w:val="·"/>
      <w:numFmt w:val="bullet"/>
      <w:start w:val="1"/>
    </w:lvl>
  </w:abstractNum>
  <w:abstractNum w:abstractNumId="17">
    <w:nsid w:val="62BBD95A"/>
    <w:multiLevelType w:val="hybridMultilevel"/>
    <w:lvl w:ilvl="0">
      <w:lvlJc w:val="left"/>
      <w:lvlText w:val="(%1)"/>
      <w:numFmt w:val="decimal"/>
      <w:start w:val="1"/>
    </w:lvl>
  </w:abstractNum>
  <w:abstractNum w:abstractNumId="18">
    <w:nsid w:val="436C6125"/>
    <w:multiLevelType w:val="hybridMultilevel"/>
    <w:lvl w:ilvl="0">
      <w:lvlJc w:val="left"/>
      <w:lvlText w:val="*"/>
      <w:numFmt w:val="bullet"/>
      <w:start w:val="1"/>
    </w:lvl>
  </w:abstractNum>
  <w:abstractNum w:abstractNumId="19">
    <w:nsid w:val="628C895D"/>
    <w:multiLevelType w:val="hybridMultilevel"/>
    <w:lvl w:ilvl="0">
      <w:lvlJc w:val="left"/>
      <w:lvlText w:val="%1."/>
      <w:numFmt w:val="decimal"/>
      <w:start w:val="1"/>
    </w:lvl>
    <w:lvl w:ilvl="1">
      <w:lvlJc w:val="left"/>
      <w:lvlText w:val="%2)"/>
      <w:numFmt w:val="lowerLetter"/>
      <w:start w:val="1"/>
    </w:lvl>
  </w:abstractNum>
  <w:abstractNum w:abstractNumId="20">
    <w:nsid w:val="333AB105"/>
    <w:multiLevelType w:val="hybridMultilevel"/>
    <w:lvl w:ilvl="0">
      <w:lvlJc w:val="left"/>
      <w:lvlText w:val="%1."/>
      <w:numFmt w:val="decimal"/>
      <w:start w:val="1"/>
    </w:lvl>
    <w:lvl w:ilvl="1">
      <w:lvlJc w:val="left"/>
      <w:lvlText w:val="%2)"/>
      <w:numFmt w:val="lowerLetter"/>
      <w:start w:val="1"/>
    </w:lvl>
  </w:abstractNum>
  <w:abstractNum w:abstractNumId="21">
    <w:nsid w:val="721DA31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3" Type="http://schemas.openxmlformats.org/officeDocument/2006/relationships/image" Target="media/image43.png"/><Relationship Id="rId54" Type="http://schemas.openxmlformats.org/officeDocument/2006/relationships/image" Target="media/image44.png"/><Relationship Id="rId55" Type="http://schemas.openxmlformats.org/officeDocument/2006/relationships/image" Target="media/image45.png"/><Relationship Id="rId56" Type="http://schemas.openxmlformats.org/officeDocument/2006/relationships/image" Target="media/image46.png"/><Relationship Id="rId57" Type="http://schemas.openxmlformats.org/officeDocument/2006/relationships/image" Target="media/image47.png"/><Relationship Id="rId58" Type="http://schemas.openxmlformats.org/officeDocument/2006/relationships/image" Target="media/image48.png"/><Relationship Id="rId59" Type="http://schemas.openxmlformats.org/officeDocument/2006/relationships/image" Target="media/image49.png"/><Relationship Id="rId60" Type="http://schemas.openxmlformats.org/officeDocument/2006/relationships/image" Target="media/image50.png"/><Relationship Id="rId61" Type="http://schemas.openxmlformats.org/officeDocument/2006/relationships/image" Target="media/image51.png"/><Relationship Id="rId62" Type="http://schemas.openxmlformats.org/officeDocument/2006/relationships/image" Target="media/image52.png"/><Relationship Id="rId50" Type="http://schemas.openxmlformats.org/officeDocument/2006/relationships/hyperlink" Target="http://www.sec.gov/Archives/edgar/data/1040829/000119312518273605/d625000dex21.htm" TargetMode="External"/><Relationship Id="rId51" Type="http://schemas.openxmlformats.org/officeDocument/2006/relationships/hyperlink" Target="http://www.sec.gov/Archives/edgar/data/1040829/000119312512410191/d419132dex31.htm" TargetMode="External"/><Relationship Id="rId52" Type="http://schemas.openxmlformats.org/officeDocument/2006/relationships/hyperlink" Target="http://www.sec.gov/Archives/edgar/data/1040829/000119312512410191/d419132d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2019-12-28T18:15:14Z</dcterms:created>
  <dcterms:modified xsi:type="dcterms:W3CDTF">2019-12-28T18:15:14Z</dcterms:modified>
</cp:coreProperties>
</file>