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358140</wp:posOffset>
            </wp:positionV>
            <wp:extent cx="638873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400685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b w:val="1"/>
          <w:bCs w:val="1"/>
          <w:color w:val="auto"/>
        </w:rPr>
        <w:t>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w:t>
      </w:r>
    </w:p>
    <w:p>
      <w:pPr>
        <w:spacing w:after="0" w:line="9" w:lineRule="exact"/>
        <w:rPr>
          <w:sz w:val="24"/>
          <w:szCs w:val="24"/>
          <w:color w:val="auto"/>
        </w:rPr>
      </w:pPr>
    </w:p>
    <w:p>
      <w:pPr>
        <w:ind w:left="1"/>
        <w:spacing w:after="0"/>
        <w:rPr>
          <w:sz w:val="20"/>
          <w:szCs w:val="20"/>
          <w:color w:val="auto"/>
        </w:rPr>
      </w:pPr>
      <w:r>
        <w:rPr>
          <w:rFonts w:ascii="Arial" w:cs="Arial" w:eastAsia="Arial" w:hAnsi="Arial"/>
          <w:sz w:val="18"/>
          <w:szCs w:val="18"/>
          <w:color w:val="auto"/>
        </w:rPr>
        <w:t>(Mark One)</w:t>
      </w:r>
    </w:p>
    <w:p>
      <w:pPr>
        <w:spacing w:after="0" w:line="184" w:lineRule="exact"/>
        <w:rPr>
          <w:sz w:val="24"/>
          <w:szCs w:val="24"/>
          <w:color w:val="auto"/>
        </w:rPr>
      </w:pPr>
    </w:p>
    <w:p>
      <w:pPr>
        <w:ind w:left="3341" w:right="980" w:hanging="3341"/>
        <w:spacing w:after="0" w:line="277" w:lineRule="auto"/>
        <w:tabs>
          <w:tab w:leader="none" w:pos="40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March 31, 2019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85" w:lineRule="exact"/>
        <w:rPr>
          <w:sz w:val="24"/>
          <w:szCs w:val="24"/>
          <w:color w:val="auto"/>
        </w:rPr>
      </w:pPr>
    </w:p>
    <w:p>
      <w:pPr>
        <w:ind w:left="3821" w:right="960" w:hanging="3821"/>
        <w:spacing w:after="0" w:line="223" w:lineRule="exact"/>
        <w:tabs>
          <w:tab w:leader="none" w:pos="40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 Commission file number 1</w:t>
      </w:r>
      <w:r>
        <w:rPr>
          <w:rFonts w:ascii="MS PGothic" w:cs="MS PGothic" w:eastAsia="MS PGothic" w:hAnsi="MS PGothic"/>
          <w:sz w:val="18"/>
          <w:szCs w:val="18"/>
          <w:color w:val="auto"/>
        </w:rPr>
        <w:t>‑</w:t>
      </w:r>
      <w:r>
        <w:rPr>
          <w:rFonts w:ascii="Arial" w:cs="Arial" w:eastAsia="Arial" w:hAnsi="Arial"/>
          <w:sz w:val="18"/>
          <w:szCs w:val="18"/>
          <w:color w:val="auto"/>
        </w:rPr>
        <w:t>13079</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RYMAN HOSPITALITY PROPERTIES,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3" w:lineRule="exact"/>
        <w:rPr>
          <w:sz w:val="24"/>
          <w:szCs w:val="24"/>
          <w:color w:val="auto"/>
        </w:rPr>
      </w:pPr>
    </w:p>
    <w:tbl>
      <w:tblPr>
        <w:tblLayout w:type="fixed"/>
        <w:tblInd w:w="1361" w:type="dxa"/>
        <w:tblCellMar>
          <w:top w:w="0" w:type="dxa"/>
          <w:left w:w="0" w:type="dxa"/>
          <w:bottom w:w="0" w:type="dxa"/>
          <w:right w:w="0" w:type="dxa"/>
        </w:tblCellMar>
      </w:tblPr>
      <w:tr>
        <w:trPr>
          <w:trHeight w:val="207"/>
        </w:trPr>
        <w:tc>
          <w:tcPr>
            <w:tcW w:w="76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Delaware</w:t>
            </w:r>
          </w:p>
        </w:tc>
        <w:tc>
          <w:tcPr>
            <w:tcW w:w="3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73-0664379</w:t>
            </w:r>
          </w:p>
        </w:tc>
        <w:tc>
          <w:tcPr>
            <w:tcW w:w="220" w:type="dxa"/>
            <w:vAlign w:val="bottom"/>
          </w:tcPr>
          <w:p>
            <w:pPr>
              <w:spacing w:after="0"/>
              <w:rPr>
                <w:sz w:val="17"/>
                <w:szCs w:val="17"/>
                <w:color w:val="auto"/>
              </w:rPr>
            </w:pPr>
          </w:p>
        </w:tc>
      </w:tr>
      <w:tr>
        <w:trPr>
          <w:trHeight w:val="222"/>
        </w:trPr>
        <w:tc>
          <w:tcPr>
            <w:tcW w:w="5360" w:type="dxa"/>
            <w:vAlign w:val="bottom"/>
            <w:gridSpan w:val="3"/>
          </w:tcPr>
          <w:p>
            <w:pPr>
              <w:jc w:val="center"/>
              <w:ind w:right="3050"/>
              <w:spacing w:after="0"/>
              <w:rPr>
                <w:sz w:val="20"/>
                <w:szCs w:val="20"/>
                <w:color w:val="auto"/>
              </w:rPr>
            </w:pPr>
            <w:r>
              <w:rPr>
                <w:rFonts w:ascii="Arial" w:cs="Arial" w:eastAsia="Arial" w:hAnsi="Arial"/>
                <w:sz w:val="18"/>
                <w:szCs w:val="18"/>
                <w:color w:val="auto"/>
                <w:w w:val="91"/>
              </w:rPr>
              <w:t>(State or Other Jurisdiction of</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3"/>
              </w:rPr>
              <w:t>(I.R.S. Employer</w:t>
            </w:r>
          </w:p>
        </w:tc>
      </w:tr>
      <w:tr>
        <w:trPr>
          <w:trHeight w:val="230"/>
        </w:trPr>
        <w:tc>
          <w:tcPr>
            <w:tcW w:w="5360" w:type="dxa"/>
            <w:vAlign w:val="bottom"/>
            <w:gridSpan w:val="3"/>
          </w:tcPr>
          <w:p>
            <w:pPr>
              <w:jc w:val="center"/>
              <w:ind w:right="3050"/>
              <w:spacing w:after="0"/>
              <w:rPr>
                <w:sz w:val="20"/>
                <w:szCs w:val="20"/>
                <w:color w:val="auto"/>
              </w:rPr>
            </w:pPr>
            <w:r>
              <w:rPr>
                <w:rFonts w:ascii="Arial" w:cs="Arial" w:eastAsia="Arial" w:hAnsi="Arial"/>
                <w:sz w:val="18"/>
                <w:szCs w:val="18"/>
                <w:color w:val="auto"/>
                <w:w w:val="92"/>
              </w:rPr>
              <w:t>Incorporation or Organization)</w:t>
            </w:r>
          </w:p>
        </w:tc>
        <w:tc>
          <w:tcPr>
            <w:tcW w:w="1540" w:type="dxa"/>
            <w:vAlign w:val="bottom"/>
            <w:gridSpan w:val="3"/>
          </w:tcPr>
          <w:p>
            <w:pPr>
              <w:jc w:val="center"/>
              <w:ind w:left="130"/>
              <w:spacing w:after="0"/>
              <w:rPr>
                <w:sz w:val="20"/>
                <w:szCs w:val="20"/>
                <w:color w:val="auto"/>
              </w:rPr>
            </w:pPr>
            <w:r>
              <w:rPr>
                <w:rFonts w:ascii="Arial" w:cs="Arial" w:eastAsia="Arial" w:hAnsi="Arial"/>
                <w:sz w:val="18"/>
                <w:szCs w:val="18"/>
                <w:color w:val="auto"/>
                <w:w w:val="94"/>
              </w:rPr>
              <w:t>Identification No.)</w:t>
            </w:r>
          </w:p>
        </w:tc>
      </w:tr>
      <w:tr>
        <w:trPr>
          <w:trHeight w:val="350"/>
        </w:trPr>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900" w:type="dxa"/>
            <w:vAlign w:val="bottom"/>
          </w:tcPr>
          <w:p>
            <w:pPr>
              <w:jc w:val="center"/>
              <w:ind w:left="430"/>
              <w:spacing w:after="0"/>
              <w:rPr>
                <w:sz w:val="20"/>
                <w:szCs w:val="20"/>
                <w:color w:val="auto"/>
              </w:rPr>
            </w:pPr>
            <w:r>
              <w:rPr>
                <w:rFonts w:ascii="Arial" w:cs="Arial" w:eastAsia="Arial" w:hAnsi="Arial"/>
                <w:sz w:val="18"/>
                <w:szCs w:val="18"/>
                <w:color w:val="auto"/>
                <w:w w:val="92"/>
              </w:rPr>
              <w:t>One Gaylord Drive</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jc w:val="center"/>
              <w:ind w:left="430"/>
              <w:spacing w:after="0"/>
              <w:rPr>
                <w:sz w:val="20"/>
                <w:szCs w:val="20"/>
                <w:color w:val="auto"/>
              </w:rPr>
            </w:pPr>
            <w:r>
              <w:rPr>
                <w:rFonts w:ascii="Arial" w:cs="Arial" w:eastAsia="Arial" w:hAnsi="Arial"/>
                <w:sz w:val="18"/>
                <w:szCs w:val="18"/>
                <w:color w:val="auto"/>
                <w:w w:val="88"/>
              </w:rPr>
              <w:t>Nashville, Tennessee 37214</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900" w:type="dxa"/>
            <w:vAlign w:val="bottom"/>
          </w:tcPr>
          <w:p>
            <w:pPr>
              <w:jc w:val="center"/>
              <w:ind w:left="430"/>
              <w:spacing w:after="0"/>
              <w:rPr>
                <w:sz w:val="20"/>
                <w:szCs w:val="20"/>
                <w:color w:val="auto"/>
              </w:rPr>
            </w:pPr>
            <w:r>
              <w:rPr>
                <w:rFonts w:ascii="Arial" w:cs="Arial" w:eastAsia="Arial" w:hAnsi="Arial"/>
                <w:sz w:val="18"/>
                <w:szCs w:val="18"/>
                <w:color w:val="auto"/>
                <w:w w:val="92"/>
              </w:rPr>
              <w:t>(Address of Principal Executive Offices)</w:t>
            </w: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900" w:type="dxa"/>
            <w:vAlign w:val="bottom"/>
          </w:tcPr>
          <w:p>
            <w:pPr>
              <w:jc w:val="center"/>
              <w:ind w:left="450"/>
              <w:spacing w:after="0"/>
              <w:rPr>
                <w:sz w:val="20"/>
                <w:szCs w:val="20"/>
                <w:color w:val="auto"/>
              </w:rPr>
            </w:pPr>
            <w:r>
              <w:rPr>
                <w:rFonts w:ascii="Arial" w:cs="Arial" w:eastAsia="Arial" w:hAnsi="Arial"/>
                <w:sz w:val="18"/>
                <w:szCs w:val="18"/>
                <w:color w:val="auto"/>
                <w:w w:val="94"/>
              </w:rPr>
              <w:t>(Zip Code)</w:t>
            </w: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34"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u w:val="single" w:color="auto"/>
          <w:color w:val="auto"/>
        </w:rPr>
        <w:t>(615) 316</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6000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58" w:lineRule="exact"/>
        <w:rPr>
          <w:sz w:val="24"/>
          <w:szCs w:val="24"/>
          <w:color w:val="auto"/>
        </w:rPr>
      </w:pPr>
    </w:p>
    <w:p>
      <w:pPr>
        <w:ind w:left="1" w:right="10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48" w:lineRule="exact"/>
        <w:rPr>
          <w:sz w:val="24"/>
          <w:szCs w:val="24"/>
          <w:color w:val="auto"/>
        </w:rPr>
      </w:pPr>
    </w:p>
    <w:p>
      <w:pPr>
        <w:ind w:left="1"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03" w:lineRule="exact"/>
        <w:rPr>
          <w:sz w:val="24"/>
          <w:szCs w:val="24"/>
          <w:color w:val="auto"/>
        </w:rPr>
      </w:pPr>
    </w:p>
    <w:p>
      <w:pPr>
        <w:ind w:left="1"/>
        <w:spacing w:after="0" w:line="221" w:lineRule="exact"/>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pacing w:after="0" w:line="102" w:lineRule="exact"/>
        <w:rPr>
          <w:sz w:val="24"/>
          <w:szCs w:val="24"/>
          <w:color w:val="auto"/>
        </w:rPr>
      </w:pPr>
    </w:p>
    <w:p>
      <w:pPr>
        <w:ind w:left="1"/>
        <w:spacing w:after="0" w:line="196" w:lineRule="exact"/>
        <w:rPr>
          <w:sz w:val="20"/>
          <w:szCs w:val="20"/>
          <w:color w:val="auto"/>
        </w:rPr>
      </w:pPr>
      <w:r>
        <w:rPr>
          <w:rFonts w:ascii="Arial" w:cs="Arial" w:eastAsia="Arial" w:hAnsi="Arial"/>
          <w:sz w:val="17"/>
          <w:szCs w:val="17"/>
          <w:color w:val="auto"/>
        </w:rPr>
        <w:t xml:space="preserve">Large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Non-accelerated filer </w:t>
      </w:r>
      <w:r>
        <w:rPr>
          <w:rFonts w:ascii="MS PGothic" w:cs="MS PGothic" w:eastAsia="MS PGothic" w:hAnsi="MS PGothic"/>
          <w:sz w:val="17"/>
          <w:szCs w:val="17"/>
          <w:color w:val="auto"/>
        </w:rPr>
        <w:t>☐</w:t>
      </w:r>
      <w:r>
        <w:rPr>
          <w:rFonts w:ascii="Arial" w:cs="Arial" w:eastAsia="Arial" w:hAnsi="Arial"/>
          <w:sz w:val="17"/>
          <w:szCs w:val="17"/>
          <w:color w:val="auto"/>
        </w:rPr>
        <w:t xml:space="preserve"> Smaller reporting company </w:t>
      </w:r>
      <w:r>
        <w:rPr>
          <w:rFonts w:ascii="MS PGothic" w:cs="MS PGothic" w:eastAsia="MS PGothic" w:hAnsi="MS PGothic"/>
          <w:sz w:val="17"/>
          <w:szCs w:val="17"/>
          <w:color w:val="auto"/>
        </w:rPr>
        <w:t>☐</w:t>
      </w:r>
      <w:r>
        <w:rPr>
          <w:rFonts w:ascii="Arial" w:cs="Arial" w:eastAsia="Arial" w:hAnsi="Arial"/>
          <w:sz w:val="17"/>
          <w:szCs w:val="17"/>
          <w:color w:val="auto"/>
        </w:rPr>
        <w:t xml:space="preserve"> Emerging growth company </w:t>
      </w:r>
      <w:r>
        <w:rPr>
          <w:rFonts w:ascii="MS PGothic" w:cs="MS PGothic" w:eastAsia="MS PGothic" w:hAnsi="MS PGothic"/>
          <w:sz w:val="17"/>
          <w:szCs w:val="17"/>
          <w:color w:val="auto"/>
        </w:rPr>
        <w:t>☐</w:t>
      </w:r>
    </w:p>
    <w:p>
      <w:pPr>
        <w:spacing w:after="0" w:line="202" w:lineRule="exact"/>
        <w:rPr>
          <w:sz w:val="24"/>
          <w:szCs w:val="24"/>
          <w:color w:val="auto"/>
        </w:rPr>
      </w:pPr>
    </w:p>
    <w:p>
      <w:pPr>
        <w:ind w:left="1"/>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69" w:lineRule="exact"/>
        <w:rPr>
          <w:sz w:val="24"/>
          <w:szCs w:val="24"/>
          <w:color w:val="auto"/>
        </w:rPr>
      </w:pPr>
    </w:p>
    <w:p>
      <w:pPr>
        <w:ind w:left="1" w:right="900"/>
        <w:spacing w:after="0" w:line="314" w:lineRule="exact"/>
        <w:rPr>
          <w:sz w:val="20"/>
          <w:szCs w:val="20"/>
          <w:color w:val="auto"/>
        </w:rPr>
      </w:pPr>
      <w:r>
        <w:rPr>
          <w:rFonts w:ascii="Arial" w:cs="Arial" w:eastAsia="Arial" w:hAnsi="Arial"/>
          <w:sz w:val="18"/>
          <w:szCs w:val="18"/>
          <w:color w:val="auto"/>
        </w:rPr>
        <w:t>Indicate by check mark whether the registrant is a shell company (as defined in Rule 12b</w:t>
      </w:r>
      <w:r>
        <w:rPr>
          <w:rFonts w:ascii="MS PGothic" w:cs="MS PGothic" w:eastAsia="MS PGothic" w:hAnsi="MS PGothic"/>
          <w:sz w:val="18"/>
          <w:szCs w:val="18"/>
          <w:color w:val="auto"/>
        </w:rPr>
        <w:t>‑</w:t>
      </w:r>
      <w:r>
        <w:rPr>
          <w:rFonts w:ascii="Arial" w:cs="Arial" w:eastAsia="Arial" w:hAnsi="Arial"/>
          <w:sz w:val="18"/>
          <w:szCs w:val="18"/>
          <w:color w:val="auto"/>
        </w:rPr>
        <w:t xml:space="preserve">2 of the Exchange Act).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Securities registered pursuant to Section 12(b) of the Act:</w:t>
      </w:r>
    </w:p>
    <w:p>
      <w:pPr>
        <w:spacing w:after="0" w:line="149" w:lineRule="exact"/>
        <w:rPr>
          <w:sz w:val="24"/>
          <w:szCs w:val="24"/>
          <w:color w:val="auto"/>
        </w:rPr>
      </w:pPr>
    </w:p>
    <w:tbl>
      <w:tblPr>
        <w:tblLayout w:type="fixed"/>
        <w:tblInd w:w="741"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0"/>
              </w:rPr>
              <w:t>Name of Each Exchange on</w:t>
            </w:r>
          </w:p>
        </w:tc>
      </w:tr>
      <w:tr>
        <w:trPr>
          <w:trHeight w:val="230"/>
        </w:trPr>
        <w:tc>
          <w:tcPr>
            <w:tcW w:w="2780" w:type="dxa"/>
            <w:vAlign w:val="bottom"/>
            <w:gridSpan w:val="2"/>
          </w:tcPr>
          <w:p>
            <w:pPr>
              <w:jc w:val="center"/>
              <w:ind w:right="600"/>
              <w:spacing w:after="0"/>
              <w:rPr>
                <w:sz w:val="20"/>
                <w:szCs w:val="20"/>
                <w:color w:val="auto"/>
              </w:rPr>
            </w:pPr>
            <w:r>
              <w:rPr>
                <w:rFonts w:ascii="Arial" w:cs="Arial" w:eastAsia="Arial" w:hAnsi="Arial"/>
                <w:sz w:val="18"/>
                <w:szCs w:val="18"/>
                <w:color w:val="auto"/>
                <w:w w:val="91"/>
              </w:rPr>
              <w:t>Title of Each Class</w:t>
            </w:r>
          </w:p>
        </w:tc>
        <w:tc>
          <w:tcPr>
            <w:tcW w:w="2940" w:type="dxa"/>
            <w:vAlign w:val="bottom"/>
            <w:gridSpan w:val="2"/>
          </w:tcPr>
          <w:p>
            <w:pPr>
              <w:jc w:val="center"/>
              <w:ind w:right="500"/>
              <w:spacing w:after="0"/>
              <w:rPr>
                <w:sz w:val="20"/>
                <w:szCs w:val="20"/>
                <w:color w:val="auto"/>
              </w:rPr>
            </w:pPr>
            <w:r>
              <w:rPr>
                <w:rFonts w:ascii="Arial" w:cs="Arial" w:eastAsia="Arial" w:hAnsi="Arial"/>
                <w:sz w:val="18"/>
                <w:szCs w:val="18"/>
                <w:color w:val="auto"/>
                <w:w w:val="92"/>
              </w:rPr>
              <w:t>Trading Symbol(s)</w:t>
            </w:r>
          </w:p>
        </w:tc>
        <w:tc>
          <w:tcPr>
            <w:tcW w:w="2740" w:type="dxa"/>
            <w:vAlign w:val="bottom"/>
          </w:tcPr>
          <w:p>
            <w:pPr>
              <w:jc w:val="center"/>
              <w:spacing w:after="0"/>
              <w:rPr>
                <w:sz w:val="20"/>
                <w:szCs w:val="20"/>
                <w:color w:val="auto"/>
              </w:rPr>
            </w:pPr>
            <w:r>
              <w:rPr>
                <w:rFonts w:ascii="Arial" w:cs="Arial" w:eastAsia="Arial" w:hAnsi="Arial"/>
                <w:sz w:val="18"/>
                <w:szCs w:val="18"/>
                <w:color w:val="auto"/>
                <w:w w:val="91"/>
              </w:rPr>
              <w:t>Which Registered</w:t>
            </w:r>
          </w:p>
        </w:tc>
      </w:tr>
      <w:tr>
        <w:trPr>
          <w:trHeight w:val="195"/>
        </w:trPr>
        <w:tc>
          <w:tcPr>
            <w:tcW w:w="2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Common stock, par</w:t>
            </w:r>
          </w:p>
        </w:tc>
        <w:tc>
          <w:tcPr>
            <w:tcW w:w="580" w:type="dxa"/>
            <w:vAlign w:val="bottom"/>
          </w:tcPr>
          <w:p>
            <w:pPr>
              <w:spacing w:after="0"/>
              <w:rPr>
                <w:sz w:val="16"/>
                <w:szCs w:val="16"/>
                <w:color w:val="auto"/>
              </w:rPr>
            </w:pPr>
          </w:p>
        </w:tc>
        <w:tc>
          <w:tcPr>
            <w:tcW w:w="24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RHP</w:t>
            </w:r>
          </w:p>
        </w:tc>
        <w:tc>
          <w:tcPr>
            <w:tcW w:w="500" w:type="dxa"/>
            <w:vAlign w:val="bottom"/>
          </w:tcPr>
          <w:p>
            <w:pPr>
              <w:spacing w:after="0"/>
              <w:rPr>
                <w:sz w:val="16"/>
                <w:szCs w:val="16"/>
                <w:color w:val="auto"/>
              </w:rPr>
            </w:pPr>
          </w:p>
        </w:tc>
        <w:tc>
          <w:tcPr>
            <w:tcW w:w="27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New York Stock Exchange</w:t>
            </w:r>
          </w:p>
        </w:tc>
      </w:tr>
      <w:tr>
        <w:trPr>
          <w:trHeight w:val="230"/>
        </w:trPr>
        <w:tc>
          <w:tcPr>
            <w:tcW w:w="2780" w:type="dxa"/>
            <w:vAlign w:val="bottom"/>
            <w:gridSpan w:val="2"/>
          </w:tcPr>
          <w:p>
            <w:pPr>
              <w:jc w:val="center"/>
              <w:ind w:right="600"/>
              <w:spacing w:after="0"/>
              <w:rPr>
                <w:sz w:val="20"/>
                <w:szCs w:val="20"/>
                <w:color w:val="auto"/>
              </w:rPr>
            </w:pPr>
            <w:r>
              <w:rPr>
                <w:rFonts w:ascii="Arial" w:cs="Arial" w:eastAsia="Arial" w:hAnsi="Arial"/>
                <w:sz w:val="18"/>
                <w:szCs w:val="18"/>
                <w:color w:val="auto"/>
                <w:w w:val="89"/>
              </w:rPr>
              <w:t>value $.01</w:t>
            </w:r>
          </w:p>
        </w:tc>
        <w:tc>
          <w:tcPr>
            <w:tcW w:w="2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740" w:type="dxa"/>
            <w:vAlign w:val="bottom"/>
          </w:tcPr>
          <w:p>
            <w:pPr>
              <w:spacing w:after="0"/>
              <w:rPr>
                <w:sz w:val="20"/>
                <w:szCs w:val="20"/>
                <w:color w:val="auto"/>
              </w:rPr>
            </w:pPr>
          </w:p>
        </w:tc>
      </w:tr>
    </w:tbl>
    <w:p>
      <w:pPr>
        <w:spacing w:after="0" w:line="202" w:lineRule="exact"/>
        <w:rPr>
          <w:sz w:val="24"/>
          <w:szCs w:val="24"/>
          <w:color w:val="auto"/>
        </w:rPr>
      </w:pPr>
    </w:p>
    <w:p>
      <w:pPr>
        <w:ind w:left="1"/>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40" w:lineRule="exact"/>
        <w:rPr>
          <w:sz w:val="24"/>
          <w:szCs w:val="24"/>
          <w:color w:val="auto"/>
        </w:rPr>
      </w:pPr>
    </w:p>
    <w:tbl>
      <w:tblPr>
        <w:tblLayout w:type="fixed"/>
        <w:tblInd w:w="1" w:type="dxa"/>
        <w:tblCellMar>
          <w:top w:w="0" w:type="dxa"/>
          <w:left w:w="0" w:type="dxa"/>
          <w:bottom w:w="0" w:type="dxa"/>
          <w:right w:w="0" w:type="dxa"/>
        </w:tblCellMar>
      </w:tblPr>
      <w:tr>
        <w:trPr>
          <w:trHeight w:val="234"/>
        </w:trPr>
        <w:tc>
          <w:tcPr>
            <w:tcW w:w="51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Class</w:t>
            </w:r>
          </w:p>
        </w:tc>
        <w:tc>
          <w:tcPr>
            <w:tcW w:w="492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as of April 30, 2019</w:t>
            </w:r>
          </w:p>
        </w:tc>
      </w:tr>
      <w:tr>
        <w:trPr>
          <w:trHeight w:val="224"/>
        </w:trPr>
        <w:tc>
          <w:tcPr>
            <w:tcW w:w="48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$.01</w:t>
            </w:r>
          </w:p>
        </w:tc>
        <w:tc>
          <w:tcPr>
            <w:tcW w:w="280" w:type="dxa"/>
            <w:vAlign w:val="bottom"/>
          </w:tcPr>
          <w:p>
            <w:pPr>
              <w:spacing w:after="0"/>
              <w:rPr>
                <w:sz w:val="19"/>
                <w:szCs w:val="19"/>
                <w:color w:val="auto"/>
              </w:rPr>
            </w:pPr>
          </w:p>
        </w:tc>
        <w:tc>
          <w:tcPr>
            <w:tcW w:w="49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51,436,642 shares</w:t>
            </w:r>
          </w:p>
        </w:tc>
      </w:tr>
      <w:tr>
        <w:trPr>
          <w:trHeight w:val="94"/>
        </w:trPr>
        <w:tc>
          <w:tcPr>
            <w:tcW w:w="4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4920" w:type="dxa"/>
            <w:vAlign w:val="bottom"/>
            <w:tcBorders>
              <w:bottom w:val="single" w:sz="8" w:color="auto"/>
            </w:tcBorders>
          </w:tcPr>
          <w:p>
            <w:pPr>
              <w:spacing w:after="0"/>
              <w:rPr>
                <w:sz w:val="8"/>
                <w:szCs w:val="8"/>
                <w:color w:val="auto"/>
              </w:rPr>
            </w:pPr>
          </w:p>
        </w:tc>
      </w:tr>
      <w:tr>
        <w:trPr>
          <w:trHeight w:val="55"/>
        </w:trPr>
        <w:tc>
          <w:tcPr>
            <w:tcW w:w="48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920" w:type="dxa"/>
            <w:vAlign w:val="bottom"/>
            <w:tcBorders>
              <w:bottom w:val="single" w:sz="8" w:color="auto"/>
            </w:tcBorders>
          </w:tcPr>
          <w:p>
            <w:pPr>
              <w:spacing w:after="0"/>
              <w:rPr>
                <w:sz w:val="4"/>
                <w:szCs w:val="4"/>
                <w:color w:val="auto"/>
              </w:rPr>
            </w:pPr>
          </w:p>
        </w:tc>
      </w:tr>
      <w:tr>
        <w:trPr>
          <w:trHeight w:val="561"/>
        </w:trPr>
        <w:tc>
          <w:tcPr>
            <w:tcW w:w="4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920" w:type="dxa"/>
            <w:vAlign w:val="bottom"/>
            <w:tcBorders>
              <w:bottom w:val="single" w:sz="8" w:color="auto"/>
            </w:tcBorders>
          </w:tcPr>
          <w:p>
            <w:pPr>
              <w:spacing w:after="0"/>
              <w:rPr>
                <w:sz w:val="24"/>
                <w:szCs w:val="24"/>
                <w:color w:val="auto"/>
              </w:rPr>
            </w:pPr>
          </w:p>
        </w:tc>
      </w:tr>
    </w:tbl>
    <w:p>
      <w:pPr>
        <w:sectPr>
          <w:pgSz w:w="11900" w:h="16838" w:orient="portrait"/>
          <w:cols w:equalWidth="0" w:num="1">
            <w:col w:w="10061"/>
          </w:cols>
          <w:pgMar w:left="919" w:top="233" w:right="91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60" w:type="dxa"/>
            <w:vAlign w:val="bottom"/>
            <w:gridSpan w:val="24"/>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800" w:type="dxa"/>
            <w:vAlign w:val="bottom"/>
          </w:tcPr>
          <w:p>
            <w:pPr>
              <w:spacing w:after="0"/>
              <w:rPr>
                <w:sz w:val="17"/>
                <w:szCs w:val="17"/>
                <w:color w:val="auto"/>
              </w:rPr>
            </w:pPr>
          </w:p>
        </w:tc>
      </w:tr>
      <w:tr>
        <w:trPr>
          <w:trHeight w:val="777"/>
        </w:trPr>
        <w:tc>
          <w:tcPr>
            <w:tcW w:w="66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80" w:type="dxa"/>
            <w:vAlign w:val="bottom"/>
            <w:gridSpan w:val="14"/>
          </w:tcPr>
          <w:p>
            <w:pPr>
              <w:jc w:val="center"/>
              <w:ind w:right="1780"/>
              <w:spacing w:after="0"/>
              <w:rPr>
                <w:sz w:val="20"/>
                <w:szCs w:val="20"/>
                <w:color w:val="auto"/>
              </w:rPr>
            </w:pPr>
            <w:r>
              <w:rPr>
                <w:rFonts w:ascii="Arial" w:cs="Arial" w:eastAsia="Arial" w:hAnsi="Arial"/>
                <w:sz w:val="18"/>
                <w:szCs w:val="18"/>
                <w:b w:val="1"/>
                <w:bCs w:val="1"/>
                <w:color w:val="auto"/>
              </w:rPr>
              <w:t>RYMAN HOSPITALITY PROPERTIES, INC.</w:t>
            </w:r>
          </w:p>
        </w:tc>
        <w:tc>
          <w:tcPr>
            <w:tcW w:w="80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gridSpan w:val="11"/>
          </w:tcPr>
          <w:p>
            <w:pPr>
              <w:jc w:val="center"/>
              <w:ind w:right="2780"/>
              <w:spacing w:after="0" w:line="207" w:lineRule="exact"/>
              <w:rPr>
                <w:sz w:val="20"/>
                <w:szCs w:val="20"/>
                <w:color w:val="auto"/>
              </w:rPr>
            </w:pPr>
            <w:r>
              <w:rPr>
                <w:rFonts w:ascii="Arial" w:cs="Arial" w:eastAsia="Arial" w:hAnsi="Arial"/>
                <w:sz w:val="18"/>
                <w:szCs w:val="18"/>
                <w:b w:val="1"/>
                <w:bCs w:val="1"/>
                <w:color w:val="auto"/>
              </w:rPr>
              <w:t>FORM 10</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Q</w:t>
            </w:r>
          </w:p>
        </w:tc>
        <w:tc>
          <w:tcPr>
            <w:tcW w:w="800" w:type="dxa"/>
            <w:vAlign w:val="bottom"/>
          </w:tcPr>
          <w:p>
            <w:pPr>
              <w:spacing w:after="0"/>
              <w:rPr>
                <w:sz w:val="24"/>
                <w:szCs w:val="24"/>
                <w:color w:val="auto"/>
              </w:rPr>
            </w:pPr>
          </w:p>
        </w:tc>
      </w:tr>
      <w:tr>
        <w:trPr>
          <w:trHeight w:val="405"/>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40" w:type="dxa"/>
            <w:vAlign w:val="bottom"/>
            <w:gridSpan w:val="12"/>
          </w:tcPr>
          <w:p>
            <w:pPr>
              <w:jc w:val="center"/>
              <w:ind w:right="2220"/>
              <w:spacing w:after="0"/>
              <w:rPr>
                <w:sz w:val="20"/>
                <w:szCs w:val="20"/>
                <w:color w:val="auto"/>
              </w:rPr>
            </w:pPr>
            <w:r>
              <w:rPr>
                <w:rFonts w:ascii="Arial" w:cs="Arial" w:eastAsia="Arial" w:hAnsi="Arial"/>
                <w:sz w:val="18"/>
                <w:szCs w:val="18"/>
                <w:b w:val="1"/>
                <w:bCs w:val="1"/>
                <w:color w:val="auto"/>
                <w:w w:val="93"/>
              </w:rPr>
              <w:t>For the Quarter Ended March 31, 2019</w:t>
            </w:r>
          </w:p>
        </w:tc>
        <w:tc>
          <w:tcPr>
            <w:tcW w:w="80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80" w:type="dxa"/>
            <w:vAlign w:val="bottom"/>
            <w:gridSpan w:val="11"/>
          </w:tcPr>
          <w:p>
            <w:pPr>
              <w:jc w:val="center"/>
              <w:ind w:right="2780"/>
              <w:spacing w:after="0"/>
              <w:rPr>
                <w:sz w:val="20"/>
                <w:szCs w:val="20"/>
                <w:color w:val="auto"/>
              </w:rPr>
            </w:pPr>
            <w:r>
              <w:rPr>
                <w:rFonts w:ascii="Arial" w:cs="Arial" w:eastAsia="Arial" w:hAnsi="Arial"/>
                <w:sz w:val="18"/>
                <w:szCs w:val="18"/>
                <w:b w:val="1"/>
                <w:bCs w:val="1"/>
                <w:color w:val="auto"/>
              </w:rPr>
              <w:t>INDEX</w:t>
            </w:r>
          </w:p>
        </w:tc>
        <w:tc>
          <w:tcPr>
            <w:tcW w:w="800" w:type="dxa"/>
            <w:vAlign w:val="bottom"/>
          </w:tcPr>
          <w:p>
            <w:pPr>
              <w:spacing w:after="0"/>
              <w:rPr>
                <w:sz w:val="24"/>
                <w:szCs w:val="24"/>
                <w:color w:val="auto"/>
              </w:rPr>
            </w:pPr>
          </w:p>
        </w:tc>
      </w:tr>
      <w:tr>
        <w:trPr>
          <w:trHeight w:val="39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w:t>
            </w:r>
          </w:p>
        </w:tc>
      </w:tr>
      <w:tr>
        <w:trPr>
          <w:trHeight w:val="385"/>
        </w:trPr>
        <w:tc>
          <w:tcPr>
            <w:tcW w:w="8260" w:type="dxa"/>
            <w:vAlign w:val="bottom"/>
            <w:gridSpan w:val="2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210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5500" w:type="dxa"/>
            <w:vAlign w:val="bottom"/>
            <w:gridSpan w:val="1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5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(Unaudited) - March 31, 2019 and December 31,</w:t>
              </w:r>
            </w:hyperlink>
          </w:p>
        </w:tc>
        <w:tc>
          <w:tcPr>
            <w:tcW w:w="520" w:type="dxa"/>
            <w:vAlign w:val="bottom"/>
            <w:gridSpan w:val="3"/>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200" w:type="dxa"/>
            <w:vAlign w:val="bottom"/>
            <w:gridSpan w:val="3"/>
          </w:tcPr>
          <w:p>
            <w:pPr>
              <w:spacing w:after="0"/>
              <w:rPr>
                <w:sz w:val="17"/>
                <w:szCs w:val="17"/>
                <w:color w:val="auto"/>
              </w:rPr>
            </w:pPr>
          </w:p>
        </w:tc>
        <w:tc>
          <w:tcPr>
            <w:tcW w:w="360" w:type="dxa"/>
            <w:vAlign w:val="bottom"/>
            <w:tcBorders>
              <w:bottom w:val="single" w:sz="8" w:color="0000EE"/>
            </w:tcBorders>
            <w:gridSpan w:val="2"/>
          </w:tcPr>
          <w:p>
            <w:pPr>
              <w:spacing w:after="0" w:line="196" w:lineRule="exact"/>
              <w:rPr>
                <w:rFonts w:ascii="Arial" w:cs="Arial" w:eastAsia="Arial" w:hAnsi="Arial"/>
                <w:sz w:val="18"/>
                <w:szCs w:val="18"/>
                <w:color w:val="0000EE"/>
                <w:w w:val="84"/>
              </w:rPr>
            </w:pPr>
            <w:hyperlink w:anchor="page3">
              <w:r>
                <w:rPr>
                  <w:rFonts w:ascii="Arial" w:cs="Arial" w:eastAsia="Arial" w:hAnsi="Arial"/>
                  <w:sz w:val="18"/>
                  <w:szCs w:val="18"/>
                  <w:color w:val="0000EE"/>
                  <w:w w:val="84"/>
                </w:rPr>
                <w:t>2018</w:t>
              </w:r>
            </w:hyperlink>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60" w:type="dxa"/>
            <w:vAlign w:val="bottom"/>
            <w:tcBorders>
              <w:bottom w:val="single" w:sz="8" w:color="0000EE"/>
            </w:tcBorders>
            <w:gridSpan w:val="19"/>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Condensed Consolidated Statements of Operations and Comprehensive Income (Unaudited) -</w:t>
              </w:r>
            </w:hyperlink>
          </w:p>
        </w:tc>
        <w:tc>
          <w:tcPr>
            <w:tcW w:w="30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60" w:type="dxa"/>
            <w:vAlign w:val="bottom"/>
            <w:gridSpan w:val="2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For the Three Months Ended March 31, 2019 and 2018</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gridSpan w:val="21"/>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Condensed Consolidated Statements of Cash Flows (Unaudited) - For the Three Months Ended</w:t>
              </w:r>
            </w:hyperlink>
          </w:p>
        </w:tc>
        <w:tc>
          <w:tcPr>
            <w:tcW w:w="8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2019 and 2018</w:t>
              </w:r>
            </w:hyperlink>
          </w:p>
        </w:tc>
        <w:tc>
          <w:tcPr>
            <w:tcW w:w="2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6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 (Unaudited) - For the</w:t>
              </w:r>
            </w:hyperlink>
          </w:p>
        </w:tc>
        <w:tc>
          <w:tcPr>
            <w:tcW w:w="800" w:type="dxa"/>
            <w:vAlign w:val="bottom"/>
          </w:tcPr>
          <w:p>
            <w:pPr>
              <w:spacing w:after="0"/>
              <w:rPr>
                <w:sz w:val="24"/>
                <w:szCs w:val="24"/>
                <w:color w:val="auto"/>
              </w:rPr>
            </w:pPr>
          </w:p>
        </w:tc>
      </w:tr>
      <w:tr>
        <w:trPr>
          <w:trHeight w:val="196"/>
        </w:trPr>
        <w:tc>
          <w:tcPr>
            <w:tcW w:w="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Three Months Ended March 31, 2019 and 2018</w:t>
              </w:r>
            </w:hyperlink>
          </w:p>
        </w:tc>
        <w:tc>
          <w:tcPr>
            <w:tcW w:w="1080" w:type="dxa"/>
            <w:vAlign w:val="bottom"/>
            <w:gridSpan w:val="5"/>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r>
      <w:tr>
        <w:trPr>
          <w:trHeight w:val="20"/>
        </w:trPr>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right w:val="single" w:sz="8" w:color="0000EE"/>
            </w:tcBorders>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Condensed Consolidated Financial Statements (Unaudited)</w:t>
              </w:r>
            </w:hyperlink>
          </w:p>
        </w:tc>
        <w:tc>
          <w:tcPr>
            <w:tcW w:w="2140" w:type="dxa"/>
            <w:vAlign w:val="bottom"/>
            <w:gridSpan w:val="6"/>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7</w:t>
            </w:r>
          </w:p>
        </w:tc>
      </w:tr>
      <w:tr>
        <w:trPr>
          <w:trHeight w:val="412"/>
        </w:trPr>
        <w:tc>
          <w:tcPr>
            <w:tcW w:w="660" w:type="dxa"/>
            <w:vAlign w:val="bottom"/>
          </w:tcPr>
          <w:p>
            <w:pPr>
              <w:spacing w:after="0"/>
              <w:rPr>
                <w:sz w:val="24"/>
                <w:szCs w:val="24"/>
                <w:color w:val="auto"/>
              </w:rPr>
            </w:pPr>
          </w:p>
        </w:tc>
        <w:tc>
          <w:tcPr>
            <w:tcW w:w="7060" w:type="dxa"/>
            <w:vAlign w:val="bottom"/>
            <w:tcBorders>
              <w:bottom w:val="single" w:sz="8" w:color="0000EE"/>
            </w:tcBorders>
            <w:gridSpan w:val="19"/>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2. Management’s Discussion and Analysis of Financial Condition and Results of Operations.</w:t>
              </w:r>
            </w:hyperlink>
          </w:p>
        </w:tc>
        <w:tc>
          <w:tcPr>
            <w:tcW w:w="54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412"/>
        </w:trPr>
        <w:tc>
          <w:tcPr>
            <w:tcW w:w="660" w:type="dxa"/>
            <w:vAlign w:val="bottom"/>
          </w:tcPr>
          <w:p>
            <w:pPr>
              <w:spacing w:after="0"/>
              <w:rPr>
                <w:sz w:val="24"/>
                <w:szCs w:val="24"/>
                <w:color w:val="auto"/>
              </w:rPr>
            </w:pPr>
          </w:p>
        </w:tc>
        <w:tc>
          <w:tcPr>
            <w:tcW w:w="496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43">
              <w:r>
                <w:rPr>
                  <w:rFonts w:ascii="Arial" w:cs="Arial" w:eastAsia="Arial" w:hAnsi="Arial"/>
                  <w:sz w:val="18"/>
                  <w:szCs w:val="18"/>
                  <w:color w:val="0000EE"/>
                  <w:w w:val="92"/>
                </w:rPr>
                <w:t>Item 3. Quantitative and Qualitative Disclosures About Market Risk.</w:t>
              </w:r>
            </w:hyperlink>
          </w:p>
        </w:tc>
        <w:tc>
          <w:tcPr>
            <w:tcW w:w="2640" w:type="dxa"/>
            <w:vAlign w:val="bottom"/>
            <w:gridSpan w:val="7"/>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43</w:t>
            </w:r>
          </w:p>
        </w:tc>
      </w:tr>
      <w:tr>
        <w:trPr>
          <w:trHeight w:val="412"/>
        </w:trPr>
        <w:tc>
          <w:tcPr>
            <w:tcW w:w="660" w:type="dxa"/>
            <w:vAlign w:val="bottom"/>
          </w:tcPr>
          <w:p>
            <w:pPr>
              <w:spacing w:after="0"/>
              <w:rPr>
                <w:sz w:val="24"/>
                <w:szCs w:val="24"/>
                <w:color w:val="auto"/>
              </w:rPr>
            </w:pPr>
          </w:p>
        </w:tc>
        <w:tc>
          <w:tcPr>
            <w:tcW w:w="7600" w:type="dxa"/>
            <w:vAlign w:val="bottom"/>
            <w:gridSpan w:val="2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 Controls and Procedures.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8260" w:type="dxa"/>
            <w:vAlign w:val="bottom"/>
            <w:gridSpan w:val="24"/>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Part II - Other Information</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0"/>
        </w:trPr>
        <w:tc>
          <w:tcPr>
            <w:tcW w:w="6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7600" w:type="dxa"/>
            <w:vAlign w:val="bottom"/>
            <w:gridSpan w:val="2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 Legal Proceedings.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412"/>
        </w:trPr>
        <w:tc>
          <w:tcPr>
            <w:tcW w:w="660" w:type="dxa"/>
            <w:vAlign w:val="bottom"/>
          </w:tcPr>
          <w:p>
            <w:pPr>
              <w:spacing w:after="0"/>
              <w:rPr>
                <w:sz w:val="24"/>
                <w:szCs w:val="24"/>
                <w:color w:val="auto"/>
              </w:rPr>
            </w:pPr>
          </w:p>
        </w:tc>
        <w:tc>
          <w:tcPr>
            <w:tcW w:w="1920" w:type="dxa"/>
            <w:vAlign w:val="bottom"/>
            <w:tcBorders>
              <w:top w:val="single" w:sz="8" w:color="0000EE"/>
            </w:tcBorders>
            <w:gridSpan w:val="9"/>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1A. Risk Factors.</w:t>
              </w:r>
            </w:hyperlink>
          </w:p>
        </w:tc>
        <w:tc>
          <w:tcPr>
            <w:tcW w:w="5680" w:type="dxa"/>
            <w:vAlign w:val="bottom"/>
            <w:gridSpan w:val="1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20"/>
        </w:trPr>
        <w:tc>
          <w:tcPr>
            <w:tcW w:w="6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20" w:type="dxa"/>
            <w:vAlign w:val="bottom"/>
            <w:tcBorders>
              <w:right w:val="single" w:sz="8" w:color="0000EE"/>
            </w:tcBorders>
            <w:gridSpan w:val="4"/>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660" w:type="dxa"/>
            <w:vAlign w:val="bottom"/>
            <w:gridSpan w:val="8"/>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494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4">
              <w:r>
                <w:rPr>
                  <w:rFonts w:ascii="Arial" w:cs="Arial" w:eastAsia="Arial" w:hAnsi="Arial"/>
                  <w:sz w:val="18"/>
                  <w:szCs w:val="18"/>
                  <w:color w:val="0000EE"/>
                  <w:w w:val="89"/>
                </w:rPr>
                <w:t>Item 2. Unregistered Sales of Equity Securities and Use of Proceeds.</w:t>
              </w:r>
            </w:hyperlink>
          </w:p>
        </w:tc>
        <w:tc>
          <w:tcPr>
            <w:tcW w:w="2660" w:type="dxa"/>
            <w:vAlign w:val="bottom"/>
            <w:gridSpan w:val="8"/>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412"/>
        </w:trPr>
        <w:tc>
          <w:tcPr>
            <w:tcW w:w="660" w:type="dxa"/>
            <w:vAlign w:val="bottom"/>
          </w:tcPr>
          <w:p>
            <w:pPr>
              <w:spacing w:after="0"/>
              <w:rPr>
                <w:sz w:val="24"/>
                <w:szCs w:val="24"/>
                <w:color w:val="auto"/>
              </w:rPr>
            </w:pPr>
          </w:p>
        </w:tc>
        <w:tc>
          <w:tcPr>
            <w:tcW w:w="29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44">
              <w:r>
                <w:rPr>
                  <w:rFonts w:ascii="Arial" w:cs="Arial" w:eastAsia="Arial" w:hAnsi="Arial"/>
                  <w:sz w:val="18"/>
                  <w:szCs w:val="18"/>
                  <w:color w:val="0000EE"/>
                  <w:w w:val="90"/>
                </w:rPr>
                <w:t>Item 3. Defaults Upon Senior Securities.</w:t>
              </w:r>
            </w:hyperlink>
          </w:p>
        </w:tc>
        <w:tc>
          <w:tcPr>
            <w:tcW w:w="4680" w:type="dxa"/>
            <w:vAlign w:val="bottom"/>
            <w:gridSpan w:val="11"/>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412"/>
        </w:trPr>
        <w:tc>
          <w:tcPr>
            <w:tcW w:w="660" w:type="dxa"/>
            <w:vAlign w:val="bottom"/>
          </w:tcPr>
          <w:p>
            <w:pPr>
              <w:spacing w:after="0"/>
              <w:rPr>
                <w:sz w:val="24"/>
                <w:szCs w:val="24"/>
                <w:color w:val="auto"/>
              </w:rPr>
            </w:pPr>
          </w:p>
        </w:tc>
        <w:tc>
          <w:tcPr>
            <w:tcW w:w="7600" w:type="dxa"/>
            <w:vAlign w:val="bottom"/>
            <w:gridSpan w:val="23"/>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4. Mine Safety Disclosures.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412"/>
        </w:trPr>
        <w:tc>
          <w:tcPr>
            <w:tcW w:w="660" w:type="dxa"/>
            <w:vAlign w:val="bottom"/>
          </w:tcPr>
          <w:p>
            <w:pPr>
              <w:spacing w:after="0"/>
              <w:rPr>
                <w:sz w:val="24"/>
                <w:szCs w:val="24"/>
                <w:color w:val="auto"/>
              </w:rPr>
            </w:pPr>
          </w:p>
        </w:tc>
        <w:tc>
          <w:tcPr>
            <w:tcW w:w="2360" w:type="dxa"/>
            <w:vAlign w:val="bottom"/>
            <w:tcBorders>
              <w:top w:val="single" w:sz="8" w:color="0000EE"/>
            </w:tcBorders>
            <w:gridSpan w:val="11"/>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5. Other Information.</w:t>
              </w:r>
            </w:hyperlink>
          </w:p>
        </w:tc>
        <w:tc>
          <w:tcPr>
            <w:tcW w:w="5240" w:type="dxa"/>
            <w:vAlign w:val="bottom"/>
            <w:gridSpan w:val="1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44</w:t>
            </w:r>
          </w:p>
        </w:tc>
      </w:tr>
      <w:tr>
        <w:trPr>
          <w:trHeight w:val="412"/>
        </w:trPr>
        <w:tc>
          <w:tcPr>
            <w:tcW w:w="660" w:type="dxa"/>
            <w:vAlign w:val="bottom"/>
          </w:tcPr>
          <w:p>
            <w:pPr>
              <w:spacing w:after="0"/>
              <w:rPr>
                <w:sz w:val="24"/>
                <w:szCs w:val="24"/>
                <w:color w:val="auto"/>
              </w:rPr>
            </w:pPr>
          </w:p>
        </w:tc>
        <w:tc>
          <w:tcPr>
            <w:tcW w:w="12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5"/>
              </w:rPr>
            </w:pPr>
            <w:hyperlink w:anchor="page45">
              <w:r>
                <w:rPr>
                  <w:rFonts w:ascii="Arial" w:cs="Arial" w:eastAsia="Arial" w:hAnsi="Arial"/>
                  <w:sz w:val="18"/>
                  <w:szCs w:val="18"/>
                  <w:color w:val="0000EE"/>
                  <w:w w:val="95"/>
                </w:rPr>
                <w:t>Item 6. Exhibits.</w:t>
              </w:r>
            </w:hyperlink>
          </w:p>
        </w:tc>
        <w:tc>
          <w:tcPr>
            <w:tcW w:w="640" w:type="dxa"/>
            <w:vAlign w:val="bottom"/>
            <w:tcBorders>
              <w:top w:val="single" w:sz="8" w:color="0000EE"/>
            </w:tcBorders>
            <w:gridSpan w:val="3"/>
          </w:tcPr>
          <w:p>
            <w:pPr>
              <w:spacing w:after="0"/>
              <w:rPr>
                <w:sz w:val="24"/>
                <w:szCs w:val="24"/>
                <w:color w:val="auto"/>
              </w:rPr>
            </w:pPr>
          </w:p>
        </w:tc>
        <w:tc>
          <w:tcPr>
            <w:tcW w:w="5700" w:type="dxa"/>
            <w:vAlign w:val="bottom"/>
            <w:gridSpan w:val="15"/>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412"/>
        </w:trPr>
        <w:tc>
          <w:tcPr>
            <w:tcW w:w="8260" w:type="dxa"/>
            <w:vAlign w:val="bottom"/>
            <w:gridSpan w:val="2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SIGNATURES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45</w:t>
            </w:r>
          </w:p>
        </w:tc>
      </w:tr>
      <w:tr>
        <w:trPr>
          <w:trHeight w:val="898"/>
        </w:trPr>
        <w:tc>
          <w:tcPr>
            <w:tcW w:w="1100" w:type="dxa"/>
            <w:vAlign w:val="bottom"/>
            <w:tcBorders>
              <w:top w:val="single" w:sz="8" w:color="0000EE"/>
            </w:tcBorders>
            <w:gridSpan w:val="2"/>
          </w:tcPr>
          <w:p>
            <w:pPr>
              <w:spacing w:after="0"/>
              <w:rPr>
                <w:sz w:val="24"/>
                <w:szCs w:val="24"/>
                <w:color w:val="auto"/>
              </w:rPr>
            </w:pPr>
          </w:p>
        </w:tc>
        <w:tc>
          <w:tcPr>
            <w:tcW w:w="3520" w:type="dxa"/>
            <w:vAlign w:val="bottom"/>
            <w:gridSpan w:val="12"/>
          </w:tcPr>
          <w:p>
            <w:pPr>
              <w:jc w:val="center"/>
              <w:ind w:left="3250"/>
              <w:spacing w:after="0"/>
              <w:rPr>
                <w:sz w:val="20"/>
                <w:szCs w:val="20"/>
                <w:color w:val="auto"/>
              </w:rPr>
            </w:pPr>
            <w:r>
              <w:rPr>
                <w:rFonts w:ascii="Arial" w:cs="Arial" w:eastAsia="Arial" w:hAnsi="Arial"/>
                <w:sz w:val="18"/>
                <w:szCs w:val="18"/>
                <w:color w:val="auto"/>
                <w:w w:val="99"/>
              </w:rPr>
              <w:t>2</w:t>
            </w:r>
          </w:p>
        </w:tc>
        <w:tc>
          <w:tcPr>
            <w:tcW w:w="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29"/>
        </w:trPr>
        <w:tc>
          <w:tcPr>
            <w:tcW w:w="6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FINANCIAL STATEMENTS.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tbl>
      <w:tblPr>
        <w:tblLayout w:type="fixed"/>
        <w:tblInd w:w="0" w:type="dxa"/>
        <w:tblCellMar>
          <w:top w:w="0" w:type="dxa"/>
          <w:left w:w="0" w:type="dxa"/>
          <w:bottom w:w="0" w:type="dxa"/>
          <w:right w:w="0" w:type="dxa"/>
        </w:tblCellMar>
      </w:tblPr>
      <w:tr>
        <w:trPr>
          <w:trHeight w:val="148"/>
        </w:trPr>
        <w:tc>
          <w:tcPr>
            <w:tcW w:w="7060" w:type="dxa"/>
            <w:vAlign w:val="bottom"/>
          </w:tcPr>
          <w:p>
            <w:pPr>
              <w:spacing w:after="0"/>
              <w:rPr>
                <w:sz w:val="12"/>
                <w:szCs w:val="12"/>
                <w:color w:val="auto"/>
              </w:rPr>
            </w:pPr>
          </w:p>
        </w:tc>
        <w:tc>
          <w:tcPr>
            <w:tcW w:w="108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March 31,</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2"/>
              </w:rPr>
              <w:t>December 31,</w:t>
            </w:r>
          </w:p>
        </w:tc>
      </w:tr>
      <w:tr>
        <w:trPr>
          <w:trHeight w:val="171"/>
        </w:trPr>
        <w:tc>
          <w:tcPr>
            <w:tcW w:w="70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r>
      <w:tr>
        <w:trPr>
          <w:trHeight w:val="223"/>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02"/>
        </w:trPr>
        <w:tc>
          <w:tcPr>
            <w:tcW w:w="7060" w:type="dxa"/>
            <w:vAlign w:val="bottom"/>
          </w:tcPr>
          <w:p>
            <w:pPr>
              <w:ind w:left="120"/>
              <w:spacing w:after="0" w:line="201" w:lineRule="exact"/>
              <w:rPr>
                <w:sz w:val="20"/>
                <w:szCs w:val="20"/>
                <w:color w:val="auto"/>
              </w:rPr>
            </w:pPr>
            <w:r>
              <w:rPr>
                <w:rFonts w:ascii="Arial" w:cs="Arial" w:eastAsia="Arial" w:hAnsi="Arial"/>
                <w:sz w:val="18"/>
                <w:szCs w:val="18"/>
                <w:color w:val="auto"/>
              </w:rPr>
              <w:t>Property and equipment, net of accumulated depreciation (including $1,010,730 and</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$1,018,499 from VIEs, respectively)</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$ 3,147,749</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$ 3,149,095</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 - unrestricted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103,437</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Cash and cash equivalents - restricted</w:t>
            </w:r>
          </w:p>
        </w:tc>
        <w:tc>
          <w:tcPr>
            <w:tcW w:w="920" w:type="dxa"/>
            <w:vAlign w:val="bottom"/>
          </w:tcPr>
          <w:p>
            <w:pPr>
              <w:jc w:val="right"/>
              <w:spacing w:after="0"/>
              <w:rPr>
                <w:sz w:val="20"/>
                <w:szCs w:val="20"/>
                <w:color w:val="auto"/>
              </w:rPr>
            </w:pPr>
            <w:r>
              <w:rPr>
                <w:rFonts w:ascii="Arial" w:cs="Arial" w:eastAsia="Arial" w:hAnsi="Arial"/>
                <w:sz w:val="18"/>
                <w:szCs w:val="18"/>
                <w:color w:val="auto"/>
              </w:rPr>
              <w:t>51,943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45,652</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Notes receivable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121,923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122,209</w:t>
            </w:r>
          </w:p>
        </w:tc>
      </w:tr>
      <w:tr>
        <w:trPr>
          <w:trHeight w:val="202"/>
        </w:trPr>
        <w:tc>
          <w:tcPr>
            <w:tcW w:w="7060" w:type="dxa"/>
            <w:vAlign w:val="bottom"/>
          </w:tcPr>
          <w:p>
            <w:pPr>
              <w:ind w:left="120"/>
              <w:spacing w:after="0" w:line="201" w:lineRule="exact"/>
              <w:rPr>
                <w:sz w:val="20"/>
                <w:szCs w:val="20"/>
                <w:color w:val="auto"/>
              </w:rPr>
            </w:pPr>
            <w:r>
              <w:rPr>
                <w:rFonts w:ascii="Arial" w:cs="Arial" w:eastAsia="Arial" w:hAnsi="Arial"/>
                <w:sz w:val="18"/>
                <w:szCs w:val="18"/>
                <w:color w:val="auto"/>
                <w:w w:val="97"/>
              </w:rPr>
              <w:t>Trade receivables, less allowance of $739 and $763, respectively (including $25,431 and</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$2,019 from VIEs, respectively)</w:t>
            </w:r>
          </w:p>
        </w:tc>
        <w:tc>
          <w:tcPr>
            <w:tcW w:w="920" w:type="dxa"/>
            <w:vAlign w:val="bottom"/>
          </w:tcPr>
          <w:p>
            <w:pPr>
              <w:jc w:val="right"/>
              <w:spacing w:after="0"/>
              <w:rPr>
                <w:sz w:val="20"/>
                <w:szCs w:val="20"/>
                <w:color w:val="auto"/>
              </w:rPr>
            </w:pPr>
            <w:r>
              <w:rPr>
                <w:rFonts w:ascii="Arial" w:cs="Arial" w:eastAsia="Arial" w:hAnsi="Arial"/>
                <w:sz w:val="18"/>
                <w:szCs w:val="18"/>
                <w:color w:val="auto"/>
              </w:rPr>
              <w:t>109,973</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67,923</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Deferred income tax assets, net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40,557</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w w:val="94"/>
              </w:rPr>
              <w:t>Prepaid expenses and other assets (including $29,406 and $20,419 from VIEs, respectively)</w:t>
            </w:r>
          </w:p>
        </w:tc>
        <w:tc>
          <w:tcPr>
            <w:tcW w:w="920" w:type="dxa"/>
            <w:vAlign w:val="bottom"/>
          </w:tcPr>
          <w:p>
            <w:pPr>
              <w:jc w:val="right"/>
              <w:spacing w:after="0"/>
              <w:rPr>
                <w:sz w:val="20"/>
                <w:szCs w:val="20"/>
                <w:color w:val="auto"/>
              </w:rPr>
            </w:pPr>
            <w:r>
              <w:rPr>
                <w:rFonts w:ascii="Arial" w:cs="Arial" w:eastAsia="Arial" w:hAnsi="Arial"/>
                <w:sz w:val="18"/>
                <w:szCs w:val="18"/>
                <w:color w:val="auto"/>
              </w:rPr>
              <w:t>90,070</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78,240</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Intangible assets (including $232,367 and $241,973 from VIEs, respectively)</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237,175</w:t>
            </w:r>
          </w:p>
        </w:tc>
        <w:tc>
          <w:tcPr>
            <w:tcW w:w="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246,770</w:t>
            </w:r>
          </w:p>
        </w:tc>
      </w:tr>
      <w:tr>
        <w:trPr>
          <w:trHeight w:val="217"/>
        </w:trPr>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$ 3,893,169</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$ 3,853,883</w:t>
            </w:r>
          </w:p>
        </w:tc>
      </w:tr>
      <w:tr>
        <w:trPr>
          <w:trHeight w:val="216"/>
        </w:trPr>
        <w:tc>
          <w:tcPr>
            <w:tcW w:w="70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LIABILITIES AND EQUITY:</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02"/>
        </w:trPr>
        <w:tc>
          <w:tcPr>
            <w:tcW w:w="706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Debt and finance lease obligations (including $526,449 and $494,578 from VIEs,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respectively)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$ 2,485,179</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$ 2,441,895</w:t>
            </w:r>
          </w:p>
        </w:tc>
      </w:tr>
      <w:tr>
        <w:trPr>
          <w:trHeight w:val="202"/>
        </w:trPr>
        <w:tc>
          <w:tcPr>
            <w:tcW w:w="7060" w:type="dxa"/>
            <w:vAlign w:val="bottom"/>
          </w:tcPr>
          <w:p>
            <w:pPr>
              <w:ind w:left="120"/>
              <w:spacing w:after="0" w:line="201" w:lineRule="exact"/>
              <w:rPr>
                <w:sz w:val="20"/>
                <w:szCs w:val="20"/>
                <w:color w:val="auto"/>
              </w:rPr>
            </w:pPr>
            <w:r>
              <w:rPr>
                <w:rFonts w:ascii="Arial" w:cs="Arial" w:eastAsia="Arial" w:hAnsi="Arial"/>
                <w:sz w:val="18"/>
                <w:szCs w:val="18"/>
                <w:color w:val="auto"/>
              </w:rPr>
              <w:t>Accounts payable and accrued liabilities (including $69,696 and $70,215 from VIEs,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0"/>
        </w:trPr>
        <w:tc>
          <w:tcPr>
            <w:tcW w:w="706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920" w:type="dxa"/>
            <w:vAlign w:val="bottom"/>
          </w:tcPr>
          <w:p>
            <w:pPr>
              <w:jc w:val="right"/>
              <w:spacing w:after="0"/>
              <w:rPr>
                <w:sz w:val="20"/>
                <w:szCs w:val="20"/>
                <w:color w:val="auto"/>
              </w:rPr>
            </w:pPr>
            <w:r>
              <w:rPr>
                <w:rFonts w:ascii="Arial" w:cs="Arial" w:eastAsia="Arial" w:hAnsi="Arial"/>
                <w:sz w:val="18"/>
                <w:szCs w:val="18"/>
                <w:color w:val="auto"/>
              </w:rPr>
              <w:t>285,296</w:t>
            </w: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274,890</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payable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45,019</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Deferred management rights proceeds</w:t>
            </w:r>
          </w:p>
        </w:tc>
        <w:tc>
          <w:tcPr>
            <w:tcW w:w="920" w:type="dxa"/>
            <w:vAlign w:val="bottom"/>
          </w:tcPr>
          <w:p>
            <w:pPr>
              <w:jc w:val="right"/>
              <w:spacing w:after="0"/>
              <w:rPr>
                <w:sz w:val="20"/>
                <w:szCs w:val="20"/>
                <w:color w:val="auto"/>
              </w:rPr>
            </w:pPr>
            <w:r>
              <w:rPr>
                <w:rFonts w:ascii="Arial" w:cs="Arial" w:eastAsia="Arial" w:hAnsi="Arial"/>
                <w:sz w:val="18"/>
                <w:szCs w:val="18"/>
                <w:color w:val="auto"/>
              </w:rPr>
              <w:t>177,652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174,026</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lease liabilities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Other liabilities</w:t>
            </w:r>
          </w:p>
        </w:tc>
        <w:tc>
          <w:tcPr>
            <w:tcW w:w="920" w:type="dxa"/>
            <w:vAlign w:val="bottom"/>
          </w:tcPr>
          <w:p>
            <w:pPr>
              <w:jc w:val="right"/>
              <w:spacing w:after="0"/>
              <w:rPr>
                <w:sz w:val="20"/>
                <w:szCs w:val="20"/>
                <w:color w:val="auto"/>
              </w:rPr>
            </w:pPr>
            <w:r>
              <w:rPr>
                <w:rFonts w:ascii="Arial" w:cs="Arial" w:eastAsia="Arial" w:hAnsi="Arial"/>
                <w:sz w:val="18"/>
                <w:szCs w:val="18"/>
                <w:color w:val="auto"/>
              </w:rPr>
              <w:t>62,188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161,043</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Commitments and contingencies</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060" w:type="dxa"/>
            <w:vAlign w:val="bottom"/>
          </w:tcPr>
          <w:p>
            <w:pPr>
              <w:ind w:left="120"/>
              <w:spacing w:after="0"/>
              <w:rPr>
                <w:sz w:val="20"/>
                <w:szCs w:val="20"/>
                <w:color w:val="auto"/>
              </w:rPr>
            </w:pPr>
            <w:r>
              <w:rPr>
                <w:rFonts w:ascii="Arial" w:cs="Arial" w:eastAsia="Arial" w:hAnsi="Arial"/>
                <w:sz w:val="18"/>
                <w:szCs w:val="18"/>
                <w:color w:val="auto"/>
              </w:rPr>
              <w:t>Noncontrolling interest in consolidated joint venture</w:t>
            </w:r>
          </w:p>
        </w:tc>
        <w:tc>
          <w:tcPr>
            <w:tcW w:w="920" w:type="dxa"/>
            <w:vAlign w:val="bottom"/>
          </w:tcPr>
          <w:p>
            <w:pPr>
              <w:jc w:val="right"/>
              <w:spacing w:after="0"/>
              <w:rPr>
                <w:sz w:val="20"/>
                <w:szCs w:val="20"/>
                <w:color w:val="auto"/>
              </w:rPr>
            </w:pPr>
            <w:r>
              <w:rPr>
                <w:rFonts w:ascii="Arial" w:cs="Arial" w:eastAsia="Arial" w:hAnsi="Arial"/>
                <w:sz w:val="18"/>
                <w:szCs w:val="18"/>
                <w:color w:val="auto"/>
              </w:rPr>
              <w:t>291,115</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287,433</w:t>
            </w:r>
          </w:p>
        </w:tc>
      </w:tr>
      <w:tr>
        <w:trPr>
          <w:trHeight w:val="216"/>
        </w:trPr>
        <w:tc>
          <w:tcPr>
            <w:tcW w:w="7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Stockholders' equity:</w:t>
            </w: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w w:val="92"/>
              </w:rPr>
              <w:t>Preferred stock, $.01 par value, 100,000 shares authorized, no shares issued or outstanding</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70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Common stock, $.01 par value, 400,000 shares authorized, 51,434 and 51,336 shares issued</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30"/>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outstanding, respectively</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920" w:type="dxa"/>
            <w:vAlign w:val="bottom"/>
          </w:tcPr>
          <w:p>
            <w:pPr>
              <w:jc w:val="right"/>
              <w:spacing w:after="0"/>
              <w:rPr>
                <w:sz w:val="20"/>
                <w:szCs w:val="20"/>
                <w:color w:val="auto"/>
              </w:rPr>
            </w:pPr>
            <w:r>
              <w:rPr>
                <w:rFonts w:ascii="Arial" w:cs="Arial" w:eastAsia="Arial" w:hAnsi="Arial"/>
                <w:sz w:val="18"/>
                <w:szCs w:val="18"/>
                <w:color w:val="auto"/>
              </w:rPr>
              <w:t>899,164</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900,795</w:t>
            </w: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 of 599 and 592 shares, at cost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(15,687)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w:t>
            </w: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Accumulated deficit</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(412,905)</w:t>
            </w:r>
          </w:p>
        </w:tc>
        <w:tc>
          <w:tcPr>
            <w:tcW w:w="920" w:type="dxa"/>
            <w:vAlign w:val="bottom"/>
          </w:tcPr>
          <w:p>
            <w:pPr>
              <w:jc w:val="right"/>
              <w:spacing w:after="0"/>
              <w:rPr>
                <w:sz w:val="20"/>
                <w:szCs w:val="20"/>
                <w:color w:val="auto"/>
              </w:rPr>
            </w:pPr>
            <w:r>
              <w:rPr>
                <w:rFonts w:ascii="Arial" w:cs="Arial" w:eastAsia="Arial" w:hAnsi="Arial"/>
                <w:sz w:val="18"/>
                <w:szCs w:val="18"/>
                <w:color w:val="auto"/>
              </w:rPr>
              <w:t>(388,524)</w:t>
            </w:r>
          </w:p>
        </w:tc>
      </w:tr>
      <w:tr>
        <w:trPr>
          <w:trHeight w:val="216"/>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(30,622)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(28,024)</w:t>
            </w:r>
          </w:p>
        </w:tc>
      </w:tr>
      <w:tr>
        <w:trPr>
          <w:trHeight w:val="210"/>
        </w:trPr>
        <w:tc>
          <w:tcPr>
            <w:tcW w:w="70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stockholders' equity</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440,464</w:t>
            </w:r>
          </w:p>
        </w:tc>
        <w:tc>
          <w:tcPr>
            <w:tcW w:w="16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469,577</w:t>
            </w:r>
          </w:p>
        </w:tc>
      </w:tr>
      <w:tr>
        <w:trPr>
          <w:trHeight w:val="217"/>
        </w:trPr>
        <w:tc>
          <w:tcPr>
            <w:tcW w:w="7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liabilities and stockholders' equity</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$ 3,893,169</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$ 3,853,883</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RYMAN HOSPITALITY PROPERTIES, INC. AND SUBSIDIARIES CONDENSED CONSOLIDATED STATEMENTS OF OPERATIONS AND COMPREHENSIVE INCOME (Unaudited)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3" w:lineRule="exact"/>
        <w:rPr>
          <w:sz w:val="20"/>
          <w:szCs w:val="20"/>
          <w:color w:val="auto"/>
        </w:rPr>
      </w:pPr>
    </w:p>
    <w:p>
      <w:pPr>
        <w:ind w:left="7180"/>
        <w:spacing w:after="0"/>
        <w:rPr>
          <w:sz w:val="20"/>
          <w:szCs w:val="20"/>
          <w:color w:val="auto"/>
        </w:rPr>
      </w:pPr>
      <w:r>
        <w:rPr>
          <w:rFonts w:ascii="Arial" w:cs="Arial" w:eastAsia="Arial" w:hAnsi="Arial"/>
          <w:sz w:val="14"/>
          <w:szCs w:val="14"/>
          <w:b w:val="1"/>
          <w:bCs w:val="1"/>
          <w:color w:val="auto"/>
        </w:rPr>
        <w:t>Three Months Ended</w:t>
      </w:r>
    </w:p>
    <w:p>
      <w:pPr>
        <w:ind w:left="7500"/>
        <w:spacing w:after="0" w:line="231" w:lineRule="auto"/>
        <w:rPr>
          <w:sz w:val="20"/>
          <w:szCs w:val="20"/>
          <w:color w:val="auto"/>
        </w:rPr>
      </w:pPr>
      <w:r>
        <w:rPr>
          <w:rFonts w:ascii="Arial" w:cs="Arial" w:eastAsia="Arial" w:hAnsi="Arial"/>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612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Rooms</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132,212</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107,564</w:t>
            </w: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171,143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132,939</w:t>
            </w:r>
          </w:p>
        </w:tc>
        <w:tc>
          <w:tcPr>
            <w:tcW w:w="200" w:type="dxa"/>
            <w:vAlign w:val="bottom"/>
            <w:shd w:val="clear" w:color="auto" w:fill="CCEEFF"/>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34,155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24,608</w:t>
            </w: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33,265</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23,259</w:t>
            </w:r>
          </w:p>
        </w:tc>
        <w:tc>
          <w:tcPr>
            <w:tcW w:w="200" w:type="dxa"/>
            <w:vAlign w:val="bottom"/>
            <w:shd w:val="clear" w:color="auto" w:fill="CCEEFF"/>
          </w:tcPr>
          <w:p>
            <w:pPr>
              <w:spacing w:after="0"/>
              <w:rPr>
                <w:sz w:val="18"/>
                <w:szCs w:val="18"/>
                <w:color w:val="auto"/>
              </w:rPr>
            </w:pPr>
          </w:p>
        </w:tc>
      </w:tr>
      <w:tr>
        <w:trPr>
          <w:trHeight w:val="210"/>
        </w:trPr>
        <w:tc>
          <w:tcPr>
            <w:tcW w:w="61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370,775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288,370</w:t>
            </w: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Operating expenses: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28,928</w:t>
            </w:r>
          </w:p>
        </w:tc>
        <w:tc>
          <w:tcPr>
            <w:tcW w:w="200" w:type="dxa"/>
            <w:vAlign w:val="bottom"/>
            <w:shd w:val="clear" w:color="auto" w:fill="CCEEFF"/>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Food and beverage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91,359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71,978</w:t>
            </w: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75,882</w:t>
            </w:r>
          </w:p>
        </w:tc>
        <w:tc>
          <w:tcPr>
            <w:tcW w:w="200" w:type="dxa"/>
            <w:vAlign w:val="bottom"/>
            <w:shd w:val="clear" w:color="auto" w:fill="CCEEFF"/>
          </w:tcPr>
          <w:p>
            <w:pPr>
              <w:spacing w:after="0"/>
              <w:rPr>
                <w:sz w:val="18"/>
                <w:szCs w:val="18"/>
                <w:color w:val="auto"/>
              </w:rPr>
            </w:pPr>
          </w:p>
        </w:tc>
      </w:tr>
      <w:tr>
        <w:trPr>
          <w:trHeight w:val="216"/>
        </w:trPr>
        <w:tc>
          <w:tcPr>
            <w:tcW w:w="6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Management fees, net</w:t>
            </w: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9,756</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7,130</w:t>
            </w:r>
          </w:p>
        </w:tc>
        <w:tc>
          <w:tcPr>
            <w:tcW w:w="200" w:type="dxa"/>
            <w:vAlign w:val="bottom"/>
            <w:tcBorders>
              <w:bottom w:val="single" w:sz="8" w:color="CCEEFF"/>
            </w:tcBorders>
          </w:tcPr>
          <w:p>
            <w:pPr>
              <w:spacing w:after="0"/>
              <w:rPr>
                <w:sz w:val="18"/>
                <w:szCs w:val="18"/>
                <w:color w:val="auto"/>
              </w:rPr>
            </w:pPr>
          </w:p>
        </w:tc>
      </w:tr>
      <w:tr>
        <w:trPr>
          <w:trHeight w:val="210"/>
        </w:trPr>
        <w:tc>
          <w:tcPr>
            <w:tcW w:w="6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hotel operating expenses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227,023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183,918</w:t>
            </w:r>
          </w:p>
        </w:tc>
        <w:tc>
          <w:tcPr>
            <w:tcW w:w="200" w:type="dxa"/>
            <w:vAlign w:val="bottom"/>
            <w:shd w:val="clear" w:color="auto" w:fill="CCEEFF"/>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Entertainment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25,641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19,366</w:t>
            </w: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200" w:type="dxa"/>
            <w:vAlign w:val="bottom"/>
            <w:shd w:val="clear" w:color="auto" w:fill="CCEEFF"/>
          </w:tcPr>
          <w:p>
            <w:pPr>
              <w:spacing w:after="0"/>
              <w:rPr>
                <w:sz w:val="18"/>
                <w:szCs w:val="18"/>
                <w:color w:val="auto"/>
              </w:rPr>
            </w:pPr>
          </w:p>
        </w:tc>
      </w:tr>
      <w:tr>
        <w:trPr>
          <w:trHeight w:val="216"/>
        </w:trPr>
        <w:tc>
          <w:tcPr>
            <w:tcW w:w="6120" w:type="dxa"/>
            <w:vAlign w:val="bottom"/>
          </w:tcPr>
          <w:p>
            <w:pPr>
              <w:ind w:left="120"/>
              <w:spacing w:after="0"/>
              <w:rPr>
                <w:sz w:val="20"/>
                <w:szCs w:val="20"/>
                <w:color w:val="auto"/>
              </w:rPr>
            </w:pPr>
            <w:r>
              <w:rPr>
                <w:rFonts w:ascii="Arial" w:cs="Arial" w:eastAsia="Arial" w:hAnsi="Arial"/>
                <w:sz w:val="18"/>
                <w:szCs w:val="18"/>
                <w:color w:val="auto"/>
              </w:rPr>
              <w:t>Preopening costs</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2,147</w:t>
            </w: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6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53,009</w:t>
            </w:r>
          </w:p>
        </w:tc>
        <w:tc>
          <w:tcPr>
            <w:tcW w:w="2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28,666</w:t>
            </w:r>
          </w:p>
        </w:tc>
        <w:tc>
          <w:tcPr>
            <w:tcW w:w="200" w:type="dxa"/>
            <w:vAlign w:val="bottom"/>
            <w:shd w:val="clear" w:color="auto" w:fill="CCEEFF"/>
          </w:tcPr>
          <w:p>
            <w:pPr>
              <w:spacing w:after="0"/>
              <w:rPr>
                <w:sz w:val="18"/>
                <w:szCs w:val="18"/>
                <w:color w:val="auto"/>
              </w:rPr>
            </w:pPr>
          </w:p>
        </w:tc>
      </w:tr>
      <w:tr>
        <w:trPr>
          <w:trHeight w:val="210"/>
        </w:trPr>
        <w:tc>
          <w:tcPr>
            <w:tcW w:w="6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316,811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242,426</w:t>
            </w:r>
          </w:p>
        </w:tc>
        <w:tc>
          <w:tcPr>
            <w:tcW w:w="200" w:type="dxa"/>
            <w:vAlign w:val="bottom"/>
            <w:tcBorders>
              <w:bottom w:val="single" w:sz="8" w:color="CCEEFF"/>
            </w:tcBorders>
          </w:tcPr>
          <w:p>
            <w:pPr>
              <w:spacing w:after="0"/>
              <w:rPr>
                <w:sz w:val="18"/>
                <w:szCs w:val="18"/>
                <w:color w:val="auto"/>
              </w:rPr>
            </w:pPr>
          </w:p>
        </w:tc>
      </w:tr>
      <w:tr>
        <w:trPr>
          <w:trHeight w:val="210"/>
        </w:trPr>
        <w:tc>
          <w:tcPr>
            <w:tcW w:w="6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Operating income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53,964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45,944</w:t>
            </w: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(32,087)</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(16,729)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Interest income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2,908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2,753</w:t>
            </w: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(2,588)</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168</w:t>
            </w:r>
          </w:p>
        </w:tc>
        <w:tc>
          <w:tcPr>
            <w:tcW w:w="200" w:type="dxa"/>
            <w:vAlign w:val="bottom"/>
          </w:tcPr>
          <w:p>
            <w:pPr>
              <w:spacing w:after="0"/>
              <w:rPr>
                <w:sz w:val="18"/>
                <w:szCs w:val="18"/>
                <w:color w:val="auto"/>
              </w:rPr>
            </w:pPr>
          </w:p>
        </w:tc>
      </w:tr>
      <w:tr>
        <w:trPr>
          <w:trHeight w:val="210"/>
        </w:trPr>
        <w:tc>
          <w:tcPr>
            <w:tcW w:w="61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29,548</w:t>
            </w: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(2,209)</w:t>
            </w:r>
          </w:p>
        </w:tc>
      </w:tr>
      <w:tr>
        <w:trPr>
          <w:trHeight w:val="210"/>
        </w:trPr>
        <w:tc>
          <w:tcPr>
            <w:tcW w:w="612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22,670</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27,339</w:t>
            </w: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Net loss attributable to noncontrolling interest in consolidated joint venture</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6,738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7"/>
        </w:trPr>
        <w:tc>
          <w:tcPr>
            <w:tcW w:w="61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available to common stockholders</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Basic income per share available to common stockholders</w:t>
            </w:r>
          </w:p>
        </w:tc>
        <w:tc>
          <w:tcPr>
            <w:tcW w:w="8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00" w:type="dxa"/>
            <w:vAlign w:val="bottom"/>
            <w:shd w:val="clear" w:color="auto" w:fill="CCEEFF"/>
          </w:tcPr>
          <w:p>
            <w:pPr>
              <w:spacing w:after="0"/>
              <w:rPr>
                <w:sz w:val="20"/>
                <w:szCs w:val="20"/>
                <w:color w:val="auto"/>
              </w:rPr>
            </w:pPr>
          </w:p>
        </w:tc>
      </w:tr>
      <w:tr>
        <w:trPr>
          <w:trHeight w:val="210"/>
        </w:trPr>
        <w:tc>
          <w:tcPr>
            <w:tcW w:w="61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Diluted income per share available to common stockholders</w:t>
            </w:r>
          </w:p>
        </w:tc>
        <w:tc>
          <w:tcPr>
            <w:tcW w:w="6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0.57</w:t>
            </w:r>
          </w:p>
        </w:tc>
        <w:tc>
          <w:tcPr>
            <w:tcW w:w="220" w:type="dxa"/>
            <w:vAlign w:val="bottom"/>
            <w:tcBorders>
              <w:top w:val="single" w:sz="8" w:color="CCEEFF"/>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0.53</w:t>
            </w:r>
          </w:p>
        </w:tc>
        <w:tc>
          <w:tcPr>
            <w:tcW w:w="200" w:type="dxa"/>
            <w:vAlign w:val="bottom"/>
            <w:tcBorders>
              <w:top w:val="single" w:sz="8" w:color="CCEEFF"/>
              <w:bottom w:val="single" w:sz="8" w:color="CCEEFF"/>
            </w:tcBorders>
          </w:tcPr>
          <w:p>
            <w:pPr>
              <w:spacing w:after="0"/>
              <w:rPr>
                <w:sz w:val="18"/>
                <w:szCs w:val="18"/>
                <w:color w:val="auto"/>
              </w:rPr>
            </w:pPr>
          </w:p>
        </w:tc>
      </w:tr>
      <w:tr>
        <w:trPr>
          <w:trHeight w:val="216"/>
        </w:trPr>
        <w:tc>
          <w:tcPr>
            <w:tcW w:w="6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23"/>
        </w:trPr>
        <w:tc>
          <w:tcPr>
            <w:tcW w:w="6120" w:type="dxa"/>
            <w:vAlign w:val="bottom"/>
          </w:tcPr>
          <w:p>
            <w:pPr>
              <w:ind w:left="120"/>
              <w:spacing w:after="0"/>
              <w:rPr>
                <w:sz w:val="20"/>
                <w:szCs w:val="20"/>
                <w:color w:val="auto"/>
              </w:rPr>
            </w:pPr>
            <w:r>
              <w:rPr>
                <w:rFonts w:ascii="Arial" w:cs="Arial" w:eastAsia="Arial" w:hAnsi="Arial"/>
                <w:sz w:val="18"/>
                <w:szCs w:val="18"/>
                <w:color w:val="auto"/>
              </w:rPr>
              <w:t>Dividends declared per common share</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0.90</w:t>
            </w:r>
          </w:p>
        </w:tc>
        <w:tc>
          <w:tcPr>
            <w:tcW w:w="220" w:type="dxa"/>
            <w:vAlign w:val="bottom"/>
          </w:tcPr>
          <w:p>
            <w:pPr>
              <w:spacing w:after="0"/>
              <w:rPr>
                <w:sz w:val="19"/>
                <w:szCs w:val="19"/>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0.85</w:t>
            </w:r>
          </w:p>
        </w:tc>
        <w:tc>
          <w:tcPr>
            <w:tcW w:w="200" w:type="dxa"/>
            <w:vAlign w:val="bottom"/>
          </w:tcPr>
          <w:p>
            <w:pPr>
              <w:spacing w:after="0"/>
              <w:rPr>
                <w:sz w:val="19"/>
                <w:szCs w:val="19"/>
                <w:color w:val="auto"/>
              </w:rPr>
            </w:pPr>
          </w:p>
        </w:tc>
      </w:tr>
      <w:tr>
        <w:trPr>
          <w:trHeight w:val="216"/>
        </w:trPr>
        <w:tc>
          <w:tcPr>
            <w:tcW w:w="6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Comprehensive income, net of taxes</w:t>
            </w:r>
          </w:p>
        </w:tc>
        <w:tc>
          <w:tcPr>
            <w:tcW w:w="8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22,779</w:t>
            </w:r>
          </w:p>
        </w:tc>
        <w:tc>
          <w:tcPr>
            <w:tcW w:w="220" w:type="dxa"/>
            <w:vAlign w:val="bottom"/>
          </w:tcPr>
          <w:p>
            <w:pPr>
              <w:spacing w:after="0"/>
              <w:rPr>
                <w:sz w:val="18"/>
                <w:szCs w:val="18"/>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27,417</w:t>
            </w:r>
          </w:p>
        </w:tc>
        <w:tc>
          <w:tcPr>
            <w:tcW w:w="200" w:type="dxa"/>
            <w:vAlign w:val="bottom"/>
          </w:tcPr>
          <w:p>
            <w:pPr>
              <w:spacing w:after="0"/>
              <w:rPr>
                <w:sz w:val="18"/>
                <w:szCs w:val="18"/>
                <w:color w:val="auto"/>
              </w:rPr>
            </w:pP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 net of taxes, attributable to noncontrolling interest</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r>
      <w:tr>
        <w:trPr>
          <w:trHeight w:val="217"/>
        </w:trPr>
        <w:tc>
          <w:tcPr>
            <w:tcW w:w="6120" w:type="dxa"/>
            <w:vAlign w:val="bottom"/>
          </w:tcPr>
          <w:p>
            <w:pPr>
              <w:spacing w:after="0"/>
              <w:rPr>
                <w:sz w:val="20"/>
                <w:szCs w:val="20"/>
                <w:color w:val="auto"/>
              </w:rPr>
            </w:pPr>
            <w:r>
              <w:rPr>
                <w:rFonts w:ascii="Arial" w:cs="Arial" w:eastAsia="Arial" w:hAnsi="Arial"/>
                <w:sz w:val="18"/>
                <w:szCs w:val="18"/>
                <w:color w:val="auto"/>
              </w:rPr>
              <w:t>Comprehensive income, net of taxes, available to common stockholders</w:t>
            </w:r>
          </w:p>
        </w:tc>
        <w:tc>
          <w:tcPr>
            <w:tcW w:w="6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29,517</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27,417</w:t>
            </w:r>
          </w:p>
        </w:tc>
        <w:tc>
          <w:tcPr>
            <w:tcW w:w="20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r>
      <w:tr>
        <w:trPr>
          <w:trHeight w:val="201"/>
        </w:trPr>
        <w:tc>
          <w:tcPr>
            <w:tcW w:w="68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r>
      <w:tr>
        <w:trPr>
          <w:trHeight w:val="142"/>
        </w:trPr>
        <w:tc>
          <w:tcPr>
            <w:tcW w:w="68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0"/>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r>
      <w:tr>
        <w:trPr>
          <w:trHeight w:val="196"/>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6860" w:type="dxa"/>
            <w:vAlign w:val="bottom"/>
          </w:tcPr>
          <w:p>
            <w:pPr>
              <w:ind w:left="120"/>
              <w:spacing w:after="0"/>
              <w:rPr>
                <w:sz w:val="20"/>
                <w:szCs w:val="20"/>
                <w:color w:val="auto"/>
              </w:rPr>
            </w:pPr>
            <w:r>
              <w:rPr>
                <w:rFonts w:ascii="Arial" w:cs="Arial" w:eastAsia="Arial" w:hAnsi="Arial"/>
                <w:sz w:val="16"/>
                <w:szCs w:val="16"/>
                <w:color w:val="auto"/>
              </w:rPr>
              <w:t>Net income</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22,670</w:t>
            </w:r>
          </w:p>
        </w:tc>
        <w:tc>
          <w:tcPr>
            <w:tcW w:w="220" w:type="dxa"/>
            <w:vAlign w:val="bottom"/>
          </w:tcPr>
          <w:p>
            <w:pPr>
              <w:spacing w:after="0"/>
              <w:rPr>
                <w:sz w:val="17"/>
                <w:szCs w:val="17"/>
                <w:color w:val="auto"/>
              </w:rPr>
            </w:pP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27,339</w:t>
            </w:r>
          </w:p>
        </w:tc>
        <w:tc>
          <w:tcPr>
            <w:tcW w:w="220" w:type="dxa"/>
            <w:vAlign w:val="bottom"/>
          </w:tcPr>
          <w:p>
            <w:pPr>
              <w:spacing w:after="0"/>
              <w:rPr>
                <w:sz w:val="17"/>
                <w:szCs w:val="17"/>
                <w:color w:val="auto"/>
              </w:rPr>
            </w:pP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Amounts to reconcile net income to net cash flows provided by operating activities: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6860" w:type="dxa"/>
            <w:vAlign w:val="bottom"/>
          </w:tcPr>
          <w:p>
            <w:pPr>
              <w:ind w:left="220"/>
              <w:spacing w:after="0"/>
              <w:rPr>
                <w:sz w:val="20"/>
                <w:szCs w:val="20"/>
                <w:color w:val="auto"/>
              </w:rPr>
            </w:pPr>
            <w:r>
              <w:rPr>
                <w:rFonts w:ascii="Arial" w:cs="Arial" w:eastAsia="Arial" w:hAnsi="Arial"/>
                <w:sz w:val="16"/>
                <w:szCs w:val="16"/>
                <w:color w:val="auto"/>
              </w:rPr>
              <w:t>Provision (benefit) for deferred income taxes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1,100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1,779</w:t>
            </w:r>
          </w:p>
        </w:tc>
        <w:tc>
          <w:tcPr>
            <w:tcW w:w="220" w:type="dxa"/>
            <w:vAlign w:val="bottom"/>
          </w:tcPr>
          <w:p>
            <w:pPr>
              <w:spacing w:after="0"/>
              <w:rPr>
                <w:sz w:val="17"/>
                <w:szCs w:val="17"/>
                <w:color w:val="auto"/>
              </w:rPr>
            </w:pPr>
          </w:p>
        </w:tc>
      </w:tr>
      <w:tr>
        <w:trPr>
          <w:trHeight w:val="203"/>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53,009</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28,666</w:t>
            </w:r>
          </w:p>
        </w:tc>
        <w:tc>
          <w:tcPr>
            <w:tcW w:w="220" w:type="dxa"/>
            <w:vAlign w:val="bottom"/>
            <w:shd w:val="clear" w:color="auto" w:fill="CCEEFF"/>
          </w:tcPr>
          <w:p>
            <w:pPr>
              <w:spacing w:after="0"/>
              <w:rPr>
                <w:sz w:val="17"/>
                <w:szCs w:val="17"/>
                <w:color w:val="auto"/>
              </w:rPr>
            </w:pPr>
          </w:p>
        </w:tc>
      </w:tr>
      <w:tr>
        <w:trPr>
          <w:trHeight w:val="203"/>
        </w:trPr>
        <w:tc>
          <w:tcPr>
            <w:tcW w:w="686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1,415</w:t>
            </w:r>
          </w:p>
        </w:tc>
        <w:tc>
          <w:tcPr>
            <w:tcW w:w="220" w:type="dxa"/>
            <w:vAlign w:val="bottom"/>
          </w:tcPr>
          <w:p>
            <w:pPr>
              <w:spacing w:after="0"/>
              <w:rPr>
                <w:sz w:val="17"/>
                <w:szCs w:val="17"/>
                <w:color w:val="auto"/>
              </w:rPr>
            </w:pPr>
          </w:p>
        </w:tc>
      </w:tr>
      <w:tr>
        <w:trPr>
          <w:trHeight w:val="203"/>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joint ventures</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2,588</w:t>
            </w:r>
          </w:p>
        </w:tc>
        <w:tc>
          <w:tcPr>
            <w:tcW w:w="220" w:type="dxa"/>
            <w:vAlign w:val="bottom"/>
            <w:shd w:val="clear" w:color="auto" w:fill="CCEEFF"/>
          </w:tcPr>
          <w:p>
            <w:pPr>
              <w:spacing w:after="0"/>
              <w:rPr>
                <w:sz w:val="17"/>
                <w:szCs w:val="17"/>
                <w:color w:val="auto"/>
              </w:rPr>
            </w:pPr>
          </w:p>
        </w:tc>
      </w:tr>
      <w:tr>
        <w:trPr>
          <w:trHeight w:val="203"/>
        </w:trPr>
        <w:tc>
          <w:tcPr>
            <w:tcW w:w="6860" w:type="dxa"/>
            <w:vAlign w:val="bottom"/>
          </w:tcPr>
          <w:p>
            <w:pPr>
              <w:ind w:left="220"/>
              <w:spacing w:after="0"/>
              <w:rPr>
                <w:sz w:val="20"/>
                <w:szCs w:val="20"/>
                <w:color w:val="auto"/>
              </w:rPr>
            </w:pPr>
            <w:r>
              <w:rPr>
                <w:rFonts w:ascii="Arial" w:cs="Arial" w:eastAsia="Arial" w:hAnsi="Arial"/>
                <w:sz w:val="16"/>
                <w:szCs w:val="16"/>
                <w:color w:val="auto"/>
              </w:rPr>
              <w:t>Stock-based compensation expense</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2,026</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1,923</w:t>
            </w:r>
          </w:p>
        </w:tc>
        <w:tc>
          <w:tcPr>
            <w:tcW w:w="220" w:type="dxa"/>
            <w:vAlign w:val="bottom"/>
          </w:tcPr>
          <w:p>
            <w:pPr>
              <w:spacing w:after="0"/>
              <w:rPr>
                <w:sz w:val="17"/>
                <w:szCs w:val="17"/>
                <w:color w:val="auto"/>
              </w:rPr>
            </w:pPr>
          </w:p>
        </w:tc>
      </w:tr>
      <w:tr>
        <w:trPr>
          <w:trHeight w:val="203"/>
        </w:trPr>
        <w:tc>
          <w:tcPr>
            <w:tcW w:w="68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6860" w:type="dxa"/>
            <w:vAlign w:val="bottom"/>
          </w:tcPr>
          <w:p>
            <w:pPr>
              <w:ind w:left="320"/>
              <w:spacing w:after="0"/>
              <w:rPr>
                <w:sz w:val="20"/>
                <w:szCs w:val="20"/>
                <w:color w:val="auto"/>
              </w:rPr>
            </w:pPr>
            <w:r>
              <w:rPr>
                <w:rFonts w:ascii="Arial" w:cs="Arial" w:eastAsia="Arial" w:hAnsi="Arial"/>
                <w:sz w:val="16"/>
                <w:szCs w:val="16"/>
                <w:color w:val="auto"/>
              </w:rPr>
              <w:t>Trade receivables</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(42,050)</w:t>
            </w:r>
          </w:p>
        </w:tc>
        <w:tc>
          <w:tcPr>
            <w:tcW w:w="2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(8,733)</w:t>
            </w:r>
          </w:p>
        </w:tc>
      </w:tr>
      <w:tr>
        <w:trPr>
          <w:trHeight w:val="203"/>
        </w:trPr>
        <w:tc>
          <w:tcPr>
            <w:tcW w:w="68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 and accrued liabilities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17,632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(11,385)</w:t>
            </w:r>
          </w:p>
        </w:tc>
      </w:tr>
      <w:tr>
        <w:trPr>
          <w:trHeight w:val="203"/>
        </w:trPr>
        <w:tc>
          <w:tcPr>
            <w:tcW w:w="6860" w:type="dxa"/>
            <w:vAlign w:val="bottom"/>
          </w:tcPr>
          <w:p>
            <w:pPr>
              <w:ind w:left="320"/>
              <w:spacing w:after="0"/>
              <w:rPr>
                <w:sz w:val="20"/>
                <w:szCs w:val="20"/>
                <w:color w:val="auto"/>
              </w:rPr>
            </w:pPr>
            <w:r>
              <w:rPr>
                <w:rFonts w:ascii="Arial" w:cs="Arial" w:eastAsia="Arial" w:hAnsi="Arial"/>
                <w:sz w:val="16"/>
                <w:szCs w:val="16"/>
                <w:color w:val="auto"/>
              </w:rPr>
              <w:t>Other assets and liabilities</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(1,754)</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336</w:t>
            </w:r>
          </w:p>
        </w:tc>
        <w:tc>
          <w:tcPr>
            <w:tcW w:w="220" w:type="dxa"/>
            <w:vAlign w:val="bottom"/>
          </w:tcPr>
          <w:p>
            <w:pPr>
              <w:spacing w:after="0"/>
              <w:rPr>
                <w:sz w:val="17"/>
                <w:szCs w:val="17"/>
                <w:color w:val="auto"/>
              </w:rPr>
            </w:pPr>
          </w:p>
        </w:tc>
      </w:tr>
      <w:tr>
        <w:trPr>
          <w:trHeight w:val="196"/>
        </w:trPr>
        <w:tc>
          <w:tcPr>
            <w:tcW w:w="68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Net cash flows provided by operating activities</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54,560</w:t>
            </w: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43,928</w:t>
            </w:r>
          </w:p>
        </w:tc>
        <w:tc>
          <w:tcPr>
            <w:tcW w:w="220" w:type="dxa"/>
            <w:vAlign w:val="bottom"/>
            <w:tcBorders>
              <w:top w:val="single" w:sz="8" w:color="CCEEFF"/>
            </w:tcBorders>
            <w:shd w:val="clear" w:color="auto" w:fill="CCEEFF"/>
          </w:tcPr>
          <w:p>
            <w:pPr>
              <w:spacing w:after="0"/>
              <w:rPr>
                <w:sz w:val="17"/>
                <w:szCs w:val="17"/>
                <w:color w:val="auto"/>
              </w:rPr>
            </w:pPr>
          </w:p>
        </w:tc>
      </w:tr>
      <w:tr>
        <w:trPr>
          <w:trHeight w:val="196"/>
        </w:trPr>
        <w:tc>
          <w:tcPr>
            <w:tcW w:w="6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6860" w:type="dxa"/>
            <w:vAlign w:val="bottom"/>
          </w:tcPr>
          <w:p>
            <w:pPr>
              <w:ind w:left="120"/>
              <w:spacing w:after="0"/>
              <w:rPr>
                <w:sz w:val="20"/>
                <w:szCs w:val="20"/>
                <w:color w:val="auto"/>
              </w:rPr>
            </w:pPr>
            <w:r>
              <w:rPr>
                <w:rFonts w:ascii="Arial" w:cs="Arial" w:eastAsia="Arial" w:hAnsi="Arial"/>
                <w:sz w:val="16"/>
                <w:szCs w:val="16"/>
                <w:color w:val="auto"/>
              </w:rPr>
              <w:t>Purchases of property and equipment</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(48,873)</w:t>
            </w:r>
          </w:p>
        </w:tc>
        <w:tc>
          <w:tcPr>
            <w:tcW w:w="2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(47,588)</w:t>
            </w: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investing activities</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(229)</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(4,215)</w:t>
            </w:r>
          </w:p>
        </w:tc>
      </w:tr>
      <w:tr>
        <w:trPr>
          <w:trHeight w:val="196"/>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flows used in investing activities</w:t>
            </w: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(49,102)</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(51,803)</w:t>
            </w:r>
          </w:p>
        </w:tc>
        <w:tc>
          <w:tcPr>
            <w:tcW w:w="220" w:type="dxa"/>
            <w:vAlign w:val="bottom"/>
            <w:tcBorders>
              <w:bottom w:val="single" w:sz="8" w:color="CCEEFF"/>
            </w:tcBorders>
          </w:tcPr>
          <w:p>
            <w:pPr>
              <w:spacing w:after="0"/>
              <w:rPr>
                <w:sz w:val="17"/>
                <w:szCs w:val="17"/>
                <w:color w:val="auto"/>
              </w:rPr>
            </w:pPr>
          </w:p>
        </w:tc>
      </w:tr>
      <w:tr>
        <w:trPr>
          <w:trHeight w:val="196"/>
        </w:trPr>
        <w:tc>
          <w:tcPr>
            <w:tcW w:w="6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Net borrowings under revolving credit facility</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56,500</w:t>
            </w:r>
          </w:p>
        </w:tc>
        <w:tc>
          <w:tcPr>
            <w:tcW w:w="220" w:type="dxa"/>
            <w:vAlign w:val="bottom"/>
            <w:shd w:val="clear" w:color="auto" w:fill="CCEEFF"/>
          </w:tcPr>
          <w:p>
            <w:pPr>
              <w:spacing w:after="0"/>
              <w:rPr>
                <w:sz w:val="17"/>
                <w:szCs w:val="17"/>
                <w:color w:val="auto"/>
              </w:rPr>
            </w:pPr>
          </w:p>
        </w:tc>
      </w:tr>
      <w:tr>
        <w:trPr>
          <w:trHeight w:val="203"/>
        </w:trPr>
        <w:tc>
          <w:tcPr>
            <w:tcW w:w="6860" w:type="dxa"/>
            <w:vAlign w:val="bottom"/>
          </w:tcPr>
          <w:p>
            <w:pPr>
              <w:ind w:left="120"/>
              <w:spacing w:after="0"/>
              <w:rPr>
                <w:sz w:val="20"/>
                <w:szCs w:val="20"/>
                <w:color w:val="auto"/>
              </w:rPr>
            </w:pPr>
            <w:r>
              <w:rPr>
                <w:rFonts w:ascii="Arial" w:cs="Arial" w:eastAsia="Arial" w:hAnsi="Arial"/>
                <w:sz w:val="16"/>
                <w:szCs w:val="16"/>
                <w:color w:val="auto"/>
              </w:rPr>
              <w:t>Borrowings under Gaylord Rockies construction and mezzanine loans</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28,897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 of dividends</w:t>
            </w:r>
          </w:p>
        </w:tc>
        <w:tc>
          <w:tcPr>
            <w:tcW w:w="1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(44,420)</w:t>
            </w: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(41,000)</w:t>
            </w:r>
          </w:p>
        </w:tc>
      </w:tr>
      <w:tr>
        <w:trPr>
          <w:trHeight w:val="203"/>
        </w:trPr>
        <w:tc>
          <w:tcPr>
            <w:tcW w:w="6860" w:type="dxa"/>
            <w:vAlign w:val="bottom"/>
          </w:tcPr>
          <w:p>
            <w:pPr>
              <w:ind w:left="120"/>
              <w:spacing w:after="0"/>
              <w:rPr>
                <w:sz w:val="20"/>
                <w:szCs w:val="20"/>
                <w:color w:val="auto"/>
              </w:rPr>
            </w:pPr>
            <w:r>
              <w:rPr>
                <w:rFonts w:ascii="Arial" w:cs="Arial" w:eastAsia="Arial" w:hAnsi="Arial"/>
                <w:sz w:val="16"/>
                <w:szCs w:val="16"/>
                <w:color w:val="auto"/>
              </w:rPr>
              <w:t>Payment of tax withholdings for share-based compensation</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(3,813)</w:t>
            </w:r>
          </w:p>
        </w:tc>
        <w:tc>
          <w:tcPr>
            <w:tcW w:w="2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6"/>
                <w:szCs w:val="16"/>
                <w:color w:val="auto"/>
              </w:rPr>
              <w:t>(602)</w:t>
            </w: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financing activities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w:t>
            </w:r>
          </w:p>
        </w:tc>
      </w:tr>
      <w:tr>
        <w:trPr>
          <w:trHeight w:val="196"/>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Net cash flows provided by (used in) financing activities</w:t>
            </w:r>
          </w:p>
        </w:tc>
        <w:tc>
          <w:tcPr>
            <w:tcW w:w="18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(7,731)</w:t>
            </w:r>
          </w:p>
        </w:tc>
        <w:tc>
          <w:tcPr>
            <w:tcW w:w="2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14,892</w:t>
            </w:r>
          </w:p>
        </w:tc>
        <w:tc>
          <w:tcPr>
            <w:tcW w:w="220" w:type="dxa"/>
            <w:vAlign w:val="bottom"/>
            <w:tcBorders>
              <w:bottom w:val="single" w:sz="8" w:color="CCEEFF"/>
            </w:tcBorders>
          </w:tcPr>
          <w:p>
            <w:pPr>
              <w:spacing w:after="0"/>
              <w:rPr>
                <w:sz w:val="17"/>
                <w:szCs w:val="17"/>
                <w:color w:val="auto"/>
              </w:rPr>
            </w:pPr>
          </w:p>
        </w:tc>
      </w:tr>
      <w:tr>
        <w:trPr>
          <w:trHeight w:val="196"/>
        </w:trPr>
        <w:tc>
          <w:tcPr>
            <w:tcW w:w="6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Net change in cash, cash equivalents, and restricted cash</w:t>
            </w:r>
          </w:p>
        </w:tc>
        <w:tc>
          <w:tcPr>
            <w:tcW w:w="180" w:type="dxa"/>
            <w:vAlign w:val="bottom"/>
          </w:tcPr>
          <w:p>
            <w:pPr>
              <w:spacing w:after="0"/>
              <w:rPr>
                <w:sz w:val="17"/>
                <w:szCs w:val="17"/>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(2,273)</w:t>
            </w: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7,017</w:t>
            </w:r>
          </w:p>
        </w:tc>
        <w:tc>
          <w:tcPr>
            <w:tcW w:w="220" w:type="dxa"/>
            <w:vAlign w:val="bottom"/>
          </w:tcPr>
          <w:p>
            <w:pPr>
              <w:spacing w:after="0"/>
              <w:rPr>
                <w:sz w:val="17"/>
                <w:szCs w:val="17"/>
                <w:color w:val="auto"/>
              </w:rPr>
            </w:pPr>
          </w:p>
        </w:tc>
      </w:tr>
      <w:tr>
        <w:trPr>
          <w:trHeight w:val="203"/>
        </w:trPr>
        <w:tc>
          <w:tcPr>
            <w:tcW w:w="6860" w:type="dxa"/>
            <w:vAlign w:val="bottom"/>
            <w:shd w:val="clear" w:color="auto" w:fill="CCEEFF"/>
          </w:tcPr>
          <w:p>
            <w:pPr>
              <w:spacing w:after="0"/>
              <w:rPr>
                <w:sz w:val="20"/>
                <w:szCs w:val="20"/>
                <w:color w:val="auto"/>
              </w:rPr>
            </w:pPr>
            <w:r>
              <w:rPr>
                <w:rFonts w:ascii="Arial" w:cs="Arial" w:eastAsia="Arial" w:hAnsi="Arial"/>
                <w:sz w:val="16"/>
                <w:szCs w:val="16"/>
                <w:color w:val="auto"/>
              </w:rPr>
              <w:t>Cash, cash equivalents, and restricted cash, beginning of period</w:t>
            </w: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149,089</w:t>
            </w:r>
          </w:p>
        </w:tc>
        <w:tc>
          <w:tcPr>
            <w:tcW w:w="22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78,710</w:t>
            </w:r>
          </w:p>
        </w:tc>
        <w:tc>
          <w:tcPr>
            <w:tcW w:w="220" w:type="dxa"/>
            <w:vAlign w:val="bottom"/>
            <w:shd w:val="clear" w:color="auto" w:fill="CCEEFF"/>
          </w:tcPr>
          <w:p>
            <w:pPr>
              <w:spacing w:after="0"/>
              <w:rPr>
                <w:sz w:val="17"/>
                <w:szCs w:val="17"/>
                <w:color w:val="auto"/>
              </w:rPr>
            </w:pPr>
          </w:p>
        </w:tc>
      </w:tr>
      <w:tr>
        <w:trPr>
          <w:trHeight w:val="203"/>
        </w:trPr>
        <w:tc>
          <w:tcPr>
            <w:tcW w:w="68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cash equivalents, and restricted cash, end of period</w:t>
            </w:r>
          </w:p>
        </w:tc>
        <w:tc>
          <w:tcPr>
            <w:tcW w:w="18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146,816</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85,727</w:t>
            </w:r>
          </w:p>
        </w:tc>
        <w:tc>
          <w:tcPr>
            <w:tcW w:w="220" w:type="dxa"/>
            <w:vAlign w:val="bottom"/>
            <w:tcBorders>
              <w:bottom w:val="single" w:sz="8" w:color="CCEEFF"/>
            </w:tcBorders>
          </w:tcPr>
          <w:p>
            <w:pPr>
              <w:spacing w:after="0"/>
              <w:rPr>
                <w:sz w:val="17"/>
                <w:szCs w:val="17"/>
                <w:color w:val="auto"/>
              </w:rPr>
            </w:pPr>
          </w:p>
        </w:tc>
      </w:tr>
      <w:tr>
        <w:trPr>
          <w:trHeight w:val="203"/>
        </w:trPr>
        <w:tc>
          <w:tcPr>
            <w:tcW w:w="6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6860" w:type="dxa"/>
            <w:vAlign w:val="bottom"/>
          </w:tcPr>
          <w:p>
            <w:pPr>
              <w:spacing w:after="0"/>
              <w:rPr>
                <w:sz w:val="20"/>
                <w:szCs w:val="20"/>
                <w:color w:val="auto"/>
              </w:rPr>
            </w:pPr>
            <w:r>
              <w:rPr>
                <w:rFonts w:ascii="Arial" w:cs="Arial" w:eastAsia="Arial" w:hAnsi="Arial"/>
                <w:sz w:val="16"/>
                <w:szCs w:val="16"/>
                <w:color w:val="auto"/>
              </w:rPr>
              <w:t>Reconciliation of cash, cash equivalents, and restricted cash to balance sheet:</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68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and cash equivalents - unrestricted</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94,873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59,040</w:t>
            </w:r>
          </w:p>
        </w:tc>
        <w:tc>
          <w:tcPr>
            <w:tcW w:w="220" w:type="dxa"/>
            <w:vAlign w:val="bottom"/>
            <w:shd w:val="clear" w:color="auto" w:fill="CCEEFF"/>
          </w:tcPr>
          <w:p>
            <w:pPr>
              <w:spacing w:after="0"/>
              <w:rPr>
                <w:sz w:val="17"/>
                <w:szCs w:val="17"/>
                <w:color w:val="auto"/>
              </w:rPr>
            </w:pPr>
          </w:p>
        </w:tc>
      </w:tr>
      <w:tr>
        <w:trPr>
          <w:trHeight w:val="203"/>
        </w:trPr>
        <w:tc>
          <w:tcPr>
            <w:tcW w:w="68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Cash and cash equivalents - restricted</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51,943</w:t>
            </w:r>
          </w:p>
        </w:tc>
        <w:tc>
          <w:tcPr>
            <w:tcW w:w="2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26,687</w:t>
            </w:r>
          </w:p>
        </w:tc>
        <w:tc>
          <w:tcPr>
            <w:tcW w:w="220" w:type="dxa"/>
            <w:vAlign w:val="bottom"/>
            <w:tcBorders>
              <w:bottom w:val="single" w:sz="8" w:color="CCEEFF"/>
            </w:tcBorders>
          </w:tcPr>
          <w:p>
            <w:pPr>
              <w:spacing w:after="0"/>
              <w:rPr>
                <w:sz w:val="17"/>
                <w:szCs w:val="17"/>
                <w:color w:val="auto"/>
              </w:rPr>
            </w:pPr>
          </w:p>
        </w:tc>
      </w:tr>
      <w:tr>
        <w:trPr>
          <w:trHeight w:val="203"/>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cash equivalents, and restricted cash, end of period</w:t>
            </w: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146,816</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85,727</w:t>
            </w:r>
          </w:p>
        </w:tc>
        <w:tc>
          <w:tcPr>
            <w:tcW w:w="220" w:type="dxa"/>
            <w:vAlign w:val="bottom"/>
            <w:tcBorders>
              <w:bottom w:val="single" w:sz="8" w:color="CCEEFF"/>
            </w:tcBorders>
            <w:shd w:val="clear" w:color="auto" w:fill="CCEEFF"/>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RYMAN HOSPITALITY PROPERTIES,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2"/>
                <w:szCs w:val="12"/>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Noncontrolling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Stockholders'</w:t>
            </w:r>
          </w:p>
        </w:tc>
        <w:tc>
          <w:tcPr>
            <w:tcW w:w="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1"/>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Equity</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31"/>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BALANCE,</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$ 896,759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(13,253)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(479,170)</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(26,692)</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378,156</w:t>
            </w:r>
          </w:p>
        </w:tc>
        <w:tc>
          <w:tcPr>
            <w:tcW w:w="140" w:type="dxa"/>
            <w:vAlign w:val="bottom"/>
            <w:shd w:val="clear" w:color="auto" w:fill="CCEEFF"/>
          </w:tcPr>
          <w:p>
            <w:pPr>
              <w:spacing w:after="0"/>
              <w:rPr>
                <w:sz w:val="20"/>
                <w:szCs w:val="20"/>
                <w:color w:val="auto"/>
              </w:rPr>
            </w:pPr>
          </w:p>
        </w:tc>
        <w:tc>
          <w:tcPr>
            <w:tcW w:w="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27,339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27,339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Transition adjustment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related to adoption of ASU</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2014-09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ind w:left="100"/>
              <w:spacing w:after="0" w:line="201" w:lineRule="exact"/>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income, net of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 of dividend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(43,461)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ind w:left="100"/>
              <w:spacing w:after="0" w:line="201" w:lineRule="exact"/>
              <w:rPr>
                <w:sz w:val="20"/>
                <w:szCs w:val="20"/>
                <w:color w:val="auto"/>
              </w:rPr>
            </w:pPr>
            <w:r>
              <w:rPr>
                <w:rFonts w:ascii="Arial" w:cs="Arial" w:eastAsia="Arial" w:hAnsi="Arial"/>
                <w:sz w:val="18"/>
                <w:szCs w:val="18"/>
                <w:color w:val="auto"/>
                <w:w w:val="98"/>
              </w:rPr>
              <w:t>Restricted stock units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stock options surrendered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(3,692)</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(3,691)</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Stock-based compensation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180" w:type="dxa"/>
            <w:vAlign w:val="bottom"/>
            <w:gridSpan w:val="2"/>
          </w:tcPr>
          <w:p>
            <w:pPr>
              <w:spacing w:after="0"/>
              <w:rPr>
                <w:sz w:val="20"/>
                <w:szCs w:val="20"/>
                <w:color w:val="auto"/>
              </w:rPr>
            </w:pPr>
            <w:r>
              <w:rPr>
                <w:rFonts w:ascii="Arial" w:cs="Arial" w:eastAsia="Arial" w:hAnsi="Arial"/>
                <w:sz w:val="18"/>
                <w:szCs w:val="18"/>
                <w:color w:val="auto"/>
                <w:w w:val="98"/>
              </w:rPr>
              <w:t>BALANCE, March 31, 2018</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16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$ 895,157</w:t>
            </w:r>
          </w:p>
        </w:tc>
        <w:tc>
          <w:tcPr>
            <w:tcW w:w="14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 (13,707)</w:t>
            </w:r>
          </w:p>
        </w:tc>
        <w:tc>
          <w:tcPr>
            <w:tcW w:w="14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1"/>
              </w:rPr>
              <w:t>$ (495,426)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359,923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60" w:type="dxa"/>
            <w:vAlign w:val="bottom"/>
          </w:tcPr>
          <w:p>
            <w:pPr>
              <w:spacing w:after="0" w:line="201" w:lineRule="exact"/>
              <w:rPr>
                <w:sz w:val="20"/>
                <w:szCs w:val="20"/>
                <w:color w:val="auto"/>
              </w:rPr>
            </w:pPr>
            <w:r>
              <w:rPr>
                <w:rFonts w:ascii="Arial" w:cs="Arial" w:eastAsia="Arial" w:hAnsi="Arial"/>
                <w:sz w:val="18"/>
                <w:szCs w:val="18"/>
                <w:color w:val="auto"/>
              </w:rPr>
              <w:t>BALANCE,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December 31, 2018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$ 900,795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 (15,183)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(388,524)</w:t>
            </w:r>
          </w:p>
        </w:tc>
        <w:tc>
          <w:tcPr>
            <w:tcW w:w="80" w:type="dxa"/>
            <w:vAlign w:val="bottom"/>
          </w:tcPr>
          <w:p>
            <w:pPr>
              <w:spacing w:after="0"/>
              <w:rPr>
                <w:sz w:val="20"/>
                <w:szCs w:val="20"/>
                <w:color w:val="auto"/>
              </w:rPr>
            </w:pPr>
          </w:p>
        </w:tc>
        <w:tc>
          <w:tcPr>
            <w:tcW w:w="2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(28,024)</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469,577</w:t>
            </w:r>
          </w:p>
        </w:tc>
        <w:tc>
          <w:tcPr>
            <w:tcW w:w="140" w:type="dxa"/>
            <w:vAlign w:val="bottom"/>
          </w:tcPr>
          <w:p>
            <w:pPr>
              <w:spacing w:after="0"/>
              <w:rPr>
                <w:sz w:val="20"/>
                <w:szCs w:val="20"/>
                <w:color w:val="auto"/>
              </w:rPr>
            </w:pP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287,433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ind w:left="100"/>
              <w:spacing w:after="0" w:line="201" w:lineRule="exact"/>
              <w:rPr>
                <w:sz w:val="20"/>
                <w:szCs w:val="20"/>
                <w:color w:val="auto"/>
              </w:rPr>
            </w:pPr>
            <w:r>
              <w:rPr>
                <w:rFonts w:ascii="Arial" w:cs="Arial" w:eastAsia="Arial" w:hAnsi="Arial"/>
                <w:sz w:val="18"/>
                <w:szCs w:val="18"/>
                <w:color w:val="auto"/>
              </w:rPr>
              <w:t>Adjustment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noncontrolling interest to</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redemption value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80"/>
              <w:spacing w:after="0"/>
              <w:rPr>
                <w:sz w:val="20"/>
                <w:szCs w:val="20"/>
                <w:color w:val="auto"/>
              </w:rPr>
            </w:pPr>
            <w:r>
              <w:rPr>
                <w:rFonts w:ascii="Arial" w:cs="Arial" w:eastAsia="Arial" w:hAnsi="Arial"/>
                <w:sz w:val="18"/>
                <w:szCs w:val="18"/>
                <w:color w:val="auto"/>
              </w:rPr>
              <w:t>(10,420)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(10,420)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Transition adjustment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6"/>
              </w:rPr>
              <w:t>related to adoption of ASU</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2018-02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ind w:left="100"/>
              <w:spacing w:after="0" w:line="201" w:lineRule="exact"/>
              <w:rPr>
                <w:sz w:val="20"/>
                <w:szCs w:val="20"/>
                <w:color w:val="auto"/>
              </w:rPr>
            </w:pPr>
            <w:r>
              <w:rPr>
                <w:rFonts w:ascii="Arial" w:cs="Arial" w:eastAsia="Arial" w:hAnsi="Arial"/>
                <w:sz w:val="18"/>
                <w:szCs w:val="18"/>
                <w:color w:val="auto"/>
              </w:rPr>
              <w:t>Other comprehensive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income, net of income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 of dividend</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(46,076)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tcPr>
          <w:p>
            <w:pPr>
              <w:ind w:left="100"/>
              <w:spacing w:after="0" w:line="201" w:lineRule="exact"/>
              <w:rPr>
                <w:sz w:val="20"/>
                <w:szCs w:val="20"/>
                <w:color w:val="auto"/>
              </w:rPr>
            </w:pPr>
            <w:r>
              <w:rPr>
                <w:rFonts w:ascii="Arial" w:cs="Arial" w:eastAsia="Arial" w:hAnsi="Arial"/>
                <w:sz w:val="18"/>
                <w:szCs w:val="18"/>
                <w:color w:val="auto"/>
                <w:w w:val="98"/>
              </w:rPr>
              <w:t>Restricted stock units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100"/>
              <w:spacing w:after="0"/>
              <w:rPr>
                <w:sz w:val="20"/>
                <w:szCs w:val="20"/>
                <w:color w:val="auto"/>
              </w:rPr>
            </w:pPr>
            <w:r>
              <w:rPr>
                <w:rFonts w:ascii="Arial" w:cs="Arial" w:eastAsia="Arial" w:hAnsi="Arial"/>
                <w:sz w:val="18"/>
                <w:szCs w:val="18"/>
                <w:color w:val="auto"/>
                <w:w w:val="98"/>
              </w:rPr>
              <w:t>stock options surrendered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(3,825)</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(3,824)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3"/>
              </w:rPr>
              <w:t>Stock-based compensation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180" w:type="dxa"/>
            <w:vAlign w:val="bottom"/>
            <w:gridSpan w:val="2"/>
          </w:tcPr>
          <w:p>
            <w:pPr>
              <w:spacing w:after="0"/>
              <w:rPr>
                <w:sz w:val="20"/>
                <w:szCs w:val="20"/>
                <w:color w:val="auto"/>
              </w:rPr>
            </w:pPr>
            <w:r>
              <w:rPr>
                <w:rFonts w:ascii="Arial" w:cs="Arial" w:eastAsia="Arial" w:hAnsi="Arial"/>
                <w:sz w:val="18"/>
                <w:szCs w:val="18"/>
                <w:color w:val="auto"/>
                <w:w w:val="98"/>
              </w:rPr>
              <w:t>BALANCE, March 31, 2019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$ 899,164</w:t>
            </w:r>
          </w:p>
        </w:tc>
        <w:tc>
          <w:tcPr>
            <w:tcW w:w="14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(15,687)</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(412,905)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440,464</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291,115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NOTES TO CONDENSED CONSOLIDATED FINANCIAL STATEMENTS (UNAUDITED)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On January 1, 2013, Ryman Hospitality Properties, Inc. (“Ryman”) and its subsidiaries (collectively with Ryman,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began operating as a real estate investment trust (“REIT”) for federal income tax purposes, specializing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group-oriented, destination hotel assets in urban and resort markets. The Company’s owned assets include a network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upscale, meetings-focused resorts that are managed by Marriott International, Inc. (“Marriott”) under the Gaylord Hotels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brand. These resorts, which the Company refers to as the Gaylord Hotels properties, consist of the Gaylord Opryland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Resort &amp; Convention Center in Nashville, Tennessee (“Gaylord Opryland”), the Gaylord Palms Resort &amp; Convention Center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near Orlando, Florida (“Gaylord Palms”), the Gaylord Texan Resort &amp; Convention Center near Dallas, Texas (“Gaylord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Texan”) and the Gaylord National Resort &amp; Convention Center near Washington D.C. (“Gaylord National”).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owned hotel assets managed by Marriott include the Inn at Opryland, an overflow hotel adjacent to Gaylord Opryland,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the AC Hotel at National Harbor, Washington D.C. (“AC Hotel”), an overflow hotel adjacent to Gaylord National.</w:t>
      </w:r>
    </w:p>
    <w:p>
      <w:pPr>
        <w:spacing w:after="0" w:line="195"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The Company also owns a 61.2% interest in a joint venture (the “Gaylord Rockies joint venture”) that owns the Gaylord Rockies Resort &amp; Convention Center near Denver, Colorado (“Gaylord Rockies”), which opened in December 2018 and is managed by Marriott. As further discussed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2018, management has concluded that the Company is the primary beneficiary of this variable interest entity. As such, the Company has consolidated the assets, liabilities and results of operations of the Gaylord Rockies joint venture in the accompanying condensed consolidated financial statements. The portion of the joint venture that the Company does not own is recorded as noncontrolling interest in consolidated joint venture in the accompanying condensed consolidated balance sheet, and any adjustment necessary to reflect the noncontrolling interest at its redemption value is shown in the accompanying condensed consolidated statement of stockholders’ equity. Creditors of the Gaylord Rockies joint venture have no recourse to the general credit of the Company, except as discussed in Note 13, “Commitments and Contingencies,” to the condensed consolidated financial statements included herein.</w:t>
      </w:r>
    </w:p>
    <w:p>
      <w:pPr>
        <w:spacing w:after="0" w:line="16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Company also owns a number of media and entertainment assets, including the Grand Ole Opry, the legendary weekly showcase of country music’s finest performers; the Ryman Auditorium, the storied live music venue and former home of the Grand Ole Opry; WSM-AM, the Opry’s radio home; Ole Red, a brand of Blake Shelton-themed bar, music venue and event spaces, with a flagship location in Nashville that opened in May 2018; and three Nashville-based assets managed by Marriott – Gaylord Springs Golf Links, the Wildhorse Saloon, and the General Jackson Showboat.</w:t>
      </w:r>
    </w:p>
    <w:p>
      <w:pPr>
        <w:spacing w:after="0" w:line="132" w:lineRule="exact"/>
        <w:rPr>
          <w:sz w:val="20"/>
          <w:szCs w:val="20"/>
          <w:color w:val="auto"/>
        </w:rPr>
      </w:pPr>
    </w:p>
    <w:p>
      <w:pPr>
        <w:ind w:right="20"/>
        <w:spacing w:after="0" w:line="218" w:lineRule="exact"/>
        <w:rPr>
          <w:sz w:val="20"/>
          <w:szCs w:val="20"/>
          <w:color w:val="auto"/>
        </w:rPr>
      </w:pPr>
      <w:r>
        <w:rPr>
          <w:rFonts w:ascii="Arial" w:cs="Arial" w:eastAsia="Arial" w:hAnsi="Arial"/>
          <w:sz w:val="17"/>
          <w:szCs w:val="17"/>
          <w:color w:val="auto"/>
        </w:rPr>
        <w:t>The condensed consolidated financial statements include the accounts of Ryman and its subsidiaries and have been prepared by the Company, without audit, pursuant to the rules and regulations of the Securities and Exchange Commission (the “SEC”). Certain information and footnote disclosures normally included in annual financial statements prepared in accordance with generally accepted accounting principles have been condensed or omitted from this report pursuant to such rules and regulations. These condensed consolidated financial statements should be read in conjunction with the audited consolidated financial statements and the notes thereto included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2018. In the opinion of management, all adjustments necessary for a fair statement of the results of operations for the interim periods have been included. All adjustments are of a normal, recurring nature. The results of operations for such interim periods are not necessarily indicative of the results for the full year because of seasonal and short-term variations.</w:t>
      </w:r>
    </w:p>
    <w:p>
      <w:pPr>
        <w:spacing w:after="0" w:line="175"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principally operates, through its subsidiaries and its property managers, as applicable, in the following business segments: Hospitality, Entertainment, and Corporate and Other.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Newly Issued Accounting Standards</w:t>
      </w:r>
    </w:p>
    <w:p>
      <w:pPr>
        <w:spacing w:after="0" w:line="185" w:lineRule="exact"/>
        <w:rPr>
          <w:sz w:val="20"/>
          <w:szCs w:val="20"/>
          <w:color w:val="auto"/>
        </w:rPr>
      </w:pPr>
    </w:p>
    <w:p>
      <w:pPr>
        <w:ind w:right="400"/>
        <w:spacing w:after="0" w:line="221" w:lineRule="exact"/>
        <w:rPr>
          <w:sz w:val="20"/>
          <w:szCs w:val="20"/>
          <w:color w:val="auto"/>
        </w:rPr>
      </w:pPr>
      <w:r>
        <w:rPr>
          <w:rFonts w:ascii="Arial" w:cs="Arial" w:eastAsia="Arial" w:hAnsi="Arial"/>
          <w:sz w:val="16"/>
          <w:szCs w:val="16"/>
          <w:color w:val="auto"/>
        </w:rPr>
        <w:t>In February 2016, the Financial Accounting Standards Board (“FASB”) issued Accounting Standards Update (“ASU”) No. 2016</w:t>
      </w:r>
      <w:r>
        <w:rPr>
          <w:rFonts w:ascii="MS PGothic" w:cs="MS PGothic" w:eastAsia="MS PGothic" w:hAnsi="MS PGothic"/>
          <w:sz w:val="16"/>
          <w:szCs w:val="16"/>
          <w:color w:val="auto"/>
        </w:rPr>
        <w:t>‑</w:t>
      </w:r>
      <w:r>
        <w:rPr>
          <w:rFonts w:ascii="Arial" w:cs="Arial" w:eastAsia="Arial" w:hAnsi="Arial"/>
          <w:sz w:val="16"/>
          <w:szCs w:val="16"/>
          <w:color w:val="auto"/>
        </w:rPr>
        <w:t>02, “</w:t>
      </w:r>
      <w:r>
        <w:rPr>
          <w:rFonts w:ascii="Arial" w:cs="Arial" w:eastAsia="Arial" w:hAnsi="Arial"/>
          <w:sz w:val="16"/>
          <w:szCs w:val="16"/>
          <w:i w:val="1"/>
          <w:iCs w:val="1"/>
          <w:color w:val="auto"/>
        </w:rPr>
        <w:t>Leases</w:t>
      </w:r>
      <w:r>
        <w:rPr>
          <w:rFonts w:ascii="Arial" w:cs="Arial" w:eastAsia="Arial" w:hAnsi="Arial"/>
          <w:sz w:val="16"/>
          <w:szCs w:val="16"/>
          <w:color w:val="auto"/>
        </w:rPr>
        <w:t>,” that requires lessees to record most leases on their balance sheet but recognize expenses on their income statements in a manner similar to previous accounting. The ASU also eliminates the required use of bright-line</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tests for determining lease classification. The Company adopted this standard as of January 1, 2019 using the modified retrospective approach. Existing leases were recorded at the adoption date and comparative periods were not restated and are presented based on previously existing guidance. The Company also adopted several practical expedients, which allowed the Company to avoid reassessing (i) whether an expired or existing contract meets the definition of a lease; (ii) the lease classification at the adoption date for existing leases; and (iii) whether costs previously capitalized as initial direct costs would continue to be amortized. In addition, the Company elected to adopt a practical expedient that allows the Company to avoid reassessing existing or expired land easements that were not previously accounted for as a lease, as well as a practical expedient that allows the Company to avoid separating nonlease components from lease components and instead to account for each separate lease component and related nonlease component as a single lease component. As permitted, the Company has elected to not apply the recognition requirements of this ASU to short-term leases. Adoption of the new standard resulted in the recording of right-of-use assets and lease liabilities of $100.9 million as of January 1, 2019. However, after consideration of the Company’s previous straight-line lease liability of $100.1 million, as discussed more fully in the Company’s 2018 Annual Report on Form 10-K, the Company recorded $0.8 million in net right-of-use assets related to its operating leases as of January 1, 2019, which are recorded in prepaid expenses and other assets in the accompanying condensed consolidated financial statements. See Note 5 and Note 9 for additional disclosures regarding the Company’s leases.</w:t>
      </w:r>
    </w:p>
    <w:p>
      <w:pPr>
        <w:spacing w:after="0" w:line="140" w:lineRule="exact"/>
        <w:rPr>
          <w:sz w:val="20"/>
          <w:szCs w:val="20"/>
          <w:color w:val="auto"/>
        </w:rPr>
      </w:pPr>
    </w:p>
    <w:p>
      <w:pPr>
        <w:spacing w:after="0" w:line="217" w:lineRule="exact"/>
        <w:rPr>
          <w:sz w:val="20"/>
          <w:szCs w:val="20"/>
          <w:color w:val="auto"/>
        </w:rPr>
      </w:pPr>
      <w:r>
        <w:rPr>
          <w:rFonts w:ascii="Arial" w:cs="Arial" w:eastAsia="Arial" w:hAnsi="Arial"/>
          <w:sz w:val="16"/>
          <w:szCs w:val="16"/>
          <w:color w:val="auto"/>
        </w:rPr>
        <w:t>In June 2016, the FASB issued ASU No. 2016</w:t>
      </w:r>
      <w:r>
        <w:rPr>
          <w:rFonts w:ascii="MS PGothic" w:cs="MS PGothic" w:eastAsia="MS PGothic" w:hAnsi="MS PGothic"/>
          <w:sz w:val="16"/>
          <w:szCs w:val="16"/>
          <w:color w:val="auto"/>
        </w:rPr>
        <w:t>‑</w:t>
      </w:r>
      <w:r>
        <w:rPr>
          <w:rFonts w:ascii="Arial" w:cs="Arial" w:eastAsia="Arial" w:hAnsi="Arial"/>
          <w:sz w:val="16"/>
          <w:szCs w:val="16"/>
          <w:color w:val="auto"/>
        </w:rPr>
        <w:t>13, “</w:t>
      </w:r>
      <w:r>
        <w:rPr>
          <w:rFonts w:ascii="Arial" w:cs="Arial" w:eastAsia="Arial" w:hAnsi="Arial"/>
          <w:sz w:val="16"/>
          <w:szCs w:val="16"/>
          <w:i w:val="1"/>
          <w:iCs w:val="1"/>
          <w:color w:val="auto"/>
        </w:rPr>
        <w:t>Financial Instruments – Credit Losses – Measurement of Credit Losses</w:t>
      </w:r>
      <w:r>
        <w:rPr>
          <w:rFonts w:ascii="Arial" w:cs="Arial" w:eastAsia="Arial" w:hAnsi="Arial"/>
          <w:sz w:val="16"/>
          <w:szCs w:val="16"/>
          <w:color w:val="auto"/>
        </w:rPr>
        <w:t xml:space="preserve"> </w:t>
      </w:r>
      <w:r>
        <w:rPr>
          <w:rFonts w:ascii="Arial" w:cs="Arial" w:eastAsia="Arial" w:hAnsi="Arial"/>
          <w:sz w:val="16"/>
          <w:szCs w:val="16"/>
          <w:i w:val="1"/>
          <w:iCs w:val="1"/>
          <w:color w:val="auto"/>
        </w:rPr>
        <w:t>on Financial Instruments</w:t>
      </w:r>
      <w:r>
        <w:rPr>
          <w:rFonts w:ascii="Arial" w:cs="Arial" w:eastAsia="Arial" w:hAnsi="Arial"/>
          <w:sz w:val="16"/>
          <w:szCs w:val="16"/>
          <w:color w:val="auto"/>
        </w:rPr>
        <w:t>,” which will change how entities measure credit losses for most financial assets and certain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that are not measured at fair value through net income. The ASU will replace the current “incurred loss” approach with an “expected loss” model for instruments measured at amortized cost. For trade and other receivables, held-to-maturity debt securities, loans and other instruments, entities will be required to use a new forward-looking “expected loss” model that generally will result in the earlier recognition of allowances for losses. An entity will apply these amendments with a modified-retrospective approach, with a cumulative-effect adjustment to retained earnings as of the beginning of the period of adoption. For debt securities for which an other-than-temporary impairment has been previously recognized, a prospective transition approach is required. The ASU is effective for the Company in the first quarter of 2020. The Company is currently evaluating the effects of this ASU on its financial statements, and such effects have not yet been determined.</w:t>
      </w:r>
    </w:p>
    <w:p>
      <w:pPr>
        <w:spacing w:after="0" w:line="180"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In February 2018, the FASB issued ASU No. 2018-02,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xml:space="preserve"> </w:t>
      </w:r>
      <w:r>
        <w:rPr>
          <w:rFonts w:ascii="Arial" w:cs="Arial" w:eastAsia="Arial" w:hAnsi="Arial"/>
          <w:sz w:val="16"/>
          <w:szCs w:val="16"/>
          <w:i w:val="1"/>
          <w:iCs w:val="1"/>
          <w:color w:val="auto"/>
        </w:rPr>
        <w:t>Reclassification of Certain Tax Effects from Accumulated Other Comprehensive Income</w:t>
      </w:r>
      <w:r>
        <w:rPr>
          <w:rFonts w:ascii="Arial" w:cs="Arial" w:eastAsia="Arial" w:hAnsi="Arial"/>
          <w:sz w:val="16"/>
          <w:szCs w:val="16"/>
          <w:color w:val="auto"/>
        </w:rPr>
        <w:t>,” which gives entities the option to</w:t>
      </w:r>
      <w:r>
        <w:rPr>
          <w:rFonts w:ascii="Arial" w:cs="Arial" w:eastAsia="Arial" w:hAnsi="Arial"/>
          <w:sz w:val="16"/>
          <w:szCs w:val="16"/>
          <w:i w:val="1"/>
          <w:iCs w:val="1"/>
          <w:color w:val="auto"/>
        </w:rPr>
        <w:t xml:space="preserve"> </w:t>
      </w:r>
      <w:r>
        <w:rPr>
          <w:rFonts w:ascii="Arial" w:cs="Arial" w:eastAsia="Arial" w:hAnsi="Arial"/>
          <w:sz w:val="16"/>
          <w:szCs w:val="16"/>
          <w:color w:val="auto"/>
        </w:rPr>
        <w:t>reclassify to retained earnings tax effects related to items that have been stranded in accumulated other comprehensive income as a result of the Tax Cuts and Jobs Act (“TCJA”). An entity that elects to reclassify these amounts must reclassify stranded tax effects related to the TCJA’s change in US federal tax rate for all items accounted for in other comprehensive income. These entities can also elect to reclassify other stranded effects that relate to the TCJA but do not directly relate to the change in the federal tax rate. The Company adopted this ASU in the first quarter of 2019, and the Company recorded a transition adjustment of $2.7 million, which is reflected as a reclassification from accumulated other comprehensive loss to accumulated deficit in the accompanying condensed consolidated financial statements.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REVENUES:</w:t>
      </w:r>
    </w:p>
    <w:p>
      <w:pPr>
        <w:spacing w:after="0" w:line="18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Revenues from occupied hotel rooms are recognized over time as the daily hotel stay is provided to hotel groups and guests. Revenues from concessions, food and beverage sales, and group meeting services are recognized over the period or at the point in time those goods or services are delivered to the hotel group or guest. Revenues from ancillary services at the Company’s hotels, such as spa, parking, and transportation services, are generally recognized at the time the goods or services are provided. Cancellation fees and attrition fees, which are charged to groups when they do not fulfill the minimum number of room nights or minimum food and beverage spending requirements originally contracted for, are generally recognized as revenue in the period the Company determines it is probable that a significant reversal in the amount of revenue recognized will not occur, which is typically the period these fees are collected. The Company generally recognizes revenues from the Entertainment segment at the point in time that services are provided or goods are delivered or shipped to the customer, as applicable. Almost all of the Company’s revenues are either cash-based or, for meeting and convention groups who meet the Company’s credit criteria, billed and collected on a short-term receivables basis. The Company is required to collect certain taxes from customers on behalf of government agencies and remit these to the applicable governmental entity on a periodic basis. These taxes are collected from customers at the</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39"/>
        <w:spacing w:after="0" w:line="308" w:lineRule="auto"/>
        <w:rPr>
          <w:sz w:val="20"/>
          <w:szCs w:val="20"/>
          <w:color w:val="auto"/>
        </w:rPr>
      </w:pPr>
      <w:r>
        <w:rPr>
          <w:rFonts w:ascii="Arial" w:cs="Arial" w:eastAsia="Arial" w:hAnsi="Arial"/>
          <w:sz w:val="17"/>
          <w:szCs w:val="17"/>
          <w:color w:val="auto"/>
        </w:rPr>
        <w:t>time of purchase but are not included in revenue. The Company records a liability upon collection of such taxes from the customer and relieves the liability when payments are remitted to the applicable governmental agency.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revenues disaggregated by major source are as follows (in thousands):</w:t>
      </w:r>
    </w:p>
    <w:p>
      <w:pPr>
        <w:spacing w:after="0" w:line="203"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Three Months Ended</w:t>
      </w:r>
    </w:p>
    <w:p>
      <w:pPr>
        <w:ind w:left="69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40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Hotel group rooms</w:t>
            </w:r>
          </w:p>
        </w:tc>
        <w:tc>
          <w:tcPr>
            <w:tcW w:w="14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$ 102,692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83,217</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Hotel transient rooms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29,520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24,347</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Hotel food and beverage - banquets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126,196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96,268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Hotel food and beverage - outlets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44,947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36,671</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Hotel other</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34,155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24,608</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Entertainment admissions/ticketing</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13,623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10,860</w:t>
            </w: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Entertainment food and beverage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12,039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6,581</w:t>
            </w: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Entertainment retail and other</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7,603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5,818</w:t>
            </w:r>
          </w:p>
        </w:tc>
      </w:tr>
      <w:tr>
        <w:trPr>
          <w:trHeight w:val="217"/>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$ 370,775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288,370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Company’s Hospitality segment revenues disaggregated by location are as follows (in thousands):</w:t>
      </w:r>
    </w:p>
    <w:p>
      <w:pPr>
        <w:spacing w:after="0" w:line="190"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Three Months Ended</w:t>
      </w:r>
    </w:p>
    <w:p>
      <w:pPr>
        <w:ind w:left="69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4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Gaylord Opryland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Gaylord Palms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59,917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57,896</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Gaylord Texan</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58,357</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Gaylord National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65,630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60,756</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Gaylord Rockies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AC Hotel</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2,435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2,371</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Inn at Opryland and other</w:t>
            </w: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2,986</w:t>
            </w:r>
          </w:p>
        </w:tc>
      </w:tr>
      <w:tr>
        <w:trPr>
          <w:trHeight w:val="217"/>
        </w:trPr>
        <w:tc>
          <w:tcPr>
            <w:tcW w:w="5480" w:type="dxa"/>
            <w:vAlign w:val="bottom"/>
          </w:tcPr>
          <w:p>
            <w:pPr>
              <w:spacing w:after="0"/>
              <w:rPr>
                <w:sz w:val="20"/>
                <w:szCs w:val="20"/>
                <w:color w:val="auto"/>
              </w:rPr>
            </w:pPr>
            <w:r>
              <w:rPr>
                <w:rFonts w:ascii="Arial" w:cs="Arial" w:eastAsia="Arial" w:hAnsi="Arial"/>
                <w:sz w:val="18"/>
                <w:szCs w:val="18"/>
                <w:color w:val="auto"/>
              </w:rPr>
              <w:t>Total Hospitality segment revenues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337,510</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265,111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Almost all of the Company’s Entertainment segment revenues are concentrated in Nashville, Tennessee.</w:t>
      </w:r>
    </w:p>
    <w:p>
      <w:pPr>
        <w:spacing w:after="0" w:line="185" w:lineRule="exact"/>
        <w:rPr>
          <w:sz w:val="20"/>
          <w:szCs w:val="20"/>
          <w:color w:val="auto"/>
        </w:rPr>
      </w:pPr>
    </w:p>
    <w:p>
      <w:pPr>
        <w:ind w:right="99"/>
        <w:spacing w:after="0" w:line="273" w:lineRule="auto"/>
        <w:rPr>
          <w:sz w:val="20"/>
          <w:szCs w:val="20"/>
          <w:color w:val="auto"/>
        </w:rPr>
      </w:pPr>
      <w:r>
        <w:rPr>
          <w:rFonts w:ascii="Arial" w:cs="Arial" w:eastAsia="Arial" w:hAnsi="Arial"/>
          <w:sz w:val="17"/>
          <w:szCs w:val="17"/>
          <w:color w:val="auto"/>
        </w:rPr>
        <w:t>The Company records deferred revenues when cash payments are received in advance of its performance obligations, primarily related to advanced deposits on hotel rooms in its Hospitality segment and advanced ticketing in its Entertainment segment. At March 31, 2019 and December 31, 2018, the Company had $94.4 million and $69.3 million, respectively, in deferred revenues, which are included in accounts payable and accrued liabilities in the accompanying condensed consolidated balance sheets. Of the amount outstanding at December 31, 2018, approximately $39.2 million was recognized in revenue during the three months ended March 31, 2019.</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INCOME PER SHARE: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number of common shares outstanding is calculated as follows (in thousands):</w:t>
      </w:r>
    </w:p>
    <w:p>
      <w:pPr>
        <w:spacing w:after="0" w:line="190"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Three Months Ended</w:t>
      </w:r>
    </w:p>
    <w:p>
      <w:pPr>
        <w:ind w:left="71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8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90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r>
      <w:tr>
        <w:trPr>
          <w:trHeight w:val="210"/>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51,349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51,214</w:t>
            </w:r>
          </w:p>
        </w:tc>
      </w:tr>
      <w:tr>
        <w:trPr>
          <w:trHeight w:val="216"/>
        </w:trPr>
        <w:tc>
          <w:tcPr>
            <w:tcW w:w="20" w:type="dxa"/>
            <w:vAlign w:val="bottom"/>
          </w:tcPr>
          <w:p>
            <w:pPr>
              <w:spacing w:after="0"/>
              <w:rPr>
                <w:sz w:val="18"/>
                <w:szCs w:val="18"/>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Effect of dilutive stock-based compensation</w:t>
            </w:r>
          </w:p>
        </w:tc>
        <w:tc>
          <w:tcPr>
            <w:tcW w:w="640" w:type="dxa"/>
            <w:vAlign w:val="bottom"/>
          </w:tcPr>
          <w:p>
            <w:pPr>
              <w:jc w:val="right"/>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16"/>
        </w:trPr>
        <w:tc>
          <w:tcPr>
            <w:tcW w:w="20" w:type="dxa"/>
            <w:vAlign w:val="bottom"/>
          </w:tcPr>
          <w:p>
            <w:pPr>
              <w:spacing w:after="0"/>
              <w:rPr>
                <w:sz w:val="18"/>
                <w:szCs w:val="18"/>
                <w:color w:val="auto"/>
              </w:rPr>
            </w:pPr>
          </w:p>
        </w:tc>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put rights</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8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5920" w:type="dxa"/>
            <w:vAlign w:val="bottom"/>
            <w:gridSpan w:val="2"/>
          </w:tcPr>
          <w:p>
            <w:pPr>
              <w:spacing w:after="0"/>
              <w:rPr>
                <w:sz w:val="20"/>
                <w:szCs w:val="20"/>
                <w:color w:val="auto"/>
              </w:rPr>
            </w:pPr>
            <w:r>
              <w:rPr>
                <w:rFonts w:ascii="Arial" w:cs="Arial" w:eastAsia="Arial" w:hAnsi="Arial"/>
                <w:sz w:val="18"/>
                <w:szCs w:val="18"/>
                <w:color w:val="auto"/>
              </w:rPr>
              <w:t>Weighted average shares outstanding - diluted</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51,949</w:t>
            </w:r>
          </w:p>
        </w:tc>
        <w:tc>
          <w:tcPr>
            <w:tcW w:w="1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51,473</w:t>
            </w:r>
          </w:p>
        </w:tc>
      </w:tr>
    </w:tbl>
    <w:p>
      <w:pPr>
        <w:spacing w:after="0" w:line="202" w:lineRule="exact"/>
        <w:rPr>
          <w:sz w:val="20"/>
          <w:szCs w:val="20"/>
          <w:color w:val="auto"/>
        </w:rPr>
      </w:pPr>
    </w:p>
    <w:p>
      <w:pPr>
        <w:ind w:right="119"/>
        <w:spacing w:after="0" w:line="312" w:lineRule="auto"/>
        <w:rPr>
          <w:sz w:val="20"/>
          <w:szCs w:val="20"/>
          <w:color w:val="auto"/>
        </w:rPr>
      </w:pPr>
      <w:r>
        <w:rPr>
          <w:rFonts w:ascii="Arial" w:cs="Arial" w:eastAsia="Arial" w:hAnsi="Arial"/>
          <w:sz w:val="16"/>
          <w:szCs w:val="16"/>
          <w:color w:val="auto"/>
        </w:rPr>
        <w:t>As more fully discussed in Note 13, “Commitments and Contingencies,” to the condensed consolidated financial statements included herein, certain affiliates of Ares Management, L.P. (“Ares”) have a put right to require the Company to purchase their joint venture interests in the Gaylord Rockies joint venture in consideration of cash or operating</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partnership units (“OP Units”) of RHP Hotel Properties, LP (the “Operating Partnership”). Any OP Units issued by the Operating Partnership to the certain affiliates of Ares will be redeemable at the option of the holders thereof for cash or shares of the Company’s common stock on a one-for-one basis, subject to certain adjustments.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ACCUMULATED OTHER COMPREHENSIVE LOSS:</w:t>
      </w:r>
    </w:p>
    <w:p>
      <w:pPr>
        <w:spacing w:after="0" w:line="202"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The Company’s balance in accumulated other comprehensive loss is comprised of amounts related to the Company’s minimum pension liability and amounts related to an other-than-temporary impairment of a held-to-maturity investment with respect to the notes receivable discussed in Note 6, “Notes Receivable,” to the condensed consolidated financial statements included herein, and Note 3, “Notes Receivable,” to the consolidated financial statements included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2018. Changes in accumulated other comprehensive loss by component for the three months ended March 31, 2019 and 2018 consisted of the following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Minimum</w:t>
            </w: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Other-Than-</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Temporary</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Pension</w:t>
            </w: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200" w:type="dxa"/>
            <w:vAlign w:val="bottom"/>
          </w:tcPr>
          <w:p>
            <w:pPr>
              <w:spacing w:after="0"/>
              <w:rPr>
                <w:sz w:val="12"/>
                <w:szCs w:val="12"/>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2018</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(21,814)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5820" w:type="dxa"/>
            <w:vAlign w:val="bottom"/>
          </w:tcPr>
          <w:p>
            <w:pPr>
              <w:spacing w:after="0"/>
              <w:rPr>
                <w:sz w:val="20"/>
                <w:szCs w:val="20"/>
                <w:color w:val="auto"/>
              </w:rPr>
            </w:pPr>
            <w:r>
              <w:rPr>
                <w:rFonts w:ascii="Arial" w:cs="Arial" w:eastAsia="Arial" w:hAnsi="Arial"/>
                <w:sz w:val="18"/>
                <w:szCs w:val="18"/>
                <w:color w:val="auto"/>
              </w:rPr>
              <w:t>Net other comprehensive income</w:t>
            </w:r>
          </w:p>
        </w:tc>
        <w:tc>
          <w:tcPr>
            <w:tcW w:w="14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Transition adjustment related to adoption of ASU 2018-02 (see Note 1)</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(2,707)</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(2,707)</w:t>
            </w:r>
          </w:p>
        </w:tc>
        <w:tc>
          <w:tcPr>
            <w:tcW w:w="0" w:type="dxa"/>
            <w:vAlign w:val="bottom"/>
          </w:tcPr>
          <w:p>
            <w:pPr>
              <w:spacing w:after="0"/>
              <w:rPr>
                <w:sz w:val="1"/>
                <w:szCs w:val="1"/>
                <w:color w:val="auto"/>
              </w:rPr>
            </w:pPr>
          </w:p>
        </w:tc>
      </w:tr>
      <w:tr>
        <w:trPr>
          <w:trHeight w:val="217"/>
        </w:trPr>
        <w:tc>
          <w:tcPr>
            <w:tcW w:w="5820" w:type="dxa"/>
            <w:vAlign w:val="bottom"/>
          </w:tcPr>
          <w:p>
            <w:pPr>
              <w:spacing w:after="0"/>
              <w:rPr>
                <w:sz w:val="20"/>
                <w:szCs w:val="20"/>
                <w:color w:val="auto"/>
              </w:rPr>
            </w:pPr>
            <w:r>
              <w:rPr>
                <w:rFonts w:ascii="Arial" w:cs="Arial" w:eastAsia="Arial" w:hAnsi="Arial"/>
                <w:sz w:val="18"/>
                <w:szCs w:val="18"/>
                <w:color w:val="auto"/>
              </w:rPr>
              <w:t>Balance, March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(24,495)</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(30,622)</w:t>
            </w:r>
          </w:p>
        </w:tc>
        <w:tc>
          <w:tcPr>
            <w:tcW w:w="0" w:type="dxa"/>
            <w:vAlign w:val="bottom"/>
          </w:tcPr>
          <w:p>
            <w:pPr>
              <w:spacing w:after="0"/>
              <w:rPr>
                <w:sz w:val="1"/>
                <w:szCs w:val="1"/>
                <w:color w:val="auto"/>
              </w:rPr>
            </w:pPr>
          </w:p>
        </w:tc>
      </w:tr>
      <w:tr>
        <w:trPr>
          <w:trHeight w:val="355"/>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Minimum</w:t>
            </w: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Other-Than-</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Temporary</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Pension</w:t>
            </w:r>
          </w:p>
        </w:tc>
        <w:tc>
          <w:tcPr>
            <w:tcW w:w="11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Impairment of</w:t>
            </w:r>
          </w:p>
        </w:tc>
        <w:tc>
          <w:tcPr>
            <w:tcW w:w="200" w:type="dxa"/>
            <w:vAlign w:val="bottom"/>
          </w:tcPr>
          <w:p>
            <w:pPr>
              <w:spacing w:after="0"/>
              <w:rPr>
                <w:sz w:val="12"/>
                <w:szCs w:val="12"/>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Liability</w:t>
            </w:r>
          </w:p>
        </w:tc>
        <w:tc>
          <w:tcPr>
            <w:tcW w:w="12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Investment</w:t>
            </w:r>
          </w:p>
        </w:tc>
        <w:tc>
          <w:tcPr>
            <w:tcW w:w="2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(6,543)</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(26,692)</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Amounts reclassified from accumulated other comprehensive loss</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other comprehensive income (loss)</w:t>
            </w: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7"/>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March 31,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(20,154)</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(26,614)</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Property and equipment, including right-of-use finance lease assets, at March 31, 2019 and December 31, 2018 is recorded at cost (except for right-of-use finance lease assets) and summarized as follows (in thousands):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4"/>
                <w:szCs w:val="14"/>
                <w:color w:val="auto"/>
              </w:rPr>
            </w:pPr>
          </w:p>
        </w:tc>
        <w:tc>
          <w:tcPr>
            <w:tcW w:w="102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50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2018</w:t>
            </w: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Land and land improvements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347,654</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Buildings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3,393,725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3,379,041</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913,528</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Right-of-use finance lease assets</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Construction-in-progress</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48,295</w:t>
            </w:r>
          </w:p>
        </w:tc>
      </w:tr>
      <w:tr>
        <w:trPr>
          <w:trHeight w:val="210"/>
        </w:trPr>
        <w:tc>
          <w:tcPr>
            <w:tcW w:w="5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4,729,685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4,688,518</w:t>
            </w: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(1,581,936)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(1,539,423)</w:t>
            </w:r>
          </w:p>
        </w:tc>
      </w:tr>
      <w:tr>
        <w:trPr>
          <w:trHeight w:val="217"/>
        </w:trPr>
        <w:tc>
          <w:tcPr>
            <w:tcW w:w="50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3,147,749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3,149,095</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NOTES RECEIVABLE:</w:t>
      </w:r>
    </w:p>
    <w:p>
      <w:pPr>
        <w:spacing w:after="0" w:line="189" w:lineRule="exact"/>
        <w:rPr>
          <w:sz w:val="20"/>
          <w:szCs w:val="20"/>
          <w:color w:val="auto"/>
        </w:rPr>
      </w:pPr>
    </w:p>
    <w:p>
      <w:pPr>
        <w:ind w:right="220"/>
        <w:spacing w:after="0" w:line="224" w:lineRule="exact"/>
        <w:rPr>
          <w:sz w:val="20"/>
          <w:szCs w:val="20"/>
          <w:color w:val="auto"/>
        </w:rPr>
      </w:pPr>
      <w:r>
        <w:rPr>
          <w:rFonts w:ascii="Arial" w:cs="Arial" w:eastAsia="Arial" w:hAnsi="Arial"/>
          <w:sz w:val="16"/>
          <w:szCs w:val="16"/>
          <w:color w:val="auto"/>
        </w:rPr>
        <w:t>As further discussed in the Company’s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2018, in connection with the development of Gaylord National, the Company is currently holding two issuances of governmental</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bonds with a total carrying value of $110.6 million and $111.0 million at March 31, 2019 and December 31, 2018, respectively. The Company receives debt service and principle payments thereon, payable from property tax increments, hotel taxes and special hotel rental taxes generated from Gaylord National through the maturity dates of July 1, 2034 and September 1, 2037, respectively. The Company records interest income over the life of the notes using the effective interest method.</w:t>
      </w:r>
    </w:p>
    <w:p>
      <w:pPr>
        <w:spacing w:after="0" w:line="148"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During the three months ended March 31, 2019 and 2018, the Company recorded interest income of $2.6 million and $2.7 million, respectively, on these bonds. The Company received payments of $3.0 million and $3.1 million during the three months ended March 31, 2019 and 2018, respectively, relating to these notes receivable.</w:t>
      </w:r>
    </w:p>
    <w:p>
      <w:pPr>
        <w:spacing w:after="0" w:line="139"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As further discussed in the Company’s Annual Report on Form 10-K for the year ended December 31, 2018, in connection with the development of certain infrastructure adjacent to Gaylord Rockies, at March 31, 2019, the Gaylord Rockies joint venture was holding two issuances of governmental bonds with a carrying value of $11.3 million and $11.2 million at March 31, 2019 and December 31, 2018, respectively. The debt service and principal payments on such bonds were payable from tax increments and special hotel rental taxes generated from the surrounding development through the maturity dates of December 1, 2030 and December 1, 2040, respectively. At March 31, 2019, the joint venture had not yet begun receiving the debt service and principal payments on these bonds. In April 2019, these bonds were redeemed by the issuer, and the joint venture received the outstanding principal and interest, which should result in no impact to the Company’s condensed consolidated statement of operations for the Company’s second quarter ending June 30, 2019.</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debt and capital lease obligations at March 31, 2019 and December 31, 2018 consisted of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March 31,</w:t>
            </w: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0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r>
      <w:tr>
        <w:trPr>
          <w:trHeight w:val="182"/>
        </w:trPr>
        <w:tc>
          <w:tcPr>
            <w:tcW w:w="7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$700M Revolving Credit Facility, interest at LIBOR plus 1.55%, maturing May 23, 2021, less</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unamortized deferred financing costs of $5,899 and $6,542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529,101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518,458</w:t>
            </w: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w w:val="94"/>
              </w:rPr>
              <w:t>$200M Term Loan A, interest at LIBOR plus 1.50%, maturing May 23, 2022, less unamortized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deferred financing costs of $1,134 and $1,220</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198,866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198,780</w:t>
            </w:r>
          </w:p>
        </w:tc>
      </w:tr>
      <w:tr>
        <w:trPr>
          <w:trHeight w:val="202"/>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$500M Term Loan B, interest at LIBOR plus 2.00%, maturing May 11, 2024, less unamortized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deferred financing costs of $5,087 and $5,307</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486,163</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485,943</w:t>
            </w: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w w:val="98"/>
              </w:rPr>
              <w:t>$350M Senior Notes, interest at 5.0%, maturing April 15, 2021, less unamortized deferred</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financing costs of $2,134 and $2,385</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347,866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347,615</w:t>
            </w:r>
          </w:p>
        </w:tc>
      </w:tr>
      <w:tr>
        <w:trPr>
          <w:trHeight w:val="202"/>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$400M Senior Notes, interest at 5.0%, maturing April 15, 2023, less unamortized deferred</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financing costs of $3,879 and $4,097</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396,121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395,903</w:t>
            </w:r>
          </w:p>
        </w:tc>
      </w:tr>
      <w:tr>
        <w:trPr>
          <w:trHeight w:val="202"/>
        </w:trPr>
        <w:tc>
          <w:tcPr>
            <w:tcW w:w="7060" w:type="dxa"/>
            <w:vAlign w:val="bottom"/>
          </w:tcPr>
          <w:p>
            <w:pPr>
              <w:spacing w:after="0" w:line="201" w:lineRule="exact"/>
              <w:rPr>
                <w:sz w:val="20"/>
                <w:szCs w:val="20"/>
                <w:color w:val="auto"/>
              </w:rPr>
            </w:pPr>
            <w:r>
              <w:rPr>
                <w:rFonts w:ascii="Arial" w:cs="Arial" w:eastAsia="Arial" w:hAnsi="Arial"/>
                <w:sz w:val="18"/>
                <w:szCs w:val="18"/>
                <w:color w:val="auto"/>
                <w:w w:val="99"/>
              </w:rPr>
              <w:t>$500M Construction Loan (Gaylord Rockies joint venture), interest at LIBOR plus 3.25%,</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w w:val="93"/>
              </w:rPr>
              <w:t>maturing December 18, 2019, less unamortized deferred financing costs of $1,355 and $1,807</w:t>
            </w: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485,626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457,090</w:t>
            </w:r>
          </w:p>
        </w:tc>
      </w:tr>
      <w:tr>
        <w:trPr>
          <w:trHeight w:val="202"/>
        </w:trPr>
        <w:tc>
          <w:tcPr>
            <w:tcW w:w="7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$39M Mezzanine Loan (Gaylord Rockies joint venture), interest at LIBOR plus 7.00%,</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30"/>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7"/>
              </w:rPr>
              <w:t>maturing December 18, 2019, less unamortized deferred financing costs of $170 and $227</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38,358</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37,488</w:t>
            </w: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Finance lease obligations</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618</w:t>
            </w: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060" w:type="dxa"/>
            <w:vAlign w:val="bottom"/>
          </w:tcPr>
          <w:p>
            <w:pPr>
              <w:ind w:left="120"/>
              <w:spacing w:after="0"/>
              <w:rPr>
                <w:sz w:val="20"/>
                <w:szCs w:val="20"/>
                <w:color w:val="auto"/>
              </w:rPr>
            </w:pPr>
            <w:r>
              <w:rPr>
                <w:rFonts w:ascii="Arial" w:cs="Arial" w:eastAsia="Arial" w:hAnsi="Arial"/>
                <w:sz w:val="18"/>
                <w:szCs w:val="18"/>
                <w:color w:val="auto"/>
              </w:rPr>
              <w:t>Total debt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2,485,179</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2,441,895</w:t>
            </w:r>
          </w:p>
        </w:tc>
      </w:tr>
    </w:tbl>
    <w:p>
      <w:pPr>
        <w:spacing w:after="0" w:line="202" w:lineRule="exact"/>
        <w:rPr>
          <w:sz w:val="20"/>
          <w:szCs w:val="20"/>
          <w:color w:val="auto"/>
        </w:rPr>
      </w:pPr>
    </w:p>
    <w:p>
      <w:pPr>
        <w:ind w:right="60"/>
        <w:spacing w:after="0" w:line="220" w:lineRule="exact"/>
        <w:rPr>
          <w:sz w:val="20"/>
          <w:szCs w:val="20"/>
          <w:color w:val="auto"/>
        </w:rPr>
      </w:pPr>
      <w:r>
        <w:rPr>
          <w:rFonts w:ascii="Arial" w:cs="Arial" w:eastAsia="Arial" w:hAnsi="Arial"/>
          <w:sz w:val="18"/>
          <w:szCs w:val="18"/>
          <w:color w:val="auto"/>
        </w:rPr>
        <w:t>Amounts due within one year consist of amounts outstanding under the $500 million construction loan and the $39 million mezzanine loan for the Gaylord Rockies joint venture, as well as the amortization payments for the $500 million term loan B of 1.0% of the original principal balance, as described in the Company’s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the Company was in compliance with all of its covenants related to its outstanding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DEFERRED MANAGEMENT RIGHTS PROCEEDS:</w:t>
      </w:r>
    </w:p>
    <w:p>
      <w:pPr>
        <w:spacing w:after="0" w:line="189" w:lineRule="exact"/>
        <w:rPr>
          <w:sz w:val="20"/>
          <w:szCs w:val="20"/>
          <w:color w:val="auto"/>
        </w:rPr>
      </w:pPr>
    </w:p>
    <w:p>
      <w:pPr>
        <w:ind w:right="60"/>
        <w:spacing w:after="0" w:line="218" w:lineRule="exact"/>
        <w:rPr>
          <w:sz w:val="20"/>
          <w:szCs w:val="20"/>
          <w:color w:val="auto"/>
        </w:rPr>
      </w:pPr>
      <w:r>
        <w:rPr>
          <w:rFonts w:ascii="Arial" w:cs="Arial" w:eastAsia="Arial" w:hAnsi="Arial"/>
          <w:sz w:val="16"/>
          <w:szCs w:val="16"/>
          <w:color w:val="auto"/>
        </w:rPr>
        <w:t>On October 1, 2012, the Company consummated its agreement to sell the Gaylord Hotels brand and rights to manage the Gaylord Hotels properties (the “Management Rights”) to Marriott for $210.0 million in cash. Effective October 1, 2012, Marriott assumed responsibility for managing the day-to-day operations of the Gaylord Hotels properties pursuant to a management agreement for each Gaylord Hotel property. The Company allocated $190.0 million of the purchase price to the Management Rights, based on the Company’s estimates of the fair values for the respective components. For financial accounting purposes, the amount related to the Management Rights was deferred and is amortized on a straight line basis over the 65</w:t>
      </w:r>
      <w:r>
        <w:rPr>
          <w:rFonts w:ascii="MS PGothic" w:cs="MS PGothic" w:eastAsia="MS PGothic" w:hAnsi="MS PGothic"/>
          <w:sz w:val="16"/>
          <w:szCs w:val="16"/>
          <w:color w:val="auto"/>
        </w:rPr>
        <w:t>‑</w:t>
      </w:r>
      <w:r>
        <w:rPr>
          <w:rFonts w:ascii="Arial" w:cs="Arial" w:eastAsia="Arial" w:hAnsi="Arial"/>
          <w:sz w:val="16"/>
          <w:szCs w:val="16"/>
          <w:color w:val="auto"/>
        </w:rPr>
        <w:t>year term of the hotel management agreements, including extensions, as a reduction in management fee expense.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LEASES:</w:t>
      </w:r>
    </w:p>
    <w:p>
      <w:pPr>
        <w:spacing w:after="0" w:line="189"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The Company is a lessee of a 65.3 acre site in Osceola County, Florida on which Gaylord Palms is located, building or land leases for Ole Red Gatlinburg, Ole Red Orlando and Ole Red Tishomingo, various warehouse, and general office and other equipment leases. The Gaylord Palms land lease has a term through 2074, which may be extended through January 2101, at the Company’s discretion. The leases for Ole Red locations range from three to ten years, with renewal options ranging from one to forty years, at the Company’s discretion. Extension options are not included in the Company’s calculation of its right-of-use assets and lease liabilities.</w:t>
      </w:r>
    </w:p>
    <w:p>
      <w:pPr>
        <w:spacing w:after="0" w:line="193"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terms of the Gaylord Palms lease include variable lease payments based upon net revenues at Gaylord Palms and certain other of the Company’s leases include rental payments adjusted periodically for inflation. The Company’s lease agreements do not contain any material residual value guarantees or material restrictive covenants.</w:t>
      </w:r>
    </w:p>
    <w:p>
      <w:pPr>
        <w:spacing w:after="0" w:line="16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the discount rate implicit in the Company’s operating leases is not readily determinable, the Company applied judgments related to the determination of the discount rates used to calculate the lease liability as required by Accounting Standards Codification Topic 842, “</w:t>
      </w:r>
      <w:r>
        <w:rPr>
          <w:rFonts w:ascii="Arial" w:cs="Arial" w:eastAsia="Arial" w:hAnsi="Arial"/>
          <w:sz w:val="18"/>
          <w:szCs w:val="18"/>
          <w:i w:val="1"/>
          <w:iCs w:val="1"/>
          <w:color w:val="auto"/>
        </w:rPr>
        <w:t>Leases</w:t>
      </w:r>
      <w:r>
        <w:rPr>
          <w:rFonts w:ascii="Arial" w:cs="Arial" w:eastAsia="Arial" w:hAnsi="Arial"/>
          <w:sz w:val="18"/>
          <w:szCs w:val="18"/>
          <w:color w:val="auto"/>
        </w:rPr>
        <w:t>”. The Company calculated its incremental borrowing rate by utilizing judgments and estimates regarding the Company’s secured borrowing rates, market credit rating, comparable bond yield curve, and adjustments to market yield curves to determine a securitized rate.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Company’s lease costs for the three months ended March 31, 2019 are as follows (in thousands):</w:t>
      </w:r>
    </w:p>
    <w:p>
      <w:pPr>
        <w:spacing w:after="0" w:line="253" w:lineRule="exact"/>
        <w:rPr>
          <w:sz w:val="20"/>
          <w:szCs w:val="20"/>
          <w:color w:val="auto"/>
        </w:rPr>
      </w:pPr>
    </w:p>
    <w:tbl>
      <w:tblPr>
        <w:tblLayout w:type="fixed"/>
        <w:tblInd w:w="8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16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w:t>
            </w: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Finance lease cost:</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right-of-use assets</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45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on lease liabilities</w:t>
            </w:r>
          </w:p>
        </w:tc>
        <w:tc>
          <w:tcPr>
            <w:tcW w:w="19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r>
      <w:tr>
        <w:trPr>
          <w:trHeight w:val="217"/>
        </w:trPr>
        <w:tc>
          <w:tcPr>
            <w:tcW w:w="20" w:type="dxa"/>
            <w:vAlign w:val="bottom"/>
          </w:tcPr>
          <w:p>
            <w:pPr>
              <w:spacing w:after="0"/>
              <w:rPr>
                <w:sz w:val="18"/>
                <w:szCs w:val="18"/>
                <w:color w:val="auto"/>
              </w:rPr>
            </w:pPr>
          </w:p>
        </w:tc>
        <w:tc>
          <w:tcPr>
            <w:tcW w:w="4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lease cost</w:t>
            </w:r>
          </w:p>
        </w:tc>
        <w:tc>
          <w:tcPr>
            <w:tcW w:w="1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Lease expense for operating leases for the three months ended March 31, 2018 was $3.2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non-cancelable leases at March 31, 2019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Operating</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3"/>
              <w:spacing w:after="0"/>
              <w:rPr>
                <w:sz w:val="20"/>
                <w:szCs w:val="20"/>
                <w:color w:val="auto"/>
              </w:rPr>
            </w:pPr>
            <w:r>
              <w:rPr>
                <w:rFonts w:ascii="Arial" w:cs="Arial" w:eastAsia="Arial" w:hAnsi="Arial"/>
                <w:sz w:val="14"/>
                <w:szCs w:val="14"/>
                <w:b w:val="1"/>
                <w:bCs w:val="1"/>
                <w:color w:val="auto"/>
                <w:w w:val="86"/>
              </w:rPr>
              <w:t>Finance</w:t>
            </w:r>
          </w:p>
        </w:tc>
        <w:tc>
          <w:tcPr>
            <w:tcW w:w="920" w:type="dxa"/>
            <w:vAlign w:val="bottom"/>
          </w:tcPr>
          <w:p>
            <w:pPr>
              <w:spacing w:after="0"/>
              <w:rPr>
                <w:sz w:val="14"/>
                <w:szCs w:val="14"/>
                <w:color w:val="auto"/>
              </w:rPr>
            </w:pPr>
          </w:p>
        </w:tc>
      </w:tr>
      <w:tr>
        <w:trPr>
          <w:trHeight w:val="171"/>
        </w:trPr>
        <w:tc>
          <w:tcPr>
            <w:tcW w:w="940" w:type="dxa"/>
            <w:vAlign w:val="bottom"/>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2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Leases</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84"/>
              </w:rPr>
              <w:t>Leases</w:t>
            </w:r>
          </w:p>
        </w:tc>
        <w:tc>
          <w:tcPr>
            <w:tcW w:w="920" w:type="dxa"/>
            <w:vAlign w:val="bottom"/>
          </w:tcPr>
          <w:p>
            <w:pPr>
              <w:spacing w:after="0"/>
              <w:rPr>
                <w:sz w:val="14"/>
                <w:szCs w:val="14"/>
                <w:color w:val="auto"/>
              </w:rPr>
            </w:pPr>
          </w:p>
        </w:tc>
      </w:tr>
      <w:tr>
        <w:trPr>
          <w:trHeight w:val="210"/>
        </w:trPr>
        <w:tc>
          <w:tcPr>
            <w:tcW w:w="9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 1</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Year 2</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5,947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244</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 3</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Year 4</w:t>
            </w: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218</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 5</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Years thereafter</w:t>
            </w:r>
          </w:p>
        </w:tc>
        <w:tc>
          <w:tcPr>
            <w:tcW w:w="2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578,442</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920" w:type="dxa"/>
            <w:vAlign w:val="bottom"/>
          </w:tcPr>
          <w:p>
            <w:pPr>
              <w:spacing w:after="0"/>
              <w:rPr>
                <w:sz w:val="18"/>
                <w:szCs w:val="18"/>
                <w:color w:val="auto"/>
              </w:rPr>
            </w:pPr>
          </w:p>
        </w:tc>
      </w:tr>
      <w:tr>
        <w:trPr>
          <w:trHeight w:val="210"/>
        </w:trPr>
        <w:tc>
          <w:tcPr>
            <w:tcW w:w="940" w:type="dxa"/>
            <w:vAlign w:val="bottom"/>
          </w:tcPr>
          <w:p>
            <w:pPr>
              <w:spacing w:after="0"/>
              <w:rPr>
                <w:sz w:val="18"/>
                <w:szCs w:val="18"/>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future minimum lease payments</w:t>
            </w: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607,370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w:t>
            </w:r>
          </w:p>
        </w:tc>
        <w:tc>
          <w:tcPr>
            <w:tcW w:w="92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amount representing interest</w:t>
            </w:r>
          </w:p>
        </w:tc>
        <w:tc>
          <w:tcPr>
            <w:tcW w:w="2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(503,105)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w:t>
            </w:r>
          </w:p>
        </w:tc>
        <w:tc>
          <w:tcPr>
            <w:tcW w:w="920" w:type="dxa"/>
            <w:vAlign w:val="bottom"/>
          </w:tcPr>
          <w:p>
            <w:pPr>
              <w:spacing w:after="0"/>
              <w:rPr>
                <w:sz w:val="18"/>
                <w:szCs w:val="18"/>
                <w:color w:val="auto"/>
              </w:rPr>
            </w:pPr>
          </w:p>
        </w:tc>
      </w:tr>
      <w:tr>
        <w:trPr>
          <w:trHeight w:val="230"/>
        </w:trPr>
        <w:tc>
          <w:tcPr>
            <w:tcW w:w="940" w:type="dxa"/>
            <w:vAlign w:val="bottom"/>
          </w:tcPr>
          <w:p>
            <w:pPr>
              <w:spacing w:after="0"/>
              <w:rPr>
                <w:sz w:val="19"/>
                <w:szCs w:val="19"/>
                <w:color w:val="auto"/>
              </w:rPr>
            </w:pPr>
          </w:p>
        </w:tc>
        <w:tc>
          <w:tcPr>
            <w:tcW w:w="33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Total present value of minimum payments</w:t>
            </w:r>
          </w:p>
        </w:tc>
        <w:tc>
          <w:tcPr>
            <w:tcW w:w="2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920" w:type="dxa"/>
            <w:vAlign w:val="bottom"/>
          </w:tcPr>
          <w:p>
            <w:pPr>
              <w:spacing w:after="0"/>
              <w:rPr>
                <w:sz w:val="19"/>
                <w:szCs w:val="19"/>
                <w:color w:val="auto"/>
              </w:rPr>
            </w:pPr>
          </w:p>
        </w:tc>
      </w:tr>
      <w:tr>
        <w:trPr>
          <w:trHeight w:val="635"/>
        </w:trPr>
        <w:tc>
          <w:tcPr>
            <w:tcW w:w="940" w:type="dxa"/>
            <w:vAlign w:val="bottom"/>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jc w:val="right"/>
              <w:ind w:right="1750"/>
              <w:spacing w:after="0"/>
              <w:rPr>
                <w:sz w:val="20"/>
                <w:szCs w:val="20"/>
                <w:color w:val="auto"/>
              </w:rPr>
            </w:pPr>
            <w:r>
              <w:rPr>
                <w:rFonts w:ascii="Arial" w:cs="Arial" w:eastAsia="Arial" w:hAnsi="Arial"/>
                <w:sz w:val="18"/>
                <w:szCs w:val="18"/>
                <w:color w:val="auto"/>
              </w:rPr>
              <w:t>12</w:t>
            </w: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920" w:type="dxa"/>
            <w:vAlign w:val="bottom"/>
          </w:tcPr>
          <w:p>
            <w:pPr>
              <w:spacing w:after="0"/>
              <w:rPr>
                <w:sz w:val="24"/>
                <w:szCs w:val="24"/>
                <w:color w:val="auto"/>
              </w:rPr>
            </w:pPr>
          </w:p>
        </w:tc>
      </w:tr>
      <w:tr>
        <w:trPr>
          <w:trHeight w:val="129"/>
        </w:trPr>
        <w:tc>
          <w:tcPr>
            <w:tcW w:w="940" w:type="dxa"/>
            <w:vAlign w:val="bottom"/>
            <w:tcBorders>
              <w:bottom w:val="single" w:sz="8" w:color="auto"/>
            </w:tcBorders>
          </w:tcPr>
          <w:p>
            <w:pPr>
              <w:spacing w:after="0"/>
              <w:rPr>
                <w:sz w:val="11"/>
                <w:szCs w:val="11"/>
                <w:color w:val="auto"/>
              </w:rPr>
            </w:pPr>
          </w:p>
        </w:tc>
        <w:tc>
          <w:tcPr>
            <w:tcW w:w="332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563C1"/>
            </w:tcBorders>
            <w:gridSpan w:val="2"/>
          </w:tcPr>
          <w:p>
            <w:pPr>
              <w:spacing w:after="0"/>
              <w:rPr>
                <w:rFonts w:ascii="Arial" w:cs="Arial" w:eastAsia="Arial" w:hAnsi="Arial"/>
                <w:sz w:val="18"/>
                <w:szCs w:val="18"/>
                <w:color w:val="0563C1"/>
                <w:w w:val="88"/>
              </w:rPr>
            </w:pPr>
            <w:hyperlink w:anchor="page2">
              <w:r>
                <w:rPr>
                  <w:rFonts w:ascii="Arial" w:cs="Arial" w:eastAsia="Arial" w:hAnsi="Arial"/>
                  <w:sz w:val="18"/>
                  <w:szCs w:val="18"/>
                  <w:color w:val="0563C1"/>
                  <w:w w:val="88"/>
                </w:rPr>
                <w:t>Table of Contents</w:t>
              </w:r>
            </w:hyperlink>
          </w:p>
        </w:tc>
        <w:tc>
          <w:tcPr>
            <w:tcW w:w="5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6740" w:type="dxa"/>
            <w:vAlign w:val="bottom"/>
            <w:gridSpan w:val="3"/>
          </w:tcPr>
          <w:p>
            <w:pPr>
              <w:spacing w:after="0"/>
              <w:rPr>
                <w:sz w:val="20"/>
                <w:szCs w:val="20"/>
                <w:color w:val="auto"/>
              </w:rPr>
            </w:pPr>
            <w:r>
              <w:rPr>
                <w:rFonts w:ascii="Arial" w:cs="Arial" w:eastAsia="Arial" w:hAnsi="Arial"/>
                <w:sz w:val="18"/>
                <w:szCs w:val="18"/>
                <w:color w:val="auto"/>
                <w:w w:val="99"/>
              </w:rPr>
              <w:t>The remaining lease term and discount rate for the Company’s leases are as follows:</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00" w:type="dxa"/>
            <w:vAlign w:val="bottom"/>
            <w:vMerge w:val="restart"/>
          </w:tcPr>
          <w:p>
            <w:pPr>
              <w:spacing w:after="0"/>
              <w:rPr>
                <w:sz w:val="19"/>
                <w:szCs w:val="19"/>
                <w:color w:val="auto"/>
              </w:rPr>
            </w:pPr>
          </w:p>
        </w:tc>
        <w:tc>
          <w:tcPr>
            <w:tcW w:w="380" w:type="dxa"/>
            <w:vAlign w:val="bottom"/>
          </w:tcPr>
          <w:p>
            <w:pPr>
              <w:spacing w:after="0"/>
              <w:rPr>
                <w:sz w:val="19"/>
                <w:szCs w:val="19"/>
                <w:color w:val="auto"/>
              </w:rPr>
            </w:pPr>
          </w:p>
        </w:tc>
        <w:tc>
          <w:tcPr>
            <w:tcW w:w="54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0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Weighted-average remaining lease term (years):</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40" w:type="dxa"/>
            <w:vAlign w:val="bottom"/>
            <w:gridSpan w:val="2"/>
          </w:tcPr>
          <w:p>
            <w:pPr>
              <w:ind w:left="100"/>
              <w:spacing w:after="0"/>
              <w:rPr>
                <w:sz w:val="20"/>
                <w:szCs w:val="20"/>
                <w:color w:val="auto"/>
              </w:rPr>
            </w:pPr>
            <w:r>
              <w:rPr>
                <w:rFonts w:ascii="Arial" w:cs="Arial" w:eastAsia="Arial" w:hAnsi="Arial"/>
                <w:sz w:val="18"/>
                <w:szCs w:val="18"/>
                <w:color w:val="auto"/>
              </w:rPr>
              <w:t>Operating leases</w:t>
            </w:r>
          </w:p>
        </w:tc>
        <w:tc>
          <w:tcPr>
            <w:tcW w:w="1440" w:type="dxa"/>
            <w:vAlign w:val="bottom"/>
          </w:tcPr>
          <w:p>
            <w:pPr>
              <w:jc w:val="right"/>
              <w:spacing w:after="0"/>
              <w:rPr>
                <w:sz w:val="20"/>
                <w:szCs w:val="20"/>
                <w:color w:val="auto"/>
              </w:rPr>
            </w:pPr>
            <w:r>
              <w:rPr>
                <w:rFonts w:ascii="Arial" w:cs="Arial" w:eastAsia="Arial" w:hAnsi="Arial"/>
                <w:sz w:val="18"/>
                <w:szCs w:val="18"/>
                <w:color w:val="auto"/>
              </w:rPr>
              <w:t>51.6 years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Finance leases</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 years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Weighted-average discount rate: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Operating leases</w:t>
            </w:r>
          </w:p>
        </w:tc>
        <w:tc>
          <w:tcPr>
            <w:tcW w:w="1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840" w:type="dxa"/>
            <w:vAlign w:val="bottom"/>
            <w:gridSpan w:val="2"/>
          </w:tcPr>
          <w:p>
            <w:pPr>
              <w:ind w:left="100"/>
              <w:spacing w:after="0"/>
              <w:rPr>
                <w:sz w:val="20"/>
                <w:szCs w:val="20"/>
                <w:color w:val="auto"/>
              </w:rPr>
            </w:pPr>
            <w:r>
              <w:rPr>
                <w:rFonts w:ascii="Arial" w:cs="Arial" w:eastAsia="Arial" w:hAnsi="Arial"/>
                <w:sz w:val="18"/>
                <w:szCs w:val="18"/>
                <w:color w:val="auto"/>
              </w:rPr>
              <w:t>Finance leases</w:t>
            </w: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PLANS:</w:t>
      </w:r>
    </w:p>
    <w:p>
      <w:pPr>
        <w:spacing w:after="0" w:line="1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During the three months ended March 31, 2019, the Company granted 0.1 million restricted stock units with a weighted-average grant date fair value of $91.05 per unit. There were 0.3 million and 0.4 million restricted stock units outstanding at March 31, 2019 and December 31, 2018, respectively.</w:t>
      </w:r>
    </w:p>
    <w:p>
      <w:pPr>
        <w:spacing w:after="0" w:line="154"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The compensation expense that has been charged against pre-tax income for all of the Company’s stock-based compensation plans was $2.0 million and $1.9 million for the three months ended March 31, 2019 and 2018, respectively.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POSTRETIREMENT BENEFITS OTHER THAN PENSION PLANS:</w:t>
      </w:r>
    </w:p>
    <w:p>
      <w:pPr>
        <w:spacing w:after="0" w:line="18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Net periodic pension (income) expense reflected in other gains and (losses), net in the accompanying condensed consolidated statements of operations included the following components for the respective periods (in thousands):</w:t>
      </w:r>
    </w:p>
    <w:p>
      <w:pPr>
        <w:spacing w:after="0" w:line="125"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Three Months Ended</w:t>
      </w:r>
    </w:p>
    <w:p>
      <w:pPr>
        <w:ind w:left="69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6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1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(1,102)</w:t>
            </w:r>
          </w:p>
        </w:tc>
        <w:tc>
          <w:tcPr>
            <w:tcW w:w="1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actuarial loss</w:t>
            </w: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Total net periodic pension (income)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Pr>
          <w:p>
            <w:pPr>
              <w:spacing w:after="0"/>
              <w:rPr>
                <w:sz w:val="18"/>
                <w:szCs w:val="18"/>
                <w:color w:val="auto"/>
              </w:rPr>
            </w:pPr>
          </w:p>
        </w:tc>
      </w:tr>
    </w:tbl>
    <w:p>
      <w:pPr>
        <w:spacing w:after="0" w:line="202"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Net postretirement benefit income reflected in other gains and (losses), net in the accompanying condensed consolidated statements of operations included the following components for the respective periods (in thousands):</w:t>
      </w:r>
    </w:p>
    <w:p>
      <w:pPr>
        <w:spacing w:after="0" w:line="111"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Three Months Ended</w:t>
      </w:r>
    </w:p>
    <w:p>
      <w:pPr>
        <w:ind w:left="69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6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2019</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r>
      <w:tr>
        <w:trPr>
          <w:trHeight w:val="210"/>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Interest cost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Amortization of net actuarial loss</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credit</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r>
      <w:tr>
        <w:trPr>
          <w:trHeight w:val="217"/>
        </w:trPr>
        <w:tc>
          <w:tcPr>
            <w:tcW w:w="5600" w:type="dxa"/>
            <w:vAlign w:val="bottom"/>
          </w:tcPr>
          <w:p>
            <w:pPr>
              <w:spacing w:after="0"/>
              <w:rPr>
                <w:sz w:val="20"/>
                <w:szCs w:val="20"/>
                <w:color w:val="auto"/>
              </w:rPr>
            </w:pPr>
            <w:r>
              <w:rPr>
                <w:rFonts w:ascii="Arial" w:cs="Arial" w:eastAsia="Arial" w:hAnsi="Arial"/>
                <w:sz w:val="18"/>
                <w:szCs w:val="18"/>
                <w:color w:val="auto"/>
              </w:rPr>
              <w:t>Total net postretirement benefit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8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Company has elected to be taxed as a REIT effective January 1, 2013, pursuant to the U.S. Internal Revenue Code of 1986, as amended. As a REIT, generally the Company will not be subject to federal corporate income taxes on ordinary taxable income and capital gains income from real estate investments that it distributes to its stockholders. The Company will continue to be required to pay federal and state corporate income taxes on earnings of its taxable REIT subsidiaries.</w:t>
      </w:r>
    </w:p>
    <w:p>
      <w:pPr>
        <w:spacing w:after="0" w:line="12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recorded an income tax provision of $2.0 million and $2.2 million for the three months ended March 31, 2019 and 2018, respectively. These results differ from the statutory rate primarily due to the REIT dividends paid deduction.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and December 31, 2018, the Company had no unrecognized tax benefits.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Pursuant to the Gaylord Rockies joint venture agreements, certain affiliates of Ares have a put right to require the Company to purchase their joint venture interests at a defined appraised value during an annual window period, or under certain other circumstances, in consideration of cash or OP Units of the Operating Partnership. Such OP Units have economic terms that are substantially similar to shares of the Company’s common stock. Any OP Units issued by the Operating Partnership to the Ares affiliates will be redeemable at the option of the holders thereof for cash or shares of the Company’s common stock on a one-for-one basis, subject to certain adjustments.</w:t>
      </w:r>
    </w:p>
    <w:p>
      <w:pPr>
        <w:spacing w:after="0" w:line="13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Affiliates of RIDA Development Corporation (“RIDA”) also have a put right at a defined appraised value for cash, which will become exercisable at the earlier of December 31, 2023 or the date on which a certain change of control of RIDA occurs.</w:t>
      </w:r>
    </w:p>
    <w:p>
      <w:pPr>
        <w:spacing w:after="0" w:line="83"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In connection with its investment in the Gaylord Rockies joint venture, the Company has provided a completion guarantee under each of the construction loan and mezzanine loan capped at its pro rata share of all costs necessary to complete the project within the time specified in the Gaylord Rockies joint venture’s loan documents. As of March 31, 2019, the Company had not recorded any liability in the condensed consolidated balance sheet associated with these guarantees.</w:t>
      </w:r>
    </w:p>
    <w:p>
      <w:pPr>
        <w:spacing w:after="0" w:line="12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Company has entered into employment agreements with certain officers, which provide for severance payments upon certain events, including certain terminations in connection with a change of control.</w:t>
      </w:r>
    </w:p>
    <w:p>
      <w:pPr>
        <w:spacing w:after="0" w:line="13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in the ordinary course of business, is involved in certain legal actions and claims on a variety of matters. It is the opinion of management that such contingencies will not have a material effect on the financial statements of the Company.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STOCKHOLDERS’ EQUITY:</w:t>
      </w:r>
    </w:p>
    <w:p>
      <w:pPr>
        <w:spacing w:after="0" w:line="202" w:lineRule="exact"/>
        <w:rPr>
          <w:sz w:val="20"/>
          <w:szCs w:val="20"/>
          <w:color w:val="auto"/>
        </w:rPr>
      </w:pPr>
    </w:p>
    <w:p>
      <w:pPr>
        <w:jc w:val="both"/>
        <w:ind w:right="400"/>
        <w:spacing w:after="0" w:line="286" w:lineRule="auto"/>
        <w:rPr>
          <w:sz w:val="20"/>
          <w:szCs w:val="20"/>
          <w:color w:val="auto"/>
        </w:rPr>
      </w:pPr>
      <w:r>
        <w:rPr>
          <w:rFonts w:ascii="Arial" w:cs="Arial" w:eastAsia="Arial" w:hAnsi="Arial"/>
          <w:sz w:val="17"/>
          <w:szCs w:val="17"/>
          <w:color w:val="auto"/>
        </w:rPr>
        <w:t>On February 26, 2019, the Company’s board of directors declared the Company’s first quarter 2019 cash dividend in the amount of $0.90 per share of common stock, or an aggregate of approximately $46.3 million in cash, which was paid on April 15, 2019 to stockholders of record as of the close of business on March 29,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18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The Company uses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2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March 31, 2019 and December 31, 2018, the Company held certain assets that are required to be measured at fair value on a recurring basis. These included investments held in conjunction with the Company’s non-qualified contributory deferred compensation plan. These investments consist of mutual funds traded in an active market. The Company determined the fair value of these mutual funds based on the net asset value per unit of the funds or the portfolio, which is based upon quoted market prices in an active market. Therefore, the Company has categorized these investments as Level 1.</w:t>
      </w:r>
    </w:p>
    <w:p>
      <w:pPr>
        <w:spacing w:after="0" w:line="11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 has consistently applied the above valuation techniques in all periods presented and believes it has obtained the most accurate information available for each type of instrument.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 had no liabilities required to be measured at fair value at March 31, 2019 and December 31, 2018. The Company’s assets measured at fair value on a recurring basis at March 31, 2019 and December 31, 2018, were as follows (in thousands):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Observable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Identical Assets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w w:val="87"/>
              </w:rPr>
              <w:t>26,520</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26,520</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w w:val="87"/>
              </w:rPr>
              <w:t>26,520</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26,520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tcPr>
          <w:p>
            <w:pPr>
              <w:ind w:left="5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5"/>
        </w:trPr>
        <w:tc>
          <w:tcPr>
            <w:tcW w:w="4940" w:type="dxa"/>
            <w:vAlign w:val="bottom"/>
          </w:tcPr>
          <w:p>
            <w:pPr>
              <w:spacing w:after="0"/>
              <w:rPr>
                <w:sz w:val="24"/>
                <w:szCs w:val="2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8"/>
              </w:rPr>
              <w:t>December 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Markets for</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1"/>
              </w:rPr>
              <w:t>Observable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right"/>
              <w:ind w:right="60"/>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200"/>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w w:val="94"/>
              </w:rPr>
              <w:t>24,687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24,687</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940" w:type="dxa"/>
            <w:vAlign w:val="bottom"/>
          </w:tcPr>
          <w:p>
            <w:pPr>
              <w:spacing w:after="0"/>
              <w:rPr>
                <w:sz w:val="20"/>
                <w:szCs w:val="20"/>
                <w:color w:val="auto"/>
              </w:rPr>
            </w:pPr>
            <w:r>
              <w:rPr>
                <w:rFonts w:ascii="Arial" w:cs="Arial" w:eastAsia="Arial" w:hAnsi="Arial"/>
                <w:sz w:val="18"/>
                <w:szCs w:val="18"/>
                <w:color w:val="auto"/>
              </w:rPr>
              <w:t>Total assets measured at fair value</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4"/>
              </w:rPr>
              <w:t>24,687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remainder of the assets and liabilities held by the Company at March 31, 2019 are not required to be recorded at fair value, and the carrying value of these assets and liabilities approximate fair value.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FINANCIAL REPORTING BY BUSINESS SEGMENTS: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organized into three principal business segments:</w:t>
      </w:r>
    </w:p>
    <w:p>
      <w:pPr>
        <w:spacing w:after="0" w:line="185" w:lineRule="exact"/>
        <w:rPr>
          <w:sz w:val="20"/>
          <w:szCs w:val="20"/>
          <w:color w:val="auto"/>
        </w:rPr>
      </w:pPr>
    </w:p>
    <w:p>
      <w:pPr>
        <w:ind w:left="660" w:right="40" w:hanging="333"/>
        <w:spacing w:after="0" w:line="25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Hospitality</w:t>
      </w:r>
      <w:r>
        <w:rPr>
          <w:rFonts w:ascii="Arial" w:cs="Arial" w:eastAsia="Arial" w:hAnsi="Arial"/>
          <w:sz w:val="18"/>
          <w:szCs w:val="18"/>
          <w:color w:val="auto"/>
        </w:rPr>
        <w:t>, which includes Gaylord Opryland, Gaylord Palms, Gaylord Texan, Gaylord National, the Inn at</w:t>
      </w:r>
      <w:r>
        <w:rPr>
          <w:rFonts w:ascii="Arial" w:cs="Arial" w:eastAsia="Arial" w:hAnsi="Arial"/>
          <w:sz w:val="18"/>
          <w:szCs w:val="18"/>
          <w:i w:val="1"/>
          <w:iCs w:val="1"/>
          <w:color w:val="auto"/>
        </w:rPr>
        <w:t xml:space="preserve"> </w:t>
      </w:r>
      <w:r>
        <w:rPr>
          <w:rFonts w:ascii="Arial" w:cs="Arial" w:eastAsia="Arial" w:hAnsi="Arial"/>
          <w:sz w:val="18"/>
          <w:szCs w:val="18"/>
          <w:color w:val="auto"/>
        </w:rPr>
        <w:t>Opryland, the AC Hotel, and the Company’s investment in the Gaylord Rockies joint venture (which is consolidated below beginning January 1, 2019);</w:t>
      </w:r>
    </w:p>
    <w:p>
      <w:pPr>
        <w:ind w:left="660" w:right="820" w:hanging="333"/>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Entertainment</w:t>
      </w:r>
      <w:r>
        <w:rPr>
          <w:rFonts w:ascii="Arial" w:cs="Arial" w:eastAsia="Arial" w:hAnsi="Arial"/>
          <w:sz w:val="18"/>
          <w:szCs w:val="18"/>
          <w:color w:val="auto"/>
        </w:rPr>
        <w:t>, which includes the Grand Ole Opry, the Ryman Auditorium, WSM-AM, Ole Red,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Nashville-based attractions; and</w:t>
      </w:r>
    </w:p>
    <w:p>
      <w:pPr>
        <w:ind w:left="660" w:hanging="333"/>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 which includes the Company’s corporate expenses.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information is derived directly from the segments’ internal financial reports used for corporate management purposes (amounts in thousands):</w:t>
      </w:r>
    </w:p>
    <w:p>
      <w:pPr>
        <w:spacing w:after="0" w:line="135" w:lineRule="exact"/>
        <w:rPr>
          <w:sz w:val="20"/>
          <w:szCs w:val="20"/>
          <w:color w:val="auto"/>
        </w:rPr>
      </w:pPr>
    </w:p>
    <w:p>
      <w:pPr>
        <w:jc w:val="center"/>
        <w:ind w:left="6780"/>
        <w:spacing w:after="0"/>
        <w:rPr>
          <w:sz w:val="20"/>
          <w:szCs w:val="20"/>
          <w:color w:val="auto"/>
        </w:rPr>
      </w:pPr>
      <w:r>
        <w:rPr>
          <w:rFonts w:ascii="Arial" w:cs="Arial" w:eastAsia="Arial" w:hAnsi="Arial"/>
          <w:sz w:val="14"/>
          <w:szCs w:val="14"/>
          <w:b w:val="1"/>
          <w:bCs w:val="1"/>
          <w:color w:val="auto"/>
        </w:rPr>
        <w:t>Three Months Ended</w:t>
      </w:r>
    </w:p>
    <w:p>
      <w:pPr>
        <w:jc w:val="center"/>
        <w:ind w:left="67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Hospitality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337,510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265,111</w:t>
            </w:r>
          </w:p>
        </w:tc>
        <w:tc>
          <w:tcPr>
            <w:tcW w:w="2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23,259</w:t>
            </w:r>
          </w:p>
        </w:tc>
        <w:tc>
          <w:tcPr>
            <w:tcW w:w="22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17"/>
        </w:trPr>
        <w:tc>
          <w:tcPr>
            <w:tcW w:w="69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370,775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288,370</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Hospitality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50,133</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26,200</w:t>
            </w:r>
          </w:p>
        </w:tc>
        <w:tc>
          <w:tcPr>
            <w:tcW w:w="2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220" w:type="dxa"/>
            <w:vAlign w:val="bottom"/>
            <w:shd w:val="clear" w:color="auto" w:fill="CCEEFF"/>
          </w:tcPr>
          <w:p>
            <w:pPr>
              <w:spacing w:after="0"/>
              <w:rPr>
                <w:sz w:val="18"/>
                <w:szCs w:val="18"/>
                <w:color w:val="auto"/>
              </w:rPr>
            </w:pPr>
          </w:p>
        </w:tc>
      </w:tr>
      <w:tr>
        <w:trPr>
          <w:trHeight w:val="216"/>
        </w:trPr>
        <w:tc>
          <w:tcPr>
            <w:tcW w:w="69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Corporate and Other</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220" w:type="dxa"/>
            <w:vAlign w:val="bottom"/>
            <w:tcBorders>
              <w:bottom w:val="single" w:sz="8" w:color="CCEEFF"/>
            </w:tcBorders>
          </w:tcPr>
          <w:p>
            <w:pPr>
              <w:spacing w:after="0"/>
              <w:rPr>
                <w:sz w:val="18"/>
                <w:szCs w:val="18"/>
                <w:color w:val="auto"/>
              </w:rPr>
            </w:pPr>
          </w:p>
        </w:tc>
      </w:tr>
      <w:tr>
        <w:trPr>
          <w:trHeight w:val="217"/>
        </w:trPr>
        <w:tc>
          <w:tcPr>
            <w:tcW w:w="69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53,009</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28,666</w:t>
            </w:r>
          </w:p>
        </w:tc>
        <w:tc>
          <w:tcPr>
            <w:tcW w:w="220" w:type="dxa"/>
            <w:vAlign w:val="bottom"/>
            <w:tcBorders>
              <w:bottom w:val="single" w:sz="8" w:color="CCEEFF"/>
            </w:tcBorders>
            <w:shd w:val="clear" w:color="auto" w:fill="CCEEFF"/>
          </w:tcPr>
          <w:p>
            <w:pPr>
              <w:spacing w:after="0"/>
              <w:rPr>
                <w:sz w:val="18"/>
                <w:szCs w:val="18"/>
                <w:color w:val="auto"/>
              </w:rPr>
            </w:pPr>
          </w:p>
        </w:tc>
      </w:tr>
      <w:tr>
        <w:trPr>
          <w:trHeight w:val="216"/>
        </w:trPr>
        <w:tc>
          <w:tcPr>
            <w:tcW w:w="6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Hospitality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60,354</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54,993</w:t>
            </w:r>
          </w:p>
        </w:tc>
        <w:tc>
          <w:tcPr>
            <w:tcW w:w="2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220" w:type="dxa"/>
            <w:vAlign w:val="bottom"/>
            <w:shd w:val="clear" w:color="auto" w:fill="CCEEFF"/>
          </w:tcPr>
          <w:p>
            <w:pPr>
              <w:spacing w:after="0"/>
              <w:rPr>
                <w:sz w:val="18"/>
                <w:szCs w:val="18"/>
                <w:color w:val="auto"/>
              </w:rPr>
            </w:pP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Corporate and Other</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(9,401)</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(8,838)</w:t>
            </w: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(2,134)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(2,147)</w:t>
            </w:r>
          </w:p>
        </w:tc>
      </w:tr>
      <w:tr>
        <w:trPr>
          <w:trHeight w:val="210"/>
        </w:trPr>
        <w:tc>
          <w:tcPr>
            <w:tcW w:w="6980" w:type="dxa"/>
            <w:vAlign w:val="bottom"/>
          </w:tcPr>
          <w:p>
            <w:pPr>
              <w:spacing w:after="0"/>
              <w:rPr>
                <w:sz w:val="20"/>
                <w:szCs w:val="20"/>
                <w:color w:val="auto"/>
              </w:rPr>
            </w:pPr>
            <w:r>
              <w:rPr>
                <w:rFonts w:ascii="Arial" w:cs="Arial" w:eastAsia="Arial" w:hAnsi="Arial"/>
                <w:sz w:val="18"/>
                <w:szCs w:val="18"/>
                <w:color w:val="auto"/>
              </w:rPr>
              <w:t>Total operating income</w:t>
            </w: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53,964</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45,944</w:t>
            </w:r>
          </w:p>
        </w:tc>
        <w:tc>
          <w:tcPr>
            <w:tcW w:w="2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(32,087)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(16,729)</w:t>
            </w: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r>
      <w:tr>
        <w:trPr>
          <w:trHeight w:val="216"/>
        </w:trPr>
        <w:tc>
          <w:tcPr>
            <w:tcW w:w="6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Loss from joint ventures</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(2,588)</w:t>
            </w:r>
          </w:p>
        </w:tc>
      </w:tr>
      <w:tr>
        <w:trPr>
          <w:trHeight w:val="216"/>
        </w:trPr>
        <w:tc>
          <w:tcPr>
            <w:tcW w:w="6980" w:type="dxa"/>
            <w:vAlign w:val="bottom"/>
          </w:tcPr>
          <w:p>
            <w:pPr>
              <w:ind w:left="120"/>
              <w:spacing w:after="0"/>
              <w:rPr>
                <w:sz w:val="20"/>
                <w:szCs w:val="20"/>
                <w:color w:val="auto"/>
              </w:rPr>
            </w:pPr>
            <w:r>
              <w:rPr>
                <w:rFonts w:ascii="Arial" w:cs="Arial" w:eastAsia="Arial" w:hAnsi="Arial"/>
                <w:sz w:val="18"/>
                <w:szCs w:val="18"/>
                <w:color w:val="auto"/>
              </w:rPr>
              <w:t>Other gains and (losses), net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(141)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r>
      <w:tr>
        <w:trPr>
          <w:trHeight w:val="217"/>
        </w:trPr>
        <w:tc>
          <w:tcPr>
            <w:tcW w:w="6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29,548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w:t>
      </w:r>
    </w:p>
    <w:p>
      <w:pPr>
        <w:spacing w:after="0" w:line="202"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On April 24, 2019, a subsidiary of the Company announced that it has entered into a joint venture with Gray Television, Inc. to create and distribute a linear multicast and over-the-top channel dedicated to the country music lifestyle. The Company acquired a 50% equity interest in this joint venture for an initial capital contribution of $2.0 million. In addition, the joint venture agreement requires the Company to contribute up to an additional $13.0 million through December 31, 2021. The Company expects to account for its investment in this joint venture under the equity method of accounting.</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INFORMATION CONCERNING GUARANTOR AND NON-GUARANTOR SUBSIDIARIES:</w:t>
      </w:r>
    </w:p>
    <w:p>
      <w:pPr>
        <w:spacing w:after="0" w:line="18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$350 Million 5% Senior Notes and the $400 Million 5% Senior Notes were each issued by the Operating Partnership and RHP Finance Corporation and are guaranteed on a senior unsecured basis by the Company, each of the Company’s four wholly-owned subsidiaries that own the Gaylord Hotels properties, and certain other of the Company’s subsidiaries, each of which guarantees the Operating Partnership’s Fifth Amended and Restated Credit Agreement, as amended (such subsidiary guarantors, together with the Company, the “Guarantors”). The subsidiary Guarantors are 100% owned, and the guarantees are full and unconditional and joint and several. Not all of the Company’s subsidiaries have guaranteed the Company’s $350 Million 5% Senior Notes and the $400 Million 5% Senior Notes.</w:t>
      </w:r>
    </w:p>
    <w:p>
      <w:pPr>
        <w:spacing w:after="0" w:line="13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following condensed consolidating financial information includes certain allocations of expenses based on management’s best estimates, which are not necessarily indicative of financial position, results of operations and cash flows that these entities would have achieved on a stand-alone basis.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March 31,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Issuer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Guarantors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1,639,699</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1,508,050</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8"/>
              </w:rPr>
              <w:t>$ 3,147,749</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unrestricted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94,873</w:t>
            </w: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restricted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51,943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51,943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121,923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121,923</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w w:val="92"/>
              </w:rPr>
              <w:t>Trade receivables, less allowance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109,973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109,973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8"/>
              </w:rPr>
              <w:t>Deferred income tax assets,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39,463</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w w:val="88"/>
              </w:rPr>
              <w:t>Prepaid expenses and other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106,755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(19,678)</w:t>
            </w:r>
          </w:p>
        </w:tc>
        <w:tc>
          <w:tcPr>
            <w:tcW w:w="900" w:type="dxa"/>
            <w:vAlign w:val="bottom"/>
          </w:tcPr>
          <w:p>
            <w:pPr>
              <w:jc w:val="right"/>
              <w:spacing w:after="0"/>
              <w:rPr>
                <w:sz w:val="20"/>
                <w:szCs w:val="20"/>
                <w:color w:val="auto"/>
              </w:rPr>
            </w:pPr>
            <w:r>
              <w:rPr>
                <w:rFonts w:ascii="Arial" w:cs="Arial" w:eastAsia="Arial" w:hAnsi="Arial"/>
                <w:sz w:val="18"/>
                <w:szCs w:val="18"/>
                <w:color w:val="auto"/>
              </w:rPr>
              <w:t>90,070</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237,175</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1,955,030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(1,955,030)</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1,079,220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2,950,458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710,297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1,898,757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(6,638,732)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5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1,079,266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2,955,693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4,304,631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4,167,019</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(8,613,440)</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$ 3,893,169</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2"/>
              </w:rPr>
              <w:t>Debt and capital lease obligations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1,958,117</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$ 2,485,179</w:t>
            </w: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Accounts payable and accrued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23,343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9,551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264,501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(12,161)</w:t>
            </w:r>
          </w:p>
        </w:tc>
        <w:tc>
          <w:tcPr>
            <w:tcW w:w="900" w:type="dxa"/>
            <w:vAlign w:val="bottom"/>
          </w:tcPr>
          <w:p>
            <w:pPr>
              <w:jc w:val="right"/>
              <w:spacing w:after="0"/>
              <w:rPr>
                <w:sz w:val="20"/>
                <w:szCs w:val="20"/>
                <w:color w:val="auto"/>
              </w:rPr>
            </w:pPr>
            <w:r>
              <w:rPr>
                <w:rFonts w:ascii="Arial" w:cs="Arial" w:eastAsia="Arial" w:hAnsi="Arial"/>
                <w:sz w:val="18"/>
                <w:szCs w:val="18"/>
                <w:color w:val="auto"/>
              </w:rPr>
              <w:t>285,296</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47,010</w:t>
            </w: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Deferred management rights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proceeds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177,652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177,652</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(4,541)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104,265</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62,188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62,188</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Intercompany payables,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591,730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898,165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465,135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(1,955,030)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w w:val="95"/>
              </w:rPr>
              <w:t>Commitments and contingencies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Noncontrolling interest in</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consolidated joint venture</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291,115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291,115</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Preferred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ind w:left="12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(2,389)</w:t>
            </w:r>
          </w:p>
        </w:tc>
        <w:tc>
          <w:tcPr>
            <w:tcW w:w="900" w:type="dxa"/>
            <w:vAlign w:val="bottom"/>
          </w:tcPr>
          <w:p>
            <w:pPr>
              <w:jc w:val="right"/>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Additional paid-in-capital</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455,253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2,895,842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2,668,134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(6,019,229)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899,164</w:t>
            </w:r>
          </w:p>
        </w:tc>
        <w:tc>
          <w:tcPr>
            <w:tcW w:w="0" w:type="dxa"/>
            <w:vAlign w:val="bottom"/>
          </w:tcPr>
          <w:p>
            <w:pPr>
              <w:spacing w:after="0"/>
              <w:rPr>
                <w:sz w:val="1"/>
                <w:szCs w:val="1"/>
                <w:color w:val="auto"/>
              </w:rPr>
            </w:pPr>
          </w:p>
        </w:tc>
      </w:tr>
      <w:tr>
        <w:trPr>
          <w:trHeight w:val="216"/>
        </w:trPr>
        <w:tc>
          <w:tcPr>
            <w:tcW w:w="2520" w:type="dxa"/>
            <w:vAlign w:val="bottom"/>
          </w:tcPr>
          <w:p>
            <w:pPr>
              <w:ind w:left="120"/>
              <w:spacing w:after="0"/>
              <w:rPr>
                <w:sz w:val="20"/>
                <w:szCs w:val="20"/>
                <w:color w:val="auto"/>
              </w:rPr>
            </w:pPr>
            <w:r>
              <w:rPr>
                <w:rFonts w:ascii="Arial" w:cs="Arial" w:eastAsia="Arial" w:hAnsi="Arial"/>
                <w:sz w:val="18"/>
                <w:szCs w:val="18"/>
                <w:color w:val="auto"/>
              </w:rPr>
              <w:t>Treasury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(15,687)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(15,687)</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(412,905)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(379,186)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1,298,005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(271,083)</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(647,736)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(412,905)</w:t>
            </w:r>
          </w:p>
        </w:tc>
        <w:tc>
          <w:tcPr>
            <w:tcW w:w="0" w:type="dxa"/>
            <w:vAlign w:val="bottom"/>
          </w:tcPr>
          <w:p>
            <w:pPr>
              <w:spacing w:after="0"/>
              <w:rPr>
                <w:sz w:val="1"/>
                <w:szCs w:val="1"/>
                <w:color w:val="auto"/>
              </w:rPr>
            </w:pPr>
          </w:p>
        </w:tc>
      </w:tr>
      <w:tr>
        <w:trPr>
          <w:trHeight w:val="202"/>
        </w:trPr>
        <w:tc>
          <w:tcPr>
            <w:tcW w:w="2520" w:type="dxa"/>
            <w:vAlign w:val="bottom"/>
          </w:tcPr>
          <w:p>
            <w:pPr>
              <w:ind w:left="120"/>
              <w:spacing w:after="0" w:line="201" w:lineRule="exact"/>
              <w:rPr>
                <w:sz w:val="20"/>
                <w:szCs w:val="20"/>
                <w:color w:val="auto"/>
              </w:rPr>
            </w:pPr>
            <w:r>
              <w:rPr>
                <w:rFonts w:ascii="Arial" w:cs="Arial" w:eastAsia="Arial" w:hAnsi="Arial"/>
                <w:sz w:val="18"/>
                <w:szCs w:val="18"/>
                <w:color w:val="auto"/>
              </w:rPr>
              <w:t>Accumulated other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ind w:left="120"/>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(30,622)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(30,622)</w:t>
            </w: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30,622</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(30,622)</w:t>
            </w: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440,464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76,068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4,193,848</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2,368,816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(6,638,732)</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440,464</w:t>
            </w:r>
          </w:p>
        </w:tc>
        <w:tc>
          <w:tcPr>
            <w:tcW w:w="0" w:type="dxa"/>
            <w:vAlign w:val="bottom"/>
          </w:tcPr>
          <w:p>
            <w:pPr>
              <w:spacing w:after="0"/>
              <w:rPr>
                <w:sz w:val="1"/>
                <w:szCs w:val="1"/>
                <w:color w:val="auto"/>
              </w:rPr>
            </w:pPr>
          </w:p>
        </w:tc>
      </w:tr>
      <w:tr>
        <w:trPr>
          <w:trHeight w:val="182"/>
        </w:trPr>
        <w:tc>
          <w:tcPr>
            <w:tcW w:w="2520" w:type="dxa"/>
            <w:vAlign w:val="bottom"/>
          </w:tcPr>
          <w:p>
            <w:pPr>
              <w:ind w:left="440"/>
              <w:spacing w:after="0" w:line="182" w:lineRule="exact"/>
              <w:rPr>
                <w:sz w:val="20"/>
                <w:szCs w:val="20"/>
                <w:color w:val="auto"/>
              </w:rPr>
            </w:pPr>
            <w:r>
              <w:rPr>
                <w:rFonts w:ascii="Arial" w:cs="Arial" w:eastAsia="Arial" w:hAnsi="Arial"/>
                <w:sz w:val="18"/>
                <w:szCs w:val="18"/>
                <w:color w:val="auto"/>
              </w:rPr>
              <w:t>Total liabilities and</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w w:val="99"/>
              </w:rPr>
              <w:t>1,079,266</w:t>
            </w:r>
          </w:p>
        </w:tc>
        <w:tc>
          <w:tcPr>
            <w:tcW w:w="8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2"/>
              </w:rPr>
              <w:t>2,955,693</w:t>
            </w:r>
          </w:p>
        </w:tc>
        <w:tc>
          <w:tcPr>
            <w:tcW w:w="8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w w:val="94"/>
              </w:rPr>
              <w:t>4,304,631</w:t>
            </w:r>
          </w:p>
        </w:tc>
        <w:tc>
          <w:tcPr>
            <w:tcW w:w="80" w:type="dxa"/>
            <w:vAlign w:val="bottom"/>
          </w:tcPr>
          <w:p>
            <w:pPr>
              <w:spacing w:after="0"/>
              <w:rPr>
                <w:sz w:val="15"/>
                <w:szCs w:val="15"/>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w w:val="94"/>
              </w:rPr>
              <w:t>4,167,019</w:t>
            </w:r>
          </w:p>
        </w:tc>
        <w:tc>
          <w:tcPr>
            <w:tcW w:w="140" w:type="dxa"/>
            <w:vAlign w:val="bottom"/>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7"/>
              </w:rPr>
              <w:t>(8,613,440)</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88"/>
              </w:rPr>
              <w:t>$ 3,893,169</w:t>
            </w:r>
          </w:p>
        </w:tc>
        <w:tc>
          <w:tcPr>
            <w:tcW w:w="0" w:type="dxa"/>
            <w:vAlign w:val="bottom"/>
          </w:tcPr>
          <w:p>
            <w:pPr>
              <w:spacing w:after="0"/>
              <w:rPr>
                <w:sz w:val="1"/>
                <w:szCs w:val="1"/>
                <w:color w:val="auto"/>
              </w:rPr>
            </w:pPr>
          </w:p>
        </w:tc>
      </w:tr>
      <w:tr>
        <w:trPr>
          <w:trHeight w:val="224"/>
        </w:trPr>
        <w:tc>
          <w:tcPr>
            <w:tcW w:w="2520" w:type="dxa"/>
            <w:vAlign w:val="bottom"/>
          </w:tcPr>
          <w:p>
            <w:pPr>
              <w:ind w:left="440"/>
              <w:spacing w:after="0"/>
              <w:rPr>
                <w:sz w:val="20"/>
                <w:szCs w:val="20"/>
                <w:color w:val="auto"/>
              </w:rPr>
            </w:pPr>
            <w:r>
              <w:rPr>
                <w:rFonts w:ascii="Arial" w:cs="Arial" w:eastAsia="Arial" w:hAnsi="Arial"/>
                <w:sz w:val="18"/>
                <w:szCs w:val="18"/>
                <w:color w:val="auto"/>
              </w:rPr>
              <w:t>stockholders' equity</w:t>
            </w:r>
          </w:p>
        </w:tc>
        <w:tc>
          <w:tcPr>
            <w:tcW w:w="220" w:type="dxa"/>
            <w:vAlign w:val="bottom"/>
            <w:gridSpan w:val="2"/>
            <w:vMerge w:val="continue"/>
          </w:tcPr>
          <w:p>
            <w:pPr>
              <w:spacing w:after="0"/>
              <w:rPr>
                <w:sz w:val="19"/>
                <w:szCs w:val="19"/>
                <w:color w:val="auto"/>
              </w:rPr>
            </w:pPr>
          </w:p>
        </w:tc>
        <w:tc>
          <w:tcPr>
            <w:tcW w:w="8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8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gridSpan w:val="2"/>
            <w:vMerge w:val="continue"/>
          </w:tcPr>
          <w:p>
            <w:pPr>
              <w:spacing w:after="0"/>
              <w:rPr>
                <w:sz w:val="19"/>
                <w:szCs w:val="19"/>
                <w:color w:val="auto"/>
              </w:rPr>
            </w:pPr>
          </w:p>
        </w:tc>
        <w:tc>
          <w:tcPr>
            <w:tcW w:w="8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BALANCE SHEET December 31,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Issuer</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2"/>
              </w:rPr>
              <w:t>Guarantors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100" w:type="dxa"/>
            <w:vAlign w:val="bottom"/>
          </w:tcPr>
          <w:p>
            <w:pPr>
              <w:spacing w:after="0"/>
              <w:rPr>
                <w:sz w:val="14"/>
                <w:szCs w:val="14"/>
                <w:color w:val="auto"/>
              </w:rPr>
            </w:pP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Eliminations</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Guarantors</w:t>
            </w:r>
          </w:p>
        </w:tc>
        <w:tc>
          <w:tcPr>
            <w:tcW w:w="10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Property and equipment, net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1,646,946</w:t>
            </w:r>
          </w:p>
        </w:tc>
        <w:tc>
          <w:tcPr>
            <w:tcW w:w="8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1,502,149</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8"/>
              </w:rPr>
              <w:t>$ 3,149,095</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unrestricted</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103,437</w:t>
            </w: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Cash and cash equivalents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restricted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45,652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45,652</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Notes receivable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122,209</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w w:val="92"/>
              </w:rPr>
              <w:t>Trade receivables, less allowance</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67,923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67,923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8"/>
              </w:rPr>
              <w:t>Deferred income tax assets, net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40,557</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w w:val="88"/>
              </w:rPr>
              <w:t>Prepaid expenses and other assets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79,460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(1,254)</w:t>
            </w:r>
          </w:p>
        </w:tc>
        <w:tc>
          <w:tcPr>
            <w:tcW w:w="900" w:type="dxa"/>
            <w:vAlign w:val="bottom"/>
          </w:tcPr>
          <w:p>
            <w:pPr>
              <w:jc w:val="right"/>
              <w:spacing w:after="0"/>
              <w:rPr>
                <w:sz w:val="20"/>
                <w:szCs w:val="20"/>
                <w:color w:val="auto"/>
              </w:rPr>
            </w:pPr>
            <w:r>
              <w:rPr>
                <w:rFonts w:ascii="Arial" w:cs="Arial" w:eastAsia="Arial" w:hAnsi="Arial"/>
                <w:sz w:val="18"/>
                <w:szCs w:val="18"/>
                <w:color w:val="auto"/>
              </w:rPr>
              <w:t>78,240</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246,770</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Intercompany receivables,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1,895,086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(1,895,086)</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1,101,740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2,950,457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710,516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1,898,756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(6,661,469)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5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1,101,821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2,951,148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4,252,158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4,106,565</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(8,557,809)</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$ 3,853,883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line="198" w:lineRule="exact"/>
              <w:rPr>
                <w:sz w:val="20"/>
                <w:szCs w:val="20"/>
                <w:color w:val="auto"/>
              </w:rPr>
            </w:pPr>
            <w:r>
              <w:rPr>
                <w:rFonts w:ascii="Arial" w:cs="Arial" w:eastAsia="Arial" w:hAnsi="Arial"/>
                <w:sz w:val="18"/>
                <w:szCs w:val="18"/>
                <w:b w:val="1"/>
                <w:bCs w:val="1"/>
                <w:color w:val="auto"/>
              </w:rPr>
              <w:t>LIABILITIES 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2"/>
              </w:rPr>
              <w:t>Debt and capital lease obligations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1,946,699</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495,196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$ 2,441,895</w:t>
            </w: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Accounts payable and accrued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13,752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7,253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255,089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(1,254)</w:t>
            </w:r>
          </w:p>
        </w:tc>
        <w:tc>
          <w:tcPr>
            <w:tcW w:w="900" w:type="dxa"/>
            <w:vAlign w:val="bottom"/>
          </w:tcPr>
          <w:p>
            <w:pPr>
              <w:jc w:val="right"/>
              <w:spacing w:after="0"/>
              <w:rPr>
                <w:sz w:val="20"/>
                <w:szCs w:val="20"/>
                <w:color w:val="auto"/>
              </w:rPr>
            </w:pPr>
            <w:r>
              <w:rPr>
                <w:rFonts w:ascii="Arial" w:cs="Arial" w:eastAsia="Arial" w:hAnsi="Arial"/>
                <w:sz w:val="18"/>
                <w:szCs w:val="18"/>
                <w:color w:val="auto"/>
              </w:rPr>
              <w:t>274,890</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45,019</w:t>
            </w: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Deferred management rights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proceeds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174,026</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174,026</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161,043</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Intercompany payables, net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587,175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846,478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461,433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(1,895,086)</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w w:val="95"/>
              </w:rPr>
              <w:t>Commitments and contingencies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tcPr>
          <w:p>
            <w:pPr>
              <w:spacing w:after="0" w:line="201" w:lineRule="exact"/>
              <w:rPr>
                <w:sz w:val="20"/>
                <w:szCs w:val="20"/>
                <w:color w:val="auto"/>
              </w:rPr>
            </w:pPr>
            <w:r>
              <w:rPr>
                <w:rFonts w:ascii="Arial" w:cs="Arial" w:eastAsia="Arial" w:hAnsi="Arial"/>
                <w:sz w:val="18"/>
                <w:szCs w:val="18"/>
                <w:color w:val="auto"/>
              </w:rPr>
              <w:t>Noncontrolling interest in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tcPr>
          <w:p>
            <w:pPr>
              <w:spacing w:after="0"/>
              <w:rPr>
                <w:sz w:val="20"/>
                <w:szCs w:val="20"/>
                <w:color w:val="auto"/>
              </w:rPr>
            </w:pPr>
            <w:r>
              <w:rPr>
                <w:rFonts w:ascii="Arial" w:cs="Arial" w:eastAsia="Arial" w:hAnsi="Arial"/>
                <w:sz w:val="18"/>
                <w:szCs w:val="18"/>
                <w:color w:val="auto"/>
              </w:rPr>
              <w:t>consolidated joint venture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287,433</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287,433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ind w:left="120"/>
              <w:spacing w:after="0"/>
              <w:rPr>
                <w:sz w:val="20"/>
                <w:szCs w:val="20"/>
                <w:color w:val="auto"/>
              </w:rPr>
            </w:pPr>
            <w:r>
              <w:rPr>
                <w:rFonts w:ascii="Arial" w:cs="Arial" w:eastAsia="Arial" w:hAnsi="Arial"/>
                <w:sz w:val="18"/>
                <w:szCs w:val="18"/>
                <w:color w:val="auto"/>
              </w:rPr>
              <w:t>Preferred stock</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Common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2520" w:type="dxa"/>
            <w:vAlign w:val="bottom"/>
          </w:tcPr>
          <w:p>
            <w:pPr>
              <w:ind w:left="120"/>
              <w:spacing w:after="0"/>
              <w:rPr>
                <w:sz w:val="20"/>
                <w:szCs w:val="20"/>
                <w:color w:val="auto"/>
              </w:rPr>
            </w:pPr>
            <w:r>
              <w:rPr>
                <w:rFonts w:ascii="Arial" w:cs="Arial" w:eastAsia="Arial" w:hAnsi="Arial"/>
                <w:sz w:val="18"/>
                <w:szCs w:val="18"/>
                <w:color w:val="auto"/>
              </w:rPr>
              <w:t>Additional paid-in-capital</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900,795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499,122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2,895,842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2,668,134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(6,063,098)</w:t>
            </w:r>
          </w:p>
        </w:tc>
        <w:tc>
          <w:tcPr>
            <w:tcW w:w="900" w:type="dxa"/>
            <w:vAlign w:val="bottom"/>
          </w:tcPr>
          <w:p>
            <w:pPr>
              <w:jc w:val="right"/>
              <w:spacing w:after="0"/>
              <w:rPr>
                <w:sz w:val="20"/>
                <w:szCs w:val="20"/>
                <w:color w:val="auto"/>
              </w:rPr>
            </w:pPr>
            <w:r>
              <w:rPr>
                <w:rFonts w:ascii="Arial" w:cs="Arial" w:eastAsia="Arial" w:hAnsi="Arial"/>
                <w:sz w:val="18"/>
                <w:szCs w:val="18"/>
                <w:color w:val="auto"/>
              </w:rPr>
              <w:t>900,795</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Treasury stock</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(15,183)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(15,183)</w:t>
            </w:r>
          </w:p>
        </w:tc>
        <w:tc>
          <w:tcPr>
            <w:tcW w:w="0" w:type="dxa"/>
            <w:vAlign w:val="bottom"/>
          </w:tcPr>
          <w:p>
            <w:pPr>
              <w:spacing w:after="0"/>
              <w:rPr>
                <w:sz w:val="1"/>
                <w:szCs w:val="1"/>
                <w:color w:val="auto"/>
              </w:rPr>
            </w:pPr>
          </w:p>
        </w:tc>
      </w:tr>
      <w:tr>
        <w:trPr>
          <w:trHeight w:val="216"/>
        </w:trPr>
        <w:tc>
          <w:tcPr>
            <w:tcW w:w="2520" w:type="dxa"/>
            <w:vAlign w:val="bottom"/>
          </w:tcPr>
          <w:p>
            <w:pPr>
              <w:ind w:left="120"/>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(388,524)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(354,904)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1,248,994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(270,084)</w:t>
            </w:r>
          </w:p>
        </w:tc>
        <w:tc>
          <w:tcPr>
            <w:tcW w:w="10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(624,006)</w:t>
            </w:r>
          </w:p>
        </w:tc>
        <w:tc>
          <w:tcPr>
            <w:tcW w:w="900" w:type="dxa"/>
            <w:vAlign w:val="bottom"/>
          </w:tcPr>
          <w:p>
            <w:pPr>
              <w:jc w:val="right"/>
              <w:spacing w:after="0"/>
              <w:rPr>
                <w:sz w:val="20"/>
                <w:szCs w:val="20"/>
                <w:color w:val="auto"/>
              </w:rPr>
            </w:pPr>
            <w:r>
              <w:rPr>
                <w:rFonts w:ascii="Arial" w:cs="Arial" w:eastAsia="Arial" w:hAnsi="Arial"/>
                <w:sz w:val="18"/>
                <w:szCs w:val="18"/>
                <w:color w:val="auto"/>
              </w:rPr>
              <w:t>(388,524)</w:t>
            </w: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Accumulated other</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(28,024)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(28,024)</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(28,024)</w:t>
            </w:r>
          </w:p>
        </w:tc>
        <w:tc>
          <w:tcPr>
            <w:tcW w:w="0" w:type="dxa"/>
            <w:vAlign w:val="bottom"/>
          </w:tcPr>
          <w:p>
            <w:pPr>
              <w:spacing w:after="0"/>
              <w:rPr>
                <w:sz w:val="1"/>
                <w:szCs w:val="1"/>
                <w:color w:val="auto"/>
              </w:rPr>
            </w:pPr>
          </w:p>
        </w:tc>
      </w:tr>
      <w:tr>
        <w:trPr>
          <w:trHeight w:val="210"/>
        </w:trPr>
        <w:tc>
          <w:tcPr>
            <w:tcW w:w="25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469,577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144,219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4,144,837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2,372,413</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(6,661,469)</w:t>
            </w:r>
          </w:p>
        </w:tc>
        <w:tc>
          <w:tcPr>
            <w:tcW w:w="14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469,577</w:t>
            </w: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ind w:left="440"/>
              <w:spacing w:after="0" w:line="182" w:lineRule="exact"/>
              <w:rPr>
                <w:sz w:val="20"/>
                <w:szCs w:val="20"/>
                <w:color w:val="auto"/>
              </w:rPr>
            </w:pPr>
            <w:r>
              <w:rPr>
                <w:rFonts w:ascii="Arial" w:cs="Arial" w:eastAsia="Arial" w:hAnsi="Arial"/>
                <w:sz w:val="18"/>
                <w:szCs w:val="18"/>
                <w:color w:val="auto"/>
              </w:rPr>
              <w:t>Total liabilities and</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1,101,821</w:t>
            </w:r>
          </w:p>
        </w:tc>
        <w:tc>
          <w:tcPr>
            <w:tcW w:w="8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2,951,148</w:t>
            </w:r>
          </w:p>
        </w:tc>
        <w:tc>
          <w:tcPr>
            <w:tcW w:w="8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4,252,158</w:t>
            </w:r>
          </w:p>
        </w:tc>
        <w:tc>
          <w:tcPr>
            <w:tcW w:w="80" w:type="dxa"/>
            <w:vAlign w:val="bottom"/>
            <w:shd w:val="clear" w:color="auto" w:fill="CCEEFF"/>
          </w:tcPr>
          <w:p>
            <w:pPr>
              <w:spacing w:after="0"/>
              <w:rPr>
                <w:sz w:val="15"/>
                <w:szCs w:val="15"/>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4,106,565</w:t>
            </w:r>
          </w:p>
        </w:tc>
        <w:tc>
          <w:tcPr>
            <w:tcW w:w="14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w w:val="97"/>
              </w:rPr>
              <w:t>(8,557,809)</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$ 3,853,883</w:t>
            </w:r>
          </w:p>
        </w:tc>
        <w:tc>
          <w:tcPr>
            <w:tcW w:w="0" w:type="dxa"/>
            <w:vAlign w:val="bottom"/>
          </w:tcPr>
          <w:p>
            <w:pPr>
              <w:spacing w:after="0"/>
              <w:rPr>
                <w:sz w:val="1"/>
                <w:szCs w:val="1"/>
                <w:color w:val="auto"/>
              </w:rPr>
            </w:pPr>
          </w:p>
        </w:tc>
      </w:tr>
      <w:tr>
        <w:trPr>
          <w:trHeight w:val="224"/>
        </w:trPr>
        <w:tc>
          <w:tcPr>
            <w:tcW w:w="2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stockholders' equity</w:t>
            </w:r>
          </w:p>
        </w:tc>
        <w:tc>
          <w:tcPr>
            <w:tcW w:w="22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gridSpan w:val="2"/>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25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Three Months Ended March 31,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Parent</w:t>
            </w:r>
          </w:p>
        </w:tc>
        <w:tc>
          <w:tcPr>
            <w:tcW w:w="120" w:type="dxa"/>
            <w:vAlign w:val="bottom"/>
          </w:tcPr>
          <w:p>
            <w:pPr>
              <w:spacing w:after="0"/>
              <w:rPr>
                <w:sz w:val="14"/>
                <w:szCs w:val="14"/>
                <w:color w:val="auto"/>
              </w:rPr>
            </w:pPr>
          </w:p>
        </w:tc>
        <w:tc>
          <w:tcPr>
            <w:tcW w:w="7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6"/>
              </w:rPr>
              <w:t>Issuer</w:t>
            </w:r>
          </w:p>
        </w:tc>
        <w:tc>
          <w:tcPr>
            <w:tcW w:w="8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Guarantors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Non-</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0" w:type="dxa"/>
            <w:vAlign w:val="bottom"/>
          </w:tcPr>
          <w:p>
            <w:pPr>
              <w:spacing w:after="0"/>
              <w:rPr>
                <w:sz w:val="14"/>
                <w:szCs w:val="14"/>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20"/>
                <w:szCs w:val="20"/>
                <w:color w:val="auto"/>
              </w:rPr>
            </w:pPr>
            <w:r>
              <w:rPr>
                <w:rFonts w:ascii="Arial" w:cs="Arial" w:eastAsia="Arial" w:hAnsi="Arial"/>
                <w:sz w:val="14"/>
                <w:szCs w:val="14"/>
                <w:color w:val="auto"/>
              </w:rPr>
              <w:t>(in thousands)</w:t>
            </w: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7"/>
              </w:rPr>
              <w:t>Guarantor</w:t>
            </w: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Guarantors</w:t>
            </w: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132,212</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132,212</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171,143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171,143</w:t>
            </w: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80,410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48,424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(94,679)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34,155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33,265</w:t>
            </w:r>
          </w:p>
        </w:tc>
        <w:tc>
          <w:tcPr>
            <w:tcW w:w="0" w:type="dxa"/>
            <w:vAlign w:val="bottom"/>
          </w:tcPr>
          <w:p>
            <w:pPr>
              <w:spacing w:after="0"/>
              <w:rPr>
                <w:sz w:val="1"/>
                <w:szCs w:val="1"/>
                <w:color w:val="auto"/>
              </w:rPr>
            </w:pPr>
          </w:p>
        </w:tc>
      </w:tr>
      <w:tr>
        <w:trPr>
          <w:trHeight w:val="210"/>
        </w:trPr>
        <w:tc>
          <w:tcPr>
            <w:tcW w:w="354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80,410</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385,568</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(95,203)</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370,775</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Rooms</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34,969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34,969</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91,359</w:t>
            </w: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Other hotel expenses</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12,052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169,982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(91,095)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90,939</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9,756</w:t>
            </w:r>
          </w:p>
        </w:tc>
        <w:tc>
          <w:tcPr>
            <w:tcW w:w="0" w:type="dxa"/>
            <w:vAlign w:val="bottom"/>
          </w:tcPr>
          <w:p>
            <w:pPr>
              <w:spacing w:after="0"/>
              <w:rPr>
                <w:sz w:val="1"/>
                <w:szCs w:val="1"/>
                <w:color w:val="auto"/>
              </w:rPr>
            </w:pPr>
          </w:p>
        </w:tc>
      </w:tr>
      <w:tr>
        <w:trPr>
          <w:trHeight w:val="210"/>
        </w:trPr>
        <w:tc>
          <w:tcPr>
            <w:tcW w:w="354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12,052</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306,066</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(91,095)</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227,023</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25,694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25,641</w:t>
            </w: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8,489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9,004</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2,134</w:t>
            </w:r>
          </w:p>
        </w:tc>
        <w:tc>
          <w:tcPr>
            <w:tcW w:w="0" w:type="dxa"/>
            <w:vAlign w:val="bottom"/>
          </w:tcPr>
          <w:p>
            <w:pPr>
              <w:spacing w:after="0"/>
              <w:rPr>
                <w:sz w:val="1"/>
                <w:szCs w:val="1"/>
                <w:color w:val="auto"/>
              </w:rPr>
            </w:pPr>
          </w:p>
        </w:tc>
      </w:tr>
      <w:tr>
        <w:trPr>
          <w:trHeight w:val="216"/>
        </w:trPr>
        <w:tc>
          <w:tcPr>
            <w:tcW w:w="3540" w:type="dxa"/>
            <w:vAlign w:val="bottom"/>
          </w:tcPr>
          <w:p>
            <w:pPr>
              <w:ind w:left="120"/>
              <w:spacing w:after="0"/>
              <w:rPr>
                <w:sz w:val="20"/>
                <w:szCs w:val="20"/>
                <w:color w:val="auto"/>
              </w:rPr>
            </w:pPr>
            <w:r>
              <w:rPr>
                <w:rFonts w:ascii="Arial" w:cs="Arial" w:eastAsia="Arial" w:hAnsi="Arial"/>
                <w:sz w:val="18"/>
                <w:szCs w:val="18"/>
                <w:color w:val="auto"/>
              </w:rPr>
              <w:t>Corporate overhead allocation</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16,250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36,759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53,009</w:t>
            </w: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31,361</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379,142</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(95,203)</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316,811</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49,049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53,964</w:t>
            </w:r>
          </w:p>
        </w:tc>
        <w:tc>
          <w:tcPr>
            <w:tcW w:w="0" w:type="dxa"/>
            <w:vAlign w:val="bottom"/>
          </w:tcPr>
          <w:p>
            <w:pPr>
              <w:spacing w:after="0"/>
              <w:rPr>
                <w:sz w:val="1"/>
                <w:szCs w:val="1"/>
                <w:color w:val="auto"/>
              </w:rPr>
            </w:pPr>
          </w:p>
        </w:tc>
      </w:tr>
      <w:tr>
        <w:trPr>
          <w:trHeight w:val="210"/>
        </w:trPr>
        <w:tc>
          <w:tcPr>
            <w:tcW w:w="354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(23,839)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(8,354)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106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(32,087)</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2,908</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(141)</w:t>
            </w: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(24,282)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49,049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24,644</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(1,936)</w:t>
            </w:r>
          </w:p>
        </w:tc>
        <w:tc>
          <w:tcPr>
            <w:tcW w:w="160" w:type="dxa"/>
            <w:vAlign w:val="bottom"/>
          </w:tcPr>
          <w:p>
            <w:pPr>
              <w:spacing w:after="0"/>
              <w:rPr>
                <w:sz w:val="18"/>
                <w:szCs w:val="18"/>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Equity in subsidiaries’ earnings, net</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(23,730)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22,670</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(24,282)</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49,011</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(23,730)</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22,670</w:t>
            </w:r>
          </w:p>
        </w:tc>
        <w:tc>
          <w:tcPr>
            <w:tcW w:w="0" w:type="dxa"/>
            <w:vAlign w:val="bottom"/>
          </w:tcPr>
          <w:p>
            <w:pPr>
              <w:spacing w:after="0"/>
              <w:rPr>
                <w:sz w:val="1"/>
                <w:szCs w:val="1"/>
                <w:color w:val="auto"/>
              </w:rPr>
            </w:pPr>
          </w:p>
        </w:tc>
      </w:tr>
      <w:tr>
        <w:trPr>
          <w:trHeight w:val="236"/>
        </w:trPr>
        <w:tc>
          <w:tcPr>
            <w:tcW w:w="3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Comprehensive income (loss), net of taxes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22,779</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(24,282)</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49,011</w:t>
            </w:r>
          </w:p>
        </w:tc>
        <w:tc>
          <w:tcPr>
            <w:tcW w:w="1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(23,839)</w:t>
            </w: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22,779</w:t>
            </w:r>
          </w:p>
        </w:tc>
        <w:tc>
          <w:tcPr>
            <w:tcW w:w="0" w:type="dxa"/>
            <w:vAlign w:val="bottom"/>
          </w:tcPr>
          <w:p>
            <w:pPr>
              <w:spacing w:after="0"/>
              <w:rPr>
                <w:sz w:val="1"/>
                <w:szCs w:val="1"/>
                <w:color w:val="auto"/>
              </w:rPr>
            </w:pPr>
          </w:p>
        </w:tc>
      </w:tr>
      <w:tr>
        <w:trPr>
          <w:trHeight w:val="175"/>
        </w:trPr>
        <w:tc>
          <w:tcPr>
            <w:tcW w:w="3540" w:type="dxa"/>
            <w:vAlign w:val="bottom"/>
          </w:tcPr>
          <w:p>
            <w:pPr>
              <w:ind w:left="120"/>
              <w:spacing w:after="0" w:line="176" w:lineRule="exact"/>
              <w:rPr>
                <w:sz w:val="20"/>
                <w:szCs w:val="20"/>
                <w:color w:val="auto"/>
              </w:rPr>
            </w:pPr>
            <w:r>
              <w:rPr>
                <w:rFonts w:ascii="Arial" w:cs="Arial" w:eastAsia="Arial" w:hAnsi="Arial"/>
                <w:sz w:val="18"/>
                <w:szCs w:val="18"/>
                <w:color w:val="auto"/>
              </w:rPr>
              <w:t>Net income (loss) available to common</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29,408</w:t>
            </w:r>
          </w:p>
        </w:tc>
        <w:tc>
          <w:tcPr>
            <w:tcW w:w="160" w:type="dxa"/>
            <w:vAlign w:val="bottom"/>
          </w:tcPr>
          <w:p>
            <w:pPr>
              <w:spacing w:after="0"/>
              <w:rPr>
                <w:sz w:val="15"/>
                <w:szCs w:val="15"/>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w w:val="92"/>
              </w:rPr>
              <w:t>(24,282)</w:t>
            </w: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w w:val="98"/>
              </w:rPr>
              <w:t>49,011</w:t>
            </w:r>
          </w:p>
        </w:tc>
        <w:tc>
          <w:tcPr>
            <w:tcW w:w="280" w:type="dxa"/>
            <w:vAlign w:val="bottom"/>
            <w:gridSpan w:val="2"/>
            <w:vMerge w:val="restart"/>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(999)</w:t>
            </w:r>
          </w:p>
        </w:tc>
        <w:tc>
          <w:tcPr>
            <w:tcW w:w="160" w:type="dxa"/>
            <w:vAlign w:val="bottom"/>
            <w:vMerge w:val="restart"/>
          </w:tcPr>
          <w:p>
            <w:pPr>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w w:val="98"/>
              </w:rPr>
              <w:t>(23,730)</w:t>
            </w:r>
          </w:p>
        </w:tc>
        <w:tc>
          <w:tcPr>
            <w:tcW w:w="24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29,408</w:t>
            </w:r>
          </w:p>
        </w:tc>
        <w:tc>
          <w:tcPr>
            <w:tcW w:w="0" w:type="dxa"/>
            <w:vAlign w:val="bottom"/>
          </w:tcPr>
          <w:p>
            <w:pPr>
              <w:spacing w:after="0"/>
              <w:rPr>
                <w:sz w:val="1"/>
                <w:szCs w:val="1"/>
                <w:color w:val="auto"/>
              </w:rPr>
            </w:pPr>
          </w:p>
        </w:tc>
      </w:tr>
      <w:tr>
        <w:trPr>
          <w:trHeight w:val="217"/>
        </w:trPr>
        <w:tc>
          <w:tcPr>
            <w:tcW w:w="3540" w:type="dxa"/>
            <w:vAlign w:val="bottom"/>
          </w:tcPr>
          <w:p>
            <w:pPr>
              <w:ind w:left="120"/>
              <w:spacing w:after="0"/>
              <w:rPr>
                <w:sz w:val="20"/>
                <w:szCs w:val="20"/>
                <w:color w:val="auto"/>
              </w:rPr>
            </w:pPr>
            <w:r>
              <w:rPr>
                <w:rFonts w:ascii="Arial" w:cs="Arial" w:eastAsia="Arial" w:hAnsi="Arial"/>
                <w:sz w:val="18"/>
                <w:szCs w:val="18"/>
                <w:color w:val="auto"/>
              </w:rPr>
              <w:t>shareholders</w:t>
            </w:r>
          </w:p>
        </w:tc>
        <w:tc>
          <w:tcPr>
            <w:tcW w:w="120" w:type="dxa"/>
            <w:vAlign w:val="bottom"/>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40" w:type="dxa"/>
            <w:vAlign w:val="bottom"/>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5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w w:val="98"/>
              </w:rPr>
              <w:t>Comprehensive income (loss), net of taxes,</w:t>
            </w: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540" w:type="dxa"/>
            <w:vAlign w:val="bottom"/>
            <w:vMerge w:val="continue"/>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29,517</w:t>
            </w:r>
          </w:p>
        </w:tc>
        <w:tc>
          <w:tcPr>
            <w:tcW w:w="16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w w:val="92"/>
              </w:rPr>
              <w:t>(24,282)</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49,011</w:t>
            </w:r>
          </w:p>
        </w:tc>
        <w:tc>
          <w:tcPr>
            <w:tcW w:w="28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(890)</w:t>
            </w:r>
          </w:p>
        </w:tc>
        <w:tc>
          <w:tcPr>
            <w:tcW w:w="1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(23,839)</w:t>
            </w:r>
          </w:p>
        </w:tc>
        <w:tc>
          <w:tcPr>
            <w:tcW w:w="24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29,517</w:t>
            </w:r>
          </w:p>
        </w:tc>
        <w:tc>
          <w:tcPr>
            <w:tcW w:w="0" w:type="dxa"/>
            <w:vAlign w:val="bottom"/>
          </w:tcPr>
          <w:p>
            <w:pPr>
              <w:spacing w:after="0"/>
              <w:rPr>
                <w:sz w:val="1"/>
                <w:szCs w:val="1"/>
                <w:color w:val="auto"/>
              </w:rPr>
            </w:pPr>
          </w:p>
        </w:tc>
      </w:tr>
      <w:tr>
        <w:trPr>
          <w:trHeight w:val="224"/>
        </w:trPr>
        <w:tc>
          <w:tcPr>
            <w:tcW w:w="3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available to common shareholders</w:t>
            </w:r>
          </w:p>
        </w:tc>
        <w:tc>
          <w:tcPr>
            <w:tcW w:w="120" w:type="dxa"/>
            <w:vAlign w:val="bottom"/>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740" w:type="dxa"/>
            <w:vAlign w:val="bottom"/>
            <w:tcBorders>
              <w:right w:val="single" w:sz="8" w:color="CCEEFF"/>
            </w:tcBorders>
            <w:vMerge w:val="continue"/>
            <w:shd w:val="clear" w:color="auto" w:fill="CCEEFF"/>
          </w:tcPr>
          <w:p>
            <w:pPr>
              <w:spacing w:after="0"/>
              <w:rPr>
                <w:sz w:val="19"/>
                <w:szCs w:val="19"/>
                <w:color w:val="auto"/>
              </w:rPr>
            </w:pPr>
          </w:p>
        </w:tc>
        <w:tc>
          <w:tcPr>
            <w:tcW w:w="240" w:type="dxa"/>
            <w:vAlign w:val="bottom"/>
            <w:gridSpan w:val="2"/>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354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19</w:t>
            </w: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line="261"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OPERATIONS AND COMPREHENSIVE INCOME For the Three Months Ended March 31, 2018</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Issuer</w:t>
            </w:r>
          </w:p>
        </w:tc>
        <w:tc>
          <w:tcPr>
            <w:tcW w:w="80" w:type="dxa"/>
            <w:vAlign w:val="bottom"/>
          </w:tcPr>
          <w:p>
            <w:pPr>
              <w:spacing w:after="0"/>
              <w:rPr>
                <w:sz w:val="14"/>
                <w:szCs w:val="14"/>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20" w:type="dxa"/>
            <w:vAlign w:val="bottom"/>
          </w:tcPr>
          <w:p>
            <w:pPr>
              <w:spacing w:after="0"/>
              <w:rPr>
                <w:sz w:val="14"/>
                <w:szCs w:val="14"/>
                <w:color w:val="auto"/>
              </w:rPr>
            </w:pP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Arial" w:cs="Arial" w:eastAsia="Arial" w:hAnsi="Arial"/>
                <w:sz w:val="14"/>
                <w:szCs w:val="14"/>
                <w:color w:val="auto"/>
              </w:rPr>
              <w:t>(in thousands)</w:t>
            </w:r>
          </w:p>
        </w:tc>
        <w:tc>
          <w:tcPr>
            <w:tcW w:w="4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8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Guarantors</w:t>
            </w:r>
          </w:p>
        </w:tc>
        <w:tc>
          <w:tcPr>
            <w:tcW w:w="8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Rooms</w:t>
            </w: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107,564</w:t>
            </w:r>
          </w:p>
        </w:tc>
        <w:tc>
          <w:tcPr>
            <w:tcW w:w="8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107,564</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132,939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132,939</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Other hotel revenue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76,243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29,238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(80,873)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24,608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23,259</w:t>
            </w:r>
          </w:p>
        </w:tc>
        <w:tc>
          <w:tcPr>
            <w:tcW w:w="0" w:type="dxa"/>
            <w:vAlign w:val="bottom"/>
          </w:tcPr>
          <w:p>
            <w:pPr>
              <w:spacing w:after="0"/>
              <w:rPr>
                <w:sz w:val="1"/>
                <w:szCs w:val="1"/>
                <w:color w:val="auto"/>
              </w:rPr>
            </w:pPr>
          </w:p>
        </w:tc>
      </w:tr>
      <w:tr>
        <w:trPr>
          <w:trHeight w:val="210"/>
        </w:trPr>
        <w:tc>
          <w:tcPr>
            <w:tcW w:w="30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76,243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293,024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(80,897)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288,370</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Rooms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28,928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28,928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71,978</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Other hotel expenses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11,827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140,187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(76,132)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75,882</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Management fees,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7,130</w:t>
            </w:r>
          </w:p>
        </w:tc>
        <w:tc>
          <w:tcPr>
            <w:tcW w:w="0" w:type="dxa"/>
            <w:vAlign w:val="bottom"/>
          </w:tcPr>
          <w:p>
            <w:pPr>
              <w:spacing w:after="0"/>
              <w:rPr>
                <w:sz w:val="1"/>
                <w:szCs w:val="1"/>
                <w:color w:val="auto"/>
              </w:rPr>
            </w:pPr>
          </w:p>
        </w:tc>
      </w:tr>
      <w:tr>
        <w:trPr>
          <w:trHeight w:val="210"/>
        </w:trPr>
        <w:tc>
          <w:tcPr>
            <w:tcW w:w="3060" w:type="dxa"/>
            <w:vAlign w:val="bottom"/>
          </w:tcPr>
          <w:p>
            <w:pPr>
              <w:ind w:left="220"/>
              <w:spacing w:after="0"/>
              <w:rPr>
                <w:sz w:val="20"/>
                <w:szCs w:val="20"/>
                <w:color w:val="auto"/>
              </w:rPr>
            </w:pPr>
            <w:r>
              <w:rPr>
                <w:rFonts w:ascii="Arial" w:cs="Arial" w:eastAsia="Arial" w:hAnsi="Arial"/>
                <w:sz w:val="18"/>
                <w:szCs w:val="18"/>
                <w:color w:val="auto"/>
              </w:rPr>
              <w:t>Total hotel operating expenses</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11,827</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248,223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(76,132)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183,918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Entertainment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19,366</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Corporate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8,329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Preopening costs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2,147</w:t>
            </w:r>
          </w:p>
        </w:tc>
        <w:tc>
          <w:tcPr>
            <w:tcW w:w="0" w:type="dxa"/>
            <w:vAlign w:val="bottom"/>
          </w:tcPr>
          <w:p>
            <w:pPr>
              <w:spacing w:after="0"/>
              <w:rPr>
                <w:sz w:val="1"/>
                <w:szCs w:val="1"/>
                <w:color w:val="auto"/>
              </w:rPr>
            </w:pPr>
          </w:p>
        </w:tc>
      </w:tr>
      <w:tr>
        <w:trPr>
          <w:trHeight w:val="216"/>
        </w:trPr>
        <w:tc>
          <w:tcPr>
            <w:tcW w:w="3060" w:type="dxa"/>
            <w:vAlign w:val="bottom"/>
          </w:tcPr>
          <w:p>
            <w:pPr>
              <w:ind w:left="120"/>
              <w:spacing w:after="0"/>
              <w:rPr>
                <w:sz w:val="20"/>
                <w:szCs w:val="20"/>
                <w:color w:val="auto"/>
              </w:rPr>
            </w:pPr>
            <w:r>
              <w:rPr>
                <w:rFonts w:ascii="Arial" w:cs="Arial" w:eastAsia="Arial" w:hAnsi="Arial"/>
                <w:sz w:val="18"/>
                <w:szCs w:val="18"/>
                <w:color w:val="auto"/>
              </w:rPr>
              <w:t>Corporate overhead allocation</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(4,741)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28,666</w:t>
            </w:r>
          </w:p>
        </w:tc>
        <w:tc>
          <w:tcPr>
            <w:tcW w:w="0" w:type="dxa"/>
            <w:vAlign w:val="bottom"/>
          </w:tcPr>
          <w:p>
            <w:pPr>
              <w:spacing w:after="0"/>
              <w:rPr>
                <w:sz w:val="1"/>
                <w:szCs w:val="1"/>
                <w:color w:val="auto"/>
              </w:rPr>
            </w:pPr>
          </w:p>
        </w:tc>
      </w:tr>
      <w:tr>
        <w:trPr>
          <w:trHeight w:val="210"/>
        </w:trPr>
        <w:tc>
          <w:tcPr>
            <w:tcW w:w="3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4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28,683</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291,601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(80,897)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242,426</w:t>
            </w: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47,560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45,944</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(16,723)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(16,729)</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Loss from joint ventures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(2,588)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(2,588)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Other gains and (losses),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0"/>
        </w:trPr>
        <w:tc>
          <w:tcPr>
            <w:tcW w:w="306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(2,678)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(17,084)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47,560</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29,548</w:t>
            </w:r>
          </w:p>
        </w:tc>
        <w:tc>
          <w:tcPr>
            <w:tcW w:w="0" w:type="dxa"/>
            <w:vAlign w:val="bottom"/>
          </w:tcPr>
          <w:p>
            <w:pPr>
              <w:spacing w:after="0"/>
              <w:rPr>
                <w:sz w:val="1"/>
                <w:szCs w:val="1"/>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(2,574)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Equity in subsidiaries’ earnings,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30,017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(30,017)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06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4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27,339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(17,084)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47,925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(30,017)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27,339</w:t>
            </w:r>
          </w:p>
        </w:tc>
        <w:tc>
          <w:tcPr>
            <w:tcW w:w="0" w:type="dxa"/>
            <w:vAlign w:val="bottom"/>
          </w:tcPr>
          <w:p>
            <w:pPr>
              <w:spacing w:after="0"/>
              <w:rPr>
                <w:sz w:val="1"/>
                <w:szCs w:val="1"/>
                <w:color w:val="auto"/>
              </w:rPr>
            </w:pPr>
          </w:p>
        </w:tc>
      </w:tr>
      <w:tr>
        <w:trPr>
          <w:trHeight w:val="210"/>
        </w:trPr>
        <w:tc>
          <w:tcPr>
            <w:tcW w:w="3060" w:type="dxa"/>
            <w:vAlign w:val="bottom"/>
          </w:tcPr>
          <w:p>
            <w:pPr>
              <w:ind w:left="120"/>
              <w:spacing w:after="0" w:line="203" w:lineRule="exact"/>
              <w:rPr>
                <w:sz w:val="20"/>
                <w:szCs w:val="20"/>
                <w:color w:val="auto"/>
              </w:rPr>
            </w:pPr>
            <w:r>
              <w:rPr>
                <w:rFonts w:ascii="Arial" w:cs="Arial" w:eastAsia="Arial" w:hAnsi="Arial"/>
                <w:sz w:val="18"/>
                <w:szCs w:val="18"/>
                <w:color w:val="auto"/>
              </w:rPr>
              <w:t>Comprehensive income (loss)</w:t>
            </w:r>
          </w:p>
        </w:tc>
        <w:tc>
          <w:tcPr>
            <w:tcW w:w="460" w:type="dxa"/>
            <w:vAlign w:val="bottom"/>
          </w:tcPr>
          <w:p>
            <w:pPr>
              <w:spacing w:after="0"/>
              <w:rPr>
                <w:sz w:val="18"/>
                <w:szCs w:val="18"/>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27,417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(17,084)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47,925</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(30,095)</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27,417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Three Months Ended March 31,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Parent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Issuer</w:t>
            </w:r>
          </w:p>
        </w:tc>
        <w:tc>
          <w:tcPr>
            <w:tcW w:w="60" w:type="dxa"/>
            <w:vAlign w:val="bottom"/>
          </w:tcPr>
          <w:p>
            <w:pPr>
              <w:spacing w:after="0"/>
              <w:rPr>
                <w:sz w:val="14"/>
                <w:szCs w:val="1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14"/>
                <w:szCs w:val="14"/>
                <w:color w:val="auto"/>
              </w:rPr>
            </w:pPr>
          </w:p>
        </w:tc>
        <w:tc>
          <w:tcPr>
            <w:tcW w:w="8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20"/>
                <w:szCs w:val="20"/>
                <w:color w:val="auto"/>
              </w:rPr>
            </w:pPr>
            <w:r>
              <w:rPr>
                <w:rFonts w:ascii="Arial" w:cs="Arial" w:eastAsia="Arial" w:hAnsi="Arial"/>
                <w:sz w:val="14"/>
                <w:szCs w:val="14"/>
                <w:color w:val="auto"/>
              </w:rPr>
              <w:t>(in thousands)</w:t>
            </w:r>
          </w:p>
        </w:tc>
        <w:tc>
          <w:tcPr>
            <w:tcW w:w="7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Guarantor</w:t>
            </w: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48,198</w:t>
            </w:r>
          </w:p>
        </w:tc>
        <w:tc>
          <w:tcPr>
            <w:tcW w:w="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(8,415)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7,077</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7,700</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(7,083)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(41,790)</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(229)</w:t>
            </w:r>
          </w:p>
        </w:tc>
        <w:tc>
          <w:tcPr>
            <w:tcW w:w="340" w:type="dxa"/>
            <w:vAlign w:val="bottom"/>
          </w:tcPr>
          <w:p>
            <w:pPr>
              <w:spacing w:after="0"/>
              <w:rPr>
                <w:sz w:val="18"/>
                <w:szCs w:val="18"/>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(7,083)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(42,019)</w:t>
            </w: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under revolving credit facility</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10,000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Borrowings under Gaylord Rockies</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construction and mezzanine loans</w:t>
            </w:r>
          </w:p>
        </w:tc>
        <w:tc>
          <w:tcPr>
            <w:tcW w:w="12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28,897</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28,897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Payment of dividends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(44,420)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Payment of tax withholdings for share-based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compensation</w:t>
            </w: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(3,813)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(3,813)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line="182" w:lineRule="exact"/>
              <w:rPr>
                <w:sz w:val="20"/>
                <w:szCs w:val="20"/>
                <w:color w:val="auto"/>
              </w:rPr>
            </w:pPr>
            <w:r>
              <w:rPr>
                <w:rFonts w:ascii="Arial" w:cs="Arial" w:eastAsia="Arial" w:hAnsi="Arial"/>
                <w:sz w:val="18"/>
                <w:szCs w:val="18"/>
                <w:color w:val="auto"/>
              </w:rPr>
              <w:t>Net cash provided by (used in) financing</w:t>
            </w:r>
          </w:p>
        </w:tc>
        <w:tc>
          <w:tcPr>
            <w:tcW w:w="1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activities</w:t>
            </w: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(48,233)</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10,000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30,502</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(7,731)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640" w:type="dxa"/>
            <w:vAlign w:val="bottom"/>
          </w:tcPr>
          <w:p>
            <w:pPr>
              <w:spacing w:after="0" w:line="201" w:lineRule="exact"/>
              <w:rPr>
                <w:sz w:val="20"/>
                <w:szCs w:val="20"/>
                <w:color w:val="auto"/>
              </w:rPr>
            </w:pPr>
            <w:r>
              <w:rPr>
                <w:rFonts w:ascii="Arial" w:cs="Arial" w:eastAsia="Arial" w:hAnsi="Arial"/>
                <w:sz w:val="18"/>
                <w:szCs w:val="18"/>
                <w:color w:val="auto"/>
              </w:rPr>
              <w:t>Net change in cash, cash equivalents, and</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1,585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(3,817)</w:t>
            </w:r>
          </w:p>
        </w:tc>
        <w:tc>
          <w:tcPr>
            <w:tcW w:w="340" w:type="dxa"/>
            <w:vAlign w:val="bottom"/>
          </w:tcPr>
          <w:p>
            <w:pPr>
              <w:spacing w:after="0"/>
              <w:rPr>
                <w:sz w:val="20"/>
                <w:szCs w:val="20"/>
                <w:color w:val="auto"/>
              </w:rPr>
            </w:pPr>
          </w:p>
        </w:tc>
        <w:tc>
          <w:tcPr>
            <w:tcW w:w="480" w:type="dxa"/>
            <w:vAlign w:val="bottom"/>
          </w:tcPr>
          <w:p>
            <w:pPr>
              <w:ind w:lef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(2,273)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Cash, cash equivalents, and restricted cash,</w:t>
            </w: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2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148,297</w:t>
            </w:r>
          </w:p>
        </w:tc>
        <w:tc>
          <w:tcPr>
            <w:tcW w:w="14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149,089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40" w:type="dxa"/>
            <w:vAlign w:val="bottom"/>
          </w:tcPr>
          <w:p>
            <w:pPr>
              <w:spacing w:after="0" w:line="182" w:lineRule="exact"/>
              <w:rPr>
                <w:sz w:val="20"/>
                <w:szCs w:val="20"/>
                <w:color w:val="auto"/>
              </w:rPr>
            </w:pPr>
            <w:r>
              <w:rPr>
                <w:rFonts w:ascii="Arial" w:cs="Arial" w:eastAsia="Arial" w:hAnsi="Arial"/>
                <w:sz w:val="18"/>
                <w:szCs w:val="18"/>
                <w:color w:val="auto"/>
                <w:w w:val="93"/>
              </w:rPr>
              <w:t>Cash, cash equivalents, and restricted cash, end</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5"/>
                <w:szCs w:val="15"/>
                <w:color w:val="auto"/>
              </w:rPr>
            </w:pPr>
          </w:p>
        </w:tc>
        <w:tc>
          <w:tcPr>
            <w:tcW w:w="2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2,242</w:t>
            </w:r>
          </w:p>
        </w:tc>
        <w:tc>
          <w:tcPr>
            <w:tcW w:w="80" w:type="dxa"/>
            <w:vAlign w:val="bottom"/>
          </w:tcPr>
          <w:p>
            <w:pPr>
              <w:spacing w:after="0"/>
              <w:rPr>
                <w:sz w:val="15"/>
                <w:szCs w:val="15"/>
                <w:color w:val="auto"/>
              </w:rPr>
            </w:pPr>
          </w:p>
        </w:tc>
        <w:tc>
          <w:tcPr>
            <w:tcW w:w="220" w:type="dxa"/>
            <w:vAlign w:val="bottom"/>
            <w:gridSpan w:val="2"/>
            <w:vMerge w:val="restart"/>
          </w:tcPr>
          <w:p>
            <w:pPr>
              <w:ind w:left="60"/>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2"/>
              </w:rPr>
              <w:t>144,480</w:t>
            </w:r>
          </w:p>
        </w:tc>
        <w:tc>
          <w:tcPr>
            <w:tcW w:w="140" w:type="dxa"/>
            <w:vAlign w:val="bottom"/>
          </w:tcPr>
          <w:p>
            <w:pPr>
              <w:spacing w:after="0"/>
              <w:rPr>
                <w:sz w:val="15"/>
                <w:szCs w:val="15"/>
                <w:color w:val="auto"/>
              </w:rPr>
            </w:pPr>
          </w:p>
        </w:tc>
        <w:tc>
          <w:tcPr>
            <w:tcW w:w="340" w:type="dxa"/>
            <w:vAlign w:val="bottom"/>
            <w:vMerge w:val="restart"/>
          </w:tcPr>
          <w:p>
            <w:pPr>
              <w:spacing w:after="0"/>
              <w:rPr>
                <w:sz w:val="20"/>
                <w:szCs w:val="20"/>
                <w:color w:val="auto"/>
              </w:rPr>
            </w:pPr>
            <w:r>
              <w:rPr>
                <w:rFonts w:ascii="Arial" w:cs="Arial" w:eastAsia="Arial" w:hAnsi="Arial"/>
                <w:sz w:val="18"/>
                <w:szCs w:val="18"/>
                <w:color w:val="auto"/>
              </w:rPr>
              <w:t>$</w:t>
            </w:r>
          </w:p>
        </w:tc>
        <w:tc>
          <w:tcPr>
            <w:tcW w:w="480" w:type="dxa"/>
            <w:vAlign w:val="bottom"/>
            <w:vMerge w:val="restart"/>
          </w:tcPr>
          <w:p>
            <w:pPr>
              <w:ind w:left="240"/>
              <w:spacing w:after="0"/>
              <w:rPr>
                <w:sz w:val="20"/>
                <w:szCs w:val="20"/>
                <w:color w:val="auto"/>
              </w:rPr>
            </w:pPr>
            <w:r>
              <w:rPr>
                <w:rFonts w:ascii="Arial" w:cs="Arial" w:eastAsia="Arial" w:hAnsi="Arial"/>
                <w:sz w:val="18"/>
                <w:szCs w:val="18"/>
                <w:color w:val="auto"/>
              </w:rPr>
              <w:t>—</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8"/>
              </w:rPr>
              <w:t>146,816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640" w:type="dxa"/>
            <w:vAlign w:val="bottom"/>
          </w:tcPr>
          <w:p>
            <w:pPr>
              <w:spacing w:after="0"/>
              <w:rPr>
                <w:sz w:val="20"/>
                <w:szCs w:val="20"/>
                <w:color w:val="auto"/>
              </w:rPr>
            </w:pPr>
            <w:r>
              <w:rPr>
                <w:rFonts w:ascii="Arial" w:cs="Arial" w:eastAsia="Arial" w:hAnsi="Arial"/>
                <w:sz w:val="18"/>
                <w:szCs w:val="18"/>
                <w:color w:val="auto"/>
              </w:rPr>
              <w:t>of period</w:t>
            </w:r>
          </w:p>
        </w:tc>
        <w:tc>
          <w:tcPr>
            <w:tcW w:w="1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48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64"/>
        </w:trPr>
        <w:tc>
          <w:tcPr>
            <w:tcW w:w="3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21</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6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440" w:right="1820"/>
        <w:spacing w:after="0" w:line="266" w:lineRule="auto"/>
        <w:rPr>
          <w:sz w:val="20"/>
          <w:szCs w:val="20"/>
          <w:color w:val="auto"/>
        </w:rPr>
      </w:pPr>
      <w:r>
        <w:rPr>
          <w:rFonts w:ascii="Arial" w:cs="Arial" w:eastAsia="Arial" w:hAnsi="Arial"/>
          <w:sz w:val="18"/>
          <w:szCs w:val="18"/>
          <w:b w:val="1"/>
          <w:bCs w:val="1"/>
          <w:color w:val="auto"/>
        </w:rPr>
        <w:t>RYMAN HOSPITALITY PROPERTIES, INC. AND SUBSIDIARIES CONDENSED CONSOLIDATING STATEMENT OF CASH FLOWS For the Three Months Ended March 31, 2018</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Parent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Guarantors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100" w:type="dxa"/>
            <w:vAlign w:val="bottom"/>
          </w:tcPr>
          <w:p>
            <w:pPr>
              <w:spacing w:after="0"/>
              <w:rPr>
                <w:sz w:val="14"/>
                <w:szCs w:val="14"/>
                <w:color w:val="auto"/>
              </w:rPr>
            </w:pPr>
          </w:p>
        </w:tc>
        <w:tc>
          <w:tcPr>
            <w:tcW w:w="84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Guarantor</w:t>
            </w: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operating</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41,643</w:t>
            </w:r>
          </w:p>
        </w:tc>
        <w:tc>
          <w:tcPr>
            <w:tcW w:w="8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(57,008)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29,680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29,613</w:t>
            </w:r>
          </w:p>
        </w:tc>
        <w:tc>
          <w:tcPr>
            <w:tcW w:w="80" w:type="dxa"/>
            <w:vAlign w:val="bottom"/>
            <w:shd w:val="clear" w:color="auto" w:fill="CCEEFF"/>
          </w:tcPr>
          <w:p>
            <w:pPr>
              <w:spacing w:after="0"/>
              <w:rPr>
                <w:sz w:val="20"/>
                <w:szCs w:val="20"/>
                <w:color w:val="auto"/>
              </w:rPr>
            </w:pP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43,928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(29,681)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(17,907)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(4,215)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(29,681)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(22,122)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(51,803)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5"/>
              </w:rPr>
              <w:t>Net borrowings under revolving credit facility</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Payment of dividends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w w:val="92"/>
              </w:rPr>
              <w:t>(41,000)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(41,000)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Payment of tax withholdings for share-based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compensation</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Other financing activities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(used in) financing</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activities</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(41,602)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56,500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Net change in cash, cash equivalents, and</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spacing w:after="0" w:line="201" w:lineRule="exact"/>
              <w:rPr>
                <w:sz w:val="20"/>
                <w:szCs w:val="20"/>
                <w:color w:val="auto"/>
              </w:rPr>
            </w:pPr>
            <w:r>
              <w:rPr>
                <w:rFonts w:ascii="Arial" w:cs="Arial" w:eastAsia="Arial" w:hAnsi="Arial"/>
                <w:sz w:val="18"/>
                <w:szCs w:val="18"/>
                <w:color w:val="auto"/>
                <w:w w:val="95"/>
              </w:rPr>
              <w:t>Cash, cash equivalents, and restricted cash,</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20" w:type="dxa"/>
            <w:vAlign w:val="bottom"/>
            <w:gridSpan w:val="2"/>
          </w:tcPr>
          <w:p>
            <w:pPr>
              <w:spacing w:after="0"/>
              <w:rPr>
                <w:sz w:val="20"/>
                <w:szCs w:val="20"/>
                <w:color w:val="auto"/>
              </w:rPr>
            </w:pPr>
            <w:r>
              <w:rPr>
                <w:rFonts w:ascii="Arial" w:cs="Arial" w:eastAsia="Arial" w:hAnsi="Arial"/>
                <w:sz w:val="18"/>
                <w:szCs w:val="18"/>
                <w:color w:val="auto"/>
              </w:rPr>
              <w:t>beginning of period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759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77,877</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78,710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vMerge w:val="restart"/>
            <w:shd w:val="clear" w:color="auto" w:fill="CCEEFF"/>
          </w:tcPr>
          <w:p>
            <w:pPr>
              <w:spacing w:after="0" w:line="201" w:lineRule="exact"/>
              <w:rPr>
                <w:sz w:val="20"/>
                <w:szCs w:val="20"/>
                <w:color w:val="auto"/>
              </w:rPr>
            </w:pPr>
            <w:r>
              <w:rPr>
                <w:rFonts w:ascii="Arial" w:cs="Arial" w:eastAsia="Arial" w:hAnsi="Arial"/>
                <w:sz w:val="18"/>
                <w:szCs w:val="18"/>
                <w:color w:val="auto"/>
                <w:w w:val="95"/>
              </w:rPr>
              <w:t>Cash, cash equivalents, and restricted cash,</w:t>
            </w: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3400" w:type="dxa"/>
            <w:vAlign w:val="bottom"/>
            <w:vMerge w:val="continue"/>
            <w:shd w:val="clear" w:color="auto" w:fill="CCEEFF"/>
          </w:tcPr>
          <w:p>
            <w:pPr>
              <w:spacing w:after="0"/>
              <w:rPr>
                <w:sz w:val="15"/>
                <w:szCs w:val="15"/>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80" w:type="dxa"/>
            <w:vAlign w:val="bottom"/>
            <w:shd w:val="clear" w:color="auto" w:fill="CCEEFF"/>
          </w:tcPr>
          <w:p>
            <w:pPr>
              <w:spacing w:after="0"/>
              <w:rPr>
                <w:sz w:val="15"/>
                <w:szCs w:val="15"/>
                <w:color w:val="auto"/>
              </w:rPr>
            </w:pPr>
          </w:p>
        </w:tc>
        <w:tc>
          <w:tcPr>
            <w:tcW w:w="2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85,362</w:t>
            </w:r>
          </w:p>
        </w:tc>
        <w:tc>
          <w:tcPr>
            <w:tcW w:w="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480" w:type="dxa"/>
            <w:vAlign w:val="bottom"/>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85,727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22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28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vMerge w:val="continue"/>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Ryman Hospitality Properties, Inc. (“Ryman”) is a Delaware corporation that conducts its operations so as to maintain its qualification as a real estate investment trust (“REIT”) for federal income tax purposes. The Company conducts its business through an umbrella partnership REIT, in which all of its assets are held by, and operations are conducted through, RHP Hotel Properties, LP, a subsidiary operating partnership (the “Operating Partnership”). RHP Finance Corporation, a Delaware corporation (“Finco”), was formed as a wholly-owned subsidiary of the Operating Partnership for the sole purpose of being a co-issuer of debt securities with the Operating Partnership. Neither Ryman nor Finco has any material assets, other than Ryman’s investment in the Operating Partnership and its 100%-owned subsidiaries. As 100%-owned subsidiaries of Ryman, neither the Operating Partnership nor Finco has any business, operations, financial results or other material information, other than the business, operations, financial results and other material information described in this Quarterly Report on</w:t>
      </w:r>
    </w:p>
    <w:p>
      <w:pPr>
        <w:spacing w:after="0" w:line="7" w:lineRule="exact"/>
        <w:rPr>
          <w:sz w:val="20"/>
          <w:szCs w:val="20"/>
          <w:color w:val="auto"/>
        </w:rPr>
      </w:pPr>
    </w:p>
    <w:p>
      <w:pPr>
        <w:ind w:right="160"/>
        <w:spacing w:after="0" w:line="216" w:lineRule="exact"/>
        <w:rPr>
          <w:sz w:val="20"/>
          <w:szCs w:val="20"/>
          <w:color w:val="auto"/>
        </w:rPr>
      </w:pPr>
      <w:r>
        <w:rPr>
          <w:rFonts w:ascii="Arial" w:cs="Arial" w:eastAsia="Arial" w:hAnsi="Arial"/>
          <w:sz w:val="18"/>
          <w:szCs w:val="18"/>
          <w:color w:val="auto"/>
        </w:rPr>
        <w:t>Form 10</w:t>
      </w:r>
      <w:r>
        <w:rPr>
          <w:rFonts w:ascii="MS PGothic" w:cs="MS PGothic" w:eastAsia="MS PGothic" w:hAnsi="MS PGothic"/>
          <w:sz w:val="18"/>
          <w:szCs w:val="18"/>
          <w:color w:val="auto"/>
        </w:rPr>
        <w:t>‑</w:t>
      </w:r>
      <w:r>
        <w:rPr>
          <w:rFonts w:ascii="Arial" w:cs="Arial" w:eastAsia="Arial" w:hAnsi="Arial"/>
          <w:sz w:val="18"/>
          <w:szCs w:val="18"/>
          <w:color w:val="auto"/>
        </w:rPr>
        <w:t>Q and Ryman’s other reports, documents or other information filed with the Securities and Exchange Commission (the “SEC”) pursuant to the Securities Exchange Act of 1934, as amended (the “Exchange Act”). In this report, we use the terms the “Company,” “we” or “our” to refer to Ryman Hospitality Properties, Inc. and its subsidiaries unless the context indicates otherwise.</w:t>
      </w:r>
    </w:p>
    <w:p>
      <w:pPr>
        <w:spacing w:after="0" w:line="177" w:lineRule="exact"/>
        <w:rPr>
          <w:sz w:val="20"/>
          <w:szCs w:val="20"/>
          <w:color w:val="auto"/>
        </w:rPr>
      </w:pPr>
    </w:p>
    <w:p>
      <w:pPr>
        <w:ind w:right="240"/>
        <w:spacing w:after="0" w:line="220" w:lineRule="exact"/>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included elsewhere in this report and our audited consolidated financial statements and related notes for the year ended December 31, 2018,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that was filed with the SEC on February 26, 2019.</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85" w:lineRule="exact"/>
        <w:rPr>
          <w:sz w:val="20"/>
          <w:szCs w:val="20"/>
          <w:color w:val="auto"/>
        </w:rPr>
      </w:pPr>
    </w:p>
    <w:p>
      <w:pPr>
        <w:ind w:right="100"/>
        <w:spacing w:after="0" w:line="219" w:lineRule="exact"/>
        <w:rPr>
          <w:sz w:val="20"/>
          <w:szCs w:val="20"/>
          <w:color w:val="auto"/>
        </w:rPr>
      </w:pPr>
      <w:r>
        <w:rPr>
          <w:rFonts w:ascii="Arial" w:cs="Arial" w:eastAsia="Arial" w:hAnsi="Arial"/>
          <w:sz w:val="16"/>
          <w:szCs w:val="16"/>
          <w:color w:val="auto"/>
        </w:rPr>
        <w:t>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contains “forward-looking statements” intended to qualify for the safe harbor from liability established by the Private Securities Litigation Reform Act of 1995. These forward-looking statements concern our goals, beliefs, expectations, strategies, objectives, plans, future operating results and underlying assumptions, and other statements that are not necessarily based on historical facts. Without limitation, you can identify these statements by the fact that they do not relate strictly to historical or current facts, and these statements may contain words such as “may,” “will,” “could,” “should,” “might,” “projects,” “expects,” “believes,” “anticipates,” “intends,” “plans,” “continue,” “estimate,” or “pursue,” or the negative or other variations thereof or comparable terms. In particular, they include statements relating to, among other things, future actions, strategies, future performance, the outcome of contingencies such as legal proceedings and future financial results. These also include statements regarding (i) the effect of our election to be taxed as a REIT and maintain REIT status for federal income tax purposes; (ii) the holding of our non-qualifying REIT assets in one or more taxable REIT subsidiaries (“TRSs”); (iii) our announced dividend policy, including the frequency and amount of any dividend we may pay; (iv) potential growth opportunities, including future expansion of the geographic diversity of our existing asset portfolio through acquisitions and our investment in the joint venture (the “Gaylord Rockies joint venture”) that owns the Gaylord Rockies Resort &amp; Convention Center in Aurora, Colorado (“Gaylord Rockies”); (v) Marriott International, Inc.’s (“Marriott’s”) ability to effectively manage our hotels and other properties; (vi) our anticipated capital expenditures and investments; (vii) the potential operating and financial restrictions imposed on our activities under existing and future financing agreements and other contractual arrangements with third parties, including management agreements with Marriott; and (viii) any other business or operational matters. We have based these forward-looking statements on our current expectations and projections about future events.</w:t>
      </w:r>
    </w:p>
    <w:p>
      <w:pPr>
        <w:spacing w:after="0" w:line="362"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caution the reader that forward-looking statements involve risks and uncertainties that cannot be predicted or quantified, and, consequently, actual results may differ materially from those expressed or implied by such forward-looking statements. Important factors that could cause actual results to differ materially from those in the forward-looking statements include, among other things, risks and uncertainties associated with the economic conditions affecting the hospitality business generally, the geographic concentration of our hotel properties, business levels at our hotels, our ability to remain qualified as a REIT, our ability to execute our strategic goals as a REIT, our ability to generate cash flows to support dividends, future board determinations regarding the timing and amount of dividends and changes to the dividend policy, our ability to borrow funds pursuant to our credit agreements and to refinance indebtedness, and those factors described in this Quarterly Report on Form 10-Q and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2018 or described from time to time in our other reports filed with the SEC.</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20" w:lineRule="exact"/>
        <w:rPr>
          <w:sz w:val="20"/>
          <w:szCs w:val="20"/>
          <w:color w:val="auto"/>
        </w:rPr>
      </w:pPr>
      <w:r>
        <w:rPr>
          <w:rFonts w:ascii="Arial" w:cs="Arial" w:eastAsia="Arial" w:hAnsi="Arial"/>
          <w:sz w:val="18"/>
          <w:szCs w:val="18"/>
          <w:color w:val="auto"/>
        </w:rPr>
        <w:t>Any forward-looking statement made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speaks only as of the date on which the statement is made. New risks and uncertainties arise from time to time, and it is impossible for us to predict these events or how they may affect us. We have no duty to, and do not intend to, update or revise the forward-looking statements we make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except as may be required by law.</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98"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We operate as a REIT for federal income tax purposes, specializing in group-oriented, destination hotel assets in urban and resort markets. Our owned assets include a network of four upscale, meetings-focused resorts totaling 8,114 rooms that are managed by Marriott under the Gaylord Hotels brand. These four resorts, which we refer to as our Gaylord Hotels properties, consist of the Gaylord Opryland Resort &amp; Convention Center in Nashville, Tennessee (“Gaylord Opryland”), the Gaylord Palms Resort &amp; Convention Center near Orlando, Florida (“Gaylord Palms”), the Gaylord Texan Resort &amp; Convention Center near Dallas, Texas (“Gaylord Texan”) and the Gaylord National Resort &amp; Convention Center near Washington D.C. (“Gaylord National”). Our other owned hotel assets managed by Marriott include the Inn at Opryland, a 303</w:t>
      </w:r>
      <w:r>
        <w:rPr>
          <w:rFonts w:ascii="MS PGothic" w:cs="MS PGothic" w:eastAsia="MS PGothic" w:hAnsi="MS PGothic"/>
          <w:sz w:val="17"/>
          <w:szCs w:val="17"/>
          <w:color w:val="auto"/>
        </w:rPr>
        <w:t>‑</w:t>
      </w:r>
      <w:r>
        <w:rPr>
          <w:rFonts w:ascii="Arial" w:cs="Arial" w:eastAsia="Arial" w:hAnsi="Arial"/>
          <w:sz w:val="17"/>
          <w:szCs w:val="17"/>
          <w:color w:val="auto"/>
        </w:rPr>
        <w:t>room overflow hotel adjacent to Gaylord Opryland, and the AC Hotel at National Harbor, Washington D.C. (“AC Hotel”), a 192</w:t>
      </w:r>
      <w:r>
        <w:rPr>
          <w:rFonts w:ascii="MS PGothic" w:cs="MS PGothic" w:eastAsia="MS PGothic" w:hAnsi="MS PGothic"/>
          <w:sz w:val="17"/>
          <w:szCs w:val="17"/>
          <w:color w:val="auto"/>
        </w:rPr>
        <w:t>‑</w:t>
      </w:r>
      <w:r>
        <w:rPr>
          <w:rFonts w:ascii="Arial" w:cs="Arial" w:eastAsia="Arial" w:hAnsi="Arial"/>
          <w:sz w:val="17"/>
          <w:szCs w:val="17"/>
          <w:color w:val="auto"/>
        </w:rPr>
        <w:t>room overflow hotel adjacent to Gaylord National. We also own a 61.2% interest in the Gaylord Rockies joint venture that owns Gaylord Rockies, which opened in December 2018 and is managed by Marriott.</w:t>
      </w:r>
    </w:p>
    <w:p>
      <w:pPr>
        <w:spacing w:after="0" w:line="1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own and operate media and entertainment assets including the Grand Ole Opry, the legendary weekly showcase of country music’s finest performers for over 90 years; the Ryman Auditorium, the storied live music venue and former home of the Grand Ole Opry located in downtown Nashville; WSM-AM, the Opry’s radio home; Ole Red, a brand of Blake Shelton-themed bar, music venue and event spaces, with a flagship location in Nashville that opened in May 2018; and three Nashville-based assets managed by Marriott – Gaylord Springs Golf Links, the Wildhorse Saloon, and the General Jackson Showboat.</w:t>
      </w:r>
    </w:p>
    <w:p>
      <w:pPr>
        <w:spacing w:after="0" w:line="15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of our award-winning Gaylord Hotels properties incorporates not only high quality lodging, but also at least 400,000 square feet of meeting, convention and exhibition space, superb food and beverage options and retail and spa facilities within a single self-contained property. As a result, our Gaylord Hotels properties provide a convenient and entertaining environment for convention guests. Our Gaylord Hotels properties focus on the large group meetings market in the United States.</w:t>
      </w:r>
    </w:p>
    <w:p>
      <w:pPr>
        <w:spacing w:after="0" w:line="161" w:lineRule="exact"/>
        <w:rPr>
          <w:sz w:val="20"/>
          <w:szCs w:val="20"/>
          <w:color w:val="auto"/>
        </w:rPr>
      </w:pPr>
    </w:p>
    <w:p>
      <w:pPr>
        <w:spacing w:after="0" w:line="221" w:lineRule="exact"/>
        <w:rPr>
          <w:sz w:val="20"/>
          <w:szCs w:val="20"/>
          <w:color w:val="auto"/>
        </w:rPr>
      </w:pPr>
      <w:r>
        <w:rPr>
          <w:rFonts w:ascii="Arial" w:cs="Arial" w:eastAsia="Arial" w:hAnsi="Arial"/>
          <w:sz w:val="18"/>
          <w:szCs w:val="18"/>
          <w:color w:val="auto"/>
        </w:rPr>
        <w:t>See “Cautionary Note Regarding Forward-Looking Statements” in this Item 2 and Item 1A, “Risk Factors,”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 for important information regarding forward-looking statements made in this report and risks and uncertainties we face.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Gaylord Rockies Joint Venture</w:t>
      </w:r>
    </w:p>
    <w:p>
      <w:pPr>
        <w:spacing w:after="0" w:line="18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more fully discussed in the Company’s Annual Report on Form 10-K for the year ended December 31, 2018, on December 31, 2018, we completed our purchase of additional interests in the Gaylord Rockies joint venture, increasing our ownership to 61.2%. Our management has concluded that the Company is the primary beneficiary of this variable interest entity (“VIE”) and the financial position and results of operations of the VIE have been consolidated in the accompanying condensed consolidated financial statements included herein. Gaylord Rockies opened on a limited basis in December 2018 and on a fully operational basis in first quarter 2019 and is managed by Marriott.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SoundWaves at Gaylord Opryland</w:t>
      </w:r>
    </w:p>
    <w:p>
      <w:pPr>
        <w:spacing w:after="0" w:line="18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In December 2018, we opened the indoor portion of a $90 million investment to create a luxury indoor/outdoor waterpark adjacent to Gaylord Opryland, SoundWaves. The project includes approximately 111,000 square feet of indoor water attractions and activities over three levels and approximately 106,000 square feet of outdoor water amenities. The project includes areas for adults, children and families, as well as dining options and bars. The outdoor portion of the project is anticipated to open in second quarter 2019.</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Gaylord Palms Expansion</w:t>
      </w:r>
    </w:p>
    <w:p>
      <w:pPr>
        <w:spacing w:after="0" w:line="18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recently began construction of a $158 million expansion of Gaylord Palms, which will include an additional 303 guest rooms and 90,000 square feet of meeting space, an expanded resort pool and events lawn, and a new multi-level parking structure. The expansion is expected to be completed in summer 2021.</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Policy</w:t>
      </w:r>
    </w:p>
    <w:p>
      <w:pPr>
        <w:spacing w:after="0" w:line="185"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Pursuant to our current dividend policy, we plan to continue to pay a quarterly cash dividend to shareholders in an amount equal to an annualized payment of at least 50% of adjusted funds from operations (as defined by us) less maintenance capital expenditures or 100% of REIT taxable income, whichever is greater. On February 26, 2019, our board of directors declared our first quarter 2019 cash dividend in the amount of $0.90 per share of common stock, or an aggregate of approximately $46.3 million in cash, which was paid on April 15, 2019 to stockholders of record as of the close of business on March 29, 2019. We currently plan to pay a quarterly cash dividend of $0.90 per share of common stock in July 2019, October 2019, and January 2020. The declaration, timing and amount of dividends will be determined by action of our board of directors. Our dividend policy may be altered at any time by our board of directors.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Strategic Plan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Our goal is to be the nation’s premier hospitality REIT for group-oriented meeting hotel assets in urban and resort markets.</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Existing Hotel Property Design</w:t>
      </w:r>
      <w:r>
        <w:rPr>
          <w:rFonts w:ascii="Arial" w:cs="Arial" w:eastAsia="Arial" w:hAnsi="Arial"/>
          <w:sz w:val="18"/>
          <w:szCs w:val="18"/>
          <w:color w:val="auto"/>
        </w:rPr>
        <w:t>. Our Gaylord Hotels properties focus on the large group meetings market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and incorporate meeting and exhibition space, signature guest rooms, food and beverage offerings, fitness and spa facilities and other attractions within a large hotel property so attendees’ needs are met in one location. This strategy creates a better experience for both meeting planners and guests, and has led to our current Gaylord Hotels properties claiming a place among the leading convention hotels in the country.</w:t>
      </w:r>
    </w:p>
    <w:p>
      <w:pPr>
        <w:spacing w:after="0" w:line="148" w:lineRule="exact"/>
        <w:rPr>
          <w:sz w:val="20"/>
          <w:szCs w:val="20"/>
          <w:color w:val="auto"/>
        </w:rPr>
      </w:pPr>
    </w:p>
    <w:p>
      <w:pPr>
        <w:spacing w:after="0" w:line="269" w:lineRule="auto"/>
        <w:rPr>
          <w:sz w:val="20"/>
          <w:szCs w:val="20"/>
          <w:color w:val="auto"/>
        </w:rPr>
      </w:pPr>
      <w:r>
        <w:rPr>
          <w:rFonts w:ascii="Arial" w:cs="Arial" w:eastAsia="Arial" w:hAnsi="Arial"/>
          <w:sz w:val="17"/>
          <w:szCs w:val="17"/>
          <w:i w:val="1"/>
          <w:iCs w:val="1"/>
          <w:color w:val="auto"/>
        </w:rPr>
        <w:t>Expansion of Hotel Asset Portfolio</w:t>
      </w:r>
      <w:r>
        <w:rPr>
          <w:rFonts w:ascii="Arial" w:cs="Arial" w:eastAsia="Arial" w:hAnsi="Arial"/>
          <w:sz w:val="17"/>
          <w:szCs w:val="17"/>
          <w:color w:val="auto"/>
        </w:rPr>
        <w:t>. While our short-term capital allocation strategy has focused on returning capital to</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through the payment of dividends, part of our long-term growth strategy includes acquisitions of other hotels, particularly in the group meetings sector of the hospitality industry, either alone or through joint ventures or alliances with one or more third parties. We intend to pursue attractive investment opportunities which meet our acquisition parameters, specifically, group-oriented large hotels and overflow hotels with existing or potential leisure appeal. We are interested in highly accessible upper-upscale assets with over 400 hotel rooms in urban and resort group destination markets. We also consider assets that possess or are located near convention centers that present a repositioning opportunity and/or would significantly benefit from capital investment in additional rooms or meeting space. We plan to expand the geographic diversity of our existing asset portfolio through acquisitions. To this end, we recently increased our investment in the Gaylord Rockies joint venture to 61.2%. As a REIT, we do not view independent, large-scale development of resort and convention hotels as a part of our long-term growth strategy.</w:t>
      </w:r>
    </w:p>
    <w:p>
      <w:pPr>
        <w:spacing w:after="0" w:line="156"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Leverage Brand Name Awareness</w:t>
      </w:r>
      <w:r>
        <w:rPr>
          <w:rFonts w:ascii="Arial" w:cs="Arial" w:eastAsia="Arial" w:hAnsi="Arial"/>
          <w:sz w:val="17"/>
          <w:szCs w:val="17"/>
          <w:color w:val="auto"/>
        </w:rPr>
        <w:t>. We believe the Grand Ole Opry is one of the most recognized entertainment brands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We promote the Grand Ole Opry name through various media, including our WSM-AM radio station, the Internet and television, and through performances by the Grand Ole Opry’s members, many of whom are renowned country music artists. As such, we have alliances in place with multiple distribution partners in an effort to foster brand extension. We believe that licensing our brand for products may provide an opportunity to increase revenues and cash flow with relatively little capital investment. We are continuously exploring additional products, such as television specials and retail products, through which we can capitalize on our brand affinity and awareness. To this end, we have invested in four Blake Shelton-themed multi-level bar, music venue and event spaces in Nashville, Orlando, Gatlinburg Tennessee, and Tishomingo Oklahoma, named after the Shelton hit “Ol’ Red.”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Current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Our ongoing operations are organized into three principal business segments:</w:t>
      </w:r>
    </w:p>
    <w:p>
      <w:pPr>
        <w:spacing w:after="0" w:line="198" w:lineRule="exact"/>
        <w:rPr>
          <w:sz w:val="20"/>
          <w:szCs w:val="20"/>
          <w:color w:val="auto"/>
        </w:rPr>
      </w:pPr>
    </w:p>
    <w:p>
      <w:pPr>
        <w:ind w:left="660" w:right="180" w:hanging="333"/>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Hospitality, consisting of our Gaylord Hotels properties, the Inn at Opryland, the AC Hotel, and our investment in the Gaylord Rockies joint venture.</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520" w:hanging="333"/>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Entertainment, consisting of the Grand Ole Opry, the Ryman Auditorium, WSM-AM, Ole Red, and our other Nashville-based attractions.</w:t>
      </w:r>
    </w:p>
    <w:p>
      <w:pPr>
        <w:spacing w:after="0" w:line="129"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and Other, consisting of our corporate expenses.</w:t>
      </w:r>
    </w:p>
    <w:p>
      <w:pPr>
        <w:spacing w:after="0" w:line="18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For the three months ended March 31, 2019 and 2018, our total revenues were divided among these business segments as follows:</w:t>
      </w:r>
    </w:p>
    <w:p>
      <w:pPr>
        <w:spacing w:after="0" w:line="12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4"/>
          </w:tcPr>
          <w:p>
            <w:pPr>
              <w:jc w:val="right"/>
              <w:ind w:right="270"/>
              <w:spacing w:after="0"/>
              <w:rPr>
                <w:sz w:val="20"/>
                <w:szCs w:val="20"/>
                <w:color w:val="auto"/>
              </w:rPr>
            </w:pPr>
            <w:r>
              <w:rPr>
                <w:rFonts w:ascii="Arial" w:cs="Arial" w:eastAsia="Arial" w:hAnsi="Arial"/>
                <w:sz w:val="14"/>
                <w:szCs w:val="14"/>
                <w:b w:val="1"/>
                <w:bCs w:val="1"/>
                <w:color w:val="auto"/>
                <w:w w:val="96"/>
              </w:rPr>
              <w:t>Three Months Ended</w:t>
            </w:r>
          </w:p>
        </w:tc>
        <w:tc>
          <w:tcPr>
            <w:tcW w:w="0" w:type="dxa"/>
            <w:vAlign w:val="bottom"/>
          </w:tcPr>
          <w:p>
            <w:pPr>
              <w:spacing w:after="0"/>
              <w:rPr>
                <w:sz w:val="1"/>
                <w:szCs w:val="1"/>
                <w:color w:val="auto"/>
              </w:rPr>
            </w:pPr>
          </w:p>
        </w:tc>
      </w:t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Segment</w:t>
            </w:r>
          </w:p>
        </w:tc>
        <w:tc>
          <w:tcPr>
            <w:tcW w:w="1720" w:type="dxa"/>
            <w:vAlign w:val="bottom"/>
            <w:gridSpan w:val="4"/>
          </w:tcPr>
          <w:p>
            <w:pPr>
              <w:jc w:val="right"/>
              <w:ind w:right="63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5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Hospitality</w:t>
            </w:r>
          </w:p>
        </w:tc>
        <w:tc>
          <w:tcPr>
            <w:tcW w:w="1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Entertainment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9 %</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8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0 %</w:t>
            </w:r>
          </w:p>
        </w:tc>
        <w:tc>
          <w:tcPr>
            <w:tcW w:w="9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Performance Indicators</w:t>
      </w:r>
    </w:p>
    <w:p>
      <w:pPr>
        <w:spacing w:after="0" w:line="19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operating results of our Hospitality segment are highly dependent on the volume of customers at our hotels and the quality of the customer mix at our hotels, which are managed by Marriott. These factors impact the price that Marriott can charge for our hotel rooms and other amenities, such as food and beverage and meeting space. The following key performance indicators are commonly used in the hospitality REIT industry:</w:t>
      </w:r>
    </w:p>
    <w:p>
      <w:pPr>
        <w:spacing w:after="0" w:line="146" w:lineRule="exact"/>
        <w:rPr>
          <w:sz w:val="20"/>
          <w:szCs w:val="20"/>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hotel occupancy – a volume indicator;</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average daily rate (“ADR”) – a price indicator calculated by dividing room revenue by the number of rooms sold;</w:t>
      </w:r>
    </w:p>
    <w:p>
      <w:pPr>
        <w:spacing w:after="0" w:line="207" w:lineRule="exact"/>
        <w:rPr>
          <w:rFonts w:ascii="Arial" w:cs="Arial" w:eastAsia="Arial" w:hAnsi="Arial"/>
          <w:sz w:val="16"/>
          <w:szCs w:val="16"/>
          <w:color w:val="auto"/>
        </w:rPr>
      </w:pPr>
    </w:p>
    <w:p>
      <w:pPr>
        <w:ind w:left="660" w:right="520" w:hanging="333"/>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 per Available Room (“RevPAR”) – a summary measure of hotel results calculated by dividing room revenue by room nights available to guests for the period;</w:t>
      </w:r>
    </w:p>
    <w:p>
      <w:pPr>
        <w:spacing w:after="0" w:line="129" w:lineRule="exact"/>
        <w:rPr>
          <w:rFonts w:ascii="Arial" w:cs="Arial" w:eastAsia="Arial" w:hAnsi="Arial"/>
          <w:sz w:val="18"/>
          <w:szCs w:val="18"/>
          <w:color w:val="auto"/>
        </w:rPr>
      </w:pPr>
    </w:p>
    <w:p>
      <w:pPr>
        <w:ind w:left="660" w:right="120" w:hanging="333"/>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per Available Room (“Total RevPAR”) – a summary measure of hotel results calculated by dividing the sum of room, food and beverage and other ancillary service revenue by room nights available to guests for the period; and</w:t>
      </w:r>
    </w:p>
    <w:p>
      <w:pPr>
        <w:spacing w:after="0" w:line="140" w:lineRule="exact"/>
        <w:rPr>
          <w:rFonts w:ascii="Arial" w:cs="Arial" w:eastAsia="Arial" w:hAnsi="Arial"/>
          <w:sz w:val="18"/>
          <w:szCs w:val="18"/>
          <w:color w:val="auto"/>
        </w:rPr>
      </w:pPr>
    </w:p>
    <w:p>
      <w:pPr>
        <w:jc w:val="both"/>
        <w:ind w:left="660" w:right="280" w:hanging="333"/>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Net Definite Group Room Nights Booked – a volume indicator which represents, on an aggregate basis, the total number of definite group bookings for future room nights at our Gaylord Hotels properties confirmed during the applicable period, net of cancellations.</w:t>
      </w:r>
    </w:p>
    <w:p>
      <w:pPr>
        <w:spacing w:after="0" w:line="141"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Hospitality segment revenue from our occupied hotel rooms is recognized over time as the daily hotel stay is provided to hotel groups and guests. Revenues from concessions, food and beverage sales, and group meeting services are recognized over the period or at the point in time those goods or services are delivered to the group or hotel guest. Revenues from ancillary services at our hotels, such as spa, parking, and transportation services, are generally recognized at the time the goods or services are provided. Cancellation fees, as well as attrition fees that are charged to groups when they do not fulfill the minimum number of room nights or minimum food and beverage spending requirements originally contracted for, are generally recognized as revenue in the period we determine it is probable that a significant reversal in the amount of revenue recognized will not occur, which is typically the period these fees are collected. Almost all of our Hospitality segment revenues are either cash-based or, for meeting and convention groups who meet our credit criteria, billed and collected on a short-term receivables basis. The hospitality industry is capital intensive, and we rely on the ability of our hotels to generate operating cash flow to repay debt financing and fund maintenance capital expenditures.</w:t>
      </w:r>
    </w:p>
    <w:p>
      <w:pPr>
        <w:spacing w:after="0" w:line="13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results of operations of our Hospitality segment are affected by the number and type of group meetings and conventions scheduled to attend our hotels in a given period. A variety of factors can affect the results of any interim period, including the nature and quality of the group meetings and conventions attending our hotels during such period, which meetings and conventions have often been contracted for several years in advance, the level of attrition our hotels</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experience, and the level of transient business at our hotels during such period. We rely on Marriott, as the manager of our hotels, to manage these factors and to offset any identified shortfalls in occupancy.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Financial Information</w:t>
      </w:r>
    </w:p>
    <w:p>
      <w:pPr>
        <w:spacing w:after="0" w:line="198"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following table contains our unaudited selected summary financial data for the three months ended March 31, 2019 and 2018. The table also shows the percentage relationships to total revenues and, in the case of segment operating income, its relationship to segment revenues (in thousands, except percentages).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71"/>
        </w:trPr>
        <w:tc>
          <w:tcPr>
            <w:tcW w:w="2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160"/>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280" w:type="dxa"/>
            <w:vAlign w:val="bottom"/>
            <w:tcBorders>
              <w:bottom w:val="single" w:sz="8" w:color="CCEEFF"/>
            </w:tcBorders>
          </w:tcPr>
          <w:p>
            <w:pPr>
              <w:spacing w:after="0"/>
              <w:rPr>
                <w:sz w:val="12"/>
                <w:szCs w:val="12"/>
                <w:color w:val="auto"/>
              </w:rPr>
            </w:pPr>
          </w:p>
        </w:tc>
        <w:tc>
          <w:tcPr>
            <w:tcW w:w="30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60"/>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12"/>
                <w:szCs w:val="12"/>
                <w:color w:val="auto"/>
              </w:rPr>
            </w:pPr>
          </w:p>
        </w:tc>
      </w:tr>
      <w:tr>
        <w:trPr>
          <w:trHeight w:val="196"/>
        </w:trPr>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Statement Data:</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340" w:type="dxa"/>
            <w:vAlign w:val="bottom"/>
            <w:gridSpan w:val="2"/>
          </w:tcPr>
          <w:p>
            <w:pPr>
              <w:spacing w:after="0"/>
              <w:rPr>
                <w:sz w:val="20"/>
                <w:szCs w:val="20"/>
                <w:color w:val="auto"/>
              </w:rPr>
            </w:pPr>
            <w:r>
              <w:rPr>
                <w:rFonts w:ascii="Arial" w:cs="Arial" w:eastAsia="Arial" w:hAnsi="Arial"/>
                <w:sz w:val="16"/>
                <w:szCs w:val="16"/>
                <w:color w:val="auto"/>
              </w:rPr>
              <w:t>REVENUES: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132,212</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35.7 %</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107,564</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37.3 %</w:t>
            </w:r>
          </w:p>
        </w:tc>
      </w:tr>
      <w:tr>
        <w:trPr>
          <w:trHeight w:val="203"/>
        </w:trPr>
        <w:tc>
          <w:tcPr>
            <w:tcW w:w="5340" w:type="dxa"/>
            <w:vAlign w:val="bottom"/>
            <w:gridSpan w:val="2"/>
          </w:tcPr>
          <w:p>
            <w:pPr>
              <w:ind w:left="120"/>
              <w:spacing w:after="0"/>
              <w:rPr>
                <w:sz w:val="20"/>
                <w:szCs w:val="20"/>
                <w:color w:val="auto"/>
              </w:rPr>
            </w:pPr>
            <w:r>
              <w:rPr>
                <w:rFonts w:ascii="Arial" w:cs="Arial" w:eastAsia="Arial" w:hAnsi="Arial"/>
                <w:sz w:val="16"/>
                <w:szCs w:val="16"/>
                <w:color w:val="auto"/>
              </w:rPr>
              <w:t>Food and beverage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3"/>
              </w:rPr>
              <w:t>171,143</w:t>
            </w:r>
          </w:p>
        </w:tc>
        <w:tc>
          <w:tcPr>
            <w:tcW w:w="180" w:type="dxa"/>
            <w:vAlign w:val="bottom"/>
          </w:tcPr>
          <w:p>
            <w:pPr>
              <w:spacing w:after="0"/>
              <w:rPr>
                <w:sz w:val="17"/>
                <w:szCs w:val="17"/>
                <w:color w:val="auto"/>
              </w:rPr>
            </w:pPr>
          </w:p>
        </w:tc>
        <w:tc>
          <w:tcPr>
            <w:tcW w:w="860" w:type="dxa"/>
            <w:vAlign w:val="bottom"/>
            <w:gridSpan w:val="2"/>
          </w:tcPr>
          <w:p>
            <w:pPr>
              <w:jc w:val="right"/>
              <w:ind w:right="184"/>
              <w:spacing w:after="0"/>
              <w:rPr>
                <w:sz w:val="20"/>
                <w:szCs w:val="20"/>
                <w:color w:val="auto"/>
              </w:rPr>
            </w:pPr>
            <w:r>
              <w:rPr>
                <w:rFonts w:ascii="Arial" w:cs="Arial" w:eastAsia="Arial" w:hAnsi="Arial"/>
                <w:sz w:val="16"/>
                <w:szCs w:val="16"/>
                <w:color w:val="auto"/>
              </w:rPr>
              <w:t>46.2 %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89"/>
              </w:rPr>
              <w:t>132,939</w:t>
            </w:r>
          </w:p>
        </w:tc>
        <w:tc>
          <w:tcPr>
            <w:tcW w:w="2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46.1 %</w:t>
            </w:r>
          </w:p>
        </w:tc>
      </w:tr>
      <w:tr>
        <w:trPr>
          <w:trHeight w:val="203"/>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hotel revenue</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34,155</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9.2 %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24,608</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8.5 %</w:t>
            </w:r>
          </w:p>
        </w:tc>
      </w:tr>
      <w:tr>
        <w:trPr>
          <w:trHeight w:val="203"/>
        </w:trPr>
        <w:tc>
          <w:tcPr>
            <w:tcW w:w="5340" w:type="dxa"/>
            <w:vAlign w:val="bottom"/>
            <w:gridSpan w:val="2"/>
          </w:tcPr>
          <w:p>
            <w:pPr>
              <w:ind w:left="120"/>
              <w:spacing w:after="0"/>
              <w:rPr>
                <w:sz w:val="20"/>
                <w:szCs w:val="20"/>
                <w:color w:val="auto"/>
              </w:rPr>
            </w:pPr>
            <w:r>
              <w:rPr>
                <w:rFonts w:ascii="Arial" w:cs="Arial" w:eastAsia="Arial" w:hAnsi="Arial"/>
                <w:sz w:val="16"/>
                <w:szCs w:val="16"/>
                <w:color w:val="auto"/>
              </w:rPr>
              <w:t>Entertainment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33,265</w:t>
            </w:r>
          </w:p>
        </w:tc>
        <w:tc>
          <w:tcPr>
            <w:tcW w:w="180" w:type="dxa"/>
            <w:vAlign w:val="bottom"/>
          </w:tcPr>
          <w:p>
            <w:pPr>
              <w:spacing w:after="0"/>
              <w:rPr>
                <w:sz w:val="17"/>
                <w:szCs w:val="17"/>
                <w:color w:val="auto"/>
              </w:rPr>
            </w:pPr>
          </w:p>
        </w:tc>
        <w:tc>
          <w:tcPr>
            <w:tcW w:w="860" w:type="dxa"/>
            <w:vAlign w:val="bottom"/>
            <w:gridSpan w:val="2"/>
          </w:tcPr>
          <w:p>
            <w:pPr>
              <w:jc w:val="right"/>
              <w:ind w:right="184"/>
              <w:spacing w:after="0"/>
              <w:rPr>
                <w:sz w:val="20"/>
                <w:szCs w:val="20"/>
                <w:color w:val="auto"/>
              </w:rPr>
            </w:pPr>
            <w:r>
              <w:rPr>
                <w:rFonts w:ascii="Arial" w:cs="Arial" w:eastAsia="Arial" w:hAnsi="Arial"/>
                <w:sz w:val="16"/>
                <w:szCs w:val="16"/>
                <w:color w:val="auto"/>
              </w:rPr>
              <w:t>9.0 %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23,259</w:t>
            </w:r>
          </w:p>
        </w:tc>
        <w:tc>
          <w:tcPr>
            <w:tcW w:w="2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8.1 %</w:t>
            </w:r>
          </w:p>
        </w:tc>
      </w:tr>
      <w:tr>
        <w:trPr>
          <w:trHeight w:val="196"/>
        </w:trPr>
        <w:tc>
          <w:tcPr>
            <w:tcW w:w="53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revenues</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370,775</w:t>
            </w:r>
          </w:p>
        </w:tc>
        <w:tc>
          <w:tcPr>
            <w:tcW w:w="18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380" w:type="dxa"/>
            <w:vAlign w:val="bottom"/>
            <w:tcBorders>
              <w:top w:val="single" w:sz="8" w:color="CCEEFF"/>
            </w:tcBorders>
            <w:shd w:val="clear" w:color="auto" w:fill="CCEEFF"/>
          </w:tcPr>
          <w:p>
            <w:pPr>
              <w:jc w:val="right"/>
              <w:ind w:right="184"/>
              <w:spacing w:after="0"/>
              <w:rPr>
                <w:sz w:val="20"/>
                <w:szCs w:val="20"/>
                <w:color w:val="auto"/>
              </w:rPr>
            </w:pPr>
            <w:r>
              <w:rPr>
                <w:rFonts w:ascii="Arial" w:cs="Arial" w:eastAsia="Arial" w:hAnsi="Arial"/>
                <w:sz w:val="15"/>
                <w:szCs w:val="15"/>
                <w:color w:val="auto"/>
                <w:w w:val="74"/>
              </w:rPr>
              <w:t>%</w:t>
            </w: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288,370</w:t>
            </w:r>
          </w:p>
        </w:tc>
        <w:tc>
          <w:tcPr>
            <w:tcW w:w="2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r>
      <w:tr>
        <w:trPr>
          <w:trHeight w:val="193"/>
        </w:trPr>
        <w:tc>
          <w:tcPr>
            <w:tcW w:w="534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Rooms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34,969</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9.4 %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28,928</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03"/>
        </w:trPr>
        <w:tc>
          <w:tcPr>
            <w:tcW w:w="5340" w:type="dxa"/>
            <w:vAlign w:val="bottom"/>
            <w:gridSpan w:val="2"/>
          </w:tcPr>
          <w:p>
            <w:pPr>
              <w:ind w:left="120"/>
              <w:spacing w:after="0"/>
              <w:rPr>
                <w:sz w:val="20"/>
                <w:szCs w:val="20"/>
                <w:color w:val="auto"/>
              </w:rPr>
            </w:pPr>
            <w:r>
              <w:rPr>
                <w:rFonts w:ascii="Arial" w:cs="Arial" w:eastAsia="Arial" w:hAnsi="Arial"/>
                <w:sz w:val="16"/>
                <w:szCs w:val="16"/>
                <w:color w:val="auto"/>
              </w:rPr>
              <w:t>Food and beverage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91,359</w:t>
            </w:r>
          </w:p>
        </w:tc>
        <w:tc>
          <w:tcPr>
            <w:tcW w:w="180" w:type="dxa"/>
            <w:vAlign w:val="bottom"/>
          </w:tcPr>
          <w:p>
            <w:pPr>
              <w:spacing w:after="0"/>
              <w:rPr>
                <w:sz w:val="17"/>
                <w:szCs w:val="17"/>
                <w:color w:val="auto"/>
              </w:rPr>
            </w:pPr>
          </w:p>
        </w:tc>
        <w:tc>
          <w:tcPr>
            <w:tcW w:w="860" w:type="dxa"/>
            <w:vAlign w:val="bottom"/>
            <w:gridSpan w:val="2"/>
          </w:tcPr>
          <w:p>
            <w:pPr>
              <w:jc w:val="right"/>
              <w:ind w:right="184"/>
              <w:spacing w:after="0"/>
              <w:rPr>
                <w:sz w:val="20"/>
                <w:szCs w:val="20"/>
                <w:color w:val="auto"/>
              </w:rPr>
            </w:pPr>
            <w:r>
              <w:rPr>
                <w:rFonts w:ascii="Arial" w:cs="Arial" w:eastAsia="Arial" w:hAnsi="Arial"/>
                <w:sz w:val="16"/>
                <w:szCs w:val="16"/>
                <w:color w:val="auto"/>
              </w:rPr>
              <w:t>24.6 %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71,978</w:t>
            </w:r>
          </w:p>
        </w:tc>
        <w:tc>
          <w:tcPr>
            <w:tcW w:w="2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25.0 %</w:t>
            </w:r>
          </w:p>
        </w:tc>
      </w:tr>
      <w:tr>
        <w:trPr>
          <w:trHeight w:val="203"/>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 hotel expenses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90,939</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24.5 %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75,882</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26.3 %</w:t>
            </w:r>
          </w:p>
        </w:tc>
      </w:tr>
      <w:tr>
        <w:trPr>
          <w:trHeight w:val="203"/>
        </w:trPr>
        <w:tc>
          <w:tcPr>
            <w:tcW w:w="5340" w:type="dxa"/>
            <w:vAlign w:val="bottom"/>
            <w:gridSpan w:val="2"/>
          </w:tcPr>
          <w:p>
            <w:pPr>
              <w:ind w:left="120"/>
              <w:spacing w:after="0"/>
              <w:rPr>
                <w:sz w:val="20"/>
                <w:szCs w:val="20"/>
                <w:color w:val="auto"/>
              </w:rPr>
            </w:pPr>
            <w:r>
              <w:rPr>
                <w:rFonts w:ascii="Arial" w:cs="Arial" w:eastAsia="Arial" w:hAnsi="Arial"/>
                <w:sz w:val="16"/>
                <w:szCs w:val="16"/>
                <w:color w:val="auto"/>
              </w:rPr>
              <w:t>Hotel management fees, net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9,756</w:t>
            </w:r>
          </w:p>
        </w:tc>
        <w:tc>
          <w:tcPr>
            <w:tcW w:w="180" w:type="dxa"/>
            <w:vAlign w:val="bottom"/>
          </w:tcPr>
          <w:p>
            <w:pPr>
              <w:spacing w:after="0"/>
              <w:rPr>
                <w:sz w:val="17"/>
                <w:szCs w:val="17"/>
                <w:color w:val="auto"/>
              </w:rPr>
            </w:pPr>
          </w:p>
        </w:tc>
        <w:tc>
          <w:tcPr>
            <w:tcW w:w="860" w:type="dxa"/>
            <w:vAlign w:val="bottom"/>
            <w:gridSpan w:val="2"/>
          </w:tcPr>
          <w:p>
            <w:pPr>
              <w:jc w:val="right"/>
              <w:ind w:right="184"/>
              <w:spacing w:after="0"/>
              <w:rPr>
                <w:sz w:val="20"/>
                <w:szCs w:val="20"/>
                <w:color w:val="auto"/>
              </w:rPr>
            </w:pPr>
            <w:r>
              <w:rPr>
                <w:rFonts w:ascii="Arial" w:cs="Arial" w:eastAsia="Arial" w:hAnsi="Arial"/>
                <w:sz w:val="16"/>
                <w:szCs w:val="16"/>
                <w:color w:val="auto"/>
              </w:rPr>
              <w:t>2.6 %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7,130</w:t>
            </w:r>
          </w:p>
        </w:tc>
        <w:tc>
          <w:tcPr>
            <w:tcW w:w="2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2.5 %</w:t>
            </w:r>
          </w:p>
        </w:tc>
      </w:tr>
      <w:tr>
        <w:trPr>
          <w:trHeight w:val="203"/>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Entertainment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25,641</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6.9 %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19,366</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6.7 %</w:t>
            </w:r>
          </w:p>
        </w:tc>
      </w:tr>
      <w:tr>
        <w:trPr>
          <w:trHeight w:val="203"/>
        </w:trPr>
        <w:tc>
          <w:tcPr>
            <w:tcW w:w="5340" w:type="dxa"/>
            <w:vAlign w:val="bottom"/>
            <w:gridSpan w:val="2"/>
          </w:tcPr>
          <w:p>
            <w:pPr>
              <w:ind w:left="120"/>
              <w:spacing w:after="0"/>
              <w:rPr>
                <w:sz w:val="20"/>
                <w:szCs w:val="20"/>
                <w:color w:val="auto"/>
              </w:rPr>
            </w:pPr>
            <w:r>
              <w:rPr>
                <w:rFonts w:ascii="Arial" w:cs="Arial" w:eastAsia="Arial" w:hAnsi="Arial"/>
                <w:sz w:val="16"/>
                <w:szCs w:val="16"/>
                <w:color w:val="auto"/>
              </w:rPr>
              <w:t>Corporate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9,004</w:t>
            </w:r>
          </w:p>
        </w:tc>
        <w:tc>
          <w:tcPr>
            <w:tcW w:w="180" w:type="dxa"/>
            <w:vAlign w:val="bottom"/>
          </w:tcPr>
          <w:p>
            <w:pPr>
              <w:spacing w:after="0"/>
              <w:rPr>
                <w:sz w:val="17"/>
                <w:szCs w:val="17"/>
                <w:color w:val="auto"/>
              </w:rPr>
            </w:pPr>
          </w:p>
        </w:tc>
        <w:tc>
          <w:tcPr>
            <w:tcW w:w="860" w:type="dxa"/>
            <w:vAlign w:val="bottom"/>
            <w:gridSpan w:val="2"/>
          </w:tcPr>
          <w:p>
            <w:pPr>
              <w:jc w:val="right"/>
              <w:ind w:right="184"/>
              <w:spacing w:after="0"/>
              <w:rPr>
                <w:sz w:val="20"/>
                <w:szCs w:val="20"/>
                <w:color w:val="auto"/>
              </w:rPr>
            </w:pPr>
            <w:r>
              <w:rPr>
                <w:rFonts w:ascii="Arial" w:cs="Arial" w:eastAsia="Arial" w:hAnsi="Arial"/>
                <w:sz w:val="16"/>
                <w:szCs w:val="16"/>
                <w:color w:val="auto"/>
              </w:rPr>
              <w:t>2.4 %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8,329</w:t>
            </w:r>
          </w:p>
        </w:tc>
        <w:tc>
          <w:tcPr>
            <w:tcW w:w="2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2.9 %</w:t>
            </w:r>
          </w:p>
        </w:tc>
      </w:tr>
      <w:tr>
        <w:trPr>
          <w:trHeight w:val="203"/>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Preopening costs</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2,134</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0.6 %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2,147</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0.7 %</w:t>
            </w:r>
          </w:p>
        </w:tc>
      </w:tr>
      <w:tr>
        <w:trPr>
          <w:trHeight w:val="203"/>
        </w:trPr>
        <w:tc>
          <w:tcPr>
            <w:tcW w:w="5340" w:type="dxa"/>
            <w:vAlign w:val="bottom"/>
            <w:gridSpan w:val="2"/>
          </w:tcPr>
          <w:p>
            <w:pPr>
              <w:ind w:left="12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Hospitality</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50,133</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13.5 %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26,200</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9.1 %</w:t>
            </w:r>
          </w:p>
        </w:tc>
      </w:tr>
      <w:tr>
        <w:trPr>
          <w:trHeight w:val="203"/>
        </w:trPr>
        <w:tc>
          <w:tcPr>
            <w:tcW w:w="5340" w:type="dxa"/>
            <w:vAlign w:val="bottom"/>
            <w:gridSpan w:val="2"/>
          </w:tcPr>
          <w:p>
            <w:pPr>
              <w:ind w:left="220"/>
              <w:spacing w:after="0"/>
              <w:rPr>
                <w:sz w:val="20"/>
                <w:szCs w:val="20"/>
                <w:color w:val="auto"/>
              </w:rPr>
            </w:pPr>
            <w:r>
              <w:rPr>
                <w:rFonts w:ascii="Arial" w:cs="Arial" w:eastAsia="Arial" w:hAnsi="Arial"/>
                <w:sz w:val="16"/>
                <w:szCs w:val="16"/>
                <w:color w:val="auto"/>
              </w:rPr>
              <w:t>Entertainment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2,479</w:t>
            </w:r>
          </w:p>
        </w:tc>
        <w:tc>
          <w:tcPr>
            <w:tcW w:w="180" w:type="dxa"/>
            <w:vAlign w:val="bottom"/>
          </w:tcPr>
          <w:p>
            <w:pPr>
              <w:spacing w:after="0"/>
              <w:rPr>
                <w:sz w:val="17"/>
                <w:szCs w:val="17"/>
                <w:color w:val="auto"/>
              </w:rPr>
            </w:pPr>
          </w:p>
        </w:tc>
        <w:tc>
          <w:tcPr>
            <w:tcW w:w="860" w:type="dxa"/>
            <w:vAlign w:val="bottom"/>
            <w:gridSpan w:val="2"/>
          </w:tcPr>
          <w:p>
            <w:pPr>
              <w:jc w:val="right"/>
              <w:ind w:right="184"/>
              <w:spacing w:after="0"/>
              <w:rPr>
                <w:sz w:val="20"/>
                <w:szCs w:val="20"/>
                <w:color w:val="auto"/>
              </w:rPr>
            </w:pPr>
            <w:r>
              <w:rPr>
                <w:rFonts w:ascii="Arial" w:cs="Arial" w:eastAsia="Arial" w:hAnsi="Arial"/>
                <w:sz w:val="16"/>
                <w:szCs w:val="16"/>
                <w:color w:val="auto"/>
              </w:rPr>
              <w:t>0.7 %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1,957</w:t>
            </w:r>
          </w:p>
        </w:tc>
        <w:tc>
          <w:tcPr>
            <w:tcW w:w="2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0.7 %</w:t>
            </w:r>
          </w:p>
        </w:tc>
      </w:tr>
      <w:tr>
        <w:trPr>
          <w:trHeight w:val="203"/>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Corporate and Other</w:t>
            </w: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0.1 %</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509</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196"/>
        </w:trPr>
        <w:tc>
          <w:tcPr>
            <w:tcW w:w="5340" w:type="dxa"/>
            <w:vAlign w:val="bottom"/>
            <w:tcBorders>
              <w:bottom w:val="single" w:sz="8" w:color="CCEEFF"/>
            </w:tcBorders>
            <w:gridSpan w:val="2"/>
          </w:tcPr>
          <w:p>
            <w:pPr>
              <w:ind w:left="320"/>
              <w:spacing w:after="0"/>
              <w:rPr>
                <w:sz w:val="20"/>
                <w:szCs w:val="20"/>
                <w:color w:val="auto"/>
              </w:rPr>
            </w:pPr>
            <w:r>
              <w:rPr>
                <w:rFonts w:ascii="Arial" w:cs="Arial" w:eastAsia="Arial" w:hAnsi="Arial"/>
                <w:sz w:val="16"/>
                <w:szCs w:val="16"/>
                <w:color w:val="auto"/>
              </w:rPr>
              <w:t>Total depreciation and amortization</w:t>
            </w:r>
          </w:p>
        </w:tc>
        <w:tc>
          <w:tcPr>
            <w:tcW w:w="3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53,009</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gridSpan w:val="2"/>
          </w:tcPr>
          <w:p>
            <w:pPr>
              <w:jc w:val="right"/>
              <w:ind w:right="184"/>
              <w:spacing w:after="0"/>
              <w:rPr>
                <w:sz w:val="20"/>
                <w:szCs w:val="20"/>
                <w:color w:val="auto"/>
              </w:rPr>
            </w:pPr>
            <w:r>
              <w:rPr>
                <w:rFonts w:ascii="Arial" w:cs="Arial" w:eastAsia="Arial" w:hAnsi="Arial"/>
                <w:sz w:val="16"/>
                <w:szCs w:val="16"/>
                <w:color w:val="auto"/>
              </w:rPr>
              <w:t>14.3 %</w:t>
            </w: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28,666</w:t>
            </w:r>
          </w:p>
        </w:tc>
        <w:tc>
          <w:tcPr>
            <w:tcW w:w="200" w:type="dxa"/>
            <w:vAlign w:val="bottom"/>
            <w:tcBorders>
              <w:bottom w:val="single" w:sz="8" w:color="CCEEFF"/>
            </w:tcBorders>
          </w:tcPr>
          <w:p>
            <w:pPr>
              <w:spacing w:after="0"/>
              <w:rPr>
                <w:sz w:val="17"/>
                <w:szCs w:val="17"/>
                <w:color w:val="auto"/>
              </w:rPr>
            </w:pPr>
          </w:p>
        </w:tc>
        <w:tc>
          <w:tcPr>
            <w:tcW w:w="6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9.9 %</w:t>
            </w:r>
          </w:p>
        </w:tc>
      </w:tr>
      <w:tr>
        <w:trPr>
          <w:trHeight w:val="196"/>
        </w:trPr>
        <w:tc>
          <w:tcPr>
            <w:tcW w:w="534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operating expenses</w:t>
            </w:r>
          </w:p>
        </w:tc>
        <w:tc>
          <w:tcPr>
            <w:tcW w:w="3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316,811</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85.4 %</w:t>
            </w:r>
          </w:p>
        </w:tc>
        <w:tc>
          <w:tcPr>
            <w:tcW w:w="1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242,426</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84.1 %</w:t>
            </w:r>
          </w:p>
        </w:tc>
      </w:tr>
      <w:tr>
        <w:trPr>
          <w:trHeight w:val="193"/>
        </w:trPr>
        <w:tc>
          <w:tcPr>
            <w:tcW w:w="5340" w:type="dxa"/>
            <w:vAlign w:val="bottom"/>
            <w:gridSpan w:val="2"/>
          </w:tcPr>
          <w:p>
            <w:pPr>
              <w:spacing w:after="0"/>
              <w:rPr>
                <w:sz w:val="20"/>
                <w:szCs w:val="20"/>
                <w:color w:val="auto"/>
              </w:rPr>
            </w:pPr>
            <w:r>
              <w:rPr>
                <w:rFonts w:ascii="Arial" w:cs="Arial" w:eastAsia="Arial" w:hAnsi="Arial"/>
                <w:sz w:val="16"/>
                <w:szCs w:val="16"/>
                <w:color w:val="auto"/>
              </w:rPr>
              <w:t>OPERATING INCOME:</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6"/>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Hospitality</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60,354</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17.9 %</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54,993</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20.7 %</w:t>
            </w:r>
          </w:p>
        </w:tc>
      </w:tr>
      <w:tr>
        <w:trPr>
          <w:trHeight w:val="203"/>
        </w:trPr>
        <w:tc>
          <w:tcPr>
            <w:tcW w:w="5340" w:type="dxa"/>
            <w:vAlign w:val="bottom"/>
            <w:gridSpan w:val="2"/>
          </w:tcPr>
          <w:p>
            <w:pPr>
              <w:ind w:left="120"/>
              <w:spacing w:after="0"/>
              <w:rPr>
                <w:sz w:val="20"/>
                <w:szCs w:val="20"/>
                <w:color w:val="auto"/>
              </w:rPr>
            </w:pPr>
            <w:r>
              <w:rPr>
                <w:rFonts w:ascii="Arial" w:cs="Arial" w:eastAsia="Arial" w:hAnsi="Arial"/>
                <w:sz w:val="16"/>
                <w:szCs w:val="16"/>
                <w:color w:val="auto"/>
              </w:rPr>
              <w:t>Entertainment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5,145</w:t>
            </w:r>
          </w:p>
        </w:tc>
        <w:tc>
          <w:tcPr>
            <w:tcW w:w="180" w:type="dxa"/>
            <w:vAlign w:val="bottom"/>
          </w:tcPr>
          <w:p>
            <w:pPr>
              <w:spacing w:after="0"/>
              <w:rPr>
                <w:sz w:val="17"/>
                <w:szCs w:val="17"/>
                <w:color w:val="auto"/>
              </w:rPr>
            </w:pPr>
          </w:p>
        </w:tc>
        <w:tc>
          <w:tcPr>
            <w:tcW w:w="860" w:type="dxa"/>
            <w:vAlign w:val="bottom"/>
            <w:gridSpan w:val="2"/>
          </w:tcPr>
          <w:p>
            <w:pPr>
              <w:jc w:val="right"/>
              <w:ind w:right="184"/>
              <w:spacing w:after="0"/>
              <w:rPr>
                <w:sz w:val="20"/>
                <w:szCs w:val="20"/>
                <w:color w:val="auto"/>
              </w:rPr>
            </w:pPr>
            <w:r>
              <w:rPr>
                <w:rFonts w:ascii="Arial" w:cs="Arial" w:eastAsia="Arial" w:hAnsi="Arial"/>
                <w:sz w:val="16"/>
                <w:szCs w:val="16"/>
                <w:color w:val="auto"/>
              </w:rPr>
              <w:t>15.5 %</w:t>
            </w: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1,936</w:t>
            </w:r>
          </w:p>
        </w:tc>
        <w:tc>
          <w:tcPr>
            <w:tcW w:w="2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8.3 %</w:t>
            </w:r>
          </w:p>
        </w:tc>
      </w:tr>
      <w:tr>
        <w:trPr>
          <w:trHeight w:val="203"/>
        </w:trPr>
        <w:tc>
          <w:tcPr>
            <w:tcW w:w="53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Corporate and Other</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(9,401)</w:t>
            </w:r>
          </w:p>
        </w:tc>
        <w:tc>
          <w:tcPr>
            <w:tcW w:w="860" w:type="dxa"/>
            <w:vAlign w:val="bottom"/>
            <w:gridSpan w:val="2"/>
            <w:shd w:val="clear" w:color="auto" w:fill="CCEEFF"/>
          </w:tcPr>
          <w:p>
            <w:pPr>
              <w:jc w:val="center"/>
              <w:ind w:right="324"/>
              <w:spacing w:after="0"/>
              <w:rPr>
                <w:sz w:val="20"/>
                <w:szCs w:val="20"/>
                <w:color w:val="auto"/>
              </w:rPr>
            </w:pPr>
            <w:r>
              <w:rPr>
                <w:rFonts w:ascii="Arial" w:cs="Arial" w:eastAsia="Arial" w:hAnsi="Arial"/>
                <w:sz w:val="16"/>
                <w:szCs w:val="16"/>
                <w:color w:val="auto"/>
              </w:rPr>
              <w:t>(A)</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(8,838)</w:t>
            </w:r>
          </w:p>
        </w:tc>
        <w:tc>
          <w:tcPr>
            <w:tcW w:w="64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r>
      <w:tr>
        <w:trPr>
          <w:trHeight w:val="203"/>
        </w:trPr>
        <w:tc>
          <w:tcPr>
            <w:tcW w:w="5340" w:type="dxa"/>
            <w:vAlign w:val="bottom"/>
            <w:gridSpan w:val="2"/>
          </w:tcPr>
          <w:p>
            <w:pPr>
              <w:ind w:left="120"/>
              <w:spacing w:after="0"/>
              <w:rPr>
                <w:sz w:val="20"/>
                <w:szCs w:val="20"/>
                <w:color w:val="auto"/>
              </w:rPr>
            </w:pPr>
            <w:r>
              <w:rPr>
                <w:rFonts w:ascii="Arial" w:cs="Arial" w:eastAsia="Arial" w:hAnsi="Arial"/>
                <w:sz w:val="16"/>
                <w:szCs w:val="16"/>
                <w:color w:val="auto"/>
              </w:rPr>
              <w:t>Preopening costs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(2,134)</w:t>
            </w:r>
          </w:p>
        </w:tc>
        <w:tc>
          <w:tcPr>
            <w:tcW w:w="860" w:type="dxa"/>
            <w:vAlign w:val="bottom"/>
            <w:gridSpan w:val="2"/>
          </w:tcPr>
          <w:p>
            <w:pPr>
              <w:jc w:val="right"/>
              <w:ind w:right="184"/>
              <w:spacing w:after="0"/>
              <w:rPr>
                <w:sz w:val="20"/>
                <w:szCs w:val="20"/>
                <w:color w:val="auto"/>
              </w:rPr>
            </w:pPr>
            <w:r>
              <w:rPr>
                <w:rFonts w:ascii="Arial" w:cs="Arial" w:eastAsia="Arial" w:hAnsi="Arial"/>
                <w:sz w:val="16"/>
                <w:szCs w:val="16"/>
                <w:color w:val="auto"/>
              </w:rPr>
              <w:t>(0.6)%</w:t>
            </w:r>
          </w:p>
        </w:tc>
        <w:tc>
          <w:tcPr>
            <w:tcW w:w="1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(2,147)</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(0.7)%</w:t>
            </w:r>
          </w:p>
        </w:tc>
      </w:tr>
      <w:tr>
        <w:trPr>
          <w:trHeight w:val="196"/>
        </w:trPr>
        <w:tc>
          <w:tcPr>
            <w:tcW w:w="53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operating income</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53,964</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right"/>
              <w:ind w:right="184"/>
              <w:spacing w:after="0"/>
              <w:rPr>
                <w:sz w:val="20"/>
                <w:szCs w:val="20"/>
                <w:color w:val="auto"/>
              </w:rPr>
            </w:pPr>
            <w:r>
              <w:rPr>
                <w:rFonts w:ascii="Arial" w:cs="Arial" w:eastAsia="Arial" w:hAnsi="Arial"/>
                <w:sz w:val="16"/>
                <w:szCs w:val="16"/>
                <w:color w:val="auto"/>
              </w:rPr>
              <w:t>14.6 %</w:t>
            </w: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45,944</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15.9 %</w:t>
            </w:r>
          </w:p>
        </w:tc>
      </w:tr>
      <w:tr>
        <w:trPr>
          <w:trHeight w:val="203"/>
        </w:trPr>
        <w:tc>
          <w:tcPr>
            <w:tcW w:w="5340" w:type="dxa"/>
            <w:vAlign w:val="bottom"/>
            <w:gridSpan w:val="2"/>
          </w:tcPr>
          <w:p>
            <w:pPr>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(32,087)</w:t>
            </w:r>
          </w:p>
        </w:tc>
        <w:tc>
          <w:tcPr>
            <w:tcW w:w="860" w:type="dxa"/>
            <w:vAlign w:val="bottom"/>
            <w:gridSpan w:val="2"/>
          </w:tcPr>
          <w:p>
            <w:pPr>
              <w:jc w:val="center"/>
              <w:ind w:right="324"/>
              <w:spacing w:after="0"/>
              <w:rPr>
                <w:sz w:val="20"/>
                <w:szCs w:val="20"/>
                <w:color w:val="auto"/>
              </w:rPr>
            </w:pPr>
            <w:r>
              <w:rPr>
                <w:rFonts w:ascii="Arial" w:cs="Arial" w:eastAsia="Arial" w:hAnsi="Arial"/>
                <w:sz w:val="16"/>
                <w:szCs w:val="16"/>
                <w:color w:val="auto"/>
              </w:rPr>
              <w:t>(A)</w:t>
            </w:r>
          </w:p>
        </w:tc>
        <w:tc>
          <w:tcPr>
            <w:tcW w:w="1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w w:val="93"/>
              </w:rPr>
              <w:t>(16,729)</w:t>
            </w:r>
          </w:p>
        </w:tc>
        <w:tc>
          <w:tcPr>
            <w:tcW w:w="64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r>
      <w:tr>
        <w:trPr>
          <w:trHeight w:val="203"/>
        </w:trPr>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income</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18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center"/>
              <w:ind w:right="324"/>
              <w:spacing w:after="0"/>
              <w:rPr>
                <w:sz w:val="20"/>
                <w:szCs w:val="20"/>
                <w:color w:val="auto"/>
              </w:rPr>
            </w:pPr>
            <w:r>
              <w:rPr>
                <w:rFonts w:ascii="Arial" w:cs="Arial" w:eastAsia="Arial" w:hAnsi="Arial"/>
                <w:sz w:val="16"/>
                <w:szCs w:val="16"/>
                <w:color w:val="auto"/>
              </w:rPr>
              <w:t>(A)</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2,753</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r>
      <w:tr>
        <w:trPr>
          <w:trHeight w:val="203"/>
        </w:trPr>
        <w:tc>
          <w:tcPr>
            <w:tcW w:w="5340" w:type="dxa"/>
            <w:vAlign w:val="bottom"/>
            <w:gridSpan w:val="2"/>
          </w:tcPr>
          <w:p>
            <w:pPr>
              <w:spacing w:after="0"/>
              <w:rPr>
                <w:sz w:val="20"/>
                <w:szCs w:val="20"/>
                <w:color w:val="auto"/>
              </w:rPr>
            </w:pPr>
            <w:r>
              <w:rPr>
                <w:rFonts w:ascii="Arial" w:cs="Arial" w:eastAsia="Arial" w:hAnsi="Arial"/>
                <w:sz w:val="16"/>
                <w:szCs w:val="16"/>
                <w:color w:val="auto"/>
              </w:rPr>
              <w:t>Loss from joint ventures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center"/>
              <w:ind w:right="324"/>
              <w:spacing w:after="0"/>
              <w:rPr>
                <w:sz w:val="20"/>
                <w:szCs w:val="20"/>
                <w:color w:val="auto"/>
              </w:rPr>
            </w:pPr>
            <w:r>
              <w:rPr>
                <w:rFonts w:ascii="Arial" w:cs="Arial" w:eastAsia="Arial" w:hAnsi="Arial"/>
                <w:sz w:val="16"/>
                <w:szCs w:val="16"/>
                <w:color w:val="auto"/>
              </w:rPr>
              <w:t>(A)</w:t>
            </w:r>
          </w:p>
        </w:tc>
        <w:tc>
          <w:tcPr>
            <w:tcW w:w="1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(2,588)</w:t>
            </w:r>
          </w:p>
        </w:tc>
        <w:tc>
          <w:tcPr>
            <w:tcW w:w="64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r>
      <w:tr>
        <w:trPr>
          <w:trHeight w:val="203"/>
        </w:trPr>
        <w:tc>
          <w:tcPr>
            <w:tcW w:w="53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Other gains and (losses), net</w:t>
            </w: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(141)</w:t>
            </w:r>
          </w:p>
        </w:tc>
        <w:tc>
          <w:tcPr>
            <w:tcW w:w="860" w:type="dxa"/>
            <w:vAlign w:val="bottom"/>
            <w:gridSpan w:val="2"/>
            <w:shd w:val="clear" w:color="auto" w:fill="CCEEFF"/>
          </w:tcPr>
          <w:p>
            <w:pPr>
              <w:jc w:val="center"/>
              <w:ind w:right="324"/>
              <w:spacing w:after="0"/>
              <w:rPr>
                <w:sz w:val="20"/>
                <w:szCs w:val="20"/>
                <w:color w:val="auto"/>
              </w:rPr>
            </w:pPr>
            <w:r>
              <w:rPr>
                <w:rFonts w:ascii="Arial" w:cs="Arial" w:eastAsia="Arial" w:hAnsi="Arial"/>
                <w:sz w:val="16"/>
                <w:szCs w:val="16"/>
                <w:color w:val="auto"/>
              </w:rPr>
              <w:t>(A)</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r>
      <w:tr>
        <w:trPr>
          <w:trHeight w:val="203"/>
        </w:trPr>
        <w:tc>
          <w:tcPr>
            <w:tcW w:w="5340" w:type="dxa"/>
            <w:vAlign w:val="bottom"/>
            <w:gridSpan w:val="2"/>
          </w:tcPr>
          <w:p>
            <w:pPr>
              <w:spacing w:after="0"/>
              <w:rPr>
                <w:sz w:val="20"/>
                <w:szCs w:val="20"/>
                <w:color w:val="auto"/>
              </w:rPr>
            </w:pPr>
            <w:r>
              <w:rPr>
                <w:rFonts w:ascii="Arial" w:cs="Arial" w:eastAsia="Arial" w:hAnsi="Arial"/>
                <w:sz w:val="16"/>
                <w:szCs w:val="16"/>
                <w:color w:val="auto"/>
              </w:rPr>
              <w:t>Provision for income taxes</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6"/>
                <w:szCs w:val="16"/>
                <w:color w:val="auto"/>
              </w:rPr>
              <w:t>(1,974)</w:t>
            </w:r>
          </w:p>
        </w:tc>
        <w:tc>
          <w:tcPr>
            <w:tcW w:w="860" w:type="dxa"/>
            <w:vAlign w:val="bottom"/>
            <w:gridSpan w:val="2"/>
          </w:tcPr>
          <w:p>
            <w:pPr>
              <w:jc w:val="center"/>
              <w:ind w:right="324"/>
              <w:spacing w:after="0"/>
              <w:rPr>
                <w:sz w:val="20"/>
                <w:szCs w:val="20"/>
                <w:color w:val="auto"/>
              </w:rPr>
            </w:pPr>
            <w:r>
              <w:rPr>
                <w:rFonts w:ascii="Arial" w:cs="Arial" w:eastAsia="Arial" w:hAnsi="Arial"/>
                <w:sz w:val="16"/>
                <w:szCs w:val="16"/>
                <w:color w:val="auto"/>
              </w:rPr>
              <w:t>(A)</w:t>
            </w:r>
          </w:p>
        </w:tc>
        <w:tc>
          <w:tcPr>
            <w:tcW w:w="160" w:type="dxa"/>
            <w:vAlign w:val="bottom"/>
          </w:tcPr>
          <w:p>
            <w:pPr>
              <w:spacing w:after="0"/>
              <w:rPr>
                <w:sz w:val="17"/>
                <w:szCs w:val="17"/>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(2,209)</w:t>
            </w:r>
          </w:p>
        </w:tc>
        <w:tc>
          <w:tcPr>
            <w:tcW w:w="64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r>
      <w:tr>
        <w:trPr>
          <w:trHeight w:val="196"/>
        </w:trPr>
        <w:tc>
          <w:tcPr>
            <w:tcW w:w="5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3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22,670</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gridSpan w:val="2"/>
            <w:shd w:val="clear" w:color="auto" w:fill="CCEEFF"/>
          </w:tcPr>
          <w:p>
            <w:pPr>
              <w:jc w:val="center"/>
              <w:ind w:right="324"/>
              <w:spacing w:after="0"/>
              <w:rPr>
                <w:sz w:val="20"/>
                <w:szCs w:val="20"/>
                <w:color w:val="auto"/>
              </w:rPr>
            </w:pPr>
            <w:r>
              <w:rPr>
                <w:rFonts w:ascii="Arial" w:cs="Arial" w:eastAsia="Arial" w:hAnsi="Arial"/>
                <w:sz w:val="16"/>
                <w:szCs w:val="16"/>
                <w:color w:val="auto"/>
              </w:rPr>
              <w:t>(A)</w:t>
            </w: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27,339</w:t>
            </w:r>
          </w:p>
        </w:tc>
        <w:tc>
          <w:tcPr>
            <w:tcW w:w="2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r>
      <w:tr>
        <w:trPr>
          <w:trHeight w:val="203"/>
        </w:trPr>
        <w:tc>
          <w:tcPr>
            <w:tcW w:w="5340" w:type="dxa"/>
            <w:vAlign w:val="bottom"/>
            <w:gridSpan w:val="2"/>
          </w:tcPr>
          <w:p>
            <w:pPr>
              <w:ind w:left="120"/>
              <w:spacing w:after="0"/>
              <w:rPr>
                <w:sz w:val="20"/>
                <w:szCs w:val="20"/>
                <w:color w:val="auto"/>
              </w:rPr>
            </w:pPr>
            <w:r>
              <w:rPr>
                <w:rFonts w:ascii="Arial" w:cs="Arial" w:eastAsia="Arial" w:hAnsi="Arial"/>
                <w:sz w:val="16"/>
                <w:szCs w:val="16"/>
                <w:color w:val="auto"/>
                <w:w w:val="99"/>
              </w:rPr>
              <w:t>Net loss attributable to noncontrolling interest in consolidated joint venture</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6,738</w:t>
            </w:r>
          </w:p>
        </w:tc>
        <w:tc>
          <w:tcPr>
            <w:tcW w:w="180" w:type="dxa"/>
            <w:vAlign w:val="bottom"/>
          </w:tcPr>
          <w:p>
            <w:pPr>
              <w:spacing w:after="0"/>
              <w:rPr>
                <w:sz w:val="17"/>
                <w:szCs w:val="17"/>
                <w:color w:val="auto"/>
              </w:rPr>
            </w:pPr>
          </w:p>
        </w:tc>
        <w:tc>
          <w:tcPr>
            <w:tcW w:w="860" w:type="dxa"/>
            <w:vAlign w:val="bottom"/>
            <w:gridSpan w:val="2"/>
          </w:tcPr>
          <w:p>
            <w:pPr>
              <w:jc w:val="center"/>
              <w:ind w:right="324"/>
              <w:spacing w:after="0"/>
              <w:rPr>
                <w:sz w:val="20"/>
                <w:szCs w:val="20"/>
                <w:color w:val="auto"/>
              </w:rPr>
            </w:pPr>
            <w:r>
              <w:rPr>
                <w:rFonts w:ascii="Arial" w:cs="Arial" w:eastAsia="Arial" w:hAnsi="Arial"/>
                <w:sz w:val="16"/>
                <w:szCs w:val="16"/>
                <w:color w:val="auto"/>
              </w:rPr>
              <w:t>(A)</w:t>
            </w:r>
          </w:p>
        </w:tc>
        <w:tc>
          <w:tcPr>
            <w:tcW w:w="16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center"/>
              <w:ind w:right="99"/>
              <w:spacing w:after="0"/>
              <w:rPr>
                <w:sz w:val="20"/>
                <w:szCs w:val="20"/>
                <w:color w:val="auto"/>
              </w:rPr>
            </w:pPr>
            <w:r>
              <w:rPr>
                <w:rFonts w:ascii="Arial" w:cs="Arial" w:eastAsia="Arial" w:hAnsi="Arial"/>
                <w:sz w:val="16"/>
                <w:szCs w:val="16"/>
                <w:color w:val="auto"/>
              </w:rPr>
              <w:t>(A)</w:t>
            </w:r>
          </w:p>
        </w:tc>
      </w:tr>
      <w:tr>
        <w:trPr>
          <w:trHeight w:val="203"/>
        </w:trPr>
        <w:tc>
          <w:tcPr>
            <w:tcW w:w="534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Net income available to common stockholders</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29,408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60" w:type="dxa"/>
            <w:vAlign w:val="bottom"/>
            <w:tcBorders>
              <w:top w:val="single" w:sz="8" w:color="CCEEFF"/>
              <w:bottom w:val="single" w:sz="8" w:color="CCEEFF"/>
            </w:tcBorders>
            <w:gridSpan w:val="2"/>
            <w:shd w:val="clear" w:color="auto" w:fill="CCEEFF"/>
          </w:tcPr>
          <w:p>
            <w:pPr>
              <w:jc w:val="center"/>
              <w:ind w:right="324"/>
              <w:spacing w:after="0"/>
              <w:rPr>
                <w:sz w:val="20"/>
                <w:szCs w:val="20"/>
                <w:color w:val="auto"/>
              </w:rPr>
            </w:pPr>
            <w:r>
              <w:rPr>
                <w:rFonts w:ascii="Arial" w:cs="Arial" w:eastAsia="Arial" w:hAnsi="Arial"/>
                <w:sz w:val="16"/>
                <w:szCs w:val="16"/>
                <w:color w:val="auto"/>
              </w:rPr>
              <w:t>(A)</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27,339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gridSpan w:val="2"/>
            <w:shd w:val="clear" w:color="auto" w:fill="CCEEFF"/>
          </w:tcPr>
          <w:p>
            <w:pPr>
              <w:jc w:val="center"/>
              <w:ind w:right="99"/>
              <w:spacing w:after="0"/>
              <w:rPr>
                <w:sz w:val="20"/>
                <w:szCs w:val="20"/>
                <w:color w:val="auto"/>
              </w:rPr>
            </w:pPr>
            <w:r>
              <w:rPr>
                <w:rFonts w:ascii="Arial" w:cs="Arial" w:eastAsia="Arial" w:hAnsi="Arial"/>
                <w:sz w:val="16"/>
                <w:szCs w:val="16"/>
                <w:color w:val="auto"/>
              </w:rPr>
              <w:t>(A)</w:t>
            </w:r>
          </w:p>
        </w:tc>
      </w:tr>
      <w:tr>
        <w:trPr>
          <w:trHeight w:val="108"/>
        </w:trPr>
        <w:tc>
          <w:tcPr>
            <w:tcW w:w="2280" w:type="dxa"/>
            <w:vAlign w:val="bottom"/>
            <w:tcBorders>
              <w:bottom w:val="single" w:sz="8" w:color="auto"/>
            </w:tcBorders>
          </w:tcPr>
          <w:p>
            <w:pPr>
              <w:spacing w:after="0"/>
              <w:rPr>
                <w:sz w:val="9"/>
                <w:szCs w:val="9"/>
                <w:color w:val="auto"/>
              </w:rPr>
            </w:pPr>
          </w:p>
        </w:tc>
        <w:tc>
          <w:tcPr>
            <w:tcW w:w="3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tabs>
          <w:tab w:leader="none" w:pos="32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These amounts have not been shown as a percentage of revenue because they have no relationship to revenue.</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8" w:lineRule="exact"/>
        <w:rPr>
          <w:rFonts w:ascii="Arial" w:cs="Arial" w:eastAsia="Arial" w:hAnsi="Arial"/>
          <w:sz w:val="17"/>
          <w:szCs w:val="17"/>
          <w:color w:val="auto"/>
        </w:rPr>
      </w:pPr>
    </w:p>
    <w:p>
      <w:pPr>
        <w:ind w:left="4440"/>
        <w:spacing w:after="0"/>
        <w:rPr>
          <w:rFonts w:ascii="Arial" w:cs="Arial" w:eastAsia="Arial" w:hAnsi="Arial"/>
          <w:sz w:val="17"/>
          <w:szCs w:val="17"/>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Financial Results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9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summarizes our financial results for the three months ended March 31, 2019 and 2018 (in thousands, except percentages and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158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4"/>
                <w:szCs w:val="14"/>
                <w:color w:val="auto"/>
              </w:rPr>
            </w:pPr>
          </w:p>
        </w:tc>
        <w:tc>
          <w:tcPr>
            <w:tcW w:w="820" w:type="dxa"/>
            <w:vAlign w:val="bottom"/>
          </w:tcPr>
          <w:p>
            <w:pPr>
              <w:jc w:val="right"/>
              <w:ind w:right="173"/>
              <w:spacing w:after="0"/>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4"/>
                <w:szCs w:val="14"/>
                <w:color w:val="auto"/>
              </w:rPr>
            </w:pPr>
          </w:p>
        </w:tc>
        <w:tc>
          <w:tcPr>
            <w:tcW w:w="86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89"/>
              </w:rPr>
              <w:t>Change</w:t>
            </w:r>
          </w:p>
        </w:tc>
      </w:tr>
      <w:tr>
        <w:trPr>
          <w:trHeight w:val="210"/>
        </w:trPr>
        <w:tc>
          <w:tcPr>
            <w:tcW w:w="5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7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$ 370,775</w:t>
            </w:r>
          </w:p>
        </w:tc>
        <w:tc>
          <w:tcPr>
            <w:tcW w:w="1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$ 288,370</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360" w:type="dxa"/>
            <w:vAlign w:val="bottom"/>
            <w:tcBorders>
              <w:top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87"/>
              </w:rPr>
              <w:t>%</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316,811</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242,426</w:t>
            </w:r>
          </w:p>
        </w:tc>
        <w:tc>
          <w:tcPr>
            <w:tcW w:w="14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30.7 %</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53,964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45,944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17.5 %</w:t>
            </w:r>
          </w:p>
        </w:tc>
      </w:tr>
      <w:tr>
        <w:trPr>
          <w:trHeight w:val="216"/>
        </w:trPr>
        <w:tc>
          <w:tcPr>
            <w:tcW w:w="5480" w:type="dxa"/>
            <w:vAlign w:val="bottom"/>
          </w:tcPr>
          <w:p>
            <w:pPr>
              <w:spacing w:after="0"/>
              <w:rPr>
                <w:sz w:val="20"/>
                <w:szCs w:val="20"/>
                <w:color w:val="auto"/>
              </w:rPr>
            </w:pPr>
            <w:r>
              <w:rPr>
                <w:rFonts w:ascii="Arial" w:cs="Arial" w:eastAsia="Arial" w:hAnsi="Arial"/>
                <w:sz w:val="18"/>
                <w:szCs w:val="18"/>
                <w:color w:val="auto"/>
              </w:rPr>
              <w:t>Net income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22,670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27,339</w:t>
            </w:r>
          </w:p>
        </w:tc>
        <w:tc>
          <w:tcPr>
            <w:tcW w:w="140" w:type="dxa"/>
            <w:vAlign w:val="bottom"/>
          </w:tcPr>
          <w:p>
            <w:pPr>
              <w:spacing w:after="0"/>
              <w:rPr>
                <w:sz w:val="18"/>
                <w:szCs w:val="18"/>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(17.1)%</w:t>
            </w:r>
          </w:p>
        </w:tc>
      </w:tr>
      <w:tr>
        <w:trPr>
          <w:trHeight w:val="216"/>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shareholders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29,408</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27,339</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7.6 %</w:t>
            </w:r>
          </w:p>
        </w:tc>
      </w:tr>
      <w:tr>
        <w:trPr>
          <w:trHeight w:val="230"/>
        </w:trPr>
        <w:tc>
          <w:tcPr>
            <w:tcW w:w="5480" w:type="dxa"/>
            <w:vAlign w:val="bottom"/>
          </w:tcPr>
          <w:p>
            <w:pPr>
              <w:spacing w:after="0"/>
              <w:rPr>
                <w:sz w:val="20"/>
                <w:szCs w:val="20"/>
                <w:color w:val="auto"/>
              </w:rPr>
            </w:pPr>
            <w:r>
              <w:rPr>
                <w:rFonts w:ascii="Arial" w:cs="Arial" w:eastAsia="Arial" w:hAnsi="Arial"/>
                <w:sz w:val="18"/>
                <w:szCs w:val="18"/>
                <w:color w:val="auto"/>
              </w:rPr>
              <w:t>Net income available to common shareholders per share - diluted</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0.57</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20"/>
                <w:szCs w:val="20"/>
                <w:color w:val="auto"/>
              </w:rPr>
            </w:pPr>
          </w:p>
        </w:tc>
        <w:tc>
          <w:tcPr>
            <w:tcW w:w="860" w:type="dxa"/>
            <w:vAlign w:val="bottom"/>
            <w:gridSpan w:val="2"/>
          </w:tcPr>
          <w:p>
            <w:pPr>
              <w:jc w:val="right"/>
              <w:ind w:right="110"/>
              <w:spacing w:after="0"/>
              <w:rPr>
                <w:sz w:val="20"/>
                <w:szCs w:val="20"/>
                <w:color w:val="auto"/>
              </w:rPr>
            </w:pPr>
            <w:r>
              <w:rPr>
                <w:rFonts w:ascii="Arial" w:cs="Arial" w:eastAsia="Arial" w:hAnsi="Arial"/>
                <w:sz w:val="18"/>
                <w:szCs w:val="18"/>
                <w:color w:val="auto"/>
              </w:rPr>
              <w:t>7.5 %</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Revenues</w:t>
      </w:r>
    </w:p>
    <w:p>
      <w:pPr>
        <w:spacing w:after="0" w:line="18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increase in our total revenues for the three months ended March 31, 2019, as compared to the same period in 2018, is attributable to increases in our Hospitality segment and Entertainment segment of $72.4 million and $10.0 million, respectively, each as discussed more fully below.</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Operating Expenses</w:t>
      </w:r>
    </w:p>
    <w:p>
      <w:pPr>
        <w:spacing w:after="0" w:line="185"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increase in our total operating expenses for the three months ended March 31, 2019, as compared to the same period in 2018, is primarily the result of increases in our Hospitality segment and Entertainment segment expenses of $43.1 million and $6.3 million, respectively, as well as an increase in depreciation and amortization expense of $24.3 million, each as discussed more fully below.</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9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decrease in our net income to $22.7 million for the three months ended March 31, 2019, as compared to $27.3 million for the same period in 2018, was primarily due to, in addition to the changes in our revenues and operating expenses reflected above, a $15.4 million increase in interest expense for the 2019 period. This increase was due primarily to interest expense related to the Gaylord Rockies construction and mezzanine loans, which the Company began consolidating at December 31, 2018, as well as increased interest expense related to the Company’s revolving credit facility, due to increased borrowings.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Factors and Trends Contributing to Performance</w:t>
      </w:r>
    </w:p>
    <w:p>
      <w:pPr>
        <w:spacing w:after="0" w:line="18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most important factors and trends contributing to our performance during the three months ended March 31, 2019 described herein were:</w:t>
      </w:r>
    </w:p>
    <w:p>
      <w:pPr>
        <w:spacing w:after="0" w:line="143" w:lineRule="exact"/>
        <w:rPr>
          <w:sz w:val="20"/>
          <w:szCs w:val="20"/>
          <w:color w:val="auto"/>
        </w:rPr>
      </w:pPr>
    </w:p>
    <w:p>
      <w:pPr>
        <w:ind w:left="660" w:right="280" w:hanging="333"/>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opening of Gaylord Rockies on a limited basis in December 2018 and on a fully operational basis in the first quarter of 2019, and the resulting impact on our financial results.</w:t>
      </w:r>
    </w:p>
    <w:p>
      <w:pPr>
        <w:spacing w:after="0" w:line="129" w:lineRule="exact"/>
        <w:rPr>
          <w:rFonts w:ascii="Arial" w:cs="Arial" w:eastAsia="Arial" w:hAnsi="Arial"/>
          <w:sz w:val="18"/>
          <w:szCs w:val="18"/>
          <w:color w:val="auto"/>
        </w:rPr>
      </w:pPr>
    </w:p>
    <w:p>
      <w:pPr>
        <w:ind w:left="660" w:right="20" w:hanging="333"/>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occupied rooms (an increase of 22.2%) and outside-the-room spending (an increase of 23.0%) at Gaylord Texan during the 2019 period, as compared to the 2018 period, primarily due to increases in group business partially attributable to the recent rooms and meeting space expansion.</w:t>
      </w:r>
    </w:p>
    <w:p>
      <w:pPr>
        <w:spacing w:after="0" w:line="140" w:lineRule="exact"/>
        <w:rPr>
          <w:rFonts w:ascii="Arial" w:cs="Arial" w:eastAsia="Arial" w:hAnsi="Arial"/>
          <w:sz w:val="18"/>
          <w:szCs w:val="18"/>
          <w:color w:val="auto"/>
        </w:rPr>
      </w:pPr>
    </w:p>
    <w:p>
      <w:pPr>
        <w:ind w:left="660" w:right="60" w:hanging="333"/>
        <w:spacing w:after="0" w:line="25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ADR (an increase of 10.2%) at Gaylord National during the 2019 period, as compared to the 2018 period, as a result of increases for both groups and transient business, as well as increased outside-the-room spending (an increase of 5.2%) during the 2019 period, primarily as a result of revenue increases in both catering and food and beverage outlets.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660" w:right="20" w:hanging="333"/>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outside-the-room spending (an increase of 10.7%) at Gaylord Opryland during the 2019 period, as compared to the 2018 period, due to increased catering and food and beverage outlet revenue, as well as the opening of the indoor portion of SoundWaves.</w:t>
      </w:r>
    </w:p>
    <w:p>
      <w:pPr>
        <w:spacing w:after="0" w:line="140" w:lineRule="exact"/>
        <w:rPr>
          <w:rFonts w:ascii="Arial" w:cs="Arial" w:eastAsia="Arial" w:hAnsi="Arial"/>
          <w:sz w:val="18"/>
          <w:szCs w:val="18"/>
          <w:color w:val="auto"/>
        </w:rPr>
      </w:pPr>
    </w:p>
    <w:p>
      <w:pPr>
        <w:ind w:left="660" w:right="180" w:hanging="333"/>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outside-the-room spending (an increase of 4.5%) at Gaylord Palms during the 2019 period, as compared to the 2018 period, due primarily to increased catering revenue.</w:t>
      </w:r>
    </w:p>
    <w:p>
      <w:pPr>
        <w:spacing w:after="0" w:line="129" w:lineRule="exact"/>
        <w:rPr>
          <w:rFonts w:ascii="Arial" w:cs="Arial" w:eastAsia="Arial" w:hAnsi="Arial"/>
          <w:sz w:val="18"/>
          <w:szCs w:val="18"/>
          <w:color w:val="auto"/>
        </w:rPr>
      </w:pPr>
    </w:p>
    <w:p>
      <w:pPr>
        <w:ind w:left="660" w:right="20" w:hanging="333"/>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revenue for our Entertainment segment during the 2019 period, as compared to the 2018 period (an increase of 43.0%), due primarily to the operations of our flagship Ole Red location, which opened in Nashville in May 2018, and increased revenue at the Grand Ole Opry and Ryman Auditorium due to increased shows, attendance and retail.</w:t>
      </w:r>
    </w:p>
    <w:p>
      <w:pPr>
        <w:spacing w:after="0" w:line="146" w:lineRule="exact"/>
        <w:rPr>
          <w:rFonts w:ascii="Arial" w:cs="Arial" w:eastAsia="Arial" w:hAnsi="Arial"/>
          <w:sz w:val="18"/>
          <w:szCs w:val="18"/>
          <w:color w:val="auto"/>
        </w:rPr>
      </w:pPr>
    </w:p>
    <w:p>
      <w:pPr>
        <w:ind w:left="660" w:right="100" w:hanging="333"/>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expenses for our Entertainment segment during the 2019 period, as compared to the 2018 period (an increase of 32.4%), due primarily to the operations of the Ryman Auditorium and Ole Red Nashville, as well as the opening of Ole Red Gatlinburg in March 2019.</w:t>
      </w:r>
    </w:p>
    <w:p>
      <w:pPr>
        <w:spacing w:after="0" w:line="141" w:lineRule="exact"/>
        <w:rPr>
          <w:sz w:val="20"/>
          <w:szCs w:val="20"/>
          <w:color w:val="auto"/>
        </w:rPr>
      </w:pPr>
    </w:p>
    <w:p>
      <w:pPr>
        <w:ind w:right="4500"/>
        <w:spacing w:after="0" w:line="461" w:lineRule="auto"/>
        <w:rPr>
          <w:sz w:val="20"/>
          <w:szCs w:val="20"/>
          <w:color w:val="auto"/>
        </w:rPr>
      </w:pPr>
      <w:r>
        <w:rPr>
          <w:rFonts w:ascii="Arial" w:cs="Arial" w:eastAsia="Arial" w:hAnsi="Arial"/>
          <w:sz w:val="18"/>
          <w:szCs w:val="18"/>
          <w:b w:val="1"/>
          <w:bCs w:val="1"/>
          <w:i w:val="1"/>
          <w:iCs w:val="1"/>
          <w:color w:val="auto"/>
        </w:rPr>
        <w:t>Operating Results – Detailed Segment Financial Information Hospitality Segment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Total Segment Results. </w:t>
      </w:r>
      <w:r>
        <w:rPr>
          <w:rFonts w:ascii="Arial" w:cs="Arial" w:eastAsia="Arial" w:hAnsi="Arial"/>
          <w:sz w:val="16"/>
          <w:szCs w:val="16"/>
          <w:color w:val="auto"/>
        </w:rPr>
        <w:t>The following presents the financial results of our Hospitality segment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2018 (in thousands, except percentages and performance metrics):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w w:val="95"/>
              </w:rPr>
              <w:t>March 31,</w:t>
            </w:r>
          </w:p>
        </w:tc>
        <w:tc>
          <w:tcPr>
            <w:tcW w:w="5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40" w:type="dxa"/>
            <w:vAlign w:val="bottom"/>
          </w:tcPr>
          <w:p>
            <w:pPr>
              <w:jc w:val="right"/>
              <w:ind w:right="112"/>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Arial" w:cs="Arial" w:eastAsia="Arial" w:hAnsi="Arial"/>
                <w:sz w:val="18"/>
                <w:szCs w:val="18"/>
                <w:color w:val="auto"/>
              </w:rPr>
              <w:t>Rooms</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132,212</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107,564</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22.9 %</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171,143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132,939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16"/>
        </w:trPr>
        <w:tc>
          <w:tcPr>
            <w:tcW w:w="47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hotel revenue</w:t>
            </w: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24,608</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38.8 %</w:t>
            </w:r>
          </w:p>
        </w:tc>
        <w:tc>
          <w:tcPr>
            <w:tcW w:w="0" w:type="dxa"/>
            <w:vAlign w:val="bottom"/>
          </w:tcPr>
          <w:p>
            <w:pPr>
              <w:spacing w:after="0"/>
              <w:rPr>
                <w:sz w:val="1"/>
                <w:szCs w:val="1"/>
                <w:color w:val="auto"/>
              </w:rPr>
            </w:pPr>
          </w:p>
        </w:tc>
      </w:tr>
      <w:tr>
        <w:trPr>
          <w:trHeight w:val="210"/>
        </w:trPr>
        <w:tc>
          <w:tcPr>
            <w:tcW w:w="47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hospitality revenue</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337,510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265,111</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Hospitality operating expenses:</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28,928</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Arial" w:cs="Arial" w:eastAsia="Arial" w:hAnsi="Arial"/>
                <w:sz w:val="18"/>
                <w:szCs w:val="18"/>
                <w:color w:val="auto"/>
              </w:rPr>
              <w:t>Food and beverage</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91,359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71,978</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26.9 %</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90,939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75,882</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Arial" w:cs="Arial" w:eastAsia="Arial" w:hAnsi="Arial"/>
                <w:sz w:val="18"/>
                <w:szCs w:val="18"/>
                <w:color w:val="auto"/>
              </w:rPr>
              <w:t>Management fees, net</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9,756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7,130</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36.8 %</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50,133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26,200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91.3 %</w:t>
            </w:r>
          </w:p>
        </w:tc>
        <w:tc>
          <w:tcPr>
            <w:tcW w:w="0" w:type="dxa"/>
            <w:vAlign w:val="bottom"/>
          </w:tcPr>
          <w:p>
            <w:pPr>
              <w:spacing w:after="0"/>
              <w:rPr>
                <w:sz w:val="1"/>
                <w:szCs w:val="1"/>
                <w:color w:val="auto"/>
              </w:rPr>
            </w:pPr>
          </w:p>
        </w:tc>
      </w:tr>
      <w:tr>
        <w:trPr>
          <w:trHeight w:val="210"/>
        </w:trPr>
        <w:tc>
          <w:tcPr>
            <w:tcW w:w="47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Hospitality operating expenses</w:t>
            </w:r>
          </w:p>
        </w:tc>
        <w:tc>
          <w:tcPr>
            <w:tcW w:w="12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277,156</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210,118</w:t>
            </w:r>
          </w:p>
        </w:tc>
        <w:tc>
          <w:tcPr>
            <w:tcW w:w="24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8"/>
                <w:szCs w:val="18"/>
                <w:color w:val="auto"/>
              </w:rPr>
              <w:t>31.9 %</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Hospitality operating income (1)</w:t>
            </w:r>
          </w:p>
        </w:tc>
        <w:tc>
          <w:tcPr>
            <w:tcW w:w="12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60,354</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54,993</w:t>
            </w:r>
          </w:p>
        </w:tc>
        <w:tc>
          <w:tcPr>
            <w:tcW w:w="24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03"/>
        </w:trPr>
        <w:tc>
          <w:tcPr>
            <w:tcW w:w="4760" w:type="dxa"/>
            <w:vAlign w:val="bottom"/>
            <w:gridSpan w:val="2"/>
          </w:tcPr>
          <w:p>
            <w:pPr>
              <w:spacing w:after="0" w:line="203" w:lineRule="exact"/>
              <w:rPr>
                <w:sz w:val="20"/>
                <w:szCs w:val="20"/>
                <w:color w:val="auto"/>
              </w:rPr>
            </w:pPr>
            <w:r>
              <w:rPr>
                <w:rFonts w:ascii="Arial" w:cs="Arial" w:eastAsia="Arial" w:hAnsi="Arial"/>
                <w:sz w:val="18"/>
                <w:szCs w:val="18"/>
                <w:color w:val="auto"/>
              </w:rPr>
              <w:t>Hospitality performance metrics:</w:t>
            </w:r>
          </w:p>
        </w:tc>
        <w:tc>
          <w:tcPr>
            <w:tcW w:w="1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Occupancy (2)</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73.8 %</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Arial" w:cs="Arial" w:eastAsia="Arial" w:hAnsi="Arial"/>
                <w:sz w:val="18"/>
                <w:szCs w:val="18"/>
                <w:color w:val="auto"/>
              </w:rPr>
              <w:t>ADR</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201.07</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195.02</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RevPAR (3)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145.30</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Arial" w:cs="Arial" w:eastAsia="Arial" w:hAnsi="Arial"/>
                <w:sz w:val="18"/>
                <w:szCs w:val="18"/>
                <w:color w:val="auto"/>
              </w:rPr>
              <w:t>Total RevPAR (4)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370.93</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354.64</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Definite Group Room Nights Booked</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273,453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403,044</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16"/>
        </w:trPr>
        <w:tc>
          <w:tcPr>
            <w:tcW w:w="4760" w:type="dxa"/>
            <w:vAlign w:val="bottom"/>
            <w:gridSpan w:val="2"/>
          </w:tcPr>
          <w:p>
            <w:pPr>
              <w:spacing w:after="0"/>
              <w:rPr>
                <w:sz w:val="20"/>
                <w:szCs w:val="20"/>
                <w:color w:val="auto"/>
              </w:rPr>
            </w:pPr>
            <w:r>
              <w:rPr>
                <w:rFonts w:ascii="Arial" w:cs="Arial" w:eastAsia="Arial" w:hAnsi="Arial"/>
                <w:sz w:val="18"/>
                <w:szCs w:val="18"/>
                <w:color w:val="auto"/>
              </w:rPr>
              <w:t>Same-store Hospitality performance metrics (5):</w:t>
            </w: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Occupancy (2)</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75.2 %</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73.8 %</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Arial" w:cs="Arial" w:eastAsia="Arial" w:hAnsi="Arial"/>
                <w:sz w:val="18"/>
                <w:szCs w:val="18"/>
                <w:color w:val="auto"/>
              </w:rPr>
              <w:t>ADR</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201.62</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195.02</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RevPAR (3)</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151.61</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143.89</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16"/>
        </w:trPr>
        <w:tc>
          <w:tcPr>
            <w:tcW w:w="4760" w:type="dxa"/>
            <w:vAlign w:val="bottom"/>
            <w:gridSpan w:val="2"/>
          </w:tcPr>
          <w:p>
            <w:pPr>
              <w:ind w:left="120"/>
              <w:spacing w:after="0"/>
              <w:rPr>
                <w:sz w:val="20"/>
                <w:szCs w:val="20"/>
                <w:color w:val="auto"/>
              </w:rPr>
            </w:pPr>
            <w:r>
              <w:rPr>
                <w:rFonts w:ascii="Arial" w:cs="Arial" w:eastAsia="Arial" w:hAnsi="Arial"/>
                <w:sz w:val="18"/>
                <w:szCs w:val="18"/>
                <w:color w:val="auto"/>
              </w:rPr>
              <w:t>Total RevPAR (4)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377.21</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354.64</w:t>
            </w:r>
          </w:p>
        </w:tc>
        <w:tc>
          <w:tcPr>
            <w:tcW w:w="2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r>
        <w:trPr>
          <w:trHeight w:val="216"/>
        </w:trPr>
        <w:tc>
          <w:tcPr>
            <w:tcW w:w="47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Net Definite Group Room Nights Booked</w:t>
            </w:r>
          </w:p>
        </w:tc>
        <w:tc>
          <w:tcPr>
            <w:tcW w:w="1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237,456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344,640</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8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700" w:hanging="317"/>
        <w:spacing w:after="0" w:line="342" w:lineRule="auto"/>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Hospitality segment operating income does not include preopening costs of $0.7 million and $1.5 million in the three months ended March 31, 2019 and 2018, respectively. See discussion of preopening costs below.</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hanging="317"/>
        <w:spacing w:after="0" w:line="312" w:lineRule="auto"/>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Hospitality segment occupancy percentage was impacted in the 2019 period due to the addition of 303 rooms associated with the recent Gaylord Texan expansion, as well as the addition of Gaylord Rockies and the related impact on additional rooms available. Actual occupied rooms increased 19.2% on a consolidated basis and 5.6% on a same-store basis.</w:t>
      </w:r>
    </w:p>
    <w:p>
      <w:pPr>
        <w:spacing w:after="0" w:line="106" w:lineRule="exact"/>
        <w:rPr>
          <w:rFonts w:ascii="Arial" w:cs="Arial" w:eastAsia="Arial" w:hAnsi="Arial"/>
          <w:sz w:val="16"/>
          <w:szCs w:val="16"/>
          <w:color w:val="auto"/>
        </w:rPr>
      </w:pPr>
    </w:p>
    <w:p>
      <w:pPr>
        <w:ind w:left="320" w:right="820" w:hanging="317"/>
        <w:spacing w:after="0" w:line="277"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calculate Hospitality RevPAR by dividing room revenue by room nights available to guests for the period. Hospitality RevPAR is not comparable to similarly titled measures such as revenues.</w:t>
      </w:r>
    </w:p>
    <w:p>
      <w:pPr>
        <w:spacing w:after="0" w:line="129" w:lineRule="exact"/>
        <w:rPr>
          <w:rFonts w:ascii="Arial" w:cs="Arial" w:eastAsia="Arial" w:hAnsi="Arial"/>
          <w:sz w:val="18"/>
          <w:szCs w:val="18"/>
          <w:color w:val="auto"/>
        </w:rPr>
      </w:pPr>
    </w:p>
    <w:p>
      <w:pPr>
        <w:ind w:left="320" w:right="120" w:hanging="317"/>
        <w:spacing w:after="0" w:line="264" w:lineRule="auto"/>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calculate Hospitality Total RevPAR by dividing the sum of room, food and beverage, and other ancillary services revenue (which equals Hospitality segment revenue) by room nights available to guests for the period. Hospitality Total RevPAR is not comparable to similarly titled measures such as revenues.</w:t>
      </w:r>
    </w:p>
    <w:p>
      <w:pPr>
        <w:spacing w:after="0" w:line="140" w:lineRule="exact"/>
        <w:rPr>
          <w:rFonts w:ascii="Arial" w:cs="Arial" w:eastAsia="Arial" w:hAnsi="Arial"/>
          <w:sz w:val="18"/>
          <w:szCs w:val="18"/>
          <w:color w:val="auto"/>
        </w:rPr>
      </w:pPr>
    </w:p>
    <w:p>
      <w:pPr>
        <w:ind w:left="320" w:hanging="317"/>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Same-store Hospitality segment performance metrics do not include Gaylord Rockies, which opened in December 2018.</w:t>
      </w:r>
    </w:p>
    <w:p>
      <w:pPr>
        <w:spacing w:after="0" w:line="208"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increase in total Hospitality segment revenue in the three months ended March 31, 2019, as compared to the same period in 2018, is primarily due to increases of $13.7 million, $6.2 million, $4.9 million and $2.0 million at Gaylord Texan, Gaylord Opryland, Gaylord National and Gaylord Palms, respectively, as well as revenue from Gaylord Rockies of $45.2 million. See below for further discussion.</w:t>
      </w:r>
    </w:p>
    <w:p>
      <w:pPr>
        <w:spacing w:after="0" w:line="146"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Total Hospitality segment revenues in the three months ended March 31, 2019 include $2.7 million in attrition and cancellation fee collections, an increase of $1.4 million from the 2018 period.</w:t>
      </w:r>
    </w:p>
    <w:p>
      <w:pPr>
        <w:spacing w:after="0" w:line="143"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The percentage of group versus transient business based on rooms sold for our Hospitality segment for the periods presented was approximately as follows:</w:t>
      </w:r>
    </w:p>
    <w:p>
      <w:pPr>
        <w:spacing w:after="0" w:line="135"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Three Months Ended</w:t>
      </w:r>
    </w:p>
    <w:p>
      <w:pPr>
        <w:ind w:left="680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142"/>
        </w:trPr>
        <w:tc>
          <w:tcPr>
            <w:tcW w:w="552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CCEEFF"/>
            </w:tcBorders>
          </w:tcPr>
          <w:p>
            <w:pPr>
              <w:spacing w:after="0"/>
              <w:rPr>
                <w:sz w:val="12"/>
                <w:szCs w:val="12"/>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Group</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Transient</w:t>
            </w:r>
          </w:p>
        </w:tc>
        <w:tc>
          <w:tcPr>
            <w:tcW w:w="820" w:type="dxa"/>
            <w:vAlign w:val="bottom"/>
            <w:gridSpan w:val="2"/>
          </w:tcPr>
          <w:p>
            <w:pPr>
              <w:jc w:val="right"/>
              <w:ind w:right="10"/>
              <w:spacing w:after="0"/>
              <w:rPr>
                <w:sz w:val="20"/>
                <w:szCs w:val="20"/>
                <w:color w:val="auto"/>
              </w:rPr>
            </w:pPr>
            <w:r>
              <w:rPr>
                <w:rFonts w:ascii="Arial" w:cs="Arial" w:eastAsia="Arial" w:hAnsi="Arial"/>
                <w:sz w:val="18"/>
                <w:szCs w:val="18"/>
                <w:color w:val="auto"/>
              </w:rPr>
              <w:t>22 %</w:t>
            </w:r>
          </w:p>
        </w:tc>
        <w:tc>
          <w:tcPr>
            <w:tcW w:w="900" w:type="dxa"/>
            <w:vAlign w:val="bottom"/>
            <w:gridSpan w:val="2"/>
          </w:tcPr>
          <w:p>
            <w:pPr>
              <w:jc w:val="right"/>
              <w:ind w:right="70"/>
              <w:spacing w:after="0"/>
              <w:rPr>
                <w:sz w:val="20"/>
                <w:szCs w:val="20"/>
                <w:color w:val="auto"/>
              </w:rPr>
            </w:pPr>
            <w:r>
              <w:rPr>
                <w:rFonts w:ascii="Arial" w:cs="Arial" w:eastAsia="Arial" w:hAnsi="Arial"/>
                <w:sz w:val="18"/>
                <w:szCs w:val="18"/>
                <w:color w:val="auto"/>
              </w:rPr>
              <w:t>21 %</w:t>
            </w:r>
          </w:p>
        </w:tc>
      </w:tr>
    </w:tbl>
    <w:p>
      <w:pPr>
        <w:spacing w:after="0" w:line="18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Rooms operating expenses increased in the three months ended March 31, 2019, as compared to the same period in 2018, due primarily to the addition of Gaylord Rockies, as well as increased variable costs at Gaylord Texan, as described below.</w:t>
      </w:r>
    </w:p>
    <w:p>
      <w:pPr>
        <w:spacing w:after="0" w:line="83"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Food and beverage operating expenses increased in the three months ended March 31, 2019, as compared to the same period in 2018, primarily due to the addition of Gaylord Rockies, as well as increased variable costs at Gaylord Texan and Gaylord Opryland, as described below.</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color w:val="auto"/>
        </w:rPr>
        <w:t>Other hotel expenses for the three months ended March 31, 2019 and 2018 consist of the following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ind w:left="54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56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9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0"/>
                <w:szCs w:val="10"/>
                <w:color w:val="auto"/>
              </w:rPr>
            </w:pPr>
          </w:p>
        </w:tc>
        <w:tc>
          <w:tcPr>
            <w:tcW w:w="560" w:type="dxa"/>
            <w:vAlign w:val="bottom"/>
          </w:tcPr>
          <w:p>
            <w:pPr>
              <w:jc w:val="right"/>
              <w:ind w:right="136"/>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Administrative employment costs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35,989</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28,432</w:t>
            </w: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400" w:type="dxa"/>
            <w:vAlign w:val="bottom"/>
            <w:tcBorders>
              <w:top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Utilities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7,374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6,258</w:t>
            </w:r>
          </w:p>
        </w:tc>
        <w:tc>
          <w:tcPr>
            <w:tcW w:w="220" w:type="dxa"/>
            <w:vAlign w:val="bottom"/>
          </w:tcPr>
          <w:p>
            <w:pPr>
              <w:spacing w:after="0"/>
              <w:rPr>
                <w:sz w:val="18"/>
                <w:szCs w:val="18"/>
                <w:color w:val="auto"/>
              </w:rPr>
            </w:pPr>
          </w:p>
        </w:tc>
        <w:tc>
          <w:tcPr>
            <w:tcW w:w="960" w:type="dxa"/>
            <w:vAlign w:val="bottom"/>
            <w:gridSpan w:val="2"/>
          </w:tcPr>
          <w:p>
            <w:pPr>
              <w:jc w:val="right"/>
              <w:ind w:right="170"/>
              <w:spacing w:after="0"/>
              <w:rPr>
                <w:sz w:val="20"/>
                <w:szCs w:val="20"/>
                <w:color w:val="auto"/>
              </w:rPr>
            </w:pPr>
            <w:r>
              <w:rPr>
                <w:rFonts w:ascii="Arial" w:cs="Arial" w:eastAsia="Arial" w:hAnsi="Arial"/>
                <w:sz w:val="18"/>
                <w:szCs w:val="18"/>
                <w:color w:val="auto"/>
              </w:rPr>
              <w:t>17.8 %</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38,470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32,891</w:t>
            </w:r>
          </w:p>
        </w:tc>
        <w:tc>
          <w:tcPr>
            <w:tcW w:w="2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170"/>
              <w:spacing w:after="0"/>
              <w:rPr>
                <w:sz w:val="20"/>
                <w:szCs w:val="20"/>
                <w:color w:val="auto"/>
              </w:rPr>
            </w:pPr>
            <w:r>
              <w:rPr>
                <w:rFonts w:ascii="Arial" w:cs="Arial" w:eastAsia="Arial" w:hAnsi="Arial"/>
                <w:sz w:val="18"/>
                <w:szCs w:val="18"/>
                <w:color w:val="auto"/>
              </w:rPr>
              <w:t>17.0 %</w:t>
            </w:r>
          </w:p>
        </w:tc>
        <w:tc>
          <w:tcPr>
            <w:tcW w:w="0" w:type="dxa"/>
            <w:vAlign w:val="bottom"/>
          </w:tcPr>
          <w:p>
            <w:pPr>
              <w:spacing w:after="0"/>
              <w:rPr>
                <w:sz w:val="1"/>
                <w:szCs w:val="1"/>
                <w:color w:val="auto"/>
              </w:rPr>
            </w:pPr>
          </w:p>
        </w:tc>
      </w:tr>
      <w:tr>
        <w:trPr>
          <w:trHeight w:val="217"/>
        </w:trPr>
        <w:tc>
          <w:tcPr>
            <w:tcW w:w="5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 hotel expenses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90,939</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75,882</w:t>
            </w:r>
          </w:p>
        </w:tc>
        <w:tc>
          <w:tcPr>
            <w:tcW w:w="22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Administrative employment costs include salaries and benefits for hotel administrative functions, including, among others, senior management, accounting, human resources, sales, conference services, engineering and security. Administrative employment costs increased during the three months ended March 31, 2019, as compared to the same period in 2018, primarily due to expense related to Gaylord Rockies, as well as increases at Gaylord Texan and Gaylord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Opryland. Utility costs increased during the three months ended March 31, 2019, as compared to the same period in 2018, primarily due to utility costs for Gaylord Rockies. Property taxes increased during the three months ended March 31, 2019, as compared to the 2018 period, primarily due to an increase at Gaylord National as a result of the prior year including a refund from a prior year property tax settlement. Other expenses, which include supplies, advertising, maintenance costs and consulting costs, increased during the three months ended March 31, 2019, as compared to the same period in 2018, primarily as a result of expense at Gaylord Rockies, as well as various increases at Gaylord Opryland and Gaylord Texan.</w:t>
      </w:r>
    </w:p>
    <w:p>
      <w:pPr>
        <w:spacing w:after="0" w:line="124" w:lineRule="exact"/>
        <w:rPr>
          <w:sz w:val="20"/>
          <w:szCs w:val="20"/>
          <w:color w:val="auto"/>
        </w:rPr>
      </w:pPr>
    </w:p>
    <w:p>
      <w:pPr>
        <w:ind w:right="80"/>
        <w:spacing w:after="0" w:line="217" w:lineRule="exact"/>
        <w:rPr>
          <w:sz w:val="20"/>
          <w:szCs w:val="20"/>
          <w:color w:val="auto"/>
        </w:rPr>
      </w:pPr>
      <w:r>
        <w:rPr>
          <w:rFonts w:ascii="Arial" w:cs="Arial" w:eastAsia="Arial" w:hAnsi="Arial"/>
          <w:sz w:val="16"/>
          <w:szCs w:val="16"/>
          <w:color w:val="auto"/>
        </w:rPr>
        <w:t>Each of our management agreements with Marriott for our four owned Gaylord Hotels properties requires us to pay Marriott a base management fee of approximately 2% of gross revenues from the applicable property for each fiscal year or portion thereof. Additionally, an incentive management fee is based on the profitability of our Gaylord Hotels properties calculated on a pooled basis. The Gaylord Rockies’s management agreement with Marriott requires Gaylord Rockies to pay a base management fee of 3% of gross revenues for each fiscal year or portion thereof, as well as an incentive management fee based on the profitability of the hotel. In the three months ended March 31, 2019 and 2018, we incurred $7.2 million and $5.3 million, respectively, related to base management fees for our Hospitality segment and $3.3 million and $2.6 million, respectively, related to incentive management fees for our Hospitality segment. Management fees are presented throughout this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net of the amortization of the $190.0 million in deferred management rights proceeds discussed in Note 8 to the accompanying condensed consolidated financial statements included herein.</w:t>
      </w:r>
    </w:p>
    <w:p>
      <w:pPr>
        <w:spacing w:after="0" w:line="18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Total Hospitality segment depreciation and amortization expense increased in the three months ended March 31, 2019, as compared to the same period in 2018, primarily due to depreciation and amortization at Gaylord Rockies, which is significantly higher than our other Gaylord Hotel properties due to amortization related to intangible assets that were recognized as part of our increased ownership as of December 31, 2018, as well as higher fixed asset balances than the other hotels.</w:t>
      </w:r>
    </w:p>
    <w:p>
      <w:pPr>
        <w:spacing w:after="0" w:line="148"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 xml:space="preserve">Property-Level Results. </w:t>
      </w:r>
      <w:r>
        <w:rPr>
          <w:rFonts w:ascii="Arial" w:cs="Arial" w:eastAsia="Arial" w:hAnsi="Arial"/>
          <w:sz w:val="18"/>
          <w:szCs w:val="18"/>
          <w:color w:val="auto"/>
        </w:rPr>
        <w:t>The following presents the property-level financial results of our Hospitality segment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2019 and 2018.</w:t>
      </w:r>
    </w:p>
    <w:p>
      <w:pPr>
        <w:spacing w:after="0" w:line="13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i w:val="1"/>
          <w:iCs w:val="1"/>
          <w:color w:val="auto"/>
        </w:rPr>
        <w:t xml:space="preserve">Gaylord Opryland Results. </w:t>
      </w:r>
      <w:r>
        <w:rPr>
          <w:rFonts w:ascii="Arial" w:cs="Arial" w:eastAsia="Arial" w:hAnsi="Arial"/>
          <w:sz w:val="18"/>
          <w:szCs w:val="18"/>
          <w:color w:val="auto"/>
        </w:rPr>
        <w:t>The results of Gaylord Opryland for the three months ended March 31, 2019 and 2018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w w:val="95"/>
              </w:rPr>
              <w:t>March 31,</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6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6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ind w:left="120"/>
              <w:spacing w:after="0"/>
              <w:rPr>
                <w:sz w:val="20"/>
                <w:szCs w:val="20"/>
                <w:color w:val="auto"/>
              </w:rPr>
            </w:pPr>
            <w:r>
              <w:rPr>
                <w:rFonts w:ascii="Arial" w:cs="Arial" w:eastAsia="Arial" w:hAnsi="Arial"/>
                <w:sz w:val="18"/>
                <w:szCs w:val="18"/>
                <w:color w:val="auto"/>
              </w:rPr>
              <w:t>Rooms</w:t>
            </w:r>
          </w:p>
        </w:tc>
        <w:tc>
          <w:tcPr>
            <w:tcW w:w="2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36,934</w:t>
            </w:r>
          </w:p>
        </w:tc>
        <w:tc>
          <w:tcPr>
            <w:tcW w:w="1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35,758</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41,206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hotel revenue</w:t>
            </w:r>
          </w:p>
        </w:tc>
        <w:tc>
          <w:tcPr>
            <w:tcW w:w="26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10,818</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w:t>
            </w:r>
          </w:p>
        </w:tc>
        <w:tc>
          <w:tcPr>
            <w:tcW w:w="2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20.3 %</w:t>
            </w:r>
          </w:p>
        </w:tc>
        <w:tc>
          <w:tcPr>
            <w:tcW w:w="0" w:type="dxa"/>
            <w:vAlign w:val="bottom"/>
          </w:tcPr>
          <w:p>
            <w:pPr>
              <w:spacing w:after="0"/>
              <w:rPr>
                <w:sz w:val="1"/>
                <w:szCs w:val="1"/>
                <w:color w:val="auto"/>
              </w:rPr>
            </w:pPr>
          </w:p>
        </w:tc>
      </w:tr>
      <w:tr>
        <w:trPr>
          <w:trHeight w:val="210"/>
        </w:trPr>
        <w:tc>
          <w:tcPr>
            <w:tcW w:w="3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8,683</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380" w:type="dxa"/>
            <w:vAlign w:val="bottom"/>
            <w:gridSpan w:val="2"/>
          </w:tcPr>
          <w:p>
            <w:pPr>
              <w:ind w:left="120"/>
              <w:spacing w:after="0"/>
              <w:rPr>
                <w:sz w:val="20"/>
                <w:szCs w:val="20"/>
                <w:color w:val="auto"/>
              </w:rPr>
            </w:pPr>
            <w:r>
              <w:rPr>
                <w:rFonts w:ascii="Arial" w:cs="Arial" w:eastAsia="Arial" w:hAnsi="Arial"/>
                <w:sz w:val="18"/>
                <w:szCs w:val="18"/>
                <w:color w:val="auto"/>
              </w:rPr>
              <w:t>Food and beverage</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21,522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20,238</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22,586</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16"/>
        </w:trPr>
        <w:tc>
          <w:tcPr>
            <w:tcW w:w="3380" w:type="dxa"/>
            <w:vAlign w:val="bottom"/>
            <w:gridSpan w:val="2"/>
          </w:tcPr>
          <w:p>
            <w:pPr>
              <w:ind w:left="120"/>
              <w:spacing w:after="0"/>
              <w:rPr>
                <w:sz w:val="20"/>
                <w:szCs w:val="20"/>
                <w:color w:val="auto"/>
              </w:rPr>
            </w:pPr>
            <w:r>
              <w:rPr>
                <w:rFonts w:ascii="Arial" w:cs="Arial" w:eastAsia="Arial" w:hAnsi="Arial"/>
                <w:sz w:val="18"/>
                <w:szCs w:val="18"/>
                <w:color w:val="auto"/>
              </w:rPr>
              <w:t>Management fees, net</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3,171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2,686</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18.1 %</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0"/>
        </w:trPr>
        <w:tc>
          <w:tcPr>
            <w:tcW w:w="338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67,157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62,871</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2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gridSpan w:val="2"/>
          </w:tcPr>
          <w:p>
            <w:pPr>
              <w:ind w:left="120"/>
              <w:spacing w:after="0"/>
              <w:rPr>
                <w:sz w:val="20"/>
                <w:szCs w:val="20"/>
                <w:color w:val="auto"/>
              </w:rPr>
            </w:pPr>
            <w:r>
              <w:rPr>
                <w:rFonts w:ascii="Arial" w:cs="Arial" w:eastAsia="Arial" w:hAnsi="Arial"/>
                <w:sz w:val="18"/>
                <w:szCs w:val="18"/>
                <w:color w:val="auto"/>
              </w:rPr>
              <w:t>Occupancy</w:t>
            </w:r>
          </w:p>
        </w:tc>
        <w:tc>
          <w:tcPr>
            <w:tcW w:w="2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74.2 %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72.3 %</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2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191.53</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190.40</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16"/>
        </w:trPr>
        <w:tc>
          <w:tcPr>
            <w:tcW w:w="3380" w:type="dxa"/>
            <w:vAlign w:val="bottom"/>
            <w:gridSpan w:val="2"/>
          </w:tcPr>
          <w:p>
            <w:pPr>
              <w:ind w:left="120"/>
              <w:spacing w:after="0"/>
              <w:rPr>
                <w:sz w:val="20"/>
                <w:szCs w:val="20"/>
                <w:color w:val="auto"/>
              </w:rPr>
            </w:pPr>
            <w:r>
              <w:rPr>
                <w:rFonts w:ascii="Arial" w:cs="Arial" w:eastAsia="Arial" w:hAnsi="Arial"/>
                <w:sz w:val="18"/>
                <w:szCs w:val="18"/>
                <w:color w:val="auto"/>
              </w:rPr>
              <w:t>RevPAR</w:t>
            </w:r>
          </w:p>
        </w:tc>
        <w:tc>
          <w:tcPr>
            <w:tcW w:w="2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142.10</w:t>
            </w:r>
          </w:p>
        </w:tc>
        <w:tc>
          <w:tcPr>
            <w:tcW w:w="16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137.57</w:t>
            </w:r>
          </w:p>
        </w:tc>
        <w:tc>
          <w:tcPr>
            <w:tcW w:w="24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16"/>
        </w:trPr>
        <w:tc>
          <w:tcPr>
            <w:tcW w:w="33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2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342.25</w:t>
            </w:r>
          </w:p>
        </w:tc>
        <w:tc>
          <w:tcPr>
            <w:tcW w:w="1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318.35</w:t>
            </w:r>
          </w:p>
        </w:tc>
        <w:tc>
          <w:tcPr>
            <w:tcW w:w="2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2600" w:type="dxa"/>
            <w:vAlign w:val="bottom"/>
            <w:vMerge w:val="restart"/>
          </w:tcPr>
          <w:p>
            <w:pPr>
              <w:jc w:val="right"/>
              <w:ind w:right="1270"/>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42"/>
        </w:trPr>
        <w:tc>
          <w:tcPr>
            <w:tcW w:w="2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28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26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320" w:right="640" w:hanging="317"/>
        <w:spacing w:after="0" w:line="277" w:lineRule="auto"/>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Gaylord Opryland operating expenses do not include preopening costs of $0.1 million in the three months ended March 31, 2019 and 2018. See discussion of preopening costs below.</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Rooms revenue and RevPAR increased at Gaylord Opryland during the three months ended March 31, 2019, as compared to the same period in 2018, as the result of an increase in transient occupancy and an increase in ADR for both group and transient business. Rooms revenue and RevPAR were negatively impacted during the 2019 period by a rooms renovation project, which resulted in approximately 15,700 room nights out of service. The rooms renovation project is expected to be completed in the fourth quarter of 2019. Rooms expenses decreased during the 2019 period, as compared to the 2018 period, as the increase in variable costs associated with the increase in occupancy was offset by decreased group commissions and decreased contract services.</w:t>
      </w:r>
    </w:p>
    <w:p>
      <w:pPr>
        <w:spacing w:after="0" w:line="14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increase in food and beverage revenue at Gaylord Opryland during the three months ended March 31, 2019, as compared to the same period in 2018, was primarily due to increases in both catering and food and beverage outlets. Food and beverage expenses increased in the 2019 period, as compared to the 2018 period, due to increased variable costs associated with the increase in revenue, partially offset by lower food and labor costs.</w:t>
      </w:r>
    </w:p>
    <w:p>
      <w:pPr>
        <w:spacing w:after="0" w:line="16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Other hotel revenue increased at Gaylord Opryland during the three months ended March 31, 2019, as compared to the same period in 2018, primarily due to revenues from SoundWaves. Other hotel expenses increased in the 2019 period, as compared to the 2018 period, primarily due to additional operating expense for SoundWaves, as well as the current period including an assessment for additional business license taxes.</w:t>
      </w:r>
    </w:p>
    <w:p>
      <w:pPr>
        <w:spacing w:after="0" w:line="14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Depreciation and amortization decreased slightly at Gaylord Opryland during the three months ended March 31, 2019, as compared to the same period in 2018.</w:t>
      </w:r>
    </w:p>
    <w:p>
      <w:pPr>
        <w:spacing w:after="0" w:line="13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Gaylord Palms Results. </w:t>
      </w:r>
      <w:r>
        <w:rPr>
          <w:rFonts w:ascii="Arial" w:cs="Arial" w:eastAsia="Arial" w:hAnsi="Arial"/>
          <w:sz w:val="18"/>
          <w:szCs w:val="18"/>
          <w:color w:val="auto"/>
        </w:rPr>
        <w:t>The results of Gaylord Palms for the three months ended March 31, 2019 and 2018 are as follows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 except percentages and performance metrics):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0"/>
                <w:szCs w:val="10"/>
                <w:color w:val="auto"/>
              </w:rPr>
            </w:pPr>
          </w:p>
        </w:tc>
        <w:tc>
          <w:tcPr>
            <w:tcW w:w="58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Rooms</w:t>
            </w: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22,502</w:t>
            </w:r>
          </w:p>
        </w:tc>
        <w:tc>
          <w:tcPr>
            <w:tcW w:w="2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22,104</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31,480</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hotel revenue</w:t>
            </w: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5,934</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5,526</w:t>
            </w:r>
          </w:p>
        </w:tc>
        <w:tc>
          <w:tcPr>
            <w:tcW w:w="26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59,916</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Food and beverage</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14,377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14,271</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17,139</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16,846</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Management fees, net</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1,535</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4,789</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0"/>
        </w:trPr>
        <w:tc>
          <w:tcPr>
            <w:tcW w:w="412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42,316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41,648</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Occupancy</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82.8 %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82.3 %</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0.6 %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213.38</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210.74</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RevPAR</w:t>
            </w: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176.57</w:t>
            </w:r>
          </w:p>
        </w:tc>
        <w:tc>
          <w:tcPr>
            <w:tcW w:w="20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173.44</w:t>
            </w:r>
          </w:p>
        </w:tc>
        <w:tc>
          <w:tcPr>
            <w:tcW w:w="2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470.16</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454.30</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Rooms revenue and RevPAR increased at Gaylord Palms during the three months ended March 31, 2019, as compared to the same period in 2018, due primarily to an increase in ADR for groups. Rooms expenses increased during the 2019 period, as compared to the 2018 period, primarily due to increased variable costs associated with the increase in occupancy.</w:t>
      </w:r>
    </w:p>
    <w:p>
      <w:pPr>
        <w:spacing w:after="0" w:line="10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Food and beverage revenue increased at Gaylord Palms during the three months ended March 31, 2019, as compared to the same period in 2018, due primarily to increased catering business. Food and beverage expenses increased in the 2019</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period, as compared to the 2018 period, due primarily to increased variable costs associated with the increase in revenue, partially offset by lower food costs.</w:t>
      </w:r>
    </w:p>
    <w:p>
      <w:pPr>
        <w:spacing w:after="0" w:line="13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Other hotel revenue at Gaylord Palms increased during the three months ended March 31, 2019, as compared to the same period in 2018, primarily due to an increase in resort fees driven by an increase in the rate. Other hotel expenses increased in the 2019 period, as compared to the 2018 period, primarily as a result of higher employment costs.</w:t>
      </w:r>
    </w:p>
    <w:p>
      <w:pPr>
        <w:spacing w:after="0" w:line="13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Depreciation and amortization increased slightly at Gaylord Palms during the three months ended March 31, 2019, as compared to the same period in 2018.</w:t>
      </w:r>
    </w:p>
    <w:p>
      <w:pPr>
        <w:spacing w:after="0" w:line="13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Gaylord Texan Results. </w:t>
      </w:r>
      <w:r>
        <w:rPr>
          <w:rFonts w:ascii="Arial" w:cs="Arial" w:eastAsia="Arial" w:hAnsi="Arial"/>
          <w:sz w:val="18"/>
          <w:szCs w:val="18"/>
          <w:color w:val="auto"/>
        </w:rPr>
        <w:t>The results of Gaylord Texan for the three months ended March 31, 2019 and 2018 are as follows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 except percentages and performance metrics):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60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Rooms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25,205</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20,280</w:t>
            </w: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40,169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33,169</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16"/>
        </w:trPr>
        <w:tc>
          <w:tcPr>
            <w:tcW w:w="59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hotel revenue</w:t>
            </w: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6,665</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4,908</w:t>
            </w:r>
          </w:p>
        </w:tc>
        <w:tc>
          <w:tcPr>
            <w:tcW w:w="2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35.8 %</w:t>
            </w:r>
          </w:p>
        </w:tc>
        <w:tc>
          <w:tcPr>
            <w:tcW w:w="0" w:type="dxa"/>
            <w:vAlign w:val="bottom"/>
          </w:tcPr>
          <w:p>
            <w:pPr>
              <w:spacing w:after="0"/>
              <w:rPr>
                <w:sz w:val="1"/>
                <w:szCs w:val="1"/>
                <w:color w:val="auto"/>
              </w:rPr>
            </w:pPr>
          </w:p>
        </w:tc>
      </w:tr>
      <w:tr>
        <w:trPr>
          <w:trHeight w:val="210"/>
        </w:trPr>
        <w:tc>
          <w:tcPr>
            <w:tcW w:w="59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58,357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23.4 %</w:t>
            </w: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Food and beverage</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18,237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16,250</w:t>
            </w: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12.2 %</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15,296</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Management fees, net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2,293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1,699</w:t>
            </w: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28.6 %</w:t>
            </w:r>
          </w:p>
        </w:tc>
        <w:tc>
          <w:tcPr>
            <w:tcW w:w="0" w:type="dxa"/>
            <w:vAlign w:val="bottom"/>
          </w:tcPr>
          <w:p>
            <w:pPr>
              <w:spacing w:after="0"/>
              <w:rPr>
                <w:sz w:val="1"/>
                <w:szCs w:val="1"/>
                <w:color w:val="auto"/>
              </w:rPr>
            </w:pPr>
          </w:p>
        </w:tc>
      </w:tr>
      <w:tr>
        <w:trPr>
          <w:trHeight w:val="210"/>
        </w:trPr>
        <w:tc>
          <w:tcPr>
            <w:tcW w:w="598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42,910</w:t>
            </w: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Occupancy</w:t>
            </w:r>
          </w:p>
        </w:tc>
        <w:tc>
          <w:tcPr>
            <w:tcW w:w="1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77.9 %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76.5 %</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198.23</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194.92</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16"/>
        </w:trPr>
        <w:tc>
          <w:tcPr>
            <w:tcW w:w="5980" w:type="dxa"/>
            <w:vAlign w:val="bottom"/>
            <w:gridSpan w:val="2"/>
          </w:tcPr>
          <w:p>
            <w:pPr>
              <w:ind w:left="120"/>
              <w:spacing w:after="0"/>
              <w:rPr>
                <w:sz w:val="20"/>
                <w:szCs w:val="20"/>
                <w:color w:val="auto"/>
              </w:rPr>
            </w:pPr>
            <w:r>
              <w:rPr>
                <w:rFonts w:ascii="Arial" w:cs="Arial" w:eastAsia="Arial" w:hAnsi="Arial"/>
                <w:sz w:val="18"/>
                <w:szCs w:val="18"/>
                <w:color w:val="auto"/>
              </w:rPr>
              <w:t>RevPAR</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154.39</w:t>
            </w:r>
          </w:p>
        </w:tc>
        <w:tc>
          <w:tcPr>
            <w:tcW w:w="1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149.13</w:t>
            </w:r>
          </w:p>
        </w:tc>
        <w:tc>
          <w:tcPr>
            <w:tcW w:w="2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441.25</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429.13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100" w:hanging="317"/>
        <w:spacing w:after="0" w:line="277" w:lineRule="auto"/>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Gaylord Texan operating expenses do not include preopening costs of $1.4 million in the three months ended March 31, 2018. See discussion of preopening costs below.</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Rooms revenue and RevPAR increased at Gaylord Texan during the three months ended March 31, 2019, as compared to the same period in 2018, due primarily to an increase in occupancy for both groups and transient and an increase in ADR for group business. The 2019 period was also positively impacted by additional room availability from the recently completed rooms expansion, which resulted in an increase in actual rooms sold of 22.2% compared to the 2018 period. Rooms expenses increased during the 2019 period, as compared to the 2018 period, primarily due to increased variable costs associated with the increase in rooms sold and increased capacity.</w:t>
      </w:r>
    </w:p>
    <w:p>
      <w:pPr>
        <w:spacing w:after="0" w:line="138"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Food and beverage revenue increased at Gaylord Texan during the three months ended March 31, 2019, as compared to the same period in 2018, due to an increase in catering. Food and beverage expenses increased in the 2019 period, as compared to the 2018 period, primarily due to an increase in variable costs associated with the increase in revenue, partially offset by lower food and labor costs.</w:t>
      </w:r>
    </w:p>
    <w:p>
      <w:pPr>
        <w:spacing w:after="0" w:line="1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hotel revenue at Gaylord Texan increased during the three months ended March 31, 2019, as compared to the same period in 2018, primarily as a result of an increase in parking and resort fees associated with the increase in total rooms nights sold. Other hotel expenses increased in the 2019 period, as compared to the 2018 period, due primarily to increases in marketing, maintenance and credit card expenses.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Depreciation and amortization increased at Gaylord Texan during the three months ended March 31, 2019, as compared to the 2018 period, primarily as a result of the recent rooms and meeting space expansion that resulted in increased depreciable asset levels.</w:t>
      </w:r>
    </w:p>
    <w:p>
      <w:pPr>
        <w:spacing w:after="0" w:line="14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Gaylord National Results. </w:t>
      </w:r>
      <w:r>
        <w:rPr>
          <w:rFonts w:ascii="Arial" w:cs="Arial" w:eastAsia="Arial" w:hAnsi="Arial"/>
          <w:sz w:val="18"/>
          <w:szCs w:val="18"/>
          <w:color w:val="auto"/>
        </w:rPr>
        <w:t>The results of Gaylord National for the three months ended March 31, 2019 and 2018 are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 except percentages and performance metrics):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80" w:type="dxa"/>
            <w:vAlign w:val="bottom"/>
            <w:gridSpan w:val="6"/>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w w:val="99"/>
              </w:rPr>
              <w:t>March 31,</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1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0"/>
                <w:szCs w:val="10"/>
                <w:color w:val="auto"/>
              </w:rPr>
            </w:pPr>
          </w:p>
        </w:tc>
        <w:tc>
          <w:tcPr>
            <w:tcW w:w="580" w:type="dxa"/>
            <w:vAlign w:val="bottom"/>
          </w:tcPr>
          <w:p>
            <w:pPr>
              <w:jc w:val="right"/>
              <w:ind w:right="133"/>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8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Rooms</w:t>
            </w: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28,226</w:t>
            </w:r>
          </w:p>
        </w:tc>
        <w:tc>
          <w:tcPr>
            <w:tcW w:w="18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25,193</w:t>
            </w: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31,043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30,425</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16"/>
        </w:trPr>
        <w:tc>
          <w:tcPr>
            <w:tcW w:w="41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 hotel revenue</w:t>
            </w: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6,361</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w:t>
            </w:r>
          </w:p>
        </w:tc>
        <w:tc>
          <w:tcPr>
            <w:tcW w:w="24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23.8 %</w:t>
            </w:r>
          </w:p>
        </w:tc>
        <w:tc>
          <w:tcPr>
            <w:tcW w:w="0" w:type="dxa"/>
            <w:vAlign w:val="bottom"/>
          </w:tcPr>
          <w:p>
            <w:pPr>
              <w:spacing w:after="0"/>
              <w:rPr>
                <w:sz w:val="1"/>
                <w:szCs w:val="1"/>
                <w:color w:val="auto"/>
              </w:rPr>
            </w:pPr>
          </w:p>
        </w:tc>
      </w:tr>
      <w:tr>
        <w:trPr>
          <w:trHeight w:val="210"/>
        </w:trPr>
        <w:tc>
          <w:tcPr>
            <w:tcW w:w="41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65,630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60,756</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Operating expenses: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Food and beverage</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20,537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20,342</w:t>
            </w: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Management fees, net</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995</w:t>
            </w: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9.6 %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18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6,872</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0"/>
        </w:trPr>
        <w:tc>
          <w:tcPr>
            <w:tcW w:w="412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59,396</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57,439</w:t>
            </w: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Occupancy</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72.0 %</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70.7 %</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218.38</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198.24</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16"/>
        </w:trPr>
        <w:tc>
          <w:tcPr>
            <w:tcW w:w="4120" w:type="dxa"/>
            <w:vAlign w:val="bottom"/>
          </w:tcPr>
          <w:p>
            <w:pPr>
              <w:ind w:left="120"/>
              <w:spacing w:after="0"/>
              <w:rPr>
                <w:sz w:val="20"/>
                <w:szCs w:val="20"/>
                <w:color w:val="auto"/>
              </w:rPr>
            </w:pPr>
            <w:r>
              <w:rPr>
                <w:rFonts w:ascii="Arial" w:cs="Arial" w:eastAsia="Arial" w:hAnsi="Arial"/>
                <w:sz w:val="18"/>
                <w:szCs w:val="18"/>
                <w:color w:val="auto"/>
              </w:rPr>
              <w:t>RevPAR</w:t>
            </w:r>
          </w:p>
        </w:tc>
        <w:tc>
          <w:tcPr>
            <w:tcW w:w="20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157.12</w:t>
            </w:r>
          </w:p>
        </w:tc>
        <w:tc>
          <w:tcPr>
            <w:tcW w:w="18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140.24</w:t>
            </w:r>
          </w:p>
        </w:tc>
        <w:tc>
          <w:tcPr>
            <w:tcW w:w="24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12.0 %</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2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365.34</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Rooms revenue and RevPAR increased at Gaylord National during the three months ended March 31, 2019, as compared to the same period in 2018, due primarily to an increase in ADR for both group and transient business, as well as an increase in group occupancy. Rooms expenses increased at Gaylord National during the 2019 period, as compared to the 2018 period, primarily due to increased variable costs associated with the increase in occupancy.</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Food and beverage revenue increased at Gaylord National during the three months ended March 31, 2019, as compared to the same period in 2018, primarily as a result of an increase in food and beverage outlets. Food and beverage expenses increased in the 2019 period, as compared to the 2018 period, as a result of an increase in variable costs associated with the increase in revenue.</w:t>
      </w:r>
    </w:p>
    <w:p>
      <w:pPr>
        <w:spacing w:after="0" w:line="146"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Other hotel revenue increased at Gaylord National during the three months ended March 31, 2019, as compared to the same period in 2018, primarily due to an increase in attrition and cancellation fee collections, as well as an increase in resort fees related to the increase in occupancy. Other hotel expenses increased in the 2019 period, as compared to the 2018 period, due to an increase in credit card expense, as well as an increase in property tax expense due to the 2018 period including a refund from a previous property tax settlement.</w:t>
      </w:r>
    </w:p>
    <w:p>
      <w:pPr>
        <w:spacing w:after="0" w:line="16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Depreciation and amortization at Gaylord National increased slightly during the three months ended March 31, 2019, as compared to the same period in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i w:val="1"/>
          <w:iCs w:val="1"/>
          <w:color w:val="auto"/>
        </w:rPr>
        <w:t>Gaylord Rockies Results</w:t>
      </w:r>
      <w:r>
        <w:rPr>
          <w:rFonts w:ascii="Arial" w:cs="Arial" w:eastAsia="Arial" w:hAnsi="Arial"/>
          <w:sz w:val="18"/>
          <w:szCs w:val="18"/>
          <w:color w:val="auto"/>
        </w:rPr>
        <w:t>. The results of Gaylord Rockies for the three months ended March 31, 2019 are as follows (in</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thousands, except percentages and performance metrics):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2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Rooms</w:t>
            </w:r>
          </w:p>
        </w:tc>
        <w:tc>
          <w:tcPr>
            <w:tcW w:w="3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14,743</w:t>
            </w:r>
          </w:p>
        </w:tc>
        <w:tc>
          <w:tcPr>
            <w:tcW w:w="30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Food and beverage</w:t>
            </w:r>
          </w:p>
        </w:tc>
        <w:tc>
          <w:tcPr>
            <w:tcW w:w="2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26,234</w:t>
            </w:r>
          </w:p>
        </w:tc>
        <w:tc>
          <w:tcPr>
            <w:tcW w:w="300" w:type="dxa"/>
            <w:vAlign w:val="bottom"/>
            <w:shd w:val="clear" w:color="auto" w:fill="CCEEFF"/>
          </w:tcPr>
          <w:p>
            <w:pPr>
              <w:spacing w:after="0"/>
              <w:rPr>
                <w:sz w:val="18"/>
                <w:szCs w:val="18"/>
                <w:color w:val="auto"/>
              </w:rPr>
            </w:pPr>
          </w:p>
        </w:tc>
      </w:tr>
      <w:tr>
        <w:trPr>
          <w:trHeight w:val="216"/>
        </w:trPr>
        <w:tc>
          <w:tcPr>
            <w:tcW w:w="50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hotel revenue</w:t>
            </w:r>
          </w:p>
        </w:tc>
        <w:tc>
          <w:tcPr>
            <w:tcW w:w="26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4,266</w:t>
            </w:r>
          </w:p>
        </w:tc>
        <w:tc>
          <w:tcPr>
            <w:tcW w:w="300" w:type="dxa"/>
            <w:vAlign w:val="bottom"/>
            <w:tcBorders>
              <w:bottom w:val="single" w:sz="8" w:color="CCEEFF"/>
            </w:tcBorders>
          </w:tcPr>
          <w:p>
            <w:pPr>
              <w:spacing w:after="0"/>
              <w:rPr>
                <w:sz w:val="18"/>
                <w:szCs w:val="18"/>
                <w:color w:val="auto"/>
              </w:rPr>
            </w:pPr>
          </w:p>
        </w:tc>
      </w:tr>
      <w:tr>
        <w:trPr>
          <w:trHeight w:val="210"/>
        </w:trPr>
        <w:tc>
          <w:tcPr>
            <w:tcW w:w="5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45,243</w:t>
            </w:r>
          </w:p>
        </w:tc>
        <w:tc>
          <w:tcPr>
            <w:tcW w:w="300" w:type="dxa"/>
            <w:vAlign w:val="bottom"/>
            <w:shd w:val="clear" w:color="auto" w:fill="CCEEFF"/>
          </w:tcPr>
          <w:p>
            <w:pPr>
              <w:spacing w:after="0"/>
              <w:rPr>
                <w:sz w:val="18"/>
                <w:szCs w:val="18"/>
                <w:color w:val="auto"/>
              </w:rPr>
            </w:pPr>
          </w:p>
        </w:tc>
      </w:tr>
      <w:tr>
        <w:trPr>
          <w:trHeight w:val="216"/>
        </w:trPr>
        <w:tc>
          <w:tcPr>
            <w:tcW w:w="50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Rooms</w:t>
            </w:r>
          </w:p>
        </w:tc>
        <w:tc>
          <w:tcPr>
            <w:tcW w:w="2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w:t>
            </w:r>
          </w:p>
        </w:tc>
        <w:tc>
          <w:tcPr>
            <w:tcW w:w="300" w:type="dxa"/>
            <w:vAlign w:val="bottom"/>
            <w:shd w:val="clear" w:color="auto" w:fill="CCEEFF"/>
          </w:tcPr>
          <w:p>
            <w:pPr>
              <w:spacing w:after="0"/>
              <w:rPr>
                <w:sz w:val="18"/>
                <w:szCs w:val="18"/>
                <w:color w:val="auto"/>
              </w:rPr>
            </w:pP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Food and beverage</w:t>
            </w:r>
          </w:p>
        </w:tc>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15,780</w:t>
            </w:r>
          </w:p>
        </w:tc>
        <w:tc>
          <w:tcPr>
            <w:tcW w:w="30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Other hotel expenses</w:t>
            </w:r>
          </w:p>
        </w:tc>
        <w:tc>
          <w:tcPr>
            <w:tcW w:w="2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8,716</w:t>
            </w:r>
          </w:p>
        </w:tc>
        <w:tc>
          <w:tcPr>
            <w:tcW w:w="300" w:type="dxa"/>
            <w:vAlign w:val="bottom"/>
            <w:shd w:val="clear" w:color="auto" w:fill="CCEEFF"/>
          </w:tcPr>
          <w:p>
            <w:pPr>
              <w:spacing w:after="0"/>
              <w:rPr>
                <w:sz w:val="18"/>
                <w:szCs w:val="18"/>
                <w:color w:val="auto"/>
              </w:rPr>
            </w:pP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Management fees, net</w:t>
            </w:r>
          </w:p>
        </w:tc>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1,811</w:t>
            </w:r>
          </w:p>
        </w:tc>
        <w:tc>
          <w:tcPr>
            <w:tcW w:w="30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Depreciation and amortization</w:t>
            </w:r>
          </w:p>
        </w:tc>
        <w:tc>
          <w:tcPr>
            <w:tcW w:w="26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22,461</w:t>
            </w:r>
          </w:p>
        </w:tc>
        <w:tc>
          <w:tcPr>
            <w:tcW w:w="300" w:type="dxa"/>
            <w:vAlign w:val="bottom"/>
            <w:shd w:val="clear" w:color="auto" w:fill="CCEEFF"/>
          </w:tcPr>
          <w:p>
            <w:pPr>
              <w:spacing w:after="0"/>
              <w:rPr>
                <w:sz w:val="18"/>
                <w:szCs w:val="18"/>
                <w:color w:val="auto"/>
              </w:rPr>
            </w:pPr>
          </w:p>
        </w:tc>
      </w:tr>
      <w:tr>
        <w:trPr>
          <w:trHeight w:val="210"/>
        </w:trPr>
        <w:tc>
          <w:tcPr>
            <w:tcW w:w="5000" w:type="dxa"/>
            <w:vAlign w:val="bottom"/>
            <w:gridSpan w:val="2"/>
          </w:tcPr>
          <w:p>
            <w:pPr>
              <w:ind w:left="220"/>
              <w:spacing w:after="0"/>
              <w:rPr>
                <w:sz w:val="20"/>
                <w:szCs w:val="20"/>
                <w:color w:val="auto"/>
              </w:rPr>
            </w:pPr>
            <w:r>
              <w:rPr>
                <w:rFonts w:ascii="Arial" w:cs="Arial" w:eastAsia="Arial" w:hAnsi="Arial"/>
                <w:sz w:val="18"/>
                <w:szCs w:val="18"/>
                <w:color w:val="auto"/>
              </w:rPr>
              <w:t>Total operating expenses (1)</w:t>
            </w:r>
          </w:p>
        </w:tc>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53,813</w:t>
            </w:r>
          </w:p>
        </w:tc>
        <w:tc>
          <w:tcPr>
            <w:tcW w:w="30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Performance metrics:</w:t>
            </w:r>
          </w:p>
        </w:tc>
        <w:tc>
          <w:tcPr>
            <w:tcW w:w="2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Occupancy</w:t>
            </w:r>
          </w:p>
        </w:tc>
        <w:tc>
          <w:tcPr>
            <w:tcW w:w="2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55.4 %</w:t>
            </w: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ADR</w:t>
            </w:r>
          </w:p>
        </w:tc>
        <w:tc>
          <w:tcPr>
            <w:tcW w:w="3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196.81</w:t>
            </w:r>
          </w:p>
        </w:tc>
        <w:tc>
          <w:tcPr>
            <w:tcW w:w="300" w:type="dxa"/>
            <w:vAlign w:val="bottom"/>
            <w:shd w:val="clear" w:color="auto" w:fill="CCEEFF"/>
          </w:tcPr>
          <w:p>
            <w:pPr>
              <w:spacing w:after="0"/>
              <w:rPr>
                <w:sz w:val="18"/>
                <w:szCs w:val="18"/>
                <w:color w:val="auto"/>
              </w:rPr>
            </w:pPr>
          </w:p>
        </w:tc>
      </w:tr>
      <w:tr>
        <w:trPr>
          <w:trHeight w:val="216"/>
        </w:trPr>
        <w:tc>
          <w:tcPr>
            <w:tcW w:w="5000" w:type="dxa"/>
            <w:vAlign w:val="bottom"/>
            <w:gridSpan w:val="2"/>
          </w:tcPr>
          <w:p>
            <w:pPr>
              <w:ind w:left="120"/>
              <w:spacing w:after="0"/>
              <w:rPr>
                <w:sz w:val="20"/>
                <w:szCs w:val="20"/>
                <w:color w:val="auto"/>
              </w:rPr>
            </w:pPr>
            <w:r>
              <w:rPr>
                <w:rFonts w:ascii="Arial" w:cs="Arial" w:eastAsia="Arial" w:hAnsi="Arial"/>
                <w:sz w:val="18"/>
                <w:szCs w:val="18"/>
                <w:color w:val="auto"/>
              </w:rPr>
              <w:t>RevPAR</w:t>
            </w:r>
          </w:p>
        </w:tc>
        <w:tc>
          <w:tcPr>
            <w:tcW w:w="3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109.13</w:t>
            </w:r>
          </w:p>
        </w:tc>
        <w:tc>
          <w:tcPr>
            <w:tcW w:w="300" w:type="dxa"/>
            <w:vAlign w:val="bottom"/>
          </w:tcPr>
          <w:p>
            <w:pPr>
              <w:spacing w:after="0"/>
              <w:rPr>
                <w:sz w:val="18"/>
                <w:szCs w:val="18"/>
                <w:color w:val="auto"/>
              </w:rPr>
            </w:pPr>
          </w:p>
        </w:tc>
      </w:tr>
      <w:tr>
        <w:trPr>
          <w:trHeight w:val="216"/>
        </w:trPr>
        <w:tc>
          <w:tcPr>
            <w:tcW w:w="50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Total RevPAR</w:t>
            </w:r>
          </w:p>
        </w:tc>
        <w:tc>
          <w:tcPr>
            <w:tcW w:w="3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334.91</w:t>
            </w:r>
          </w:p>
        </w:tc>
        <w:tc>
          <w:tcPr>
            <w:tcW w:w="300" w:type="dxa"/>
            <w:vAlign w:val="bottom"/>
            <w:shd w:val="clear" w:color="auto" w:fill="CCEEFF"/>
          </w:tcPr>
          <w:p>
            <w:pPr>
              <w:spacing w:after="0"/>
              <w:rPr>
                <w:sz w:val="18"/>
                <w:szCs w:val="18"/>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2720" w:type="dxa"/>
            <w:vAlign w:val="bottom"/>
          </w:tcPr>
          <w:p>
            <w:pPr>
              <w:spacing w:after="0"/>
              <w:rPr>
                <w:sz w:val="10"/>
                <w:szCs w:val="10"/>
                <w:color w:val="auto"/>
              </w:rPr>
            </w:pPr>
          </w:p>
        </w:tc>
        <w:tc>
          <w:tcPr>
            <w:tcW w:w="2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00" w:type="dxa"/>
            <w:vAlign w:val="bottom"/>
          </w:tcPr>
          <w:p>
            <w:pPr>
              <w:spacing w:after="0"/>
              <w:rPr>
                <w:sz w:val="10"/>
                <w:szCs w:val="10"/>
                <w:color w:val="auto"/>
              </w:rPr>
            </w:pPr>
          </w:p>
        </w:tc>
      </w:tr>
    </w:tbl>
    <w:p>
      <w:pPr>
        <w:spacing w:after="0" w:line="94" w:lineRule="exact"/>
        <w:rPr>
          <w:sz w:val="20"/>
          <w:szCs w:val="20"/>
          <w:color w:val="auto"/>
        </w:rPr>
      </w:pPr>
    </w:p>
    <w:p>
      <w:pPr>
        <w:ind w:left="320" w:right="740" w:hanging="317"/>
        <w:spacing w:after="0" w:line="277" w:lineRule="auto"/>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Gaylord Rockies operating expenses do not include preopening costs of $0.7 million in the three months ended March 31, 2019. See discussion of preopening costs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Entertainment Segment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Total Segment Results. </w:t>
      </w:r>
      <w:r>
        <w:rPr>
          <w:rFonts w:ascii="Arial" w:cs="Arial" w:eastAsia="Arial" w:hAnsi="Arial"/>
          <w:sz w:val="16"/>
          <w:szCs w:val="16"/>
          <w:color w:val="auto"/>
        </w:rPr>
        <w:t>The following presents the financial results of our Entertainment segment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2019 and 2018 (in thousands, except percentages):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jc w:val="center"/>
              <w:ind w:left="336"/>
              <w:spacing w:after="0"/>
              <w:rPr>
                <w:sz w:val="20"/>
                <w:szCs w:val="20"/>
                <w:color w:val="auto"/>
              </w:rPr>
            </w:pPr>
            <w:r>
              <w:rPr>
                <w:rFonts w:ascii="Arial" w:cs="Arial" w:eastAsia="Arial" w:hAnsi="Arial"/>
                <w:sz w:val="14"/>
                <w:szCs w:val="14"/>
                <w:b w:val="1"/>
                <w:bCs w:val="1"/>
                <w:color w:val="auto"/>
                <w:w w:val="95"/>
              </w:rPr>
              <w:t>Three Months Ended</w:t>
            </w: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4"/>
                <w:szCs w:val="14"/>
                <w:b w:val="1"/>
                <w:bCs w:val="1"/>
                <w:color w:val="auto"/>
                <w:w w:val="95"/>
              </w:rPr>
              <w:t>March 31,</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vMerge w:val="restart"/>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0"/>
                <w:szCs w:val="10"/>
                <w:color w:val="auto"/>
              </w:rPr>
            </w:pPr>
          </w:p>
        </w:tc>
        <w:tc>
          <w:tcPr>
            <w:tcW w:w="580" w:type="dxa"/>
            <w:vAlign w:val="bottom"/>
          </w:tcPr>
          <w:p>
            <w:pPr>
              <w:jc w:val="right"/>
              <w:ind w:right="137"/>
              <w:spacing w:after="0" w:line="119" w:lineRule="exact"/>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38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33,265</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23,259</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Operating expenses</w:t>
            </w: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25,641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19,366</w:t>
            </w:r>
          </w:p>
        </w:tc>
        <w:tc>
          <w:tcPr>
            <w:tcW w:w="20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32.4 %</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Depreciation and amortization</w:t>
            </w:r>
          </w:p>
        </w:tc>
        <w:tc>
          <w:tcPr>
            <w:tcW w:w="3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2,479</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26.7 %</w:t>
            </w:r>
          </w:p>
        </w:tc>
        <w:tc>
          <w:tcPr>
            <w:tcW w:w="0" w:type="dxa"/>
            <w:vAlign w:val="bottom"/>
          </w:tcPr>
          <w:p>
            <w:pPr>
              <w:spacing w:after="0"/>
              <w:rPr>
                <w:sz w:val="1"/>
                <w:szCs w:val="1"/>
                <w:color w:val="auto"/>
              </w:rPr>
            </w:pPr>
          </w:p>
        </w:tc>
      </w:tr>
      <w:tr>
        <w:trPr>
          <w:trHeight w:val="217"/>
        </w:trPr>
        <w:tc>
          <w:tcPr>
            <w:tcW w:w="2280" w:type="dxa"/>
            <w:vAlign w:val="bottom"/>
          </w:tcPr>
          <w:p>
            <w:pPr>
              <w:spacing w:after="0"/>
              <w:rPr>
                <w:sz w:val="20"/>
                <w:szCs w:val="20"/>
                <w:color w:val="auto"/>
              </w:rPr>
            </w:pPr>
            <w:r>
              <w:rPr>
                <w:rFonts w:ascii="Arial" w:cs="Arial" w:eastAsia="Arial" w:hAnsi="Arial"/>
                <w:sz w:val="18"/>
                <w:szCs w:val="18"/>
                <w:color w:val="auto"/>
              </w:rPr>
              <w:t>Operating income (1)</w:t>
            </w:r>
          </w:p>
        </w:tc>
        <w:tc>
          <w:tcPr>
            <w:tcW w:w="38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5,145</w:t>
            </w:r>
          </w:p>
        </w:tc>
        <w:tc>
          <w:tcPr>
            <w:tcW w:w="1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1,936</w:t>
            </w:r>
          </w:p>
        </w:tc>
        <w:tc>
          <w:tcPr>
            <w:tcW w:w="200" w:type="dxa"/>
            <w:vAlign w:val="bottom"/>
          </w:tcPr>
          <w:p>
            <w:pPr>
              <w:spacing w:after="0"/>
              <w:rPr>
                <w:sz w:val="18"/>
                <w:szCs w:val="18"/>
                <w:color w:val="auto"/>
              </w:rPr>
            </w:pPr>
          </w:p>
        </w:tc>
        <w:tc>
          <w:tcPr>
            <w:tcW w:w="960" w:type="dxa"/>
            <w:vAlign w:val="bottom"/>
            <w:gridSpan w:val="2"/>
          </w:tcPr>
          <w:p>
            <w:pPr>
              <w:jc w:val="right"/>
              <w:ind w:right="130"/>
              <w:spacing w:after="0"/>
              <w:rPr>
                <w:sz w:val="20"/>
                <w:szCs w:val="20"/>
                <w:color w:val="auto"/>
              </w:rPr>
            </w:pPr>
            <w:r>
              <w:rPr>
                <w:rFonts w:ascii="Arial" w:cs="Arial" w:eastAsia="Arial" w:hAnsi="Arial"/>
                <w:sz w:val="18"/>
                <w:szCs w:val="18"/>
                <w:color w:val="auto"/>
              </w:rPr>
              <w:t>165.8 %</w:t>
            </w:r>
          </w:p>
        </w:tc>
        <w:tc>
          <w:tcPr>
            <w:tcW w:w="0" w:type="dxa"/>
            <w:vAlign w:val="bottom"/>
          </w:tcPr>
          <w:p>
            <w:pPr>
              <w:spacing w:after="0"/>
              <w:rPr>
                <w:sz w:val="1"/>
                <w:szCs w:val="1"/>
                <w:color w:val="auto"/>
              </w:rPr>
            </w:pPr>
          </w:p>
        </w:tc>
      </w:tr>
      <w:tr>
        <w:trPr>
          <w:trHeight w:val="115"/>
        </w:trPr>
        <w:tc>
          <w:tcPr>
            <w:tcW w:w="2280" w:type="dxa"/>
            <w:vAlign w:val="bottom"/>
            <w:tcBorders>
              <w:bottom w:val="single" w:sz="8" w:color="auto"/>
            </w:tcBorders>
          </w:tcPr>
          <w:p>
            <w:pPr>
              <w:spacing w:after="0"/>
              <w:rPr>
                <w:sz w:val="10"/>
                <w:szCs w:val="10"/>
                <w:color w:val="auto"/>
              </w:rPr>
            </w:pPr>
          </w:p>
        </w:tc>
        <w:tc>
          <w:tcPr>
            <w:tcW w:w="3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right="480" w:hanging="317"/>
        <w:spacing w:after="0" w:line="308" w:lineRule="auto"/>
        <w:tabs>
          <w:tab w:leader="none" w:pos="3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Entertainment segment operating income does not include preopening costs of $1.4 million and $0.7 million in the three months ended March 31, 2019 and 2018, respectively. See discussion of preopening costs below.</w:t>
      </w:r>
    </w:p>
    <w:p>
      <w:pPr>
        <w:spacing w:after="0" w:line="1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Entertainment segment revenue increased during the three months ended March 31, 2019, as compared to the same period in 2018, primarily due to the operations of our flagship Ole Red location in Nashville, which opened in May 2018, as well as the opening of Ole Red Gatlinburg in March 2019. In addition, revenues increased at the Grand Ole Opry and Ryman Auditorium due to increased shows, attendance and retail revenue.</w:t>
      </w:r>
    </w:p>
    <w:p>
      <w:pPr>
        <w:spacing w:after="0" w:line="14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Entertainment operating expenses increased during the three months ended March 31, 2019, as compared to the same period in 2018, primarily as a result of the operations of our Ole Red Nashville location, as well as the opening of Ole Red Gatlinburg in March 2019. In addition, operating expenses increased at the Ryman Auditorium primarily due to the increase in variable expenses associated with the increase in revenue.</w:t>
      </w:r>
    </w:p>
    <w:p>
      <w:pPr>
        <w:spacing w:after="0" w:line="146"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Entertainment depreciation expense increased in the three months ended March 31, 2019, as compared to the same period in 2018, primarily as a result of Ole Red Nashville and the associated increased depreciable asset levels.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8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 xml:space="preserve">Total Segment Results. </w:t>
      </w:r>
      <w:r>
        <w:rPr>
          <w:rFonts w:ascii="Arial" w:cs="Arial" w:eastAsia="Arial" w:hAnsi="Arial"/>
          <w:sz w:val="18"/>
          <w:szCs w:val="18"/>
          <w:color w:val="auto"/>
        </w:rPr>
        <w:t>The following presents the financial results of our Corporate and Other segment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2019 and 2018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6"/>
          </w:tcPr>
          <w:p>
            <w:pPr>
              <w:jc w:val="center"/>
              <w:ind w:left="337"/>
              <w:spacing w:after="0"/>
              <w:rPr>
                <w:sz w:val="20"/>
                <w:szCs w:val="20"/>
                <w:color w:val="auto"/>
              </w:rPr>
            </w:pPr>
            <w:r>
              <w:rPr>
                <w:rFonts w:ascii="Arial" w:cs="Arial" w:eastAsia="Arial" w:hAnsi="Arial"/>
                <w:sz w:val="14"/>
                <w:szCs w:val="14"/>
                <w:b w:val="1"/>
                <w:bCs w:val="1"/>
                <w:color w:val="auto"/>
                <w:w w:val="95"/>
              </w:rPr>
              <w:t>Three Months Ended</w:t>
            </w:r>
          </w:p>
        </w:tc>
        <w:tc>
          <w:tcPr>
            <w:tcW w:w="6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ind w:right="320"/>
              <w:spacing w:after="0"/>
              <w:rPr>
                <w:sz w:val="20"/>
                <w:szCs w:val="20"/>
                <w:color w:val="auto"/>
              </w:rPr>
            </w:pPr>
            <w:r>
              <w:rPr>
                <w:rFonts w:ascii="Arial" w:cs="Arial" w:eastAsia="Arial" w:hAnsi="Arial"/>
                <w:sz w:val="14"/>
                <w:szCs w:val="14"/>
                <w:b w:val="1"/>
                <w:bCs w:val="1"/>
                <w:color w:val="auto"/>
                <w:w w:val="99"/>
              </w:rPr>
              <w:t>March 31,</w:t>
            </w: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0"/>
                <w:szCs w:val="10"/>
                <w:color w:val="auto"/>
              </w:rPr>
            </w:pPr>
          </w:p>
        </w:tc>
        <w:tc>
          <w:tcPr>
            <w:tcW w:w="600" w:type="dxa"/>
            <w:vAlign w:val="bottom"/>
          </w:tcPr>
          <w:p>
            <w:pPr>
              <w:jc w:val="right"/>
              <w:ind w:right="138"/>
              <w:spacing w:after="0" w:line="119" w:lineRule="exact"/>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6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9,004</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8,329</w:t>
            </w:r>
          </w:p>
        </w:tc>
        <w:tc>
          <w:tcPr>
            <w:tcW w:w="1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32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6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1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gridSpan w:val="2"/>
          </w:tcPr>
          <w:p>
            <w:pPr>
              <w:jc w:val="right"/>
              <w:ind w:right="7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7"/>
        </w:trPr>
        <w:tc>
          <w:tcPr>
            <w:tcW w:w="6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(9,401)</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(8,838)</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6.4 %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Corporate and Other operating expenses, which consist primarily of costs associated with senior management salaries and benefits, legal, human resources, accounting, pension, information technology and other administrative costs, increased in the three months ended March 31, 2019, as compared to the same period in 2018, primarily due to an increase in administrative and employment costs associated with supporting our growth initiatives within our Hospitality and Entertainment segments.</w:t>
      </w:r>
    </w:p>
    <w:p>
      <w:pPr>
        <w:spacing w:after="0" w:line="11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Corporate and Other depreciation and amortization expense decreased in the three months ended March 31, 2019, as compared with the same period in 2018.</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 – Preopening Costs</w:t>
      </w:r>
    </w:p>
    <w:p>
      <w:pPr>
        <w:spacing w:after="0" w:line="198"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Preopening costs of $2.1 million during the three months ended March 31, 2019 primarily include costs associated with Ole Red Gatlinburg, which opened in March 2019, and Gaylord Rockies, which opened on a fully operational basis in first quarter 2019. Preopening costs of $2.1 million during the three months ended March 31, 2018 primarily include costs associated with an expansion of the guest rooms and convention space at Gaylord Texan, which opened in the second quarter of 2018, and costs associated with Ole Red Nashville, which opened in May 2018.</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Non-Operating Results Affecting Net Income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9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 summarizes the other factors which affected our net income for the three months ended March 31, 2019 and 2018 (in thousands, except percentages):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2200" w:type="dxa"/>
            <w:vAlign w:val="bottom"/>
            <w:gridSpan w:val="5"/>
          </w:tcPr>
          <w:p>
            <w:pPr>
              <w:jc w:val="right"/>
              <w:ind w:right="120"/>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March 31,</w:t>
            </w:r>
          </w:p>
        </w:tc>
        <w:tc>
          <w:tcPr>
            <w:tcW w:w="6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20" w:type="dxa"/>
            <w:vAlign w:val="bottom"/>
          </w:tcPr>
          <w:p>
            <w:pPr>
              <w:spacing w:after="0"/>
              <w:rPr>
                <w:sz w:val="10"/>
                <w:szCs w:val="10"/>
                <w:color w:val="auto"/>
              </w:rPr>
            </w:pPr>
          </w:p>
        </w:tc>
        <w:tc>
          <w:tcPr>
            <w:tcW w:w="900" w:type="dxa"/>
            <w:vAlign w:val="bottom"/>
            <w:vMerge w:val="restart"/>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0"/>
                <w:szCs w:val="10"/>
                <w:color w:val="auto"/>
              </w:rPr>
            </w:pPr>
          </w:p>
        </w:tc>
        <w:tc>
          <w:tcPr>
            <w:tcW w:w="100" w:type="dxa"/>
            <w:vAlign w:val="bottom"/>
            <w:vMerge w:val="restart"/>
          </w:tcPr>
          <w:p>
            <w:pPr>
              <w:spacing w:after="0"/>
              <w:rPr>
                <w:sz w:val="10"/>
                <w:szCs w:val="10"/>
                <w:color w:val="auto"/>
              </w:rPr>
            </w:pPr>
          </w:p>
        </w:tc>
        <w:tc>
          <w:tcPr>
            <w:tcW w:w="880" w:type="dxa"/>
            <w:vAlign w:val="bottom"/>
            <w:vMerge w:val="restart"/>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0"/>
                <w:szCs w:val="10"/>
                <w:color w:val="auto"/>
              </w:rPr>
            </w:pPr>
          </w:p>
        </w:tc>
        <w:tc>
          <w:tcPr>
            <w:tcW w:w="640" w:type="dxa"/>
            <w:vAlign w:val="bottom"/>
          </w:tcPr>
          <w:p>
            <w:pPr>
              <w:jc w:val="right"/>
              <w:ind w:right="176"/>
              <w:spacing w:after="0" w:line="119" w:lineRule="exact"/>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c>
          <w:tcPr>
            <w:tcW w:w="4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(32,087)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  (16,729)</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(91.8)%</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Interest income</w:t>
            </w:r>
          </w:p>
        </w:tc>
        <w:tc>
          <w:tcPr>
            <w:tcW w:w="90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2,753</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5.6 %</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Loss from joint ventures</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(2,588)</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Other gains and (losses), net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(141)</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22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(183.9)%</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w:t>
            </w: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(2,209)</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10.6 %</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85"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Interest expense increased $15.4 million during the three months ended March 31, 2019, as compared to the same period in 2018, due primarily to interest expense related to the Gaylord Rockies construction and mezzanine loans, which the Company began consolidating at December 31, 2018, as well as increased interest expense related to the Company’s revolving credit facility, due to increased borrowings, and a decrease in capitalized interest in the 2019 period.</w:t>
      </w:r>
    </w:p>
    <w:p>
      <w:pPr>
        <w:spacing w:after="0" w:line="12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Cash interest expense increased $12.9 million to $30.7 million in the three months ended March 31, 2019, as compared to the same period in 2018. Non-cash interest expense, which includes amortization of deferred financing costs, offset by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39"/>
        <w:spacing w:after="0" w:line="277" w:lineRule="auto"/>
        <w:rPr>
          <w:sz w:val="20"/>
          <w:szCs w:val="20"/>
          <w:color w:val="auto"/>
        </w:rPr>
      </w:pPr>
      <w:r>
        <w:rPr>
          <w:rFonts w:ascii="Arial" w:cs="Arial" w:eastAsia="Arial" w:hAnsi="Arial"/>
          <w:sz w:val="18"/>
          <w:szCs w:val="18"/>
          <w:color w:val="auto"/>
        </w:rPr>
        <w:t>capitalized interest, increased $2.5 million to $1.4 million in the three months ended March 31, 2019, as compared to the same period in 2018.</w:t>
      </w:r>
    </w:p>
    <w:p>
      <w:pPr>
        <w:spacing w:after="0" w:line="130" w:lineRule="exact"/>
        <w:rPr>
          <w:sz w:val="20"/>
          <w:szCs w:val="20"/>
          <w:color w:val="auto"/>
        </w:rPr>
      </w:pPr>
    </w:p>
    <w:p>
      <w:pPr>
        <w:ind w:right="939"/>
        <w:spacing w:after="0" w:line="277" w:lineRule="auto"/>
        <w:rPr>
          <w:sz w:val="20"/>
          <w:szCs w:val="20"/>
          <w:color w:val="auto"/>
        </w:rPr>
      </w:pPr>
      <w:r>
        <w:rPr>
          <w:rFonts w:ascii="Arial" w:cs="Arial" w:eastAsia="Arial" w:hAnsi="Arial"/>
          <w:sz w:val="18"/>
          <w:szCs w:val="18"/>
          <w:color w:val="auto"/>
        </w:rPr>
        <w:t>Our weighted average interest rate on our borrowings, excluding capitalized interest, was 5.2% and 4.6% for the three months ended March 31, 2019 and 2018,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85" w:lineRule="exact"/>
        <w:rPr>
          <w:sz w:val="20"/>
          <w:szCs w:val="20"/>
          <w:color w:val="auto"/>
        </w:rPr>
      </w:pPr>
    </w:p>
    <w:p>
      <w:pPr>
        <w:ind w:right="39"/>
        <w:spacing w:after="0" w:line="312" w:lineRule="auto"/>
        <w:rPr>
          <w:sz w:val="20"/>
          <w:szCs w:val="20"/>
          <w:color w:val="auto"/>
        </w:rPr>
      </w:pPr>
      <w:r>
        <w:rPr>
          <w:rFonts w:ascii="Arial" w:cs="Arial" w:eastAsia="Arial" w:hAnsi="Arial"/>
          <w:sz w:val="16"/>
          <w:szCs w:val="16"/>
          <w:color w:val="auto"/>
        </w:rPr>
        <w:t>Interest income for the three months ended March 31, 2019 and 2018 primarily includes amounts earned on the bonds that were received in connection with the development of Gaylord National, which we hold as notes receivable. See Note 6 to the accompanying condensed consolidated financial statements for additional discussion of interest income on these bonds.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from Joint Ventures</w:t>
      </w:r>
    </w:p>
    <w:p>
      <w:pPr>
        <w:spacing w:after="0" w:line="198" w:lineRule="exact"/>
        <w:rPr>
          <w:sz w:val="20"/>
          <w:szCs w:val="20"/>
          <w:color w:val="auto"/>
        </w:rPr>
      </w:pPr>
    </w:p>
    <w:p>
      <w:pPr>
        <w:jc w:val="both"/>
        <w:ind w:right="79"/>
        <w:spacing w:after="0" w:line="286" w:lineRule="auto"/>
        <w:rPr>
          <w:sz w:val="20"/>
          <w:szCs w:val="20"/>
          <w:color w:val="auto"/>
        </w:rPr>
      </w:pPr>
      <w:r>
        <w:rPr>
          <w:rFonts w:ascii="Arial" w:cs="Arial" w:eastAsia="Arial" w:hAnsi="Arial"/>
          <w:sz w:val="17"/>
          <w:szCs w:val="17"/>
          <w:color w:val="auto"/>
        </w:rPr>
        <w:t>The loss from joint ventures for the three months ended March 31, 2018 primarily represents preopening expenses incurred by our Gaylord Rockies joint venture, which opened on a limited basis in December 2018 and on a fully operational basis in first quarter 2019, as well as losses incurred by our previous Opry City Stage joint venture.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Gains and (Losses), net</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Other gains and (losses), net for the three months ended March 31, 2019 and 2018 represents various miscellaneous items.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185" w:lineRule="exact"/>
        <w:rPr>
          <w:sz w:val="20"/>
          <w:szCs w:val="20"/>
          <w:color w:val="auto"/>
        </w:rPr>
      </w:pPr>
    </w:p>
    <w:p>
      <w:pPr>
        <w:ind w:right="19"/>
        <w:spacing w:after="0" w:line="264" w:lineRule="auto"/>
        <w:rPr>
          <w:sz w:val="20"/>
          <w:szCs w:val="20"/>
          <w:color w:val="auto"/>
        </w:rPr>
      </w:pPr>
      <w:r>
        <w:rPr>
          <w:rFonts w:ascii="Arial" w:cs="Arial" w:eastAsia="Arial" w:hAnsi="Arial"/>
          <w:sz w:val="18"/>
          <w:szCs w:val="18"/>
          <w:color w:val="auto"/>
        </w:rPr>
        <w:t>As a REIT, we generally will not be subject to federal corporate income taxes on ordinary taxable income and capital gains income from real estate investments that we distribute to our stockholders. We will continue to be required to pay federal and state corporate income taxes on earnings of our TRSs.</w:t>
      </w:r>
    </w:p>
    <w:p>
      <w:pPr>
        <w:spacing w:after="0" w:line="141" w:lineRule="exact"/>
        <w:rPr>
          <w:sz w:val="20"/>
          <w:szCs w:val="20"/>
          <w:color w:val="auto"/>
        </w:rPr>
      </w:pPr>
    </w:p>
    <w:p>
      <w:pPr>
        <w:ind w:right="19"/>
        <w:spacing w:after="0" w:line="342" w:lineRule="auto"/>
        <w:rPr>
          <w:sz w:val="20"/>
          <w:szCs w:val="20"/>
          <w:color w:val="auto"/>
        </w:rPr>
      </w:pPr>
      <w:r>
        <w:rPr>
          <w:rFonts w:ascii="Arial" w:cs="Arial" w:eastAsia="Arial" w:hAnsi="Arial"/>
          <w:sz w:val="16"/>
          <w:szCs w:val="16"/>
          <w:color w:val="auto"/>
        </w:rPr>
        <w:t>For the three months ended March 31, 2019 and 2018, we recorded an income tax provision of $2.0 million and $2.2 million, respectively. These results differ from the statutory rate primarily due to the REIT dividends paid deduction in both periods.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ind w:right="59"/>
        <w:spacing w:after="0" w:line="270" w:lineRule="auto"/>
        <w:rPr>
          <w:sz w:val="20"/>
          <w:szCs w:val="20"/>
          <w:color w:val="auto"/>
        </w:rPr>
      </w:pPr>
      <w:r>
        <w:rPr>
          <w:rFonts w:ascii="Arial" w:cs="Arial" w:eastAsia="Arial" w:hAnsi="Arial"/>
          <w:sz w:val="17"/>
          <w:szCs w:val="17"/>
          <w:i w:val="1"/>
          <w:iCs w:val="1"/>
          <w:color w:val="auto"/>
        </w:rPr>
        <w:t>Cash Flows From Operating Activities</w:t>
      </w:r>
      <w:r>
        <w:rPr>
          <w:rFonts w:ascii="Arial" w:cs="Arial" w:eastAsia="Arial" w:hAnsi="Arial"/>
          <w:sz w:val="17"/>
          <w:szCs w:val="17"/>
          <w:color w:val="auto"/>
        </w:rPr>
        <w:t>. Cash flow from operating activities is the principal source of cash used to fund our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expenses, interest payments on debt, maintenance capital expenditures, and dividends to stockholders. During the three months ended March 31, 2019, our net cash flows provided by operating activities were $54.6 million, primarily reflecting cash provided by our income before depreciation expense, amortization expense and other non-cash charges of approximately $80.7 million, partially offset by unfavorable changes in working capital of approximately $26.2 million. The unfavorable changes in working capital primarily resulted from an increase in accounts receivable due to a seasonal change in the timing of payments received from corporate group customers at our Gaylord Hotels properties, as well as Gaylord Rockies becoming fully operational in 2019, partially offset by an increase in accrued interest associated with our outstanding debt and an increase in deferred revenue, primarily attributable to the timing of advanced payments received on upcoming hotel stays and ticketed events at our entertainment venues.</w:t>
      </w:r>
    </w:p>
    <w:p>
      <w:pPr>
        <w:spacing w:after="0" w:line="137" w:lineRule="exact"/>
        <w:rPr>
          <w:sz w:val="20"/>
          <w:szCs w:val="20"/>
          <w:color w:val="auto"/>
        </w:rPr>
      </w:pPr>
    </w:p>
    <w:p>
      <w:pPr>
        <w:ind w:right="359"/>
        <w:spacing w:after="0" w:line="291" w:lineRule="auto"/>
        <w:rPr>
          <w:sz w:val="20"/>
          <w:szCs w:val="20"/>
          <w:color w:val="auto"/>
        </w:rPr>
      </w:pPr>
      <w:r>
        <w:rPr>
          <w:rFonts w:ascii="Arial" w:cs="Arial" w:eastAsia="Arial" w:hAnsi="Arial"/>
          <w:sz w:val="16"/>
          <w:szCs w:val="16"/>
          <w:color w:val="auto"/>
        </w:rPr>
        <w:t>During the three months ended March 31, 2018, our net cash flows provided by operating activities were $43.9 million, primarily reflecting cash provided by our income before depreciation expense, amortization expense and other non-cash charges of approximately $63.7 million, partially offset by unfavorable changes in working capital of approximately $19.8 million. The unfavorable changes in working capital primarily resulted from a decrease in accounts payable and accrued liabilities primarily attributable to the payment of liabilities associated with our Christmas-related programs and incentive compensation programs and a decrease in trade receivables due to a seasonal change in the timing of payments received from corporate group customers at our Gaylord Hotels properties.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279" w:lineRule="auto"/>
        <w:rPr>
          <w:sz w:val="20"/>
          <w:szCs w:val="20"/>
          <w:color w:val="auto"/>
        </w:rPr>
      </w:pPr>
      <w:r>
        <w:rPr>
          <w:rFonts w:ascii="Arial" w:cs="Arial" w:eastAsia="Arial" w:hAnsi="Arial"/>
          <w:sz w:val="17"/>
          <w:szCs w:val="17"/>
          <w:i w:val="1"/>
          <w:iCs w:val="1"/>
          <w:color w:val="auto"/>
        </w:rPr>
        <w:t xml:space="preserve">Cash Flows From Investing Activities. </w:t>
      </w:r>
      <w:r>
        <w:rPr>
          <w:rFonts w:ascii="Arial" w:cs="Arial" w:eastAsia="Arial" w:hAnsi="Arial"/>
          <w:sz w:val="17"/>
          <w:szCs w:val="17"/>
          <w:color w:val="auto"/>
        </w:rPr>
        <w:t>During the three months ended March 31, 2019, our primary uses of funds for</w:t>
      </w:r>
      <w:r>
        <w:rPr>
          <w:rFonts w:ascii="Arial" w:cs="Arial" w:eastAsia="Arial" w:hAnsi="Arial"/>
          <w:sz w:val="17"/>
          <w:szCs w:val="17"/>
          <w:i w:val="1"/>
          <w:iCs w:val="1"/>
          <w:color w:val="auto"/>
        </w:rPr>
        <w:t xml:space="preserve"> </w:t>
      </w:r>
      <w:r>
        <w:rPr>
          <w:rFonts w:ascii="Arial" w:cs="Arial" w:eastAsia="Arial" w:hAnsi="Arial"/>
          <w:sz w:val="17"/>
          <w:szCs w:val="17"/>
          <w:color w:val="auto"/>
        </w:rPr>
        <w:t>investing activities were purchases of property and equipment, which totaled $48.9 million, and consisted primarily of construction costs at Gaylord Rockies, a rooms renovation at Gaylord Opryland, construction of SoundWaves, the expansion at Gaylord Palms, and ongoing maintenance capital expenditures for our existing properties.</w:t>
      </w:r>
    </w:p>
    <w:p>
      <w:pPr>
        <w:spacing w:after="0" w:line="131" w:lineRule="exact"/>
        <w:rPr>
          <w:sz w:val="20"/>
          <w:szCs w:val="20"/>
          <w:color w:val="auto"/>
        </w:rPr>
      </w:pPr>
    </w:p>
    <w:p>
      <w:pPr>
        <w:ind w:right="19"/>
        <w:spacing w:after="0" w:line="259" w:lineRule="auto"/>
        <w:rPr>
          <w:sz w:val="20"/>
          <w:szCs w:val="20"/>
          <w:color w:val="auto"/>
        </w:rPr>
      </w:pPr>
      <w:r>
        <w:rPr>
          <w:rFonts w:ascii="Arial" w:cs="Arial" w:eastAsia="Arial" w:hAnsi="Arial"/>
          <w:sz w:val="18"/>
          <w:szCs w:val="18"/>
          <w:color w:val="auto"/>
        </w:rPr>
        <w:t>During the three months ended March 31, 2018, our primary uses of funds for investing activities were purchases of property and equipment, which totaled $47.6 million and consisted primarily of the expansion of the guest rooms and convention space at Gaylord Texan, construction of SoundWaves, and ongoing maintenance capital expenditures for our existing properties.</w:t>
      </w:r>
    </w:p>
    <w:p>
      <w:pPr>
        <w:spacing w:after="0" w:line="160" w:lineRule="exact"/>
        <w:rPr>
          <w:sz w:val="20"/>
          <w:szCs w:val="20"/>
          <w:color w:val="auto"/>
        </w:rPr>
      </w:pPr>
    </w:p>
    <w:p>
      <w:pPr>
        <w:ind w:right="59"/>
        <w:spacing w:after="0" w:line="276" w:lineRule="auto"/>
        <w:rPr>
          <w:sz w:val="20"/>
          <w:szCs w:val="20"/>
          <w:color w:val="auto"/>
        </w:rPr>
      </w:pPr>
      <w:r>
        <w:rPr>
          <w:rFonts w:ascii="Arial" w:cs="Arial" w:eastAsia="Arial" w:hAnsi="Arial"/>
          <w:sz w:val="17"/>
          <w:szCs w:val="17"/>
          <w:i w:val="1"/>
          <w:iCs w:val="1"/>
          <w:color w:val="auto"/>
        </w:rPr>
        <w:t>Cash Flows From Financing Activities</w:t>
      </w:r>
      <w:r>
        <w:rPr>
          <w:rFonts w:ascii="Arial" w:cs="Arial" w:eastAsia="Arial" w:hAnsi="Arial"/>
          <w:sz w:val="17"/>
          <w:szCs w:val="17"/>
          <w:color w:val="auto"/>
        </w:rPr>
        <w:t>. Our cash flows from financing activities primarily reflect the incurrence of debt, the</w:t>
      </w:r>
      <w:r>
        <w:rPr>
          <w:rFonts w:ascii="Arial" w:cs="Arial" w:eastAsia="Arial" w:hAnsi="Arial"/>
          <w:sz w:val="17"/>
          <w:szCs w:val="17"/>
          <w:i w:val="1"/>
          <w:iCs w:val="1"/>
          <w:color w:val="auto"/>
        </w:rPr>
        <w:t xml:space="preserve"> </w:t>
      </w:r>
      <w:r>
        <w:rPr>
          <w:rFonts w:ascii="Arial" w:cs="Arial" w:eastAsia="Arial" w:hAnsi="Arial"/>
          <w:sz w:val="17"/>
          <w:szCs w:val="17"/>
          <w:color w:val="auto"/>
        </w:rPr>
        <w:t>repayment of long-term debt and the payment of cash dividends. During the three months ended March 31, 2019, our net cash flows used in financing activities were approximately $7.7 million, primarily reflecting the payment of $44.4 million in cash dividends, partially offset by increased borrowings under the Gaylord Rockies construction and mezzanine loans of $28.9 million and net borrowings under our revolving credit facility of $10.0 million.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March 31, 2018, our net cash flows provided by financing activities were approximately</w:t>
      </w:r>
    </w:p>
    <w:p>
      <w:pPr>
        <w:spacing w:after="0" w:line="35" w:lineRule="exact"/>
        <w:rPr>
          <w:sz w:val="20"/>
          <w:szCs w:val="20"/>
          <w:color w:val="auto"/>
        </w:rPr>
      </w:pPr>
    </w:p>
    <w:p>
      <w:pPr>
        <w:ind w:right="139"/>
        <w:spacing w:after="0" w:line="261" w:lineRule="auto"/>
        <w:rPr>
          <w:sz w:val="20"/>
          <w:szCs w:val="20"/>
          <w:color w:val="auto"/>
        </w:rPr>
      </w:pPr>
      <w:r>
        <w:rPr>
          <w:rFonts w:ascii="Arial" w:cs="Arial" w:eastAsia="Arial" w:hAnsi="Arial"/>
          <w:sz w:val="18"/>
          <w:szCs w:val="18"/>
          <w:color w:val="auto"/>
        </w:rPr>
        <w:t>$14.9 million, primarily reflecting $56.5 million in net borrowings under our revolving credit facility, partially offset by the payment of $41.0 million in cash dividends.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198" w:lineRule="exact"/>
        <w:rPr>
          <w:sz w:val="20"/>
          <w:szCs w:val="20"/>
          <w:color w:val="auto"/>
        </w:rPr>
      </w:pPr>
    </w:p>
    <w:p>
      <w:pPr>
        <w:ind w:right="59"/>
        <w:spacing w:after="0" w:line="255" w:lineRule="auto"/>
        <w:rPr>
          <w:sz w:val="20"/>
          <w:szCs w:val="20"/>
          <w:color w:val="auto"/>
        </w:rPr>
      </w:pPr>
      <w:r>
        <w:rPr>
          <w:rFonts w:ascii="Arial" w:cs="Arial" w:eastAsia="Arial" w:hAnsi="Arial"/>
          <w:sz w:val="18"/>
          <w:szCs w:val="18"/>
          <w:color w:val="auto"/>
        </w:rPr>
        <w:t>At March 31, 2019, we had $94.9 million in unrestricted cash and $162.8 million available for borrowing under our revolving credit facility. During the three months ended March 31, 2019, we net borrowed $10.0 million under our revolving credit facility, increased the borrowings under the Gaylord Rockies construction and mezzanine loans by $28.9 million, incurred capital expenditures of $48.9 million and paid cash dividends of $44.4 million. These net outflows were partially offset by cash flows from operating activities discussed above, resulting in the decrease in our cash balance from December 31, 2018 to March 31, 2019.</w:t>
      </w:r>
    </w:p>
    <w:p>
      <w:pPr>
        <w:spacing w:after="0" w:line="153" w:lineRule="exact"/>
        <w:rPr>
          <w:sz w:val="20"/>
          <w:szCs w:val="20"/>
          <w:color w:val="auto"/>
        </w:rPr>
      </w:pPr>
    </w:p>
    <w:p>
      <w:pPr>
        <w:ind w:right="79"/>
        <w:spacing w:after="0" w:line="297" w:lineRule="auto"/>
        <w:rPr>
          <w:sz w:val="20"/>
          <w:szCs w:val="20"/>
          <w:color w:val="auto"/>
        </w:rPr>
      </w:pPr>
      <w:r>
        <w:rPr>
          <w:rFonts w:ascii="Arial" w:cs="Arial" w:eastAsia="Arial" w:hAnsi="Arial"/>
          <w:sz w:val="16"/>
          <w:szCs w:val="16"/>
          <w:color w:val="auto"/>
        </w:rPr>
        <w:t>We currently plan to pay a quarterly cash dividend of $0.90 per share in July 2019, October 2019 and January 2020, subject to determinations as to the timing and amount by our board of directors. We anticipate investing in our operations during the remainder of 2019 by spending between $110 million and $135 million in capital expenditures, which primarily includes ongoing maintenance capital of our current facilities, an expansion of the guest rooms and convention space at Gaylord Palms, a rooms renovation at Gaylord Opryland, and the construction of Ole Red Orlando.</w:t>
      </w:r>
    </w:p>
    <w:p>
      <w:pPr>
        <w:spacing w:after="0" w:line="118" w:lineRule="exact"/>
        <w:rPr>
          <w:sz w:val="20"/>
          <w:szCs w:val="20"/>
          <w:color w:val="auto"/>
        </w:rPr>
      </w:pPr>
    </w:p>
    <w:p>
      <w:pPr>
        <w:ind w:right="79"/>
        <w:spacing w:after="0" w:line="257" w:lineRule="auto"/>
        <w:rPr>
          <w:sz w:val="20"/>
          <w:szCs w:val="20"/>
          <w:color w:val="auto"/>
        </w:rPr>
      </w:pPr>
      <w:r>
        <w:rPr>
          <w:rFonts w:ascii="Arial" w:cs="Arial" w:eastAsia="Arial" w:hAnsi="Arial"/>
          <w:sz w:val="18"/>
          <w:szCs w:val="18"/>
          <w:color w:val="auto"/>
        </w:rPr>
        <w:t>We believe that our cash on hand and cash from operations will be adequate to fund our general short-term commitments, as well as: (i) normal operating expenses, (ii) interest expense on long-term debt obligations, (iii) financing lease and operating lease obligations, and (iv) declared dividends. If our existing cash and cash from operations were inadequate to fund such items, as well as capital expenditures, we could draw on our credit facility, subject to the satisfaction of covenants in the credit facility.</w:t>
      </w:r>
    </w:p>
    <w:p>
      <w:pPr>
        <w:spacing w:after="0" w:line="161" w:lineRule="exact"/>
        <w:rPr>
          <w:sz w:val="20"/>
          <w:szCs w:val="20"/>
          <w:color w:val="auto"/>
        </w:rPr>
      </w:pPr>
    </w:p>
    <w:p>
      <w:pPr>
        <w:ind w:right="119"/>
        <w:spacing w:after="0" w:line="257" w:lineRule="auto"/>
        <w:rPr>
          <w:sz w:val="20"/>
          <w:szCs w:val="20"/>
          <w:color w:val="auto"/>
        </w:rPr>
      </w:pPr>
      <w:r>
        <w:rPr>
          <w:rFonts w:ascii="Arial" w:cs="Arial" w:eastAsia="Arial" w:hAnsi="Arial"/>
          <w:sz w:val="18"/>
          <w:szCs w:val="18"/>
          <w:color w:val="auto"/>
        </w:rPr>
        <w:t>Our outstanding principal debt agreements are described below. Based on current projections for compliance under our financial covenants contained in these agreements, we do not foresee a maturity issue prior to their scheduled maturity date. We anticipate the construction and mezzanine loans associated with the Gaylord Rockies joint venture, which are scheduled to mature on December 18, 2019 and described below, will be refinanced or the maturity dates will be extended prior to maturity.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At March 31, 2019, we were in compliance with all covenants related to our outstanding debt.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Debt Agreements</w:t>
      </w:r>
    </w:p>
    <w:p>
      <w:pPr>
        <w:spacing w:after="0" w:line="198" w:lineRule="exact"/>
        <w:rPr>
          <w:sz w:val="20"/>
          <w:szCs w:val="20"/>
          <w:color w:val="auto"/>
        </w:rPr>
      </w:pPr>
    </w:p>
    <w:p>
      <w:pPr>
        <w:ind w:right="239"/>
        <w:spacing w:after="0" w:line="297" w:lineRule="auto"/>
        <w:rPr>
          <w:sz w:val="20"/>
          <w:szCs w:val="20"/>
          <w:color w:val="auto"/>
        </w:rPr>
      </w:pPr>
      <w:r>
        <w:rPr>
          <w:rFonts w:ascii="Arial" w:cs="Arial" w:eastAsia="Arial" w:hAnsi="Arial"/>
          <w:sz w:val="16"/>
          <w:szCs w:val="16"/>
          <w:i w:val="1"/>
          <w:iCs w:val="1"/>
          <w:color w:val="auto"/>
        </w:rPr>
        <w:t>Credit Facility</w:t>
      </w:r>
      <w:r>
        <w:rPr>
          <w:rFonts w:ascii="Arial" w:cs="Arial" w:eastAsia="Arial" w:hAnsi="Arial"/>
          <w:sz w:val="16"/>
          <w:szCs w:val="16"/>
          <w:color w:val="auto"/>
        </w:rPr>
        <w:t>. On May 11, 2017, we entered into a Fifth Amended and Restated Credit Agreement (the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among the Company, as a guarantor, the Operating Partnership, as borrower, certain other subsidiaries of the Company party thereto, as guarantors, certain subsidiaries of the Company party thereto, as pledgors, the lenders party thereto and Wells Fargo Bank, N.A., as administrative agent, which amended and restated the Company’s existing credit facility. In addition, on May 23, 2017, we entered into an Amendment No. 1 (the “Amendment No. 1”) and on</w:t>
      </w:r>
    </w:p>
    <w:p>
      <w:pPr>
        <w:spacing w:after="0" w:line="37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June 26, 2018, we entered into an Amendment No. 2 (the “Amendment No. 2”) to the Credit Agreement among the same parties, as discussed below. As amended, our credit facility consists of a $700.0 million senior secured revolving credit facility (the “Revolver”), a $200.0 million senior secured term loan A (the “Term Loan A”), and a $500.0 million senior secured term loan B (the “Term Loan B”), each as discussed below.</w:t>
      </w:r>
    </w:p>
    <w:p>
      <w:pPr>
        <w:spacing w:after="0" w:line="1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Each of the Revolver, Term Loan A and Term Loan B is guaranteed by us, each of our four wholly-owned subsidiaries that own the Gaylord Hotels properties, and certain of our other subsidiaries. Each is secured by (i) a first mortgage lien on the real property of each of our Gaylord Hotels properties, (ii) pledges of equity interests in our subsidiaries that own the Gaylord Hotels properties, (iii) our personal property and the personal property of the Operating Partnership and our guarantor subsidiaries and (iv) all proceeds and products from our Gaylord Hotels properties. Advances are subject to a 55% borrowing base, based on the appraisal value of the Gaylord Hotels properties (reduced to 50% in the event one of the Gaylord Hotels properties is sold). Assets of the Gaylord Rockies joint venture are not subject to the liens of our credit facility.</w:t>
      </w:r>
    </w:p>
    <w:p>
      <w:pPr>
        <w:spacing w:after="0" w:line="14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each of the Revolver, Term Loan A and Term Loan B contains certain covenants which, among other things, limit the incurrence of additional indebtedness, investments, dividends, transactions with affiliates, asset sales, acquisitions, mergers and consolidations, liens and encumbrances and other matters customarily restricted in such agreements. The material financial covenants, ratios or tests contained in the Credit Agreement are as follows (and are unchanged from the previous credit agreement):</w:t>
      </w:r>
    </w:p>
    <w:p>
      <w:pPr>
        <w:spacing w:after="0" w:line="148" w:lineRule="exact"/>
        <w:rPr>
          <w:sz w:val="20"/>
          <w:szCs w:val="20"/>
          <w:color w:val="auto"/>
        </w:rPr>
      </w:pPr>
    </w:p>
    <w:p>
      <w:pPr>
        <w:ind w:left="660" w:right="2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maintain a consolidated funded indebtedness to total asset value ratio as of the end of each calendar quarter of not more than .65 to 1.0.</w:t>
      </w:r>
    </w:p>
    <w:p>
      <w:pPr>
        <w:spacing w:after="0" w:line="129" w:lineRule="exact"/>
        <w:rPr>
          <w:rFonts w:ascii="Arial" w:cs="Arial" w:eastAsia="Arial" w:hAnsi="Arial"/>
          <w:sz w:val="18"/>
          <w:szCs w:val="18"/>
          <w:color w:val="auto"/>
        </w:rPr>
      </w:pPr>
    </w:p>
    <w:p>
      <w:pPr>
        <w:ind w:left="660" w:right="180" w:hanging="333"/>
        <w:spacing w:after="0" w:line="34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must maintain a consolidated tangible net worth (as defined in the Credit Agreement) of not less than $175 million plus 75% of the proceeds received by us or any of our subsidiaries in connection with any equity issuance.</w:t>
      </w:r>
    </w:p>
    <w:p>
      <w:pPr>
        <w:spacing w:after="0" w:line="83" w:lineRule="exact"/>
        <w:rPr>
          <w:rFonts w:ascii="Arial" w:cs="Arial" w:eastAsia="Arial" w:hAnsi="Arial"/>
          <w:sz w:val="16"/>
          <w:szCs w:val="16"/>
          <w:color w:val="auto"/>
        </w:rPr>
      </w:pPr>
    </w:p>
    <w:p>
      <w:pPr>
        <w:ind w:left="660" w:right="18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maintain a consolidated fixed charge coverage ratio (as defined in the Credit Agreement) of not less than 1.50 to 1.00.</w:t>
      </w:r>
    </w:p>
    <w:p>
      <w:pPr>
        <w:spacing w:after="0" w:line="129" w:lineRule="exact"/>
        <w:rPr>
          <w:rFonts w:ascii="Arial" w:cs="Arial" w:eastAsia="Arial" w:hAnsi="Arial"/>
          <w:sz w:val="18"/>
          <w:szCs w:val="18"/>
          <w:color w:val="auto"/>
        </w:rPr>
      </w:pPr>
    </w:p>
    <w:p>
      <w:pPr>
        <w:ind w:left="660" w:right="100" w:hanging="333"/>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must maintain an implied debt service coverage ratio (the ratio of adjusted net operating income to monthly principal and interest that would be required if the outstanding balance were amortized over 25 years at an assumed fixed rate) of not less than 1.60 to 1.00.</w:t>
      </w:r>
    </w:p>
    <w:p>
      <w:pPr>
        <w:spacing w:after="0" w:line="141"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If an event of default shall occur and be continuing under the Credit Agreement, the commitments under the Credit Agreement may be terminated and the principal amount outstanding under the Credit Agreement, together with all accrued unpaid interest and other amounts owing in respect thereof, may be declared immediately due and payable.</w:t>
      </w:r>
    </w:p>
    <w:p>
      <w:pPr>
        <w:spacing w:after="0" w:line="1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color w:val="auto"/>
        </w:rPr>
        <w:t>$700 Million Revolving Credit Facility</w:t>
      </w:r>
      <w:r>
        <w:rPr>
          <w:rFonts w:ascii="Arial" w:cs="Arial" w:eastAsia="Arial" w:hAnsi="Arial"/>
          <w:sz w:val="17"/>
          <w:szCs w:val="17"/>
          <w:color w:val="auto"/>
        </w:rPr>
        <w:t>. Pursuant to Amendment No. 1, we extended the maturity of the Revolver to May 23,</w:t>
      </w:r>
      <w:r>
        <w:rPr>
          <w:rFonts w:ascii="Arial" w:cs="Arial" w:eastAsia="Arial" w:hAnsi="Arial"/>
          <w:sz w:val="17"/>
          <w:szCs w:val="17"/>
          <w:i w:val="1"/>
          <w:iCs w:val="1"/>
          <w:color w:val="auto"/>
        </w:rPr>
        <w:t xml:space="preserve"> </w:t>
      </w:r>
      <w:r>
        <w:rPr>
          <w:rFonts w:ascii="Arial" w:cs="Arial" w:eastAsia="Arial" w:hAnsi="Arial"/>
          <w:sz w:val="17"/>
          <w:szCs w:val="17"/>
          <w:color w:val="auto"/>
        </w:rPr>
        <w:t>2021, with two additional six-month extension options, at our election. Borrowings under the Revolver bear interest at an annual rate equal to, at our option, either (i) LIBOR plus the applicable margin ranging from 1.55% to 2.40%, dependent upon our funded debt to total asset value ratio (as defined in the Credit Agreement) or (ii) a base rate as set in the Credit Agreement. At March 31, 2019, the interest rate on the Revolver was LIBOR plus 1.55%. Principal is payable in full at maturity. No additional amounts were borrowed under the Revolver at closing.</w:t>
      </w:r>
    </w:p>
    <w:p>
      <w:pPr>
        <w:spacing w:after="0" w:line="151" w:lineRule="exact"/>
        <w:rPr>
          <w:sz w:val="20"/>
          <w:szCs w:val="20"/>
          <w:color w:val="auto"/>
        </w:rPr>
      </w:pPr>
    </w:p>
    <w:p>
      <w:pPr>
        <w:ind w:right="240"/>
        <w:spacing w:after="0" w:line="297" w:lineRule="auto"/>
        <w:rPr>
          <w:sz w:val="20"/>
          <w:szCs w:val="20"/>
          <w:color w:val="auto"/>
        </w:rPr>
      </w:pPr>
      <w:r>
        <w:rPr>
          <w:rFonts w:ascii="Arial" w:cs="Arial" w:eastAsia="Arial" w:hAnsi="Arial"/>
          <w:sz w:val="16"/>
          <w:szCs w:val="16"/>
          <w:color w:val="auto"/>
        </w:rPr>
        <w:t>At March 31, 2019, $535.0 million of borrowings were outstanding under the Revolver, and the lending banks had issued $2.2 million of letters of credit under the Credit Agreement, which left $162.8 million of availability under the Revolver (subject to the satisfaction of debt incurrence tests under the indentures governing our $350 million in aggregate principal amount of senior notes due 2021 (the “$350 Million 5% Senior Notes”) and $400 million in aggregate principal amount of senior notes due 2023 (the “$400 Million 5% Senior Notes”), which we met at March 31, 2019).</w:t>
      </w:r>
    </w:p>
    <w:p>
      <w:pPr>
        <w:spacing w:after="0" w:line="118"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i w:val="1"/>
          <w:iCs w:val="1"/>
          <w:color w:val="auto"/>
        </w:rPr>
        <w:t xml:space="preserve">$200 Million Term Loan A Facility. </w:t>
      </w:r>
      <w:r>
        <w:rPr>
          <w:rFonts w:ascii="Arial" w:cs="Arial" w:eastAsia="Arial" w:hAnsi="Arial"/>
          <w:sz w:val="16"/>
          <w:szCs w:val="16"/>
          <w:color w:val="auto"/>
        </w:rPr>
        <w:t>Amendment No. 1 also provides for the Term Loan A, which has a maturity date of</w:t>
      </w:r>
      <w:r>
        <w:rPr>
          <w:rFonts w:ascii="Arial" w:cs="Arial" w:eastAsia="Arial" w:hAnsi="Arial"/>
          <w:sz w:val="16"/>
          <w:szCs w:val="16"/>
          <w:i w:val="1"/>
          <w:iCs w:val="1"/>
          <w:color w:val="auto"/>
        </w:rPr>
        <w:t xml:space="preserve"> </w:t>
      </w:r>
      <w:r>
        <w:rPr>
          <w:rFonts w:ascii="Arial" w:cs="Arial" w:eastAsia="Arial" w:hAnsi="Arial"/>
          <w:sz w:val="16"/>
          <w:szCs w:val="16"/>
          <w:color w:val="auto"/>
        </w:rPr>
        <w:t>May 23, 2022. Borrowings bear interest at an annual rate equal to, at our option, either (i) LIBOR plus the applicable margin ranging from 1.50% to 2.35%, dependent upon our funded debt to total asset value ratio (as defined in the Credit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Agreement) or (ii) a base rate as set in the Credit Agreement. At March 31, 2019, the interest rate on the Term Loan A was LIBOR plus 1.50%. Amounts borrowed under the Term Loan A that are repaid or prepaid may not be reborrowed. At closing, we drew down on the Term Loan A in full and proceeds were used to pay down a portion of the Revolver.</w:t>
      </w:r>
    </w:p>
    <w:p>
      <w:pPr>
        <w:spacing w:after="0" w:line="10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i w:val="1"/>
          <w:iCs w:val="1"/>
          <w:color w:val="auto"/>
        </w:rPr>
        <w:t xml:space="preserve">$500 Million Term Loan B Facility. </w:t>
      </w:r>
      <w:r>
        <w:rPr>
          <w:rFonts w:ascii="Arial" w:cs="Arial" w:eastAsia="Arial" w:hAnsi="Arial"/>
          <w:sz w:val="16"/>
          <w:szCs w:val="16"/>
          <w:color w:val="auto"/>
        </w:rPr>
        <w:t>In May 2017, as part of the Credit Agreement discussed above, we increased the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under our previous $400 million term loan B to $500 million. The Term Loan B has a maturity date of May 11, 2024. Amendment No. 2 reduced the applicable interest rate margins for borrowings under the Term Loan B to, at our option, either</w:t>
      </w:r>
    </w:p>
    <w:p>
      <w:pPr>
        <w:ind w:firstLine="3"/>
        <w:spacing w:after="0" w:line="251" w:lineRule="auto"/>
        <w:tabs>
          <w:tab w:leader="none" w:pos="215"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LIBOR plus 2.00% or (ii) a base rate as set in the Credit Agreement. At March 31, 2019, the interest rate on the Term Loan B was LIBOR plus 2.00%. The Term Loan B amortizes in equal quarterly installments in aggregate annual amounts equal to 1.0% of the original principal amount of $500.0 million, with the balance due at maturity. In addition, if for any fiscal year, there is Excess Cash Flow (as defined in the Credit Agreement), an additional principal amount is required. As a result of Amendment No. 2, the commencement date for any Excess Cash Flow payments has been extended to December 31, 2019. Amounts borrowed under the Term Loan B that are repaid or prepaid may not be reborrowed. At closing of Amendment No. 1, we drew down on the Term Loan B in full. Net proceeds, after the repayment of the original $400 million term loan B and certain transaction expenses payable at closing, were used to pay down a portion of the Revolver. Amendment No. 2 did not change the maturity dates existing under the Credit Agreement or result in any increase or decrease in outstanding borrowings. At March 31, 2019, $491.3 million in borrowings were outstanding under the Term Loan B.</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i w:val="1"/>
          <w:iCs w:val="1"/>
          <w:color w:val="auto"/>
        </w:rPr>
        <w:t xml:space="preserve">$350 Million 5% Senior Notes. </w:t>
      </w:r>
      <w:r>
        <w:rPr>
          <w:rFonts w:ascii="Arial" w:cs="Arial" w:eastAsia="Arial" w:hAnsi="Arial"/>
          <w:sz w:val="17"/>
          <w:szCs w:val="17"/>
          <w:color w:val="auto"/>
        </w:rPr>
        <w:t>In 2013, the Operating Partnership and Finco completed the private placement of $350.0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aggregate principal amount of senior notes due 2021, which are guaranteed by the Company and its subsidiaries that guarantee the Credit Agreement. The $350 Million 5% Senior Notes and guarantees were issued pursuant to an indenture by and among the issuing subsidiaries and the guarantors and U.S. Bank National Association as trustee. The $350 Million 5% Senior Notes have a maturity date of April 15, 2021 and bear interest at 5% per annum, payable semi-annually in cash in arrears on April 15 and October 15 of each year. The $350 Million 5% Senior Notes are general unsecured and unsubordinated obligations of the issuing subsidiaries and rank equal in right of payment with such subsidiaries’ existing and future senior unsecured indebtedness and senior in right of payment to future subordinated indebtedness, if any. The $350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 of such guarantor. The $350 Million 5% Senior Notes will be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$350 Million 5% Senior Notes.</w:t>
      </w:r>
    </w:p>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$350 Million 5% Senior Notes are redeemable, in whole or in part, at 100.00%, plus accrued and unpaid interest thereon to, but not including, the redemption date.</w:t>
      </w:r>
    </w:p>
    <w:p>
      <w:pPr>
        <w:spacing w:after="0" w:line="13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issuance of the $350 Million 5% Senior Notes, we completed a registered offer to exchange the $350 Million 5% Senior Notes for registered notes with substantially identical terms as the $350 Million 5% Senior Notes in November 2013.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$400 Million 5% Senior Notes. </w:t>
      </w:r>
      <w:r>
        <w:rPr>
          <w:rFonts w:ascii="Arial" w:cs="Arial" w:eastAsia="Arial" w:hAnsi="Arial"/>
          <w:sz w:val="18"/>
          <w:szCs w:val="18"/>
          <w:color w:val="auto"/>
        </w:rPr>
        <w:t>In 2015, the Operating Partnership and Finco completed the private placement of</w:t>
      </w:r>
    </w:p>
    <w:p>
      <w:pPr>
        <w:spacing w:after="0" w:line="2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$400.0 million in aggregate principal amount of senior notes due 2023. The $400 Million 5% Senior Notes are general unsecured senior obligations of the Company’s issuing subsidiaries and are guaranteed by the Company and its subsidiaries that guarantee the Credit Agreement. The $400 Million 5% Senior Notes and guarantees were issued pursuant to an indenture by and among the issuing subsidiaries and the guarantors and U.S. Bank National Association as trustee. The $400 Million 5% Senior Notes have a maturity date of April 15, 2023 and bear interest at 5% per annum, payable semi-annually in cash in arrears on April 15 and October 15 of each year. The $400 Million 5% Senior Notes are general unsecured and unsubordinated obligations of the issuing subsidiaries and rank equal in right of payment with such subsidiaries’ existing and future senior unsecured indebtedness, including the $350 Million 5% Senior Notes, and senior in right of payment to future subordinated indebtedness, if any. The $400 Million 5% Senior Notes are effectively subordinated to the issuing subsidiaries’ secured indebtedness to the extent of the value of the assets securing such indebtedness. The guarantees rank equally in right of payment with the applicable guarantor’s existing and future senior unsecured indebtedness and senior in right of payment to any future subordinated indebtedness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59"/>
        <w:spacing w:after="0" w:line="312" w:lineRule="auto"/>
        <w:rPr>
          <w:sz w:val="20"/>
          <w:szCs w:val="20"/>
          <w:color w:val="auto"/>
        </w:rPr>
      </w:pPr>
      <w:r>
        <w:rPr>
          <w:rFonts w:ascii="Arial" w:cs="Arial" w:eastAsia="Arial" w:hAnsi="Arial"/>
          <w:sz w:val="16"/>
          <w:szCs w:val="16"/>
          <w:color w:val="auto"/>
        </w:rPr>
        <w:t>of such guarantor. The $400 Million 5% Senior Notes are effectively subordinated to any secured indebtedness of any guarantor to the extent of the value of the assets securing such indebtedness and structurally subordinated to all indebtedness and other obligations of the Operating Partnership’s subsidiaries that do not guarantee the $400 Million 5% Senior Notes.</w:t>
      </w:r>
    </w:p>
    <w:p>
      <w:pPr>
        <w:spacing w:after="0" w:line="106" w:lineRule="exact"/>
        <w:rPr>
          <w:sz w:val="20"/>
          <w:szCs w:val="20"/>
          <w:color w:val="auto"/>
        </w:rPr>
      </w:pPr>
    </w:p>
    <w:p>
      <w:pPr>
        <w:jc w:val="both"/>
        <w:ind w:right="239"/>
        <w:spacing w:after="0" w:line="312" w:lineRule="auto"/>
        <w:rPr>
          <w:sz w:val="20"/>
          <w:szCs w:val="20"/>
          <w:color w:val="auto"/>
        </w:rPr>
      </w:pPr>
      <w:r>
        <w:rPr>
          <w:rFonts w:ascii="Arial" w:cs="Arial" w:eastAsia="Arial" w:hAnsi="Arial"/>
          <w:sz w:val="16"/>
          <w:szCs w:val="16"/>
          <w:color w:val="auto"/>
        </w:rPr>
        <w:t>The $400 Million 5% Senior Notes are redeemable, in whole or in part, at a redemption price expressed as a percentage of the principal amount thereof, which percentage is 102.50%, 101.25%, and 100.00% beginning on April 15 of 2019, 2020, and 2021, respectively, plus accrued and unpaid interest thereon to, but not including, the redemption date.</w:t>
      </w:r>
    </w:p>
    <w:p>
      <w:pPr>
        <w:spacing w:after="0" w:line="120" w:lineRule="exact"/>
        <w:rPr>
          <w:sz w:val="20"/>
          <w:szCs w:val="20"/>
          <w:color w:val="auto"/>
        </w:rPr>
      </w:pPr>
    </w:p>
    <w:p>
      <w:pPr>
        <w:ind w:right="99"/>
        <w:spacing w:after="0" w:line="264" w:lineRule="auto"/>
        <w:rPr>
          <w:sz w:val="20"/>
          <w:szCs w:val="20"/>
          <w:color w:val="auto"/>
        </w:rPr>
      </w:pPr>
      <w:r>
        <w:rPr>
          <w:rFonts w:ascii="Arial" w:cs="Arial" w:eastAsia="Arial" w:hAnsi="Arial"/>
          <w:sz w:val="18"/>
          <w:szCs w:val="18"/>
          <w:color w:val="auto"/>
        </w:rPr>
        <w:t>In connection with the issuance of the $400 Million 5% Senior Notes, we completed a registered offer to exchange the $400 Million 5% Senior Notes for registered notes with substantially identical terms as the $400 Million 5% Senior Notes in September 2015.</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$500 Million Construction Loan (Gaylord Rockies Joint Venture)</w:t>
      </w:r>
    </w:p>
    <w:p>
      <w:pPr>
        <w:spacing w:after="0" w:line="185" w:lineRule="exact"/>
        <w:rPr>
          <w:sz w:val="20"/>
          <w:szCs w:val="20"/>
          <w:color w:val="auto"/>
        </w:rPr>
      </w:pPr>
    </w:p>
    <w:p>
      <w:pPr>
        <w:ind w:right="59"/>
        <w:spacing w:after="0" w:line="254" w:lineRule="auto"/>
        <w:rPr>
          <w:sz w:val="20"/>
          <w:szCs w:val="20"/>
          <w:color w:val="auto"/>
        </w:rPr>
      </w:pPr>
      <w:r>
        <w:rPr>
          <w:rFonts w:ascii="Arial" w:cs="Arial" w:eastAsia="Arial" w:hAnsi="Arial"/>
          <w:sz w:val="18"/>
          <w:szCs w:val="18"/>
          <w:color w:val="auto"/>
        </w:rPr>
        <w:t>In December 2015, Aurora Convention Hotel, LLC (“Hotel Owner”) and Aurora Convention Center Hotel Lessee, LLC (collectively, “Borrower”), subsidiaries of the entities comprising the Gaylord Rockies joint venture, entered into a Building Loan Agreement (the “Construction Loan”) with Wells Fargo Bank, N.A., as administrative agent, for a senior loan with available borrowings of up to $500.0 million, of which $487.0 million was outstanding at March 31, 2019. The Construction Loan bears interest at an annual rate equal to LIBOR plus 3.25% and matures on December 18, 2019, with three optional one-year extensions at the Borrower’s option, subject to certain requirements as defined in the Construction Loan. The Construction Loan is secured by substantially all of the assets of Hotel Owner and an assignment of the hotel’s management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$39 Million Mezzanine Loan (Gaylord Rockies Joint Venture)</w:t>
      </w:r>
    </w:p>
    <w:p>
      <w:pPr>
        <w:spacing w:after="0" w:line="185" w:lineRule="exact"/>
        <w:rPr>
          <w:sz w:val="20"/>
          <w:szCs w:val="20"/>
          <w:color w:val="auto"/>
        </w:rPr>
      </w:pPr>
    </w:p>
    <w:p>
      <w:pPr>
        <w:ind w:right="139"/>
        <w:spacing w:after="0" w:line="255" w:lineRule="auto"/>
        <w:rPr>
          <w:sz w:val="20"/>
          <w:szCs w:val="20"/>
          <w:color w:val="auto"/>
        </w:rPr>
      </w:pPr>
      <w:r>
        <w:rPr>
          <w:rFonts w:ascii="Arial" w:cs="Arial" w:eastAsia="Arial" w:hAnsi="Arial"/>
          <w:sz w:val="18"/>
          <w:szCs w:val="18"/>
          <w:color w:val="auto"/>
        </w:rPr>
        <w:t>In December 2015, Aurora Convention Hotel Mezz, LLC (“Mezz”) and Aurora Convention Center Hotel Lessee Midco Member, LLC (collectively, “Mezz Borrower”), subsidiaries of the entities comprising the Gaylord Rockies joint venture, entered into a Mezzanine Loan Agreement (the “Mezzanine Loan”) with Marriott International Capital Corporation, for a mezzanine loan with available borrowings, as amended, of up to $39.0 million, of which $38.5 million was outstanding at March 31, 2019. The Mezzanine Loans bears interest at an annual rate of LIBOR plus 7.00% and matures on December 18, 2019, with three optional one-year extensions that mirror the Construction Loan. The Mezzanine Loan is secured by Mezz Borrower’s interests in the joint venture.</w:t>
      </w:r>
    </w:p>
    <w:p>
      <w:pPr>
        <w:spacing w:after="0" w:line="149" w:lineRule="exact"/>
        <w:rPr>
          <w:sz w:val="20"/>
          <w:szCs w:val="20"/>
          <w:color w:val="auto"/>
        </w:rPr>
      </w:pPr>
    </w:p>
    <w:p>
      <w:pPr>
        <w:ind w:right="159"/>
        <w:spacing w:after="0" w:line="277" w:lineRule="auto"/>
        <w:rPr>
          <w:sz w:val="20"/>
          <w:szCs w:val="20"/>
          <w:color w:val="auto"/>
        </w:rPr>
      </w:pPr>
      <w:r>
        <w:rPr>
          <w:rFonts w:ascii="Arial" w:cs="Arial" w:eastAsia="Arial" w:hAnsi="Arial"/>
          <w:sz w:val="18"/>
          <w:szCs w:val="18"/>
          <w:i w:val="1"/>
          <w:iCs w:val="1"/>
          <w:color w:val="auto"/>
        </w:rPr>
        <w:t>Additional Debt Limitations</w:t>
      </w:r>
      <w:r>
        <w:rPr>
          <w:rFonts w:ascii="Arial" w:cs="Arial" w:eastAsia="Arial" w:hAnsi="Arial"/>
          <w:sz w:val="18"/>
          <w:szCs w:val="18"/>
          <w:color w:val="auto"/>
        </w:rPr>
        <w:t>. Pursuant to the terms of the management agreements and pooling agreement with Marriott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four wholly-owned Gaylord Hotels, we are subject to certain debt limitations described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management agreements provide for the following limitations on indebtedness encumbering a hotel:</w:t>
      </w:r>
    </w:p>
    <w:p>
      <w:pPr>
        <w:spacing w:after="0" w:line="185" w:lineRule="exact"/>
        <w:rPr>
          <w:sz w:val="20"/>
          <w:szCs w:val="20"/>
          <w:color w:val="auto"/>
        </w:rPr>
      </w:pPr>
    </w:p>
    <w:p>
      <w:pPr>
        <w:ind w:left="660" w:right="79" w:hanging="333"/>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encumbering the hotel shall be no greater than 75% of the fair market value of the hotel; and</w:t>
      </w:r>
    </w:p>
    <w:p>
      <w:pPr>
        <w:spacing w:after="0" w:line="129" w:lineRule="exact"/>
        <w:rPr>
          <w:rFonts w:ascii="Arial" w:cs="Arial" w:eastAsia="Arial" w:hAnsi="Arial"/>
          <w:sz w:val="18"/>
          <w:szCs w:val="18"/>
          <w:color w:val="auto"/>
        </w:rPr>
      </w:pPr>
    </w:p>
    <w:p>
      <w:pPr>
        <w:ind w:left="660" w:right="39" w:hanging="333"/>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management agreement) in the 12 months prior to the closing on the mortgage or mezzanine debt to (b) annual debt service for the hotel shall equal or exceed 1.2:1; but is subject to the pooling agreement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The pooled limitations on Secured Debt (as defined in the pooling agreement) are as follows:</w:t>
      </w:r>
    </w:p>
    <w:p>
      <w:pPr>
        <w:spacing w:after="0" w:line="185" w:lineRule="exact"/>
        <w:rPr>
          <w:sz w:val="20"/>
          <w:szCs w:val="20"/>
          <w:color w:val="auto"/>
        </w:rPr>
      </w:pPr>
    </w:p>
    <w:p>
      <w:pPr>
        <w:ind w:left="660" w:right="299" w:hanging="333"/>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principal balance of all mortgage and mezzanine debt on Pooled Hotels (as defined in the pooling agreement), shall be no more than 75% of the fair market value of Pooled Hotels.</w:t>
      </w:r>
    </w:p>
    <w:p>
      <w:pPr>
        <w:spacing w:after="0" w:line="129" w:lineRule="exact"/>
        <w:rPr>
          <w:rFonts w:ascii="Arial" w:cs="Arial" w:eastAsia="Arial" w:hAnsi="Arial"/>
          <w:sz w:val="18"/>
          <w:szCs w:val="18"/>
          <w:color w:val="auto"/>
        </w:rPr>
      </w:pPr>
    </w:p>
    <w:p>
      <w:pPr>
        <w:ind w:left="660" w:right="79" w:hanging="333"/>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ratio of (a) aggregate Operating Profit (as defined in the pooling agreement) of Pooled Hotels in the 12 months prior to closing on any mortgage or mezzanine debt to (b) annual debt service for the Pooled Hotels, shall equal or exceed 1.2:1.</w:t>
      </w: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185"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described in Note 13 to our condensed consolidated financial statements included herein, we have invested in a joint venture that owns Gaylord Rockies. In connection with this investment and our December 2018 increase in our investment, we have provided a completion guarantee under each of the Construction Loan and the Mezzanine Loan capped at our pro rata share of all costs necessary to complete the project within the time specified in the senior loan documents. At March 31, 2019, we have not recorded any liability in the condensed consolidated balance sheet associated with these guarantees.</w:t>
      </w:r>
    </w:p>
    <w:p>
      <w:pPr>
        <w:spacing w:after="0" w:line="13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enter into commitments under letters of credit, primarily for the purpose of securing our deductible obligations with our insurers, and lending banks under our Credit Agreement had issued $2.2 million of letters of credit at March 31, 2019. Except as set forth in these paragraphs, we do not have any off-balance sheet arrangements that have or are reasonably likely to have a current or future effect on our financial condition, changes in financial condition, revenues or expenses, results of operations, liquidity, capital expenditures or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 and Contractual Obligations</w:t>
      </w:r>
    </w:p>
    <w:p>
      <w:pPr>
        <w:spacing w:after="0" w:line="18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following table summarizes our significant contractual obligations at March 31, 2019, including long-term debt and operating and capital lease commitments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9"/>
              </w:rPr>
              <w:t>Total amounts</w:t>
            </w:r>
          </w:p>
        </w:tc>
        <w:tc>
          <w:tcPr>
            <w:tcW w:w="1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Payment due by Period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400" w:type="dxa"/>
            <w:vAlign w:val="bottom"/>
            <w:gridSpan w:val="3"/>
            <w:vMerge w:val="restart"/>
          </w:tcPr>
          <w:p>
            <w:pPr>
              <w:ind w:left="920"/>
              <w:spacing w:after="0"/>
              <w:rPr>
                <w:sz w:val="20"/>
                <w:szCs w:val="20"/>
                <w:color w:val="auto"/>
              </w:rPr>
            </w:pPr>
            <w:r>
              <w:rPr>
                <w:rFonts w:ascii="Arial" w:cs="Arial" w:eastAsia="Arial" w:hAnsi="Arial"/>
                <w:sz w:val="14"/>
                <w:szCs w:val="14"/>
                <w:b w:val="1"/>
                <w:bCs w:val="1"/>
                <w:color w:val="auto"/>
              </w:rPr>
              <w:t>Contractual obligations</w:t>
            </w:r>
          </w:p>
        </w:tc>
        <w:tc>
          <w:tcPr>
            <w:tcW w:w="1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20"/>
              <w:spacing w:after="0" w:line="119" w:lineRule="exact"/>
              <w:rPr>
                <w:sz w:val="20"/>
                <w:szCs w:val="20"/>
                <w:color w:val="auto"/>
              </w:rPr>
            </w:pPr>
            <w:r>
              <w:rPr>
                <w:rFonts w:ascii="Arial" w:cs="Arial" w:eastAsia="Arial" w:hAnsi="Arial"/>
                <w:sz w:val="13"/>
                <w:szCs w:val="13"/>
                <w:b w:val="1"/>
                <w:bCs w:val="1"/>
                <w:color w:val="auto"/>
              </w:rPr>
              <w:t>Less than</w:t>
            </w:r>
          </w:p>
        </w:tc>
        <w:tc>
          <w:tcPr>
            <w:tcW w:w="140" w:type="dxa"/>
            <w:vAlign w:val="bottom"/>
          </w:tcPr>
          <w:p>
            <w:pPr>
              <w:spacing w:after="0"/>
              <w:rPr>
                <w:sz w:val="10"/>
                <w:szCs w:val="10"/>
                <w:color w:val="auto"/>
              </w:rPr>
            </w:pPr>
          </w:p>
        </w:tc>
        <w:tc>
          <w:tcPr>
            <w:tcW w:w="74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rPr>
              <w:t>1-3 years</w:t>
            </w:r>
          </w:p>
        </w:tc>
        <w:tc>
          <w:tcPr>
            <w:tcW w:w="160" w:type="dxa"/>
            <w:vAlign w:val="bottom"/>
          </w:tcPr>
          <w:p>
            <w:pPr>
              <w:spacing w:after="0"/>
              <w:rPr>
                <w:sz w:val="10"/>
                <w:szCs w:val="10"/>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ind w:right="35"/>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34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59"/>
              <w:spacing w:after="0"/>
              <w:rPr>
                <w:sz w:val="20"/>
                <w:szCs w:val="20"/>
                <w:color w:val="auto"/>
              </w:rPr>
            </w:pPr>
            <w:r>
              <w:rPr>
                <w:rFonts w:ascii="Arial" w:cs="Arial" w:eastAsia="Arial" w:hAnsi="Arial"/>
                <w:sz w:val="14"/>
                <w:szCs w:val="14"/>
                <w:b w:val="1"/>
                <w:bCs w:val="1"/>
                <w:color w:val="auto"/>
              </w:rPr>
              <w:t>committed</w:t>
            </w:r>
          </w:p>
        </w:tc>
        <w:tc>
          <w:tcPr>
            <w:tcW w:w="140" w:type="dxa"/>
            <w:vAlign w:val="bottom"/>
          </w:tcPr>
          <w:p>
            <w:pPr>
              <w:spacing w:after="0"/>
              <w:rPr>
                <w:sz w:val="14"/>
                <w:szCs w:val="14"/>
                <w:color w:val="auto"/>
              </w:rPr>
            </w:pPr>
          </w:p>
        </w:tc>
        <w:tc>
          <w:tcPr>
            <w:tcW w:w="760" w:type="dxa"/>
            <w:vAlign w:val="bottom"/>
          </w:tcPr>
          <w:p>
            <w:pPr>
              <w:jc w:val="right"/>
              <w:ind w:right="12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ind w:right="135"/>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Long-term debt (1) (2)</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$ 2,503,436</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$532,186</w:t>
            </w: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$895,000</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$610,000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466,250</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Finance leases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1,737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479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 (3)</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607,370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578,442</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80" w:type="dxa"/>
            <w:vAlign w:val="bottom"/>
            <w:gridSpan w:val="2"/>
          </w:tcPr>
          <w:p>
            <w:pPr>
              <w:spacing w:after="0"/>
              <w:rPr>
                <w:sz w:val="20"/>
                <w:szCs w:val="20"/>
                <w:color w:val="auto"/>
              </w:rPr>
            </w:pPr>
            <w:r>
              <w:rPr>
                <w:rFonts w:ascii="Arial" w:cs="Arial" w:eastAsia="Arial" w:hAnsi="Arial"/>
                <w:sz w:val="18"/>
                <w:szCs w:val="18"/>
                <w:color w:val="auto"/>
              </w:rPr>
              <w:t>Construction commitments (4)</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48,200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48,200</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13,311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0" w:type="dxa"/>
            <w:vAlign w:val="bottom"/>
          </w:tcPr>
          <w:p>
            <w:pPr>
              <w:spacing w:after="0"/>
              <w:rPr>
                <w:sz w:val="1"/>
                <w:szCs w:val="1"/>
                <w:color w:val="auto"/>
              </w:rPr>
            </w:pPr>
          </w:p>
        </w:tc>
      </w:tr>
      <w:tr>
        <w:trPr>
          <w:trHeight w:val="217"/>
        </w:trPr>
        <w:tc>
          <w:tcPr>
            <w:tcW w:w="3400" w:type="dxa"/>
            <w:vAlign w:val="bottom"/>
            <w:gridSpan w:val="3"/>
          </w:tcPr>
          <w:p>
            <w:pPr>
              <w:ind w:left="920"/>
              <w:spacing w:after="0"/>
              <w:rPr>
                <w:sz w:val="20"/>
                <w:szCs w:val="20"/>
                <w:color w:val="auto"/>
              </w:rPr>
            </w:pPr>
            <w:r>
              <w:rPr>
                <w:rFonts w:ascii="Arial" w:cs="Arial" w:eastAsia="Arial" w:hAnsi="Arial"/>
                <w:sz w:val="18"/>
                <w:szCs w:val="18"/>
                <w:color w:val="auto"/>
              </w:rPr>
              <w:t>Total contractual obligations</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$ 3,174,054</w:t>
            </w: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587,477</w:t>
            </w: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909,379</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624,105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1,053,093</w:t>
            </w:r>
          </w:p>
        </w:tc>
        <w:tc>
          <w:tcPr>
            <w:tcW w:w="0" w:type="dxa"/>
            <w:vAlign w:val="bottom"/>
          </w:tcPr>
          <w:p>
            <w:pPr>
              <w:spacing w:after="0"/>
              <w:rPr>
                <w:sz w:val="1"/>
                <w:szCs w:val="1"/>
                <w:color w:val="auto"/>
              </w:rPr>
            </w:pPr>
          </w:p>
        </w:tc>
      </w:tr>
      <w:tr>
        <w:trPr>
          <w:trHeight w:val="108"/>
        </w:trPr>
        <w:tc>
          <w:tcPr>
            <w:tcW w:w="920" w:type="dxa"/>
            <w:vAlign w:val="bottom"/>
            <w:tcBorders>
              <w:bottom w:val="single" w:sz="8" w:color="auto"/>
            </w:tcBorders>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18" w:lineRule="exact"/>
        <w:tabs>
          <w:tab w:leader="none" w:pos="3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Long-term debt commitments do not include approximately $331.0 million in interest payments projected to be due in future years (less than 1 year – $113.1 million; 1</w:t>
      </w:r>
      <w:r>
        <w:rPr>
          <w:rFonts w:ascii="MS PGothic" w:cs="MS PGothic" w:eastAsia="MS PGothic" w:hAnsi="MS PGothic"/>
          <w:sz w:val="16"/>
          <w:szCs w:val="16"/>
          <w:color w:val="auto"/>
        </w:rPr>
        <w:t>‑</w:t>
      </w:r>
      <w:r>
        <w:rPr>
          <w:rFonts w:ascii="Arial" w:cs="Arial" w:eastAsia="Arial" w:hAnsi="Arial"/>
          <w:sz w:val="16"/>
          <w:szCs w:val="16"/>
          <w:color w:val="auto"/>
        </w:rPr>
        <w:t>3 years – $145.4 million; 3</w:t>
      </w:r>
      <w:r>
        <w:rPr>
          <w:rFonts w:ascii="MS PGothic" w:cs="MS PGothic" w:eastAsia="MS PGothic" w:hAnsi="MS PGothic"/>
          <w:sz w:val="16"/>
          <w:szCs w:val="16"/>
          <w:color w:val="auto"/>
        </w:rPr>
        <w:t>‑</w:t>
      </w:r>
      <w:r>
        <w:rPr>
          <w:rFonts w:ascii="Arial" w:cs="Arial" w:eastAsia="Arial" w:hAnsi="Arial"/>
          <w:sz w:val="16"/>
          <w:szCs w:val="16"/>
          <w:color w:val="auto"/>
        </w:rPr>
        <w:t>5 years – $67.0 million; more than 5 years – $5.6 million) based on the stated interest rates on our fixed-rate debt and the rates in effect at March 31, 2019 for our variable-rate debt. Variable rates, as well as outstanding principal balances, could change in future periods. See “Principal Debt Agreements” above for a discussion of our outstanding long-term debt. See “Supplemental Cash Flow Information” in Note 1 to the consolidated financial statements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2018 for a discussion of the interest we paid during the fiscal years 2018, 2017 and 2016.</w:t>
      </w:r>
    </w:p>
    <w:p>
      <w:pPr>
        <w:spacing w:after="0" w:line="164" w:lineRule="exact"/>
        <w:rPr>
          <w:rFonts w:ascii="Arial" w:cs="Arial" w:eastAsia="Arial" w:hAnsi="Arial"/>
          <w:sz w:val="16"/>
          <w:szCs w:val="16"/>
          <w:color w:val="auto"/>
        </w:rPr>
      </w:pPr>
    </w:p>
    <w:p>
      <w:pPr>
        <w:ind w:left="320" w:right="140" w:hanging="317"/>
        <w:spacing w:after="0" w:line="277"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Debt commitments due in less than one year includes $525.5 million of the Construction Loan and Mezzanine Loan for the Gaylord Rockies joint venture.</w:t>
      </w:r>
    </w:p>
    <w:p>
      <w:pPr>
        <w:spacing w:after="0" w:line="129" w:lineRule="exact"/>
        <w:rPr>
          <w:rFonts w:ascii="Arial" w:cs="Arial" w:eastAsia="Arial" w:hAnsi="Arial"/>
          <w:sz w:val="18"/>
          <w:szCs w:val="18"/>
          <w:color w:val="auto"/>
        </w:rPr>
      </w:pPr>
    </w:p>
    <w:p>
      <w:pPr>
        <w:ind w:left="320" w:right="260" w:hanging="317"/>
        <w:spacing w:after="0" w:line="221" w:lineRule="exact"/>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Total operating lease commitments of $607.4 million includes the 75</w:t>
      </w:r>
      <w:r>
        <w:rPr>
          <w:rFonts w:ascii="MS PGothic" w:cs="MS PGothic" w:eastAsia="MS PGothic" w:hAnsi="MS PGothic"/>
          <w:sz w:val="18"/>
          <w:szCs w:val="18"/>
          <w:color w:val="auto"/>
        </w:rPr>
        <w:t>‑</w:t>
      </w:r>
      <w:r>
        <w:rPr>
          <w:rFonts w:ascii="Arial" w:cs="Arial" w:eastAsia="Arial" w:hAnsi="Arial"/>
          <w:sz w:val="18"/>
          <w:szCs w:val="18"/>
          <w:color w:val="auto"/>
        </w:rPr>
        <w:t>year operating lease agreement we entered into during 1999 for 65.3 acres of land located in Osceola County, Florida where Gaylord Palms is located, which we may extend until January 2101.</w:t>
      </w:r>
    </w:p>
    <w:p>
      <w:pPr>
        <w:spacing w:after="0" w:line="161" w:lineRule="exact"/>
        <w:rPr>
          <w:rFonts w:ascii="Arial" w:cs="Arial" w:eastAsia="Arial" w:hAnsi="Arial"/>
          <w:sz w:val="18"/>
          <w:szCs w:val="18"/>
          <w:color w:val="auto"/>
        </w:rPr>
      </w:pPr>
    </w:p>
    <w:p>
      <w:pPr>
        <w:ind w:left="320" w:right="20" w:hanging="317"/>
        <w:spacing w:after="0" w:line="254" w:lineRule="auto"/>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With respect to our properties that are operated under management agreements with Marriott, we are obligated to maintain an FF&amp;E reserve account for future planned and emergency-related capital expenditures at these properties. The amount funded into each of these reserve accounts is determined pursuant to the management agreements and is generally 5.0% of the respective property’s total annual revenue. At March 31, 2019, $48.2 million was held in FF&amp;E reserve accounts for future capital expenditures at our properties. According to the terms of each management agreement with Marriott, the reserve funds are to be held by Marriott in a restricted cash account. Although it is not required that such funds be expended in a given year, each management agreement provides any excess funds will carry over for use in future years.</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460"/>
        <w:spacing w:after="0" w:line="219" w:lineRule="exact"/>
        <w:rPr>
          <w:sz w:val="20"/>
          <w:szCs w:val="20"/>
          <w:color w:val="auto"/>
        </w:rPr>
      </w:pPr>
      <w:r>
        <w:rPr>
          <w:rFonts w:ascii="Arial" w:cs="Arial" w:eastAsia="Arial" w:hAnsi="Arial"/>
          <w:sz w:val="18"/>
          <w:szCs w:val="18"/>
          <w:color w:val="auto"/>
        </w:rPr>
        <w:t>The expected cash flows under our defined benefit pension plan, our non-qualified retirement plan, our non-qualified contributory deferred compensation plan and our defined benefit postretirement health care and life insurance plan are estimated based upon the best information currently available, but are not driven by contractual terms. Therefore, these obligations have been excluded from the contractual obligations table above. See Note 8 and Note 9 to the consolidated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2018 for further discussion related to these obligations.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198" w:lineRule="exact"/>
        <w:rPr>
          <w:sz w:val="20"/>
          <w:szCs w:val="20"/>
          <w:color w:val="auto"/>
        </w:rPr>
      </w:pPr>
    </w:p>
    <w:p>
      <w:pPr>
        <w:spacing w:after="0" w:line="217" w:lineRule="exact"/>
        <w:rPr>
          <w:sz w:val="20"/>
          <w:szCs w:val="20"/>
          <w:color w:val="auto"/>
        </w:rPr>
      </w:pPr>
      <w:r>
        <w:rPr>
          <w:rFonts w:ascii="Arial" w:cs="Arial" w:eastAsia="Arial" w:hAnsi="Arial"/>
          <w:sz w:val="17"/>
          <w:szCs w:val="17"/>
          <w:color w:val="auto"/>
        </w:rPr>
        <w:t>We prepare our condensed consolidated financial statements in conformity with accounting principles generally accepted in the United States. Certain of our accounting policies, including those related to revenue recognition, impairment of long-lived and other assets, stock-based compensation, depreciation and amortization, income taxes, pension and postretirement benefits other than pension plans, acquisitions and purchase price allocations, and legal contingencies, require that we apply significant judgment in defining the appropriate assumptions for calculating financial estimates. By their nature, these judgments are subject to an inherent degree of uncertainty. Our judgments are based on our historical experience, our observance of trends in the industry, and information available from other outside sources, as appropriate. There can be no assurance that actual results will not differ from our estimates. For a discussion of our critical accounting policies and estimates, please refer to Item 7, “Management’s Discussion and Analysis of Financial Condition and Results of Operations” and “Notes to Consolidated Financial Statements” presented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2018. There were no newly identified critical accounting policies in the first three months of 2019 nor were there any material changes to the critical accounting policies and estimates discussed in our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2018.</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8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 Our primary exposures to market risk are from changes in interest rates and changes in asset values of investments that fund our pension plan.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Changes in Interest Rates</w:t>
      </w:r>
    </w:p>
    <w:p>
      <w:pPr>
        <w:spacing w:after="0" w:line="185"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Borrowings outstanding under the Revolver bear interest at an annual rate of LIBOR plus 1.55%, subject to adjustment as described in the Credit Agreement. If LIBOR were to increase by 100 basis points, our annual interest cost on the $535.0 million in borrowings outstanding under the Revolver at March 31, 2019 would increase by approximately $5.4 million.</w:t>
      </w:r>
    </w:p>
    <w:p>
      <w:pPr>
        <w:spacing w:after="0" w:line="10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Borrowings outstanding under our Term Loan A currently bear interest at an annual rate of LIBOR plus 1.50%, subject to adjustment as described in the Credit Agreement. If LIBOR were to increase by 100 basis points, our annual interest cost on the $200.0 million in borrowings outstanding under our Term Loan A at March 31, 2019 would increase by approximately $2.0 million.</w:t>
      </w:r>
    </w:p>
    <w:p>
      <w:pPr>
        <w:spacing w:after="0" w:line="16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Borrowings outstanding under our Term Loan B currently bear interest at an annual rate of LIBOR plus 2.00%, subject to adjustment as described in the Credit Agreement. If LIBOR were to increase by 100 basis points, our annual interest cost on the $491.3 million in borrowings outstanding under our Term Loan B at March 31, 2019 would increase by approximately $4.9 million.</w:t>
      </w:r>
    </w:p>
    <w:p>
      <w:pPr>
        <w:spacing w:after="0" w:line="14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Borrowings outstanding under the Gaylord Rockies joint venture Construction Loan bear interest at an annual rate of LIBOR plus 3.25%. If LIBOR were to increase by 100 basis points, the annual interest cost on the $487.0 million in borrowings outstanding under the Construction Loan at March 31, 2019 would increase by approximately $4.9 million.</w:t>
      </w:r>
    </w:p>
    <w:p>
      <w:pPr>
        <w:spacing w:after="0" w:line="12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Borrowings outstanding under the Gaylord Rockies joint venture Mezzanine Loan bear interest at an annual rate of LIBOR plus 7.00%. If LIBOR were to increase by 100 basis points, the annual interest cost on the $38.5 million in borrowings outstanding under the Mezzanine Loan at March 31, 2019 would increase by approximately $0.4 million.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Certain of our outstanding cash balances are occasionally invested overnight with high credit quality financial institutions. We do not have significant exposure to changing interest rates on invested cash at March 31, 2019. As a result, the interest rate market risk implicit in these investments at March 31, 2019, if any, is 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Related to Changes in Asset Values that Fund our Pension Plans</w:t>
      </w:r>
    </w:p>
    <w:p>
      <w:pPr>
        <w:spacing w:after="0" w:line="19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expected rates of return on the assets that fund our defined benefit pension plan are based on the asset allocation of the plan and the long-term projected return on those assets, which represent a diversified mix of equity securities, fixed income securities and cash. At March 31, 2019, the value of the investments in the pension plan was $63.5 million, and an immediate 10% decrease in this value would have reduced the value of the investments in the pension plan by approximately $6.3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89" w:lineRule="exact"/>
        <w:rPr>
          <w:sz w:val="20"/>
          <w:szCs w:val="20"/>
          <w:color w:val="auto"/>
        </w:rPr>
      </w:pPr>
    </w:p>
    <w:p>
      <w:pPr>
        <w:spacing w:after="0" w:line="218" w:lineRule="exact"/>
        <w:rPr>
          <w:sz w:val="20"/>
          <w:szCs w:val="20"/>
          <w:color w:val="auto"/>
        </w:rPr>
      </w:pPr>
      <w:r>
        <w:rPr>
          <w:rFonts w:ascii="Arial" w:cs="Arial" w:eastAsia="Arial" w:hAnsi="Arial"/>
          <w:sz w:val="17"/>
          <w:szCs w:val="17"/>
          <w:color w:val="auto"/>
        </w:rPr>
        <w:t>The Company maintains disclosure controls and procedures, as defined in Rule 13a</w:t>
      </w:r>
      <w:r>
        <w:rPr>
          <w:rFonts w:ascii="MS PGothic" w:cs="MS PGothic" w:eastAsia="MS PGothic" w:hAnsi="MS PGothic"/>
          <w:sz w:val="17"/>
          <w:szCs w:val="17"/>
          <w:color w:val="auto"/>
        </w:rPr>
        <w:t>‑</w:t>
      </w:r>
      <w:r>
        <w:rPr>
          <w:rFonts w:ascii="Arial" w:cs="Arial" w:eastAsia="Arial" w:hAnsi="Arial"/>
          <w:sz w:val="17"/>
          <w:szCs w:val="17"/>
          <w:color w:val="auto"/>
        </w:rPr>
        <w:t>15(e) promulgated under the Exchange Act,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The Company carried out an evaluation under the supervision and with the participation of our management, including our Chief Executive Officer and Chief Financial Officer, of the effectiveness of the design and operation of our disclosure controls and procedures as of the end of the period covered by this report. Based on the evaluation of these disclosure controls and procedures, the Chief Executive Officer and Chief Financial Officer concluded that our disclosure controls and procedures were effective as of the end of the period covered by this report.</w:t>
      </w:r>
    </w:p>
    <w:p>
      <w:pPr>
        <w:spacing w:after="0" w:line="17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There has been no change in our internal control over financial reporting that occurred during the period covered by this report that materially affected, or is reasonably likely to materially affect, our internal control over financial reporting.</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is a party to certain litigation in the ordinary course, as described in Note 13, “Commitments and Contingencies,” to our condensed consolidated financial statements included herein and which our management deems will not have a material effect on our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right="40"/>
        <w:spacing w:after="0" w:line="223" w:lineRule="exact"/>
        <w:rPr>
          <w:sz w:val="20"/>
          <w:szCs w:val="20"/>
          <w:color w:val="auto"/>
        </w:rPr>
      </w:pPr>
      <w:r>
        <w:rPr>
          <w:rFonts w:ascii="Arial" w:cs="Arial" w:eastAsia="Arial" w:hAnsi="Arial"/>
          <w:sz w:val="18"/>
          <w:szCs w:val="18"/>
          <w:color w:val="auto"/>
        </w:rPr>
        <w:t>There have been no material changes from the risk factors disclosed in Part I, Item 1A, “Risk Factors,” of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31, 2018.</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Exhibit Number</w:t>
            </w:r>
          </w:p>
        </w:tc>
        <w:tc>
          <w:tcPr>
            <w:tcW w:w="240" w:type="dxa"/>
            <w:vAlign w:val="bottom"/>
          </w:tcPr>
          <w:p>
            <w:pPr>
              <w:spacing w:after="0"/>
              <w:rPr>
                <w:sz w:val="20"/>
                <w:szCs w:val="20"/>
                <w:color w:val="auto"/>
              </w:rPr>
            </w:pPr>
          </w:p>
        </w:tc>
        <w:tc>
          <w:tcPr>
            <w:tcW w:w="7540" w:type="dxa"/>
            <w:vAlign w:val="bottom"/>
            <w:tcBorders>
              <w:bottom w:val="single" w:sz="8" w:color="auto"/>
            </w:tcBorders>
            <w:gridSpan w:val="8"/>
          </w:tcPr>
          <w:p>
            <w:pPr>
              <w:ind w:left="3360"/>
              <w:spacing w:after="0"/>
              <w:rPr>
                <w:sz w:val="20"/>
                <w:szCs w:val="20"/>
                <w:color w:val="auto"/>
              </w:rPr>
            </w:pPr>
            <w:r>
              <w:rPr>
                <w:rFonts w:ascii="Arial" w:cs="Arial" w:eastAsia="Arial" w:hAnsi="Arial"/>
                <w:sz w:val="18"/>
                <w:szCs w:val="18"/>
                <w:color w:val="auto"/>
              </w:rPr>
              <w:t>Description</w:t>
            </w:r>
          </w:p>
        </w:tc>
      </w:tr>
      <w:tr>
        <w:trPr>
          <w:trHeight w:val="385"/>
        </w:trPr>
        <w:tc>
          <w:tcPr>
            <w:tcW w:w="1280" w:type="dxa"/>
            <w:vAlign w:val="bottom"/>
          </w:tcPr>
          <w:p>
            <w:pPr>
              <w:ind w:left="480"/>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7460" w:type="dxa"/>
            <w:vAlign w:val="bottom"/>
            <w:tcBorders>
              <w:bottom w:val="single" w:sz="8" w:color="0000EE"/>
            </w:tcBorders>
            <w:gridSpan w:val="7"/>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Amended and Restated Certificate of Incorporation of Ryman Hospitality Properties, Inc. (incorporated</w:t>
              </w:r>
            </w:hyperlink>
          </w:p>
        </w:tc>
        <w:tc>
          <w:tcPr>
            <w:tcW w:w="8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46">
              <w:r>
                <w:rPr>
                  <w:rFonts w:ascii="Arial" w:cs="Arial" w:eastAsia="Arial" w:hAnsi="Arial"/>
                  <w:sz w:val="18"/>
                  <w:szCs w:val="18"/>
                  <w:color w:val="0000EE"/>
                  <w:w w:val="91"/>
                </w:rPr>
                <w:t>by reference to Exhibit 3.1 to the Company’s Current Report on Form 8</w:t>
              </w:r>
              <w:r>
                <w:rPr>
                  <w:rFonts w:ascii="MS PGothic" w:cs="MS PGothic" w:eastAsia="MS PGothic" w:hAnsi="MS PGothic"/>
                  <w:sz w:val="18"/>
                  <w:szCs w:val="18"/>
                  <w:color w:val="0000EE"/>
                  <w:w w:val="91"/>
                </w:rPr>
                <w:t>‑</w:t>
              </w:r>
              <w:r>
                <w:rPr>
                  <w:rFonts w:ascii="Arial" w:cs="Arial" w:eastAsia="Arial" w:hAnsi="Arial"/>
                  <w:sz w:val="18"/>
                  <w:szCs w:val="18"/>
                  <w:color w:val="0000EE"/>
                  <w:w w:val="91"/>
                </w:rPr>
                <w:t>K filed October 1, 2012).</w:t>
              </w:r>
            </w:hyperlink>
          </w:p>
        </w:tc>
        <w:tc>
          <w:tcPr>
            <w:tcW w:w="480" w:type="dxa"/>
            <w:vAlign w:val="bottom"/>
            <w:gridSpan w:val="3"/>
          </w:tcPr>
          <w:p>
            <w:pPr>
              <w:spacing w:after="0"/>
              <w:rPr>
                <w:sz w:val="17"/>
                <w:szCs w:val="17"/>
                <w:color w:val="auto"/>
              </w:rPr>
            </w:pPr>
          </w:p>
        </w:tc>
      </w:tr>
      <w:tr>
        <w:trPr>
          <w:trHeight w:val="412"/>
        </w:trPr>
        <w:tc>
          <w:tcPr>
            <w:tcW w:w="1280" w:type="dxa"/>
            <w:vAlign w:val="bottom"/>
          </w:tcPr>
          <w:p>
            <w:pPr>
              <w:ind w:left="48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7140" w:type="dxa"/>
            <w:vAlign w:val="bottom"/>
            <w:tcBorders>
              <w:bottom w:val="single" w:sz="8" w:color="0000EE"/>
            </w:tcBorders>
            <w:gridSpan w:val="6"/>
          </w:tcPr>
          <w:p>
            <w:pPr>
              <w:spacing w:after="0"/>
              <w:rPr>
                <w:rFonts w:ascii="Arial" w:cs="Arial" w:eastAsia="Arial" w:hAnsi="Arial"/>
                <w:sz w:val="18"/>
                <w:szCs w:val="18"/>
                <w:color w:val="0000EE"/>
                <w:w w:val="90"/>
              </w:rPr>
            </w:pPr>
            <w:hyperlink r:id="rId47">
              <w:r>
                <w:rPr>
                  <w:rFonts w:ascii="Arial" w:cs="Arial" w:eastAsia="Arial" w:hAnsi="Arial"/>
                  <w:sz w:val="18"/>
                  <w:szCs w:val="18"/>
                  <w:color w:val="0000EE"/>
                  <w:w w:val="90"/>
                </w:rPr>
                <w:t>Amended and Restated Bylaws of Ryman Hospitality Properties, Inc. (incorporated by reference to</w:t>
              </w:r>
            </w:hyperlink>
          </w:p>
        </w:tc>
        <w:tc>
          <w:tcPr>
            <w:tcW w:w="400" w:type="dxa"/>
            <w:vAlign w:val="bottom"/>
            <w:gridSpan w:val="2"/>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540" w:type="dxa"/>
            <w:vAlign w:val="bottom"/>
            <w:gridSpan w:val="8"/>
          </w:tcPr>
          <w:p>
            <w:pPr>
              <w:spacing w:after="0" w:line="196" w:lineRule="exact"/>
              <w:rPr>
                <w:rFonts w:ascii="Arial" w:cs="Arial" w:eastAsia="Arial" w:hAnsi="Arial"/>
                <w:sz w:val="18"/>
                <w:szCs w:val="18"/>
                <w:color w:val="0000EE"/>
              </w:rPr>
            </w:pPr>
            <w:hyperlink r:id="rId47">
              <w:r>
                <w:rPr>
                  <w:rFonts w:ascii="Arial" w:cs="Arial" w:eastAsia="Arial" w:hAnsi="Arial"/>
                  <w:sz w:val="18"/>
                  <w:szCs w:val="18"/>
                  <w:color w:val="0000EE"/>
                </w:rPr>
                <w:t>Exhibit 3.2 to the Company’s Current Report on Form 8</w:t>
              </w:r>
              <w:r>
                <w:rPr>
                  <w:rFonts w:ascii="MS PGothic" w:cs="MS PGothic" w:eastAsia="MS PGothic" w:hAnsi="MS PGothic"/>
                  <w:sz w:val="18"/>
                  <w:szCs w:val="18"/>
                  <w:color w:val="0000EE"/>
                </w:rPr>
                <w:t>‑</w:t>
              </w:r>
              <w:r>
                <w:rPr>
                  <w:rFonts w:ascii="Arial" w:cs="Arial" w:eastAsia="Arial" w:hAnsi="Arial"/>
                  <w:sz w:val="18"/>
                  <w:szCs w:val="18"/>
                  <w:color w:val="0000EE"/>
                </w:rPr>
                <w:t>K filed October 1, 2012).</w:t>
              </w:r>
            </w:hyperlink>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12"/>
        </w:trPr>
        <w:tc>
          <w:tcPr>
            <w:tcW w:w="1280" w:type="dxa"/>
            <w:vAlign w:val="bottom"/>
          </w:tcPr>
          <w:p>
            <w:pPr>
              <w:ind w:left="480"/>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62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46">
              <w:r>
                <w:rPr>
                  <w:rFonts w:ascii="Arial" w:cs="Arial" w:eastAsia="Arial" w:hAnsi="Arial"/>
                  <w:sz w:val="18"/>
                  <w:szCs w:val="18"/>
                  <w:color w:val="0000EE"/>
                  <w:w w:val="91"/>
                </w:rPr>
                <w:t>Certification of Colin V. Reed pursuant to Section 302 of Sarbanes-Oxley Act of 2002.</w:t>
              </w:r>
            </w:hyperlink>
          </w:p>
        </w:tc>
        <w:tc>
          <w:tcPr>
            <w:tcW w:w="1280" w:type="dxa"/>
            <w:vAlign w:val="bottom"/>
            <w:gridSpan w:val="5"/>
          </w:tcPr>
          <w:p>
            <w:pPr>
              <w:spacing w:after="0"/>
              <w:rPr>
                <w:sz w:val="24"/>
                <w:szCs w:val="24"/>
                <w:color w:val="auto"/>
              </w:rPr>
            </w:pPr>
          </w:p>
        </w:tc>
      </w:tr>
      <w:tr>
        <w:trPr>
          <w:trHeight w:val="412"/>
        </w:trPr>
        <w:tc>
          <w:tcPr>
            <w:tcW w:w="1280" w:type="dxa"/>
            <w:vAlign w:val="bottom"/>
          </w:tcPr>
          <w:p>
            <w:pPr>
              <w:ind w:left="48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7540" w:type="dxa"/>
            <w:vAlign w:val="bottom"/>
            <w:gridSpan w:val="8"/>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Certification of Mark Fioravanti pursuant to Section 302 of Sarbanes-Oxley Act of 2002.</w:t>
              </w:r>
            </w:hyperlink>
          </w:p>
        </w:tc>
      </w:tr>
      <w:tr>
        <w:trPr>
          <w:trHeight w:val="20"/>
        </w:trPr>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60" w:type="dxa"/>
            <w:vAlign w:val="bottom"/>
            <w:shd w:val="clear" w:color="auto" w:fill="0000EE"/>
          </w:tcPr>
          <w:p>
            <w:pPr>
              <w:spacing w:after="0" w:line="20" w:lineRule="exact"/>
              <w:rPr>
                <w:sz w:val="1"/>
                <w:szCs w:val="1"/>
                <w:color w:val="auto"/>
              </w:rPr>
            </w:pPr>
          </w:p>
        </w:tc>
        <w:tc>
          <w:tcPr>
            <w:tcW w:w="2360" w:type="dxa"/>
            <w:vAlign w:val="bottom"/>
            <w:gridSpan w:val="3"/>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r>
      <w:tr>
        <w:trPr>
          <w:trHeight w:val="412"/>
        </w:trPr>
        <w:tc>
          <w:tcPr>
            <w:tcW w:w="1280" w:type="dxa"/>
            <w:vAlign w:val="bottom"/>
          </w:tcPr>
          <w:p>
            <w:pPr>
              <w:ind w:left="480"/>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7540" w:type="dxa"/>
            <w:vAlign w:val="bottom"/>
            <w:gridSpan w:val="8"/>
          </w:tcPr>
          <w:p>
            <w:pPr>
              <w:spacing w:after="0"/>
              <w:rPr>
                <w:rFonts w:ascii="Arial" w:cs="Arial" w:eastAsia="Arial" w:hAnsi="Arial"/>
                <w:sz w:val="18"/>
                <w:szCs w:val="18"/>
                <w:color w:val="0000EE"/>
                <w:w w:val="96"/>
              </w:rPr>
            </w:pPr>
            <w:hyperlink w:anchor="page48">
              <w:r>
                <w:rPr>
                  <w:rFonts w:ascii="Arial" w:cs="Arial" w:eastAsia="Arial" w:hAnsi="Arial"/>
                  <w:sz w:val="18"/>
                  <w:szCs w:val="18"/>
                  <w:color w:val="0000EE"/>
                  <w:w w:val="96"/>
                </w:rPr>
                <w:t>Certification of Colin V. Reed and Mark Fioravanti pursuant to 18 U.S.C. Section 1350, as adopted</w:t>
              </w:r>
            </w:hyperlink>
          </w:p>
        </w:tc>
      </w:tr>
      <w:tr>
        <w:trPr>
          <w:trHeight w:val="196"/>
        </w:trPr>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pursuant to Section 906 of Sarbanes-Oxley Act of 2002.</w:t>
              </w:r>
            </w:hyperlink>
          </w:p>
        </w:tc>
        <w:tc>
          <w:tcPr>
            <w:tcW w:w="3080" w:type="dxa"/>
            <w:vAlign w:val="bottom"/>
            <w:tcBorders>
              <w:top w:val="single" w:sz="8" w:color="0000EE"/>
            </w:tcBorders>
            <w:gridSpan w:val="5"/>
          </w:tcPr>
          <w:p>
            <w:pPr>
              <w:spacing w:after="0"/>
              <w:rPr>
                <w:sz w:val="17"/>
                <w:szCs w:val="17"/>
                <w:color w:val="auto"/>
              </w:rPr>
            </w:pPr>
          </w:p>
        </w:tc>
        <w:tc>
          <w:tcPr>
            <w:tcW w:w="400" w:type="dxa"/>
            <w:vAlign w:val="bottom"/>
            <w:gridSpan w:val="2"/>
          </w:tcPr>
          <w:p>
            <w:pPr>
              <w:spacing w:after="0"/>
              <w:rPr>
                <w:sz w:val="17"/>
                <w:szCs w:val="17"/>
                <w:color w:val="auto"/>
              </w:rPr>
            </w:pPr>
          </w:p>
        </w:tc>
      </w:tr>
      <w:tr>
        <w:trPr>
          <w:trHeight w:val="438"/>
        </w:trPr>
        <w:tc>
          <w:tcPr>
            <w:tcW w:w="1280" w:type="dxa"/>
            <w:vAlign w:val="bottom"/>
          </w:tcPr>
          <w:p>
            <w:pPr>
              <w:ind w:left="48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7540" w:type="dxa"/>
            <w:vAlign w:val="bottom"/>
            <w:gridSpan w:val="8"/>
          </w:tcPr>
          <w:p>
            <w:pPr>
              <w:spacing w:after="0" w:line="207" w:lineRule="exact"/>
              <w:rPr>
                <w:sz w:val="20"/>
                <w:szCs w:val="20"/>
                <w:color w:val="auto"/>
              </w:rPr>
            </w:pPr>
            <w:r>
              <w:rPr>
                <w:rFonts w:ascii="Arial" w:cs="Arial" w:eastAsia="Arial" w:hAnsi="Arial"/>
                <w:sz w:val="18"/>
                <w:szCs w:val="18"/>
                <w:color w:val="auto"/>
                <w:w w:val="94"/>
              </w:rPr>
              <w:t>The following materials from Ryman Hospitality Properties, Inc.’s Quarterly Report on Form 10</w:t>
            </w:r>
            <w:r>
              <w:rPr>
                <w:rFonts w:ascii="MS PGothic" w:cs="MS PGothic" w:eastAsia="MS PGothic" w:hAnsi="MS PGothic"/>
                <w:sz w:val="18"/>
                <w:szCs w:val="18"/>
                <w:color w:val="auto"/>
                <w:w w:val="94"/>
              </w:rPr>
              <w:t>‑</w:t>
            </w:r>
            <w:r>
              <w:rPr>
                <w:rFonts w:ascii="Arial" w:cs="Arial" w:eastAsia="Arial" w:hAnsi="Arial"/>
                <w:sz w:val="18"/>
                <w:szCs w:val="18"/>
                <w:color w:val="auto"/>
                <w:w w:val="94"/>
              </w:rPr>
              <w:t>Q for</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w w:val="99"/>
              </w:rPr>
              <w:t>the quarterly period ended March 31, 2019, formatted in XBRL (eXtensible Business Reporting</w:t>
            </w: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rPr>
              <w:t>Language): (i) Condensed Consolidated Balance Sheets (unaudited) at March 31, 2019 and</w:t>
            </w: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40" w:type="dxa"/>
            <w:vAlign w:val="bottom"/>
            <w:gridSpan w:val="8"/>
          </w:tcPr>
          <w:p>
            <w:pPr>
              <w:spacing w:after="0"/>
              <w:rPr>
                <w:sz w:val="20"/>
                <w:szCs w:val="20"/>
                <w:color w:val="auto"/>
              </w:rPr>
            </w:pPr>
            <w:r>
              <w:rPr>
                <w:rFonts w:ascii="Arial" w:cs="Arial" w:eastAsia="Arial" w:hAnsi="Arial"/>
                <w:sz w:val="18"/>
                <w:szCs w:val="18"/>
                <w:color w:val="auto"/>
                <w:w w:val="90"/>
              </w:rPr>
              <w:t>December 31, 2018, (ii) Condensed Consolidated Statements of Operations and Comprehensive Income</w:t>
            </w:r>
          </w:p>
        </w:tc>
      </w:tr>
    </w:tbl>
    <w:p>
      <w:pPr>
        <w:ind w:left="1520" w:right="120"/>
        <w:spacing w:after="0" w:line="295" w:lineRule="auto"/>
        <w:rPr>
          <w:sz w:val="20"/>
          <w:szCs w:val="20"/>
          <w:color w:val="auto"/>
        </w:rPr>
      </w:pPr>
      <w:r>
        <w:rPr>
          <w:rFonts w:ascii="Arial" w:cs="Arial" w:eastAsia="Arial" w:hAnsi="Arial"/>
          <w:sz w:val="16"/>
          <w:szCs w:val="16"/>
          <w:color w:val="auto"/>
        </w:rPr>
        <w:t>(unaudited) for the three months ended March 31, 2019 and 2018, (iii) Condensed Consolidated Statements of Cash Flows (unaudited) for the three months ended March 31, 2019 and 2018, (iv) Condensed Consolidated Statements of Stockholders’ Equity (unaudited) for the three months ended March 31, 2019 and 2018, and (v)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144081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155" w:lineRule="exact"/>
        <w:rPr>
          <w:sz w:val="20"/>
          <w:szCs w:val="20"/>
          <w:color w:val="auto"/>
        </w:rPr>
      </w:pPr>
    </w:p>
    <w:p>
      <w:pPr>
        <w:ind w:left="320" w:hanging="317"/>
        <w:spacing w:after="0"/>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RYMAN HOSPITALITY PROPERTIES, INC.</w:t>
      </w:r>
    </w:p>
    <w:p>
      <w:pPr>
        <w:spacing w:after="0" w:line="229" w:lineRule="exact"/>
        <w:rPr>
          <w:sz w:val="20"/>
          <w:szCs w:val="20"/>
          <w:color w:val="auto"/>
        </w:rPr>
      </w:pPr>
    </w:p>
    <w:p>
      <w:pPr>
        <w:spacing w:after="0"/>
        <w:tabs>
          <w:tab w:leader="none" w:pos="4580" w:val="left"/>
        </w:tabs>
        <w:rPr>
          <w:sz w:val="20"/>
          <w:szCs w:val="20"/>
          <w:color w:val="auto"/>
        </w:rPr>
      </w:pPr>
      <w:r>
        <w:rPr>
          <w:rFonts w:ascii="Arial" w:cs="Arial" w:eastAsia="Arial" w:hAnsi="Arial"/>
          <w:sz w:val="18"/>
          <w:szCs w:val="18"/>
          <w:color w:val="auto"/>
        </w:rPr>
        <w:t>Date: May 7, 2019</w:t>
      </w:r>
      <w:r>
        <w:rPr>
          <w:sz w:val="20"/>
          <w:szCs w:val="20"/>
          <w:color w:val="auto"/>
        </w:rPr>
        <w:tab/>
      </w:r>
      <w:r>
        <w:rPr>
          <w:rFonts w:ascii="Arial" w:cs="Arial" w:eastAsia="Arial" w:hAnsi="Arial"/>
          <w:sz w:val="16"/>
          <w:szCs w:val="16"/>
          <w:color w:val="auto"/>
        </w:rPr>
        <w:t>By: /s/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3082925</wp:posOffset>
            </wp:positionH>
            <wp:positionV relativeFrom="paragraph">
              <wp:posOffset>-10160</wp:posOffset>
            </wp:positionV>
            <wp:extent cx="285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-130810</wp:posOffset>
            </wp:positionV>
            <wp:extent cx="26416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Chairman of the Board of Directors and</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Mark Fioravanti</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-130810</wp:posOffset>
            </wp:positionV>
            <wp:extent cx="26416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President and Chief Financial Officer</w:t>
      </w:r>
    </w:p>
    <w:p>
      <w:pPr>
        <w:spacing w:after="0" w:line="21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Jennifer Hutcheson</w:t>
      </w:r>
    </w:p>
    <w:p>
      <w:pPr>
        <w:spacing w:after="0" w:line="2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Jennifer Hutcheson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3114675</wp:posOffset>
            </wp:positionH>
            <wp:positionV relativeFrom="paragraph">
              <wp:posOffset>-130810</wp:posOffset>
            </wp:positionV>
            <wp:extent cx="26416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2641600" cy="8890"/>
                    </a:xfrm>
                    <a:prstGeom prst="rect">
                      <a:avLst/>
                    </a:prstGeom>
                    <a:noFill/>
                  </pic:spPr>
                </pic:pic>
              </a:graphicData>
            </a:graphic>
          </wp:anchor>
        </w:drawing>
      </w:r>
    </w:p>
    <w:p>
      <w:pPr>
        <w:spacing w:after="0" w:line="3"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Senior Vice President, Corporate</w:t>
      </w:r>
    </w:p>
    <w:p>
      <w:pPr>
        <w:spacing w:after="0" w:line="9"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Colin V. Reed, certify that:</w:t>
      </w:r>
    </w:p>
    <w:p>
      <w:pPr>
        <w:spacing w:after="0" w:line="225" w:lineRule="exact"/>
        <w:rPr>
          <w:sz w:val="20"/>
          <w:szCs w:val="20"/>
          <w:color w:val="auto"/>
        </w:rPr>
      </w:pPr>
    </w:p>
    <w:p>
      <w:pPr>
        <w:ind w:left="641" w:hanging="641"/>
        <w:spacing w:after="0"/>
        <w:tabs>
          <w:tab w:leader="none" w:pos="6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641" w:right="360" w:hanging="641"/>
        <w:spacing w:after="0" w:line="264" w:lineRule="auto"/>
        <w:tabs>
          <w:tab w:leader="none" w:pos="6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41" w:right="80" w:hanging="641"/>
        <w:spacing w:after="0" w:line="264" w:lineRule="auto"/>
        <w:tabs>
          <w:tab w:leader="none" w:pos="6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641" w:right="180" w:hanging="641"/>
        <w:spacing w:after="0" w:line="264" w:lineRule="auto"/>
        <w:tabs>
          <w:tab w:leader="none" w:pos="6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 w:right="120" w:firstLine="648"/>
        <w:spacing w:after="0" w:line="286" w:lineRule="auto"/>
        <w:tabs>
          <w:tab w:leader="none" w:pos="129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 w:right="360" w:firstLine="648"/>
        <w:spacing w:after="0" w:line="286" w:lineRule="auto"/>
        <w:tabs>
          <w:tab w:leader="none" w:pos="1303" w:val="left"/>
        </w:tabs>
        <w:numPr>
          <w:ilvl w:val="1"/>
          <w:numId w:val="2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 w:right="260" w:firstLine="648"/>
        <w:spacing w:after="0" w:line="264" w:lineRule="auto"/>
        <w:tabs>
          <w:tab w:leader="none" w:pos="13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 w:right="100" w:firstLine="648"/>
        <w:spacing w:after="0" w:line="264" w:lineRule="auto"/>
        <w:tabs>
          <w:tab w:leader="none" w:pos="1303"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41" w:right="40" w:hanging="641"/>
        <w:spacing w:after="0" w:line="264" w:lineRule="auto"/>
        <w:tabs>
          <w:tab w:leader="none" w:pos="641"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 w:right="40" w:firstLine="648"/>
        <w:spacing w:after="0" w:line="342" w:lineRule="auto"/>
        <w:tabs>
          <w:tab w:leader="none" w:pos="1293"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 w:right="400" w:firstLine="648"/>
        <w:spacing w:after="0" w:line="277" w:lineRule="auto"/>
        <w:tabs>
          <w:tab w:leader="none" w:pos="1303"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May 7, 2019</w:t>
      </w:r>
    </w:p>
    <w:p>
      <w:pPr>
        <w:spacing w:after="0" w:line="225" w:lineRule="exact"/>
        <w:rPr>
          <w:sz w:val="20"/>
          <w:szCs w:val="20"/>
          <w:color w:val="auto"/>
        </w:rPr>
      </w:pPr>
    </w:p>
    <w:p>
      <w:pPr>
        <w:ind w:left="1"/>
        <w:spacing w:after="0"/>
        <w:tabs>
          <w:tab w:leader="none" w:pos="440" w:val="left"/>
        </w:tabs>
        <w:rPr>
          <w:sz w:val="20"/>
          <w:szCs w:val="20"/>
          <w:color w:val="auto"/>
        </w:rPr>
      </w:pPr>
      <w:r>
        <w:rPr>
          <w:rFonts w:ascii="Arial" w:cs="Arial" w:eastAsia="Arial" w:hAnsi="Arial"/>
          <w:sz w:val="18"/>
          <w:szCs w:val="18"/>
          <w:color w:val="auto"/>
        </w:rPr>
        <w:t>By:</w:t>
        <w:tab/>
        <w:t>/s/ Colin V. Reed</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 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294005</wp:posOffset>
            </wp:positionH>
            <wp:positionV relativeFrom="paragraph">
              <wp:posOffset>-130810</wp:posOffset>
            </wp:positionV>
            <wp:extent cx="2941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941320"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color w:val="auto"/>
        </w:rPr>
        <w:t>Title: Chairman of the Board of Directors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638873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ind w:left="1"/>
        <w:spacing w:after="0"/>
        <w:rPr>
          <w:sz w:val="20"/>
          <w:szCs w:val="20"/>
          <w:color w:val="auto"/>
        </w:rPr>
      </w:pPr>
      <w:r>
        <w:rPr>
          <w:rFonts w:ascii="Arial" w:cs="Arial" w:eastAsia="Arial" w:hAnsi="Arial"/>
          <w:sz w:val="18"/>
          <w:szCs w:val="18"/>
          <w:color w:val="auto"/>
        </w:rPr>
        <w:t>I, Mark Fioravanti, certify that:</w:t>
      </w:r>
    </w:p>
    <w:p>
      <w:pPr>
        <w:spacing w:after="0" w:line="225" w:lineRule="exact"/>
        <w:rPr>
          <w:sz w:val="20"/>
          <w:szCs w:val="20"/>
          <w:color w:val="auto"/>
        </w:rPr>
      </w:pPr>
    </w:p>
    <w:p>
      <w:pPr>
        <w:ind w:left="681" w:hanging="681"/>
        <w:spacing w:after="0"/>
        <w:tabs>
          <w:tab w:leader="none" w:pos="681"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Ryman Hospitality Properties, Inc.;</w:t>
      </w:r>
    </w:p>
    <w:p>
      <w:pPr>
        <w:spacing w:after="0" w:line="225" w:lineRule="exact"/>
        <w:rPr>
          <w:rFonts w:ascii="Arial" w:cs="Arial" w:eastAsia="Arial" w:hAnsi="Arial"/>
          <w:sz w:val="18"/>
          <w:szCs w:val="18"/>
          <w:color w:val="auto"/>
        </w:rPr>
      </w:pPr>
    </w:p>
    <w:p>
      <w:pPr>
        <w:ind w:left="1" w:right="80" w:hanging="1"/>
        <w:spacing w:after="0" w:line="264" w:lineRule="auto"/>
        <w:tabs>
          <w:tab w:leader="none" w:pos="6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1" w:right="240" w:hanging="1"/>
        <w:spacing w:after="0" w:line="264" w:lineRule="auto"/>
        <w:tabs>
          <w:tab w:leader="none" w:pos="676"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ind w:left="1" w:right="640" w:hanging="1"/>
        <w:spacing w:after="0" w:line="264" w:lineRule="auto"/>
        <w:tabs>
          <w:tab w:leader="none" w:pos="6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 w:right="120" w:firstLine="648"/>
        <w:spacing w:after="0" w:line="286" w:lineRule="auto"/>
        <w:tabs>
          <w:tab w:leader="none" w:pos="1329"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1" w:right="380" w:firstLine="648"/>
        <w:spacing w:after="0" w:line="286" w:lineRule="auto"/>
        <w:tabs>
          <w:tab w:leader="none" w:pos="12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1" w:right="260" w:firstLine="648"/>
        <w:spacing w:after="0" w:line="264" w:lineRule="auto"/>
        <w:tabs>
          <w:tab w:leader="none" w:pos="1329"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ind w:left="1" w:right="100" w:firstLine="648"/>
        <w:spacing w:after="0" w:line="264" w:lineRule="auto"/>
        <w:tabs>
          <w:tab w:leader="none" w:pos="1294"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1" w:right="420" w:hanging="1"/>
        <w:spacing w:after="0" w:line="264" w:lineRule="auto"/>
        <w:tabs>
          <w:tab w:leader="none" w:pos="67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1" w:lineRule="exact"/>
        <w:rPr>
          <w:rFonts w:ascii="Arial" w:cs="Arial" w:eastAsia="Arial" w:hAnsi="Arial"/>
          <w:sz w:val="18"/>
          <w:szCs w:val="18"/>
          <w:color w:val="auto"/>
        </w:rPr>
      </w:pPr>
    </w:p>
    <w:p>
      <w:pPr>
        <w:ind w:left="1" w:firstLine="648"/>
        <w:spacing w:after="0" w:line="342" w:lineRule="auto"/>
        <w:tabs>
          <w:tab w:leader="none" w:pos="1319"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 w:right="420" w:firstLine="648"/>
        <w:spacing w:after="0" w:line="277" w:lineRule="auto"/>
        <w:tabs>
          <w:tab w:leader="none" w:pos="1284"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1"/>
        <w:spacing w:after="0"/>
        <w:rPr>
          <w:sz w:val="20"/>
          <w:szCs w:val="20"/>
          <w:color w:val="auto"/>
        </w:rPr>
      </w:pPr>
      <w:r>
        <w:rPr>
          <w:rFonts w:ascii="Arial" w:cs="Arial" w:eastAsia="Arial" w:hAnsi="Arial"/>
          <w:sz w:val="18"/>
          <w:szCs w:val="18"/>
          <w:color w:val="auto"/>
        </w:rPr>
        <w:t>Date: May 7, 2019</w:t>
      </w:r>
    </w:p>
    <w:p>
      <w:pPr>
        <w:spacing w:after="0" w:line="225" w:lineRule="exact"/>
        <w:rPr>
          <w:sz w:val="20"/>
          <w:szCs w:val="20"/>
          <w:color w:val="auto"/>
        </w:rPr>
      </w:pPr>
    </w:p>
    <w:p>
      <w:pPr>
        <w:ind w:left="1"/>
        <w:spacing w:after="0"/>
        <w:tabs>
          <w:tab w:leader="none" w:pos="500" w:val="left"/>
        </w:tabs>
        <w:rPr>
          <w:sz w:val="20"/>
          <w:szCs w:val="20"/>
          <w:color w:val="auto"/>
        </w:rPr>
      </w:pPr>
      <w:r>
        <w:rPr>
          <w:rFonts w:ascii="Arial" w:cs="Arial" w:eastAsia="Arial" w:hAnsi="Arial"/>
          <w:sz w:val="18"/>
          <w:szCs w:val="18"/>
          <w:color w:val="auto"/>
        </w:rPr>
        <w:t>By:</w:t>
        <w:tab/>
        <w:t>/s/ Mark Fioravanti</w:t>
      </w:r>
    </w:p>
    <w:p>
      <w:pPr>
        <w:spacing w:after="0" w:line="23" w:lineRule="exact"/>
        <w:rPr>
          <w:sz w:val="20"/>
          <w:szCs w:val="20"/>
          <w:color w:val="auto"/>
        </w:rPr>
      </w:pPr>
    </w:p>
    <w:p>
      <w:pPr>
        <w:ind w:left="1"/>
        <w:spacing w:after="0"/>
        <w:rPr>
          <w:sz w:val="20"/>
          <w:szCs w:val="20"/>
          <w:color w:val="auto"/>
        </w:rPr>
      </w:pPr>
      <w:r>
        <w:rPr>
          <w:rFonts w:ascii="Arial" w:cs="Arial" w:eastAsia="Arial" w:hAnsi="Arial"/>
          <w:sz w:val="18"/>
          <w:szCs w:val="18"/>
          <w:color w:val="auto"/>
        </w:rPr>
        <w:t>Name: 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328295</wp:posOffset>
            </wp:positionH>
            <wp:positionV relativeFrom="paragraph">
              <wp:posOffset>-130810</wp:posOffset>
            </wp:positionV>
            <wp:extent cx="25558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1"/>
        <w:spacing w:after="0"/>
        <w:rPr>
          <w:sz w:val="20"/>
          <w:szCs w:val="20"/>
          <w:color w:val="auto"/>
        </w:rPr>
      </w:pPr>
      <w:r>
        <w:rPr>
          <w:rFonts w:ascii="Arial" w:cs="Arial" w:eastAsia="Arial" w:hAnsi="Arial"/>
          <w:sz w:val="18"/>
          <w:szCs w:val="18"/>
          <w:color w:val="auto"/>
        </w:rPr>
        <w:t>Title: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280035</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1"/>
          </w:cols>
          <w:pgMar w:left="919" w:top="121" w:right="91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In connection with the Quarterly Report of Ryman Hospitality Properties, Inc. (the "Company") on Form 10-Q for the quarter ended March 31, 2019, as filed with the Securities and Exchange Commission on the date hereof (the "Report"), each of the undersigned certifies, pursuant to 18 U.S.C. § 1350, as adopted pursuant to §906 of the Sarbanes-Oxley Act of 2002, that:</w:t>
      </w:r>
    </w:p>
    <w:p>
      <w:pPr>
        <w:spacing w:after="0" w:line="166" w:lineRule="exact"/>
        <w:rPr>
          <w:sz w:val="20"/>
          <w:szCs w:val="20"/>
          <w:color w:val="auto"/>
        </w:rPr>
      </w:pPr>
    </w:p>
    <w:p>
      <w:pPr>
        <w:ind w:left="1260" w:hanging="612"/>
        <w:spacing w:after="0"/>
        <w:tabs>
          <w:tab w:leader="none" w:pos="12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48" w:lineRule="exact"/>
        <w:rPr>
          <w:rFonts w:ascii="Arial" w:cs="Arial" w:eastAsia="Arial" w:hAnsi="Arial"/>
          <w:sz w:val="16"/>
          <w:szCs w:val="16"/>
          <w:color w:val="auto"/>
        </w:rPr>
      </w:pPr>
    </w:p>
    <w:p>
      <w:pPr>
        <w:ind w:right="380" w:firstLine="648"/>
        <w:spacing w:after="0" w:line="277" w:lineRule="auto"/>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By: /s/ Colin V. Reed</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Colin V.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-130810</wp:posOffset>
            </wp:positionV>
            <wp:extent cx="22212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Chairman of the Board of Directors and Chief Executive Officer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May 7, 2019</w:t>
      </w:r>
    </w:p>
    <w:p>
      <w:pPr>
        <w:spacing w:after="0" w:line="21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By: /s/ Mark Fioravanti</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Mark Fioravanti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662305</wp:posOffset>
            </wp:positionH>
            <wp:positionV relativeFrom="paragraph">
              <wp:posOffset>-130810</wp:posOffset>
            </wp:positionV>
            <wp:extent cx="222123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221230" cy="8890"/>
                    </a:xfrm>
                    <a:prstGeom prst="rect">
                      <a:avLst/>
                    </a:prstGeom>
                    <a:noFill/>
                  </pic:spPr>
                </pic:pic>
              </a:graphicData>
            </a:graphic>
          </wp:anchor>
        </w:drawing>
      </w:r>
    </w:p>
    <w:p>
      <w:pPr>
        <w:spacing w:after="0" w:line="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President and Chief Financial Officer</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May 7, 2019</w:t>
      </w:r>
    </w:p>
    <w:p>
      <w:pPr>
        <w:spacing w:after="0" w:line="2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264795</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sectPr>
      <w:pgSz w:w="11900" w:h="16838" w:orient="portrait"/>
      <w:cols w:equalWidth="0" w:num="1">
        <w:col w:w="10060"/>
      </w:cols>
      <w:pgMar w:left="920" w:top="121"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upperLetter"/>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2"/>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lowerRoman"/>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46" Type="http://schemas.openxmlformats.org/officeDocument/2006/relationships/hyperlink" Target="http://www.sec.gov/Archives/edgar/data/1040829/000119312512410191/d419132dex31.htm" TargetMode="External"/><Relationship Id="rId47" Type="http://schemas.openxmlformats.org/officeDocument/2006/relationships/hyperlink" Target="http://www.sec.gov/Archives/edgar/data/1040829/000119312512410191/d419132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2019-12-28T13:07:02Z</dcterms:created>
  <dcterms:modified xsi:type="dcterms:W3CDTF">2019-12-28T13:07:02Z</dcterms:modified>
</cp:coreProperties>
</file>