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RYMAN HOSPITALITY PROPERTIES,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520"/>
        <w:spacing w:after="0"/>
        <w:tabs>
          <w:tab w:leader="none" w:pos="82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73-0664379</w:t>
      </w:r>
    </w:p>
    <w:p>
      <w:pPr>
        <w:spacing w:after="0" w:line="8" w:lineRule="exact"/>
        <w:rPr>
          <w:sz w:val="24"/>
          <w:szCs w:val="24"/>
          <w:color w:val="auto"/>
        </w:rPr>
      </w:pPr>
    </w:p>
    <w:p>
      <w:pPr>
        <w:ind w:left="1960"/>
        <w:spacing w:after="0"/>
        <w:tabs>
          <w:tab w:leader="none" w:pos="81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920"/>
        <w:spacing w:after="0"/>
        <w:tabs>
          <w:tab w:leader="none" w:pos="80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Gaylord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37214</w:t>
      </w:r>
    </w:p>
    <w:p>
      <w:pPr>
        <w:jc w:val="center"/>
        <w:spacing w:after="0" w:line="225"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316-6000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74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is a shell company (as defined in Rule 12b-2 of the Exchange Act).</w:t>
            </w:r>
          </w:p>
        </w:tc>
        <w:tc>
          <w:tcPr>
            <w:tcW w:w="27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4" w:lineRule="exact"/>
        <w:rPr>
          <w:sz w:val="24"/>
          <w:szCs w:val="24"/>
          <w:color w:val="auto"/>
        </w:rPr>
      </w:pPr>
    </w:p>
    <w:p>
      <w:pPr>
        <w:ind w:left="2720"/>
        <w:spacing w:after="0"/>
        <w:tabs>
          <w:tab w:leader="none" w:pos="7640" w:val="left"/>
        </w:tabs>
        <w:rPr>
          <w:sz w:val="20"/>
          <w:szCs w:val="20"/>
          <w:color w:val="auto"/>
        </w:rPr>
      </w:pPr>
      <w:r>
        <w:rPr>
          <w:rFonts w:ascii="Arial" w:cs="Arial" w:eastAsia="Arial" w:hAnsi="Arial"/>
          <w:sz w:val="14"/>
          <w:szCs w:val="14"/>
          <w:b w:val="1"/>
          <w:bCs w:val="1"/>
          <w:u w:val="single" w:color="auto"/>
          <w:color w:val="auto"/>
        </w:rPr>
        <w:t>Class</w:t>
      </w:r>
      <w:r>
        <w:rPr>
          <w:sz w:val="20"/>
          <w:szCs w:val="20"/>
          <w:color w:val="auto"/>
        </w:rPr>
        <w:tab/>
      </w:r>
      <w:r>
        <w:rPr>
          <w:rFonts w:ascii="Arial" w:cs="Arial" w:eastAsia="Arial" w:hAnsi="Arial"/>
          <w:sz w:val="14"/>
          <w:szCs w:val="14"/>
          <w:b w:val="1"/>
          <w:bCs w:val="1"/>
          <w:u w:val="single" w:color="auto"/>
          <w:color w:val="auto"/>
        </w:rPr>
        <w:t>Outstanding as of April 30, 2018</w:t>
      </w:r>
    </w:p>
    <w:p>
      <w:pPr>
        <w:sectPr>
          <w:pgSz w:w="11900" w:h="16838" w:orient="portrait"/>
          <w:cols w:equalWidth="0" w:num="1">
            <w:col w:w="11420"/>
          </w:cols>
          <w:pgMar w:left="240" w:top="230" w:right="239" w:bottom="0" w:gutter="0" w:footer="0" w:header="0"/>
        </w:sectPr>
      </w:pPr>
    </w:p>
    <w:p>
      <w:pPr>
        <w:spacing w:after="0" w:line="12" w:lineRule="exact"/>
        <w:rPr>
          <w:sz w:val="24"/>
          <w:szCs w:val="24"/>
          <w:color w:val="auto"/>
        </w:rPr>
      </w:pPr>
    </w:p>
    <w:p>
      <w:pPr>
        <w:ind w:left="1780"/>
        <w:spacing w:after="0"/>
        <w:tabs>
          <w:tab w:leader="none" w:pos="7980" w:val="left"/>
        </w:tabs>
        <w:rPr>
          <w:sz w:val="20"/>
          <w:szCs w:val="20"/>
          <w:color w:val="auto"/>
        </w:rPr>
      </w:pPr>
      <w:r>
        <w:rPr>
          <w:rFonts w:ascii="Arial" w:cs="Arial" w:eastAsia="Arial" w:hAnsi="Arial"/>
          <w:sz w:val="18"/>
          <w:szCs w:val="18"/>
          <w:color w:val="auto"/>
        </w:rPr>
        <w:t>Common Stock, par value $.01</w:t>
      </w:r>
      <w:r>
        <w:rPr>
          <w:sz w:val="20"/>
          <w:szCs w:val="20"/>
          <w:color w:val="auto"/>
        </w:rPr>
        <w:tab/>
      </w:r>
      <w:r>
        <w:rPr>
          <w:rFonts w:ascii="Arial" w:cs="Arial" w:eastAsia="Arial" w:hAnsi="Arial"/>
          <w:sz w:val="15"/>
          <w:szCs w:val="15"/>
          <w:color w:val="auto"/>
        </w:rPr>
        <w:t>51,280,303 shares</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tabs>
          <w:tab w:leader="none" w:pos="7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RYMAN HOSPITALITY PROPERTIES,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March 31, 2018</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1060" w:type="dxa"/>
            <w:vAlign w:val="bottom"/>
            <w:gridSpan w:val="20"/>
          </w:tcPr>
          <w:p>
            <w:pPr>
              <w:spacing w:after="0"/>
              <w:rPr>
                <w:sz w:val="20"/>
                <w:szCs w:val="20"/>
                <w:color w:val="auto"/>
              </w:rPr>
            </w:pPr>
            <w:r>
              <w:rPr>
                <w:rFonts w:ascii="Arial" w:cs="Arial" w:eastAsia="Arial" w:hAnsi="Arial"/>
                <w:sz w:val="18"/>
                <w:szCs w:val="18"/>
                <w:color w:val="auto"/>
              </w:rPr>
              <w:t>Part I - Financial Information</w:t>
            </w:r>
          </w:p>
        </w:tc>
        <w:tc>
          <w:tcPr>
            <w:tcW w:w="30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85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 - March 31, 2018 and December 31, 2017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Operations and Comprehensive Income (Unaudited) - For the Three Months Ended March 31,</w:t>
              </w:r>
            </w:hyperlink>
          </w:p>
        </w:tc>
        <w:tc>
          <w:tcPr>
            <w:tcW w:w="300" w:type="dxa"/>
            <w:vAlign w:val="bottom"/>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2018 and 2017</w:t>
              </w:r>
            </w:hyperlink>
          </w:p>
        </w:tc>
        <w:tc>
          <w:tcPr>
            <w:tcW w:w="8400" w:type="dxa"/>
            <w:vAlign w:val="bottom"/>
            <w:tcBorders>
              <w:top w:val="single" w:sz="8" w:color="0000EE"/>
            </w:tcBorders>
            <w:gridSpan w:val="12"/>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For the Three Months Ended March 31, 2018 and 2017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4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360" w:type="dxa"/>
            <w:vAlign w:val="bottom"/>
          </w:tcPr>
          <w:p>
            <w:pPr>
              <w:spacing w:after="0"/>
              <w:rPr>
                <w:sz w:val="24"/>
                <w:szCs w:val="24"/>
                <w:color w:val="auto"/>
              </w:rPr>
            </w:pPr>
          </w:p>
        </w:tc>
        <w:tc>
          <w:tcPr>
            <w:tcW w:w="49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4. Controls and Procedures.</w:t>
              </w:r>
            </w:hyperlink>
          </w:p>
        </w:tc>
        <w:tc>
          <w:tcPr>
            <w:tcW w:w="83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45"/>
        </w:trPr>
        <w:tc>
          <w:tcPr>
            <w:tcW w:w="11060" w:type="dxa"/>
            <w:vAlign w:val="bottom"/>
            <w:gridSpan w:val="20"/>
          </w:tcPr>
          <w:p>
            <w:pPr>
              <w:spacing w:after="0"/>
              <w:rPr>
                <w:sz w:val="20"/>
                <w:szCs w:val="20"/>
                <w:color w:val="auto"/>
              </w:rPr>
            </w:pPr>
            <w:r>
              <w:rPr>
                <w:rFonts w:ascii="Arial" w:cs="Arial" w:eastAsia="Arial" w:hAnsi="Arial"/>
                <w:sz w:val="18"/>
                <w:szCs w:val="18"/>
                <w:color w:val="auto"/>
              </w:rPr>
              <w:t>Part II - Other Information</w:t>
            </w:r>
          </w:p>
        </w:tc>
        <w:tc>
          <w:tcPr>
            <w:tcW w:w="30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360" w:type="dxa"/>
            <w:vAlign w:val="bottom"/>
          </w:tcPr>
          <w:p>
            <w:pPr>
              <w:spacing w:after="0"/>
              <w:rPr>
                <w:sz w:val="24"/>
                <w:szCs w:val="24"/>
                <w:color w:val="auto"/>
              </w:rPr>
            </w:pPr>
          </w:p>
        </w:tc>
        <w:tc>
          <w:tcPr>
            <w:tcW w:w="1940" w:type="dxa"/>
            <w:vAlign w:val="bottom"/>
            <w:tcBorders>
              <w:top w:val="single" w:sz="8" w:color="0000EE"/>
            </w:tcBorders>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87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2. Unregistered Sales of Equity Securities and Use of Proceeds.</w:t>
              </w:r>
            </w:hyperlink>
          </w:p>
        </w:tc>
        <w:tc>
          <w:tcPr>
            <w:tcW w:w="57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36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3. Defaults Upon Senior Securities.</w:t>
              </w:r>
            </w:hyperlink>
          </w:p>
        </w:tc>
        <w:tc>
          <w:tcPr>
            <w:tcW w:w="77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4. Mine Safety Disclosures.</w:t>
              </w:r>
            </w:hyperlink>
          </w:p>
        </w:tc>
        <w:tc>
          <w:tcPr>
            <w:tcW w:w="83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107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60" w:type="dxa"/>
            <w:vAlign w:val="bottom"/>
          </w:tcPr>
          <w:p>
            <w:pPr>
              <w:spacing w:after="0"/>
              <w:rPr>
                <w:sz w:val="24"/>
                <w:szCs w:val="24"/>
                <w:color w:val="auto"/>
              </w:rPr>
            </w:pPr>
          </w:p>
        </w:tc>
        <w:tc>
          <w:tcPr>
            <w:tcW w:w="1920" w:type="dxa"/>
            <w:vAlign w:val="bottom"/>
            <w:tcBorders>
              <w:top w:val="single" w:sz="8" w:color="0000EE"/>
            </w:tcBorders>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 Exhibits.</w:t>
              </w:r>
            </w:hyperlink>
          </w:p>
        </w:tc>
        <w:tc>
          <w:tcPr>
            <w:tcW w:w="87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50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6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85"/>
        </w:trPr>
        <w:tc>
          <w:tcPr>
            <w:tcW w:w="1100" w:type="dxa"/>
            <w:vAlign w:val="bottom"/>
            <w:tcBorders>
              <w:top w:val="single" w:sz="8" w:color="0000EE"/>
            </w:tcBorders>
            <w:gridSpan w:val="4"/>
          </w:tcPr>
          <w:p>
            <w:pPr>
              <w:spacing w:after="0"/>
              <w:rPr>
                <w:sz w:val="24"/>
                <w:szCs w:val="24"/>
                <w:color w:val="auto"/>
              </w:rPr>
            </w:pPr>
          </w:p>
        </w:tc>
        <w:tc>
          <w:tcPr>
            <w:tcW w:w="4720" w:type="dxa"/>
            <w:vAlign w:val="bottom"/>
            <w:gridSpan w:val="11"/>
          </w:tcPr>
          <w:p>
            <w:pPr>
              <w:jc w:val="right"/>
              <w:ind w:right="60"/>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320" w:type="dxa"/>
            <w:vAlign w:val="bottom"/>
          </w:tcPr>
          <w:p>
            <w:pPr>
              <w:spacing w:after="0"/>
              <w:rPr>
                <w:sz w:val="14"/>
                <w:szCs w:val="14"/>
                <w:color w:val="auto"/>
              </w:rPr>
            </w:pPr>
          </w:p>
        </w:tc>
        <w:tc>
          <w:tcPr>
            <w:tcW w:w="84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Property and equipment, net of accumulated depreciation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$2,085,187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$ 2,065,657</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 unrestricted</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59,040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Cash and cash equivalents - restricted</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26,687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111,046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111,423</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Investment in Gaylord Rockies joint venture</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88,717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88,685</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less allowance of $723 and $651, respectively</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66,253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57,520</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Deferred income tax assets, net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48,342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50,117</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73,906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72,116</w:t>
            </w:r>
          </w:p>
        </w:tc>
      </w:tr>
      <w:tr>
        <w:trPr>
          <w:trHeight w:val="223"/>
        </w:trPr>
        <w:tc>
          <w:tcPr>
            <w:tcW w:w="932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2,559,178</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$ 2,524,228</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Debt and capital lease obligations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$1,649,302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$ 1,591,392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172,159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179,649</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44,878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42,129</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management rights proceeds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176,299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177,057</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156,617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155,845</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Preferred stock, $.01 par value, 100,000 shares authorized, no shares issued or outstanding</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320" w:type="dxa"/>
            <w:vAlign w:val="bottom"/>
          </w:tcPr>
          <w:p>
            <w:pPr>
              <w:ind w:left="720"/>
              <w:spacing w:after="0" w:line="201" w:lineRule="exact"/>
              <w:rPr>
                <w:sz w:val="20"/>
                <w:szCs w:val="20"/>
                <w:color w:val="auto"/>
              </w:rPr>
            </w:pPr>
            <w:r>
              <w:rPr>
                <w:rFonts w:ascii="Arial" w:cs="Arial" w:eastAsia="Arial" w:hAnsi="Arial"/>
                <w:sz w:val="18"/>
                <w:szCs w:val="18"/>
                <w:color w:val="auto"/>
                <w:w w:val="97"/>
              </w:rPr>
              <w:t>Common stock, $.01 par value, 400,000 shares authorized, 51,280 and 51,198 shares issued and outstanding,</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320" w:type="dxa"/>
            <w:vAlign w:val="bottom"/>
          </w:tcPr>
          <w:p>
            <w:pPr>
              <w:ind w:left="900"/>
              <w:spacing w:after="0"/>
              <w:rPr>
                <w:sz w:val="20"/>
                <w:szCs w:val="20"/>
                <w:color w:val="auto"/>
              </w:rPr>
            </w:pPr>
            <w:r>
              <w:rPr>
                <w:rFonts w:ascii="Arial" w:cs="Arial" w:eastAsia="Arial" w:hAnsi="Arial"/>
                <w:sz w:val="18"/>
                <w:szCs w:val="18"/>
                <w:color w:val="auto"/>
              </w:rPr>
              <w:t>respectively</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895,157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896,759</w:t>
            </w: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Treasury stock of 573 and 567 shares, at cost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(13,707)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(13,253)</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(495,426)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(479,170)</w:t>
            </w:r>
          </w:p>
        </w:tc>
      </w:tr>
      <w:tr>
        <w:trPr>
          <w:trHeight w:val="223"/>
        </w:trPr>
        <w:tc>
          <w:tcPr>
            <w:tcW w:w="932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(26,614)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(26,692)</w:t>
            </w:r>
          </w:p>
        </w:tc>
      </w:tr>
      <w:tr>
        <w:trPr>
          <w:trHeight w:val="216"/>
        </w:trPr>
        <w:tc>
          <w:tcPr>
            <w:tcW w:w="9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359,923</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2,559,178</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$ 2,524,228</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Rooms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107,564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103,369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126,169</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24,608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223"/>
        </w:trPr>
        <w:tc>
          <w:tcPr>
            <w:tcW w:w="6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288,370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Rooms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28,928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Other hotel expenses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75,882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74,238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fees, net</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3"/>
        </w:trPr>
        <w:tc>
          <w:tcPr>
            <w:tcW w:w="6380" w:type="dxa"/>
            <w:vAlign w:val="bottom"/>
          </w:tcPr>
          <w:p>
            <w:pPr>
              <w:ind w:left="720"/>
              <w:spacing w:after="0"/>
              <w:rPr>
                <w:sz w:val="20"/>
                <w:szCs w:val="20"/>
                <w:color w:val="auto"/>
              </w:rPr>
            </w:pPr>
            <w:r>
              <w:rPr>
                <w:rFonts w:ascii="Arial" w:cs="Arial" w:eastAsia="Arial" w:hAnsi="Arial"/>
                <w:sz w:val="18"/>
                <w:szCs w:val="18"/>
                <w:color w:val="auto"/>
              </w:rPr>
              <w:t>Total hotel operating expenses</w:t>
            </w:r>
          </w:p>
        </w:tc>
        <w:tc>
          <w:tcPr>
            <w:tcW w:w="3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183,918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176,954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16,851</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229,067</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45,944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(15,864)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income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3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Basic income per share</w:t>
            </w: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Fully diluted income per share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360"/>
              <w:spacing w:after="0"/>
              <w:rPr>
                <w:sz w:val="20"/>
                <w:szCs w:val="20"/>
                <w:color w:val="auto"/>
              </w:rPr>
            </w:pPr>
            <w:r>
              <w:rPr>
                <w:rFonts w:ascii="Arial" w:cs="Arial" w:eastAsia="Arial" w:hAnsi="Arial"/>
                <w:sz w:val="18"/>
                <w:szCs w:val="18"/>
                <w:color w:val="auto"/>
              </w:rPr>
              <w:t>Dividends declared per common share</w:t>
            </w: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net of taxes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$ 27,339</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$ 32,620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to reconcile net income to net cash flows provided by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Provision (benefit) for deferred income taxes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28,666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27,637</w:t>
            </w: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Changes in:</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Trade receivables</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(8,733)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(19,016)</w:t>
            </w:r>
          </w:p>
        </w:tc>
      </w:tr>
      <w:tr>
        <w:trPr>
          <w:trHeight w:val="216"/>
        </w:trPr>
        <w:tc>
          <w:tcPr>
            <w:tcW w:w="20" w:type="dxa"/>
            <w:vAlign w:val="bottom"/>
          </w:tcPr>
          <w:p>
            <w:pPr>
              <w:spacing w:after="0"/>
              <w:rPr>
                <w:sz w:val="18"/>
                <w:szCs w:val="18"/>
                <w:color w:val="auto"/>
              </w:rPr>
            </w:pPr>
          </w:p>
        </w:tc>
        <w:tc>
          <w:tcPr>
            <w:tcW w:w="9640" w:type="dxa"/>
            <w:vAlign w:val="bottom"/>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(11,385)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(8,261)</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 and liabilities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r>
      <w:tr>
        <w:trPr>
          <w:trHeight w:val="230"/>
        </w:trPr>
        <w:tc>
          <w:tcPr>
            <w:tcW w:w="2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Net cash flows provided by operating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43,928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(47,588)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(37,710)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Gaylord Rockies joint venture</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(16,309)</w:t>
            </w: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Investment in other joint ventures</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(1,560)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(2,655)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w:t>
            </w:r>
          </w:p>
        </w:tc>
      </w:tr>
      <w:tr>
        <w:trPr>
          <w:trHeight w:val="230"/>
        </w:trPr>
        <w:tc>
          <w:tcPr>
            <w:tcW w:w="20" w:type="dxa"/>
            <w:vAlign w:val="bottom"/>
          </w:tcPr>
          <w:p>
            <w:pPr>
              <w:spacing w:after="0"/>
              <w:rPr>
                <w:sz w:val="20"/>
                <w:szCs w:val="20"/>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(51,803)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(56,710)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borrowings (repayments) under revolving credit facility</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56,500</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34,000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under term loan B</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Payment of dividends</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(41,000)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(38,900)</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tax withholdings for share-based compensation</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(602)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(3,741)</w:t>
            </w: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Other financing activities</w:t>
            </w:r>
          </w:p>
        </w:tc>
        <w:tc>
          <w:tcPr>
            <w:tcW w:w="2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9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provided by (used in) financing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(9,618)</w:t>
            </w: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(28,007)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78,710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81,190</w:t>
            </w: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$ 85,727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$ 53,183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cash, cash equivalents, and restricted cash to balance sheet: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Cash and cash equivalents - unrestricted</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$ 59,040</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$ 33,979</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 restricted</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26,687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19,204</w:t>
            </w:r>
          </w:p>
        </w:tc>
      </w:tr>
      <w:tr>
        <w:trPr>
          <w:trHeight w:val="223"/>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Cash, cash equivalents, and restricted cash,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$ 85,727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$ 53,183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 The Company also owns a 35% interest in a joint venture that is developing and will own Gaylord Rockies Resort &amp; Convention Center near Denver, Colorado (“Gaylord Rockies”), which will be managed by Marriott upon its planned opening in late 2018.</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expected to open in second quarter 2018; a 50% interest in a joint venture for Opry City Stage, a four-level entertainment complex in Times Square that opened in December 2017; and three Nashville-based assets managed by Marriott – Gaylord Springs Golf Links, the Wildhorse Saloon, and the General Jackson Showboat. Subsequent to the close of the first quarter of 2018, the Company reached an agreement with its joint venture partner for Opry City Stage to acquire its 50 percent interest.</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2017.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 pursuant to the Securities Exchange Act of 1934, as amended.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Financial Accounting Standards Board (the “FASB”) issued Accounting Standards Update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core principle of which is that a company will recognize revenue when it transfers promised goods or services to customers in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that reflects the consideration to which the company expects to be entitled in exchange for those goods or services. Under this guidance, companies will need to use more judgment and make more estimates than under previous guidance. These judgments may include identifying performance obligations in the contract, estimating the amount of variable consideration to include in the transaction price and allocating the transaction price to each separate performance obligation. Due to the short-term, day-to-day nature of the Company’s hospitality and entertainment segment revenues, the pattern of revenue recognition did not change significantly upon adoption. The Company adopted this ASU in the first quarter of 2018 using the modified retrospective approach and has applied the standard to all contracts at the date of initial application. As such, prior period amounts have not been restated, and the Company recorded a transition adjustment to retained earnings of $0.1 million, which is reflected in the condensed consolidated balance sheet for March 31, 2018 included herein. See Note 2 of this Quarterly Report on Form 10-Q for further disclosures.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that requires lessees to record most leases on their balance sheet, but recognize expenses on their income statements in a manner similar to previous accounting. The ASU also eliminates the required use of bright-line tests for determining lease classification. The ASU is effective for the Company in the first quarter of 2019 and requires a modified retrospective approach. The Company is currently evaluating the effects of this ASU on its financial statements, and the primary impact of the adoption is estimated to be the inclusion of the Company’s</w:t>
      </w:r>
    </w:p>
    <w:p>
      <w:pPr>
        <w:spacing w:after="0" w:line="2"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75-year ground lease at Gaylord Palms, which the Company may extend until January 31, 2101, on its balance sheet. See Note 12 in the Company’s Annual Report on Form 10-K for the year ended December 31, 2017 for a further disclosure of the Company’s outstanding leases.</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 – Credit Losses – Measurement of Credit Losses on Financial Instruments</w:t>
      </w:r>
      <w:r>
        <w:rPr>
          <w:rFonts w:ascii="Arial" w:cs="Arial" w:eastAsia="Arial" w:hAnsi="Arial"/>
          <w:sz w:val="16"/>
          <w:szCs w:val="16"/>
          <w:color w:val="auto"/>
        </w:rPr>
        <w:t>,” which will change how entities measure credit losses for most financial assets and certain other 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The ASU is effective for the Company in the first quarter of 2020. The Company is currently evaluating the effects of this ASU on its financial statements, and such effects have not yet been determined.</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disclose changes in the total of cash and restricted cash in the statement of cash flows. As a result, entities no longer present transfers between cash and restricted cash in the statement of cash flows, and present a reconciliation of the totals in the statement of cash flows to the related captions on the balance sheet. The Company adopted this ASU in the first quarter of 2018, and this adoption did not have a material impact on the Company’s financial statements. The prior period presentation has been updated to conform to the current year presentation.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March 2017, the FASB issued ASU No. 2017-07, “</w:t>
      </w:r>
      <w:r>
        <w:rPr>
          <w:rFonts w:ascii="Arial" w:cs="Arial" w:eastAsia="Arial" w:hAnsi="Arial"/>
          <w:sz w:val="16"/>
          <w:szCs w:val="16"/>
          <w:i w:val="1"/>
          <w:iCs w:val="1"/>
          <w:color w:val="auto"/>
        </w:rPr>
        <w:t>Compensation – Retirement Benefits: Improving the Presentation of Net Periodic Pension Cost and Net</w:t>
      </w:r>
      <w:r>
        <w:rPr>
          <w:rFonts w:ascii="Arial" w:cs="Arial" w:eastAsia="Arial" w:hAnsi="Arial"/>
          <w:sz w:val="16"/>
          <w:szCs w:val="16"/>
          <w:color w:val="auto"/>
        </w:rPr>
        <w:t xml:space="preserve"> </w:t>
      </w:r>
      <w:r>
        <w:rPr>
          <w:rFonts w:ascii="Arial" w:cs="Arial" w:eastAsia="Arial" w:hAnsi="Arial"/>
          <w:sz w:val="16"/>
          <w:szCs w:val="16"/>
          <w:i w:val="1"/>
          <w:iCs w:val="1"/>
          <w:color w:val="auto"/>
        </w:rPr>
        <w:t>Periodic Postretirement Benefit Cost</w:t>
      </w:r>
      <w:r>
        <w:rPr>
          <w:rFonts w:ascii="Arial" w:cs="Arial" w:eastAsia="Arial" w:hAnsi="Arial"/>
          <w:sz w:val="16"/>
          <w:szCs w:val="16"/>
          <w:color w:val="auto"/>
        </w:rPr>
        <w:t>,” which changes how employers that sponsor defined benefit pension and/or other postretirement benefit plans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of benefits in the income statement. Under the new guidance, the service cost component of net periodic benefit cost is presented in the same income statement line item(s) as other employee compensation costs. In addition, the other components of net periodic benefit cost are presented separately from service cost and outside of operating income, which the Company has included in other gains and (losses), net in the accompanying condensed consolidated statements of operations and comprehensive income. The Company adopted this ASU in the first quarter of 2018, and this adoption did not have a material impact on the Company’s financial statements. The prior period presentation has been updated to conform to the current year presentation.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recognized as revenue in the period the Company determines it is probable that a significant reversal in the amount of revenue recognized will not occur, which is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Three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Hotel transient rooms</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24,347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36,671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10,860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288,370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40" w:type="dxa"/>
            <w:vAlign w:val="bottom"/>
            <w:vMerge w:val="restart"/>
          </w:tcPr>
          <w:p>
            <w:pPr>
              <w:jc w:val="right"/>
              <w:ind w:right="2390"/>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244"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Three Months Ended</w:t>
      </w:r>
    </w:p>
    <w:p>
      <w:pPr>
        <w:jc w:val="center"/>
        <w:ind w:left="6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Gaylord Palms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Gaylord National</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60,756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Inn at Opryland and other</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Hospitality segment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265,111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254,154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Company’s Entertainment segment revenues are concentrated in Nashville, Tennessee.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March 31, 2018 and December 31, 2017, the Company had $63.9 million and $51.2 million, respectively, in deferred revenues, which are included in accounts payable and accrued liabilities in the accompanying condensed consolidated balance sheets. Of the amount outstanding at December 31, 2017, approximately $34.3 million was recognized in revenue during the three months ended March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244"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Three Months Ended</w:t>
      </w:r>
    </w:p>
    <w:p>
      <w:pPr>
        <w:jc w:val="center"/>
        <w:ind w:left="71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3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51,214</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3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51,473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340" w:type="dxa"/>
            <w:vAlign w:val="bottom"/>
            <w:vMerge w:val="restart"/>
          </w:tcPr>
          <w:p>
            <w:pPr>
              <w:jc w:val="right"/>
              <w:ind w:right="2670"/>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balance in accumulated other comprehensive loss is comprised of amounts related to the Company’s minimum pension liability and amounts related to an other-than-temporary impairment of a held-to-maturity investment with respect to the notes receivable discussed in Note 6 of this Quarterly Report on Form 10-Q and Note 3 to the consolidated financial statements included in the Company’s Annual Report on Form 10-K for the year ended December 31, 2017. Changes in accumulated other comprehensive loss by component for the three months ended March 31, 2018 and 2017 consisted of the following (in thousands):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Other-Than-</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rPr>
              <w:t>Minimum</w:t>
            </w: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Temporary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Pension</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Impairment 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2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color w:val="auto"/>
              </w:rPr>
              <w:t>Liability</w:t>
            </w: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2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$(20,149)</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Unrealized gains (losses) arising during period</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Income tax benefit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March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(20,154</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Other-Than-</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rPr>
              <w:t>Minimum</w:t>
            </w:r>
          </w:p>
        </w:tc>
        <w:tc>
          <w:tcPr>
            <w:tcW w:w="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Temporary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Pension</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5"/>
              </w:rPr>
              <w:t>Impairment 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2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color w:val="auto"/>
              </w:rPr>
              <w:t>Liability</w:t>
            </w: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2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$(22,268)</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Unrealized gains arising during period</w:t>
            </w: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March 31, 2017</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(22,257</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March 31, 2018 and December 31, 2017 is recorded at cost and summarized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Buildings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2,445,053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2,440,471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171,164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3,538,689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(1,453,502)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(1,428,555)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2,085,187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further discussed in the Company’s Annual Report on Form 10-K for the year ended December 31, 2017, in connection with the development of Gaylord National, the Company is currently holding two issuances of governmental bonds and receives debt service and principle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months ended March 31, 2018 and 2017, the Company recorded interest income of $2.7 million and $2.9 million, respectively, on these bonds. The Company received payments of $3.1 million and $3.2 million during the three months ended March 31, 2018 and 2017, respectively, relating to these notes receivable.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capital lease obligations at March 31, 2018 and December 31, 2017 consisted of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March 31,</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82"/>
        </w:trPr>
        <w:tc>
          <w:tcPr>
            <w:tcW w:w="6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$700 Million Revolving Credit Facility, interest at LIBOR plus 1.55%, maturing</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May 23, 2021, less unamortized deferred financing costs of $8,456 and $9,076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219,044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161,924</w:t>
            </w:r>
          </w:p>
        </w:tc>
        <w:tc>
          <w:tcPr>
            <w:tcW w:w="6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w w:val="97"/>
              </w:rPr>
              <w:t>$200 Million Term Loan A, interest at LIBOR plus 1.50%, maturing May 23, 2022,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less unamortized deferred financing costs of $1,474 and $1,557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198,526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198,443</w:t>
            </w:r>
          </w:p>
        </w:tc>
        <w:tc>
          <w:tcPr>
            <w:tcW w:w="60" w:type="dxa"/>
            <w:vAlign w:val="bottom"/>
          </w:tcPr>
          <w:p>
            <w:pPr>
              <w:spacing w:after="0"/>
              <w:rPr>
                <w:sz w:val="20"/>
                <w:szCs w:val="20"/>
                <w:color w:val="auto"/>
              </w:rPr>
            </w:pP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$500 Million Term Loan B, interest at LIBOR plus 2.25%, maturing May 11, 2024,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unamortized deferred financing costs of $7,330 and $7,595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488,920</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488,655</w:t>
            </w:r>
          </w:p>
        </w:tc>
        <w:tc>
          <w:tcPr>
            <w:tcW w:w="6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$350 Million Senior Notes, interest at 5.0%, maturing April 15, 2021, less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unamortized deferred financing costs of $3,101 and $3,340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346,899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346,660</w:t>
            </w:r>
          </w:p>
        </w:tc>
        <w:tc>
          <w:tcPr>
            <w:tcW w:w="60" w:type="dxa"/>
            <w:vAlign w:val="bottom"/>
          </w:tcPr>
          <w:p>
            <w:pPr>
              <w:spacing w:after="0"/>
              <w:rPr>
                <w:sz w:val="20"/>
                <w:szCs w:val="20"/>
                <w:color w:val="auto"/>
              </w:rPr>
            </w:pP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$400 Million Senior Notes, interest at 5.0%, maturing April 15, 2023, less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deferred financing costs of $4,721 and $4,929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395,279</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395,071</w:t>
            </w:r>
          </w:p>
        </w:tc>
        <w:tc>
          <w:tcPr>
            <w:tcW w:w="60" w:type="dxa"/>
            <w:vAlign w:val="bottom"/>
            <w:shd w:val="clear" w:color="auto" w:fill="CCEEFF"/>
          </w:tcPr>
          <w:p>
            <w:pPr>
              <w:spacing w:after="0"/>
              <w:rPr>
                <w:sz w:val="20"/>
                <w:szCs w:val="20"/>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1,649,302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1,591,392</w:t>
            </w:r>
          </w:p>
        </w:tc>
        <w:tc>
          <w:tcPr>
            <w:tcW w:w="60" w:type="dxa"/>
            <w:vAlign w:val="bottom"/>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majority of amounts due within one year consist of the amortization payments for the $500 Million Term Loan B of 1.0% of the original principal balance, as described in the Company’s Annual Report on Form 10-K for the year ended December 31, 2017.</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For descriptions of the Company’s outstanding debt obligations, see “Principal Debt Agreements” within “Liquidity and Capital Resources” in Item 2, “Management’s Discussion and Analysis of Financial Condition and Results of Operations” included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the Company was in compliance with all of its covenants related to its outstanding debt.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1, 2012, the Company consummated its agreement to sell the Gaylord Hotels brand (the “IP Rights”)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and $20.0 million to the IP Rights.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financial accounting purposes, the amount related to the Management Rights was deferred and is amortized on a straight line basis over the 65-year term of the hotel management agreements, including extensions, as a reduction in management fee expense. The amount related to the IP Rights was recognized into income as other gains and losses during 2012.</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PLANS: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three months ended March 31, 2018, the Company granted 0.1 million restricted stock units with a weighted-average grant date fair value of $70.39 per award. There were 0.4 million restricted stock units outstanding at March 31, 2018 and December 31, 2017.</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compensation expense that has been charged against pre-tax income for all of the Company’s stock-based compensation plans was $1.9 million and $1.6 million for the three months ended March 31,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BENEFITS OTHER THAN PENSION PLANS: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periodic pension (income) expense reflected in the accompanying condensed consolidated statements of operations included the following components for the respective periods (in thousands):</w:t>
      </w:r>
    </w:p>
    <w:p>
      <w:pPr>
        <w:spacing w:after="0" w:line="189"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(1,036)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 net periodic pension (income)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jc w:val="right"/>
              <w:ind w:right="260"/>
              <w:spacing w:after="0"/>
              <w:rPr>
                <w:sz w:val="20"/>
                <w:szCs w:val="20"/>
                <w:color w:val="auto"/>
              </w:rPr>
            </w:pPr>
            <w:r>
              <w:rPr>
                <w:rFonts w:ascii="Arial" w:cs="Arial" w:eastAsia="Arial" w:hAnsi="Arial"/>
                <w:sz w:val="8"/>
                <w:szCs w:val="8"/>
                <w:color w:val="auto"/>
                <w:w w:val="73"/>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postretirement benefit income reflected in the accompanying condensed consolidated statements of operations included the following components for the respective periods (in thousands):</w:t>
      </w:r>
    </w:p>
    <w:p>
      <w:pPr>
        <w:spacing w:after="0" w:line="189"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the three months ended March 31, 2018 and 2017, the Company recorded an income tax provision of $2.2 million and $0.6 million, respectively, related to the current period operations of the Company. These results differ from the statutory rate primarily due to the REIT dividends paid deduction in both periods and the change in valuation allowance required at the TRSs for the three months ended March 31, 2017.</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December 22, 2017, the Tax Cuts and Jobs Act (“TCJA”) was enacted and included a reduction to the U.S. federal corporate income tax rate from 35% to 21% for tax years beginning after December 31, 2017. The Company has not fully completed its accounting for the income tax effects of the TCJA. As discussed in SEC Staff Accounting Bulletin No. 118, the accounting for the TCJA should be completed within one year from enactment. During the three months ended March 31, 2018, the Company has made no adjustments to the provisional amounts recorded at December 31, 2017. Any adjustments to the provisional amounts recorded at December 31, 2017 will be reflected upon the completion of the Company’s accounting for the TCJA.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and December 31, 2017, the Company had no unrecognized tax benefits.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owns a 35% interest in a joint venture that is developing and owns Gaylord Rockies, which is expected to open in late 2018. In connection with the agreements, the Company agreed to provide guarantees of the hotel’s construction loan, including a principal repayment guarantee of up to $21 million of the total $500 million principal amount of the construction loan previously obtained from a consortium of eight banks, with such amount reducing to</w:t>
      </w:r>
    </w:p>
    <w:p>
      <w:pPr>
        <w:ind w:right="100"/>
        <w:spacing w:after="0" w:line="281" w:lineRule="auto"/>
        <w:rPr>
          <w:sz w:val="20"/>
          <w:szCs w:val="20"/>
          <w:color w:val="auto"/>
        </w:rPr>
      </w:pPr>
      <w:r>
        <w:rPr>
          <w:rFonts w:ascii="Arial" w:cs="Arial" w:eastAsia="Arial" w:hAnsi="Arial"/>
          <w:sz w:val="16"/>
          <w:szCs w:val="16"/>
          <w:color w:val="auto"/>
        </w:rPr>
        <w:t>$14 million and further reducing to $8.75 million upon the hotel’s satisfaction of designated debt service coverage requirements following completion and opening of the hotel. The Company has also provided a completion guarantee under the construction loan capped at its pro rata share of all costs necessary to complete the project within the time specified in the joint venture’s loan documents. Further, the Company has agreed to a guarantee capped at its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guarantees related to the construction loan, the Company agreed to provide a guarantee of the mezzanine debt related to the hotel including a payment guarantee capped at</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$8.75 million for which the Company is only liable in the event there is a casualty or condemnation event at the hotel and the construction lenders elect to apply those proceeds to the construction loan balance and release the construction loan guarantees and liens. The guarantee related to the mezzanine debt also includes an uncapped completion guarantee and an uncapped guarantee of the joint venture’s obligations under the mezzanine loan prior to the hotel’s opening related to interest accruing under the mezzanine loan and the operating expenses of the property to the extent not already satisfied by the parties under the guarantees related to the construction loan. As of March 31, 2018, the Company had not recorded any liability in the consolidated balance sheet associated with these guarantees.</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legal actions will not have a material effect on the results of operations, financial condition or liquidity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February 23, 2018, the Company’s board of directors declared the Company’s first quarter 2018 cash dividend in the amount of $0.85 per share of common stock, or an aggregate of approximately $43.6 million in cash, which was paid on April 16, 2018 to stockholders of record as of the close of business on March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At March 31, 2018 and December 31, 2017, the Company held certain assets that are required to be measured at fair value on a recurring basis. These included investments held in conjunction with the Company’s non-qualified contributory deferred compensation plan. These investments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had no liabilities required to be measured at fair value at March 31, 2018 and December 31, 2017. The Company’s assets measured at fair value on a recurring basis at March 31, 2018 and December 31, 2017,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remainder of the assets and liabilities held by the Company at March 31, 2018 are not required to be recorded at fair value, and the carrying value of these assets and liabilities approximate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REPORTING BY 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31" w:lineRule="exact"/>
        <w:rPr>
          <w:sz w:val="20"/>
          <w:szCs w:val="20"/>
          <w:color w:val="auto"/>
        </w:rPr>
      </w:pPr>
    </w:p>
    <w:p>
      <w:pPr>
        <w:ind w:left="900" w:right="2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 Opryland, the AC Hotel,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equity investment in Gaylord Rockies;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 equity investment in Opry City</w:t>
      </w:r>
      <w:r>
        <w:rPr>
          <w:rFonts w:ascii="Arial" w:cs="Arial" w:eastAsia="Arial" w:hAnsi="Arial"/>
          <w:sz w:val="18"/>
          <w:szCs w:val="18"/>
          <w:i w:val="1"/>
          <w:iCs w:val="1"/>
          <w:color w:val="auto"/>
        </w:rPr>
        <w:t xml:space="preserve"> </w:t>
      </w:r>
      <w:r>
        <w:rPr>
          <w:rFonts w:ascii="Arial" w:cs="Arial" w:eastAsia="Arial" w:hAnsi="Arial"/>
          <w:sz w:val="18"/>
          <w:szCs w:val="18"/>
          <w:color w:val="auto"/>
        </w:rPr>
        <w:t>Stage, and the Company’s Nashville-based attractions;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is derived directly from the segments’ internal financial reports used for corporate management purposes (amounts in thousands):</w:t>
      </w:r>
    </w:p>
    <w:p>
      <w:pPr>
        <w:spacing w:after="0" w:line="26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Hospitality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265,111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254,154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288,370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Hospitality</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70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Hospitality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54,993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(8,838)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2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(16,729)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joint ventures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 gains and (losses), net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CONCERNING GUARANTOR AND NON-GUARANTOR SUBSIDIARIES: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$350 Million 5% Senior Notes and the $400 Million 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Operating Partnership’s Amended Credit Agreement (such subsidiary guarantors, together with the Company, the “Guarantors”). The subsidiary Guarantors are 100% owned, and the guarantees are full and unconditional and joint and several. Not all of the Company’s subsidiaries have guaranteed the Company’s $350 Million 5% Senior Notes and the $400 Million 5% Senior Notes.</w:t>
      </w:r>
    </w:p>
    <w:p>
      <w:pPr>
        <w:spacing w:after="0" w:line="15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8"/>
              </w:rPr>
              <w:t>Property and equipment, net of accumulated 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1,655,478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429,709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$2,085,187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unrestricted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59,040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Cash and cash equivalents - restricted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26,687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111,046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88,717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66,253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48,342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73,906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1,737,603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(1,737,603)</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995,557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2,890,033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650,801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1,384,811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(5,921,202)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995,636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2,890,284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4,051,557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2,289,056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(7,667,355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2,559,178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1,648,668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$1,649,302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149,800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172,159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Dividends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44,878</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44,878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rights proceeds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176,299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96,325</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60,292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156,617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590,728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(1,737,603)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895,157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630,670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2,835,468</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2,093,817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(5,559,955)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895,157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(495,426)</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(295,510)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1,109,760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(428,778)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(385,472)</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(495,426)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r>
        <w:trPr>
          <w:trHeight w:val="230"/>
        </w:trPr>
        <w:tc>
          <w:tcPr>
            <w:tcW w:w="45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359,923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3,945,229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1,640,812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(5,921,202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995,636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2,890,284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4,051,557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2,289,056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(7,667,355)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2,559,178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1,640,274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425,383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$2,065,657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unrestricted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 - restricted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21,153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111,423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88,685</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88,685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57,520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50,418</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1,717,157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2,890,032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651,006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1,364,814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(5,912,313)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4,008,177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(7,629,470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1,590,753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$1,591,392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179,649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42,129</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42,129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rights proceeds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177,057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60,767</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155,845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896,759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671,875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2,835,468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2,073,818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(5,581,161)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896,759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(479,170)</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(278,426)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1,061,835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(427,954)</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(355,455)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(479,170)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3,897,304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1,621,559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(5,912,313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4,008,177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(7,629,470)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2,524,228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107,564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132,939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76,243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(80,873)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76,243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293,024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288,370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28,928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140,187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(76,132)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248,223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183,918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7,905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14,730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361</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28,683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291,601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(80,897)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242,426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47,560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(16,723)</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(16,729)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(2,678)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(17,084)</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47,560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(17,084)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47,925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(30,017)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27,417</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(17,084</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(30,095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51"/>
              <w:spacing w:after="0"/>
              <w:rPr>
                <w:sz w:val="20"/>
                <w:szCs w:val="20"/>
                <w:color w:val="auto"/>
              </w:rPr>
            </w:pPr>
            <w:r>
              <w:rPr>
                <w:rFonts w:ascii="Arial" w:cs="Arial" w:eastAsia="Arial" w:hAnsi="Arial"/>
                <w:sz w:val="18"/>
                <w:szCs w:val="18"/>
                <w:color w:val="auto"/>
                <w:w w:val="99"/>
              </w:rPr>
              <w:t>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103,369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126,169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79,494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28,433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(83,311)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79,494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279,883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(83,335)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28,028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11,947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141,676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(79,385)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244,392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(79,385)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14,807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406</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281,270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(83,335)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51,009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(15,857)</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(15,864)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(2,241)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(16,263)</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51,009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34,861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(34,861)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(16,263)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51,027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(34,861)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32,631</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(16,263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51,027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(34,872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51"/>
              <w:spacing w:after="0"/>
              <w:rPr>
                <w:sz w:val="20"/>
                <w:szCs w:val="20"/>
                <w:color w:val="auto"/>
              </w:rPr>
            </w:pPr>
            <w:r>
              <w:rPr>
                <w:rFonts w:ascii="Arial" w:cs="Arial" w:eastAsia="Arial" w:hAnsi="Arial"/>
                <w:sz w:val="18"/>
                <w:szCs w:val="18"/>
                <w:color w:val="auto"/>
                <w:w w:val="99"/>
              </w:rPr>
              <w:t>19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(57,008</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(29,681)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(17,907)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(2,655)</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(29,681)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(22,122)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(51,803)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borrowings under revolving credit facility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56,500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(41,602)</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56,500</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759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85,362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51"/>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(33,496</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(13,196)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(24,514)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(37,710)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Gaylord Rockies joint venture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(16,309)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(13,196)</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(43,514)</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(56,710)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(38,900)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(3,741)</w:t>
            </w: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(42,613)</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33,000</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(28,692)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51,213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51"/>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2017, included in our Annual Report on Form 10-K that was filed with the SEC on February 27,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Gaylord Rockies joint venture (defined below); (v) Marriott International, Inc.’s (“Marriott”)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the risks and uncertainties associated with economic conditions affecting the hospitality business generally, the geographic concentration of our hotel properties, business levels at our hotels, the effect of our election to be taxed as a REIT for federal income tax purposes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commencing with the year ended December 31, 2013,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 those factors described in our Annual Report on Form 10-K for the year ended December 31, 2017 or described from time to time in our other reports filed with the SEC.</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owned assets include a network of four upscale, meetings-focused resorts totaling 7,811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303-room overflow hotel adjacent to Gaylord Opryland, and the AC Hotel at National Harbor, Washington D.C. (“AC Hotel”), a 192-room overflow hotel adjacent to Gaylord National. We also own a 35% interest in a joint venture that is developing and owns the Gaylord Rockies Resort &amp; Convention Center near Denver, Colorado (“Gaylord Rockies”), which will be managed by Marriott upon its planned opening in late 2018.</w:t>
      </w:r>
    </w:p>
    <w:p>
      <w:pPr>
        <w:spacing w:after="0" w:line="18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expected to open in second quarter 2018; a 50% interest in a joint venture for Opry City Stage, a four-level entertainment complex in Times Square that opened in December 2017; and three Nashville-based assets managed by Marriott – Gaylord Springs Golf Links, the Wildhorse Saloon, and the General Jackson Showboat. Subsequent to the close of the first quarter of 2018, we reached an agreement with our joint venture partner for Opry City Stage to acquire its 50 percent interest.</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See “Cautionary Note Regarding Forward-Looking Statements” in this Item 2 and Item 1A, “Risk Factors,” in our Annual Report on Form 10-K for the year ended December 31, 2017 for important information regarding forward-looking statements made in this report and risks and uncertainties we face.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27, 2018, our board of directors declared our first quarter 2018 cash dividend in the amount of $0.85 per share of common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 or an aggregate of approximately $43.6 million in cash, which was paid on April 16, 2018 to stockholders of record as of the close of business on March 30, 2018. We currently plan to pay a quarterly cash dividend of $0.85 per share of common stock in July 2018, October 2018 and January 2019. The declaration, timing and amount of dividends will be determined by action of our board of directors. Our dividend policy may be altered at any time by our board of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become the nation’s premier hospitality REIT for group-oriented meeting hotel assets in urban and resort markets.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hotel properties focus on the large group meetings market in the United States and incorporate meeting and exhibition</w:t>
      </w:r>
      <w:r>
        <w:rPr>
          <w:rFonts w:ascii="Arial" w:cs="Arial" w:eastAsia="Arial" w:hAnsi="Arial"/>
          <w:sz w:val="18"/>
          <w:szCs w:val="18"/>
          <w:i w:val="1"/>
          <w:iCs w:val="1"/>
          <w:color w:val="auto"/>
        </w:rPr>
        <w:t xml:space="preserve"> </w:t>
      </w:r>
      <w:r>
        <w:rPr>
          <w:rFonts w:ascii="Arial" w:cs="Arial" w:eastAsia="Arial" w:hAnsi="Arial"/>
          <w:sz w:val="18"/>
          <w:szCs w:val="18"/>
          <w:color w:val="auto"/>
        </w:rPr>
        <w:t>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hotel properties claiming a place among the leading convention hotels in the country.</w:t>
      </w:r>
    </w:p>
    <w:p>
      <w:pPr>
        <w:spacing w:after="0" w:line="18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While our short-term capital allocation strategy has focused on returning capital to stockholders, part of our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Leverage Brand Name Awareness</w:t>
      </w:r>
      <w:r>
        <w:rPr>
          <w:rFonts w:ascii="Arial" w:cs="Arial" w:eastAsia="Arial" w:hAnsi="Arial"/>
          <w:sz w:val="18"/>
          <w:szCs w:val="18"/>
          <w:color w:val="auto"/>
        </w:rPr>
        <w:t>. We believe the Grand Ole Opry is one of the most recognized entertainment brands in the United States. We promote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are continuously exploring additional products, such as television specials and retail products, through which we can capitalize on our brand affinity and awareness. We believe that licensing our brand for products may provide an opportunity to increase revenues and cash flow with relatively little capital investment. To this end, we have invested in the Opry City Stage, a joint venture that operates a four-level entertainment complex in Times Square, as well as a Company-owned, Blake Shelton-themed five-level bar, music venue and event space in Nashville named after the Shelton hit “Ole 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31" w:lineRule="exact"/>
        <w:rPr>
          <w:sz w:val="20"/>
          <w:szCs w:val="20"/>
          <w:color w:val="auto"/>
        </w:rPr>
      </w:pPr>
    </w:p>
    <w:p>
      <w:pPr>
        <w:ind w:left="900" w:right="4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Opry City Stage, and our other Nashville-based attractions.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and 2017, our total revenues were divided among these business segments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gridSpan w:val="2"/>
            <w:vMerge w:val="continue"/>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shd w:val="clear" w:color="auto" w:fill="CCEEFF"/>
          </w:tcPr>
          <w:p>
            <w:pPr>
              <w:spacing w:after="0" w:line="20" w:lineRule="exact"/>
              <w:rPr>
                <w:sz w:val="1"/>
                <w:szCs w:val="1"/>
                <w:color w:val="auto"/>
              </w:rPr>
            </w:pPr>
          </w:p>
        </w:tc>
        <w:tc>
          <w:tcPr>
            <w:tcW w:w="6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90"/>
        </w:trPr>
        <w:tc>
          <w:tcPr>
            <w:tcW w:w="6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Hospitality</w:t>
            </w:r>
          </w:p>
        </w:tc>
        <w:tc>
          <w:tcPr>
            <w:tcW w:w="58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7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daily rate (“ADR”) – a price indicator calculated by dividing room revenue by the number of rooms sold;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per Available Room (“RevPAR”) –a summary measure of hotel results calculated by dividing room revenue by room nights available to guests for the period;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75"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recognized as revenue in the period we determine it is probable that a significant reversal in the amount of revenue recognized will not occur, which is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contains our unaudited selected summary financial data for the three months ended March 31, 2018 and 2017. The table also shows the percentage relationships to total revenues and, in the case of segment operating income, its relationship to segment revenues (in thousands, except percentages).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ind w:left="460"/>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 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6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46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REVENUES: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107,564</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103,369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132,939</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126,169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revenue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24,608</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23,259</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21,888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288,370</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276,042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28,928</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28,028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71,978</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69,157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75,882</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74,238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Hotel management fees,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7,130</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5,531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19,366</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16,851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8,329</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7,409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2,147</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Hospitality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26,200</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25,178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700"/>
              <w:spacing w:after="0"/>
              <w:rPr>
                <w:sz w:val="20"/>
                <w:szCs w:val="20"/>
                <w:color w:val="auto"/>
              </w:rPr>
            </w:pPr>
            <w:r>
              <w:rPr>
                <w:rFonts w:ascii="Arial" w:cs="Arial" w:eastAsia="Arial" w:hAnsi="Arial"/>
                <w:sz w:val="18"/>
                <w:szCs w:val="18"/>
                <w:color w:val="auto"/>
              </w:rPr>
              <w:t>Entertainment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1,957</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1,908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060"/>
              <w:spacing w:after="0"/>
              <w:rPr>
                <w:sz w:val="20"/>
                <w:szCs w:val="20"/>
                <w:color w:val="auto"/>
              </w:rPr>
            </w:pPr>
            <w:r>
              <w:rPr>
                <w:rFonts w:ascii="Arial" w:cs="Arial" w:eastAsia="Arial" w:hAnsi="Arial"/>
                <w:sz w:val="18"/>
                <w:szCs w:val="18"/>
                <w:color w:val="auto"/>
              </w:rPr>
              <w:t>Total depreciation and amortization</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28,666</w:t>
            </w:r>
          </w:p>
        </w:tc>
        <w:tc>
          <w:tcPr>
            <w:tcW w:w="160" w:type="dxa"/>
            <w:vAlign w:val="bottom"/>
          </w:tcPr>
          <w:p>
            <w:pPr>
              <w:spacing w:after="0"/>
              <w:rPr>
                <w:sz w:val="20"/>
                <w:szCs w:val="20"/>
                <w:color w:val="auto"/>
              </w:rPr>
            </w:pP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27,637</w:t>
            </w:r>
          </w:p>
        </w:tc>
        <w:tc>
          <w:tcPr>
            <w:tcW w:w="46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242,426</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229,067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Hospitality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54,993</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52,022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1,936</w:t>
            </w:r>
          </w:p>
        </w:tc>
        <w:tc>
          <w:tcPr>
            <w:tcW w:w="1400" w:type="dxa"/>
            <w:vAlign w:val="bottom"/>
            <w:gridSpan w:val="3"/>
          </w:tcPr>
          <w:p>
            <w:pPr>
              <w:jc w:val="right"/>
              <w:ind w:right="39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3,129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45,944</w:t>
            </w:r>
          </w:p>
        </w:tc>
        <w:tc>
          <w:tcPr>
            <w:tcW w:w="140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46,975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(16,729)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(15,864)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(774)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(593)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32,620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right="2820" w:hanging="5612"/>
        <w:spacing w:after="0" w:line="449"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26</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ended March 31, 2018 and 2017 (in thousands, except percentages and per share data):</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080" w:type="dxa"/>
            <w:vAlign w:val="bottom"/>
            <w:vMerge w:val="restart"/>
          </w:tcPr>
          <w:p>
            <w:pPr>
              <w:spacing w:after="0"/>
              <w:rPr>
                <w:sz w:val="10"/>
                <w:szCs w:val="10"/>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$288,370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$276,042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3"/>
          </w:tcPr>
          <w:p>
            <w:pPr>
              <w:jc w:val="right"/>
              <w:ind w:right="180"/>
              <w:spacing w:after="0"/>
              <w:rPr>
                <w:sz w:val="20"/>
                <w:szCs w:val="20"/>
                <w:color w:val="auto"/>
              </w:rPr>
            </w:pPr>
            <w:r>
              <w:rPr>
                <w:rFonts w:ascii="Arial" w:cs="Arial" w:eastAsia="Arial" w:hAnsi="Arial"/>
                <w:sz w:val="18"/>
                <w:szCs w:val="18"/>
                <w:color w:val="auto"/>
              </w:rPr>
              <w:t>242,426</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229,067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45,944</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46,975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3"/>
          </w:tcPr>
          <w:p>
            <w:pPr>
              <w:jc w:val="right"/>
              <w:ind w:right="180"/>
              <w:spacing w:after="0"/>
              <w:rPr>
                <w:sz w:val="20"/>
                <w:szCs w:val="20"/>
                <w:color w:val="auto"/>
              </w:rPr>
            </w:pPr>
            <w:r>
              <w:rPr>
                <w:rFonts w:ascii="Arial" w:cs="Arial" w:eastAsia="Arial" w:hAnsi="Arial"/>
                <w:sz w:val="18"/>
                <w:szCs w:val="18"/>
                <w:color w:val="auto"/>
              </w:rPr>
              <w:t>27,339</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32,620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fully diluted</w:t>
            </w:r>
          </w:p>
        </w:tc>
        <w:tc>
          <w:tcPr>
            <w:tcW w:w="2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increase in our total revenues for the three months ended March 31, 2018, as compared to the same period in 2017, is attributable to $11.0 million and $1.4 million in increases in our Hospitality segment and Entertainment segment revenues, respectively, each as discussed more fully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our total operating expenses for the three months ended March 31, 2018, as compared to the same period in 2017, is primarily the result of an increase in our Hospitality segment and Entertainment segment expenses of $7.0 million and $2.5 million, respectively, as well as an increase in preopening expenses of $1.9 million, each as discussed more fully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decrease in our net income to $27.3 million for the three months ended March 31, 2018, as compared to $32.6 million for the same period in 2017, was due to the changes in our revenues and operating expenses reflected above and the following factors, each as described more fully below:</w:t>
      </w:r>
    </w:p>
    <w:p>
      <w:pPr>
        <w:spacing w:after="0" w:line="2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$1.8 million increase in the loss from joint ventures in the 2018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$1.6 million increase in the provision for income taxes in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factors and trends contributing to our performance during the three months ended March 31, 2018 described herein were:</w:t>
      </w:r>
    </w:p>
    <w:p>
      <w:pPr>
        <w:spacing w:after="0" w:line="131" w:lineRule="exact"/>
        <w:rPr>
          <w:sz w:val="20"/>
          <w:szCs w:val="20"/>
          <w:color w:val="auto"/>
        </w:rPr>
      </w:pPr>
    </w:p>
    <w:p>
      <w:pPr>
        <w:jc w:val="both"/>
        <w:ind w:left="900" w:right="8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occupancy (an increase of 3.9 points of occupancy), ADR (an increase of 7.4%) and outside-the-room spending (an increase of 8.1%) at Gaylord Opryland during the 2018 period, as compared to the 2017 period, each primarily due to increases in group business. The increase in ADR was also influenced by an increase in transient rates.</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occupancy (an increase of 2.5 points of occupancy) and ADR (an increase of 1.8%) at Gaylord Palms during the 2018 period, as compared to the 2017 period, due primarily to an increase in transient business, as well an increase in outside-the-room spending (an increase of 8.0%), due primarily to an increase in catering.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2018 period, as compared to the 2017 period (an increase of 6.3%), due primarily to increased attendance and ancillary business, such as tours and retail, at the Grand Ole Opry.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Decreased Net Definite Group Room Nights Booked during the 2018 period, as compared to the 2017 period (a decrease of 11.1%).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Hospitality segment for the three months ended March 31, 2018 and 2017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Rooms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107,564</w:t>
            </w:r>
          </w:p>
        </w:tc>
        <w:tc>
          <w:tcPr>
            <w:tcW w:w="22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103,369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132,939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126,169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24,616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hospitality revenue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265,111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254,154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Hospitality 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71,978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69,157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74,238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5,531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760" w:type="dxa"/>
            <w:vAlign w:val="bottom"/>
          </w:tcPr>
          <w:p>
            <w:pPr>
              <w:ind w:left="720"/>
              <w:spacing w:after="0"/>
              <w:rPr>
                <w:sz w:val="20"/>
                <w:szCs w:val="20"/>
                <w:color w:val="auto"/>
              </w:rPr>
            </w:pPr>
            <w:r>
              <w:rPr>
                <w:rFonts w:ascii="Arial" w:cs="Arial" w:eastAsia="Arial" w:hAnsi="Arial"/>
                <w:sz w:val="18"/>
                <w:szCs w:val="18"/>
                <w:color w:val="auto"/>
              </w:rPr>
              <w:t>Total Hospitality operating expenses</w:t>
            </w: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210,118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202,132</w:t>
            </w:r>
          </w:p>
        </w:tc>
        <w:tc>
          <w:tcPr>
            <w:tcW w:w="6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Hospitality operating income (1)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Hospitality performance metrics:</w:t>
            </w: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ADR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195.02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190.33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 (2)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138.28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Total RevPAR (3)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354.64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339.99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Definite Group Room Nights Booked</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344,640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387,724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8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of $1.5 million and $0.1 million in the three months ended March 31, 2018 and 2017, respectively. See discussion of preopening costs below.</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ind w:left="4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total Hospitality segment revenue in the three months ended March 31, 2018, as compared to the same period in 2017, is primarily due to increases of $7.8 million, $3.7 million and $1.6 million at Gaylord Opryland, Gaylord Palms and Gaylord Texan, respectively, partially offset by a decrease of $1.7 million at Gaylord National. See below for further discussion.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Hospitality segment revenues in the three months ended March 31, 2018 include $1.2 million in attrition and cancellation fee collections, a decrease of $1.6 million from the 2017 period.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group versus transient business based on rooms sold for our Hospitality segment for the periods presented was approximately as follows:</w:t>
      </w:r>
    </w:p>
    <w:p>
      <w:pPr>
        <w:spacing w:after="0" w:line="267"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Three Months Ended</w:t>
      </w:r>
    </w:p>
    <w:p>
      <w:pPr>
        <w:jc w:val="center"/>
        <w:ind w:left="64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Transient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Rooms operating expenses increased in the three months ended March 31, 2018, as compared to the same period in 2017, due primarily to an increase at Gaylord Opryland, as described below.</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Food and beverage operating expenses increased in the three months ended March 31, 2018, as compared to the same period in 2017, primarily due to increases at Gaylord Opryland and Gaylord Texan,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hotel expenses for the three months ended March 31, 2018 and 2017 consist of the following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$28,432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$27,363</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Utilities</w:t>
            </w:r>
          </w:p>
        </w:tc>
        <w:tc>
          <w:tcPr>
            <w:tcW w:w="2760" w:type="dxa"/>
            <w:vAlign w:val="bottom"/>
            <w:gridSpan w:val="3"/>
          </w:tcPr>
          <w:p>
            <w:pPr>
              <w:jc w:val="right"/>
              <w:ind w:right="80"/>
              <w:spacing w:after="0"/>
              <w:rPr>
                <w:sz w:val="20"/>
                <w:szCs w:val="20"/>
                <w:color w:val="auto"/>
              </w:rPr>
            </w:pPr>
            <w:r>
              <w:rPr>
                <w:rFonts w:ascii="Arial" w:cs="Arial" w:eastAsia="Arial" w:hAnsi="Arial"/>
                <w:sz w:val="18"/>
                <w:szCs w:val="18"/>
                <w:color w:val="auto"/>
              </w:rPr>
              <w:t>6,258</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6,360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8,301</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9,163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31,352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7"/>
        </w:trPr>
        <w:tc>
          <w:tcPr>
            <w:tcW w:w="45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hotel expenses</w:t>
            </w:r>
          </w:p>
        </w:tc>
        <w:tc>
          <w:tcPr>
            <w:tcW w:w="2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75,882</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74,238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4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March 31, 2018, as compared to the same period in 2017, primarily due to slight increases at Gaylord National and Gaylord Texan. Utility costs decreased slightly during the three months ended March 31, 2018, as compared to the same period in 2017. Property taxes decreased during the three months ended March 31, 2018, as compared to the same period in 2017, primarily due to decreases at Gaylord Opryland, due to a decrease in tax rate, and Gaylord National, due to prior period tax settlements. Other expenses, which include supplies, advertising, maintenance costs and consulting costs, increased during the three months ended March 31, 2018, as compared to the same period in 2017, primarily as a result of various increases at Gaylord National, Gaylord Opryland and Gaylord Palms, partially offset by various decreases at Gaylord Texan.</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of our management agreements with Marriott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In the three months ended March 31, 2018 and 2017, we incurred $5.3 million and $5.1 million, respectively, related to base management fees for our Hospitality segment and $2.6 million and $1.2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million, respectively, related to incentive management fees for our Hospitality segment. Management fees are presented throughout this Quarterly Report on Form 10-Q net of the amortization of the $190.0 million in deferred management rights proceeds discussed in Note 8 to the accompanying condensed consolidated financial statements included herein.</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Hospitality segment depreciation and amortization expense increased in the three months ended March 31, 2018, as compared to the same period in 2017, primarily due to increases at Gaylord Opryland and Gaylord National, as described below.</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 three months ended March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ended March 31, 2018 and 2017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6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98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$35,758</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$31,500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37,996</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34,756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8,991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8,706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7"/>
        </w:trPr>
        <w:tc>
          <w:tcPr>
            <w:tcW w:w="6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74,962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8,683</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7,947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20,238</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18,578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22,586</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23,057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2,686</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1,806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8,678</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8,097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62,871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59,485</w:t>
            </w:r>
          </w:p>
        </w:tc>
        <w:tc>
          <w:tcPr>
            <w:tcW w:w="6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72.3%</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68.4%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$190.40</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$177.30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RevPAR</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$137.57</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$121.19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$318.35</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$288.40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Rooms revenue and RevPAR increased at Gaylord Opryland during the three months ended March 31, 2018, as compared to the same period in 2017, as the result of an increase in occupancy, due to an increase in group room nights, and an increase in ADR, due to an increase in both group and transient rates. Rooms revenue and RevPAR were negatively impacted during the 2017 period by a rooms renovation project, which resulted in approximately 18,250 room nights out of service. The rooms renovation project was completed in September 2017. Rooms expenses increased during the 2018 period, as compared to the 2017 period, primarily due to increased variable costs associated with the increase in occupancy.</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food and beverage revenue at Gaylord Opryland during the three months ended March 31, 2018, as compared to the same period in 2017, was primarily due to increased catering revenue associated with the increased group business. Food and beverage expenses increased in the 2018 period, as compared to the 2017 period, due to increased variable costs associated with the increase in revenue.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hotel revenue increased at Gaylord Opryland during the three months ended March 31, 2018, as compared to the same period in 2017, primarily due to an increase in ancillary revenue, such as parking and resort fees associated with the increase in occupancy, partially offset by a decrease in attrition and cancellation fee collections. Other hotel expenses decreased in the 2018 period, as compared to the 2017 period, primarily due to decreased property taxes due to a decrease in tax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Depreciation and amortization increased at Gaylord Opryland during the three months ended March 31, 2018, as compared to the same period in 2017, primarily as a result of recent rooms renovation projects that resulted in increased depreciable asset levels.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ended March 31, 2018 and 2017 are as follows (in thousands, except percentages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metrics):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6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98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$22,104</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$21,058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30,266</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28,497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5,526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4,642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r>
      <w:tr>
        <w:trPr>
          <w:trHeight w:val="27"/>
        </w:trPr>
        <w:tc>
          <w:tcPr>
            <w:tcW w:w="6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54,197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4,207</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4,507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14,271</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14,258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16,846</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16,295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1,535</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1,229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4,789</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4,795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41,084</w:t>
            </w:r>
          </w:p>
        </w:tc>
        <w:tc>
          <w:tcPr>
            <w:tcW w:w="6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79.8%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$210.74</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$206.97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RevPAR</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$173.44</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$165.24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$454.30</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$425.27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bl>
    <w:p>
      <w:pPr>
        <w:spacing w:after="0" w:line="20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Rooms revenue and RevPAR increased at Gaylord Palms during the three months ended March 31, 2018, as compared to the same period in 2017, due to an increase in both occupancy and ADR for transient business. Rooms expenses decreased during the 2018 period, as compared to the 2017 period, as the increase in variable costs associated with the increase in occupancy was offset by decreased commission costs and improved labor margins.</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Food and beverage revenue increased at Gaylord Palms during the three months ended March 31, 2018, as compared to the same period in 2017, due primarily to increased catering revenue. Food and beverage expenses remained stable in the 2018 period, as compared to the 2017 period, as improved labor margins and decreased food costs were partially offset by the increase in variable costs associated with the increase in revenue.</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hotel revenue at Gaylord Palms increased during the three months ended March 31, 2018, as compared to the same period in 2017, primarily due to an increase in ancillary revenue, such as parking and resort fees associated with the increase in occupancy, and increased end-of-season holiday programming revenue, partially offset by a decrease in attrition and cancellation fee collections. Other hotel expenses increased in the 2018 period, as compared to the 2017 period, primarily as a result of expenses associated with the end-of-season holiday programming.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were stable at Gaylord Palms during the three months ended March 31, 2018, as compared to the same period in 2017.</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ended March 31, 2018 and 2017 are as follows (in thousands, except percentages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 metrics):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5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98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$20,280</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$20,437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33,169</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30,566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4,908</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5,742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7"/>
        </w:trPr>
        <w:tc>
          <w:tcPr>
            <w:tcW w:w="6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58,357</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56,745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4,498</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4,398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16,250</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15,309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15,296</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14,799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1,699</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1,239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6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jc w:val="center"/>
              <w:ind w:left="19"/>
              <w:spacing w:after="0"/>
              <w:rPr>
                <w:sz w:val="20"/>
                <w:szCs w:val="20"/>
                <w:color w:val="auto"/>
              </w:rPr>
            </w:pPr>
            <w:r>
              <w:rPr>
                <w:rFonts w:ascii="Arial" w:cs="Arial" w:eastAsia="Arial" w:hAnsi="Arial"/>
                <w:sz w:val="18"/>
                <w:szCs w:val="18"/>
                <w:color w:val="auto"/>
                <w:w w:val="87"/>
              </w:rPr>
              <w:t>40,855</w:t>
            </w:r>
          </w:p>
        </w:tc>
        <w:tc>
          <w:tcPr>
            <w:tcW w:w="6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79.6%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$194.92</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$188.86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RevPAR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$149.13</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$150.29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$429.13</w:t>
            </w:r>
          </w:p>
        </w:tc>
        <w:tc>
          <w:tcPr>
            <w:tcW w:w="16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$417.28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Rooms revenue and RevPAR decreased slightly at Gaylord Texan during the three months ended March 31, 2018, as compared to the same period in 2017, due primarily to a decrease in transient occupancy, partially offset by an increase in ADR for both groups and transient business. Rooms expenses increased during the 2018 period, as compared to the 2017 period, primarily due an increase in group commissions.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Food and beverage revenue increased at Gaylord Texan during the three months ended March 31, 2018, as compared to the same period in 2017, due to increases in both catering and food and beverage outlets. Food and beverage expenses increased in the 2018 period, as compared to the 2017 period, primarily due to the increase in variable costs associated with the increase in revenue, partially offset by decreased food costs.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hotel revenue at Gaylord Texan decreased during the three months ended March 31, 2018, as compared to the same period in 2017, primarily as a result of a decrease in attrition and cancellation fee collections. Other hotel expenses increased in the 2018 period, as compared to the 2017 period, due primarily to increased property taxes associated with the upcoming rooms and meeting space expansion.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increased slightly at Gaylord Texan during the three months ended March 31, 2018, as compared to the 2017 period.</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ended March 31, 2018 and 2017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60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98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$25,193</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$25,676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30,425</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31,318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5,138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5,463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7"/>
        </w:trPr>
        <w:tc>
          <w:tcPr>
            <w:tcW w:w="6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62,457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10,208</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9,872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20,342</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20,177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19,022</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18,099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1,029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6,872</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55,693</w:t>
            </w:r>
          </w:p>
        </w:tc>
        <w:tc>
          <w:tcPr>
            <w:tcW w:w="6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70.7%</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69.7%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$198.24</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$205.20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RevPAR</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$140.24</w:t>
            </w: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$142.93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$338.21</w:t>
            </w: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$347.68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Rooms revenue and RevPAR decreased at Gaylord National during the three months ended March 31, 2018, as compared to the same period in 2017, due primarily to a decrease in ADR for both groups and transient business. Rooms expenses increased at Gaylord National during the 2018 period, as compared to the 2017 period, primarily due to the increase in variable costs associated with the increase in occupancy.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Food and beverage revenue decreased at Gaylord National during the three months ended March 31, 2018, as compared to the same period in 2017, primarily as a result of a decrease in banquets, as the 2017 period included inauguration-related banquets. Food and beverage expenses increased slightly in the 2018 period, as compared to the 2017 period, as increased labor expenses were partially offset by the decrease in variable costs associated with the decrease in revenue.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hotel revenue decreased during the three months ended March 31, 2018, as compared to the same period in 2017, primarily due to a decrease in attrition and cancellation fee collections. Other hotel expenses increased in the 2018 period, as compared to the 2017 period, due to an increase in sales and marketing expenses, partially offset by a decrease in property taxes due to prior period tax settlements.</w:t>
      </w:r>
    </w:p>
    <w:p>
      <w:pPr>
        <w:spacing w:after="0" w:line="1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Depreciation and amortization at Gaylord National increased during the three months ended March 31, 2018, as compared to the same period in 2017, primarily due to the completion of a new riverfront ballroom in 2017, and the resulting increase in depreciable asset levels.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months ended March 31, 2018 and 2017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23,259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21,888</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19,366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16,851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Operating income (1)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4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Entertainment segment operating income does not include preopening costs of $0.7 million and $0.2 million in the three months ended March 31, 2018 and 2017, respectively. See discussion of preopening costs below.</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Entertainment segment revenue increased during the three months ended March 31, 2018, as compared to the same period in 2017, primarily due to a revenue increase at the Grand Ole Opry, resulting from increased attendance and ancillary business such as tours and retail.</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Entertainment operating expenses increased during the three months ended March 31, 2018, as compared to the same period in 2017, primarily as a result of increased compensation and consulting costs, as well as increased variable costs associated with the increase in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Entertainment depreciation expense remained stable in the three months ended March 31, 2018, as compared to the same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Corporate and Other segment for the three months ended March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 except percentages):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$ 8,329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$ 7,409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5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(8,838)</w:t>
            </w:r>
          </w:p>
        </w:tc>
        <w:tc>
          <w:tcPr>
            <w:tcW w:w="15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(7,960)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0"/>
        </w:trPr>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information technology and other administrative costs, increased in the three months ended March 31, 2018, as compared to the same period in 2017, primarily due to increased administrative and employment costs associated with supporting our growth initiatives within our Hospitality and Entertainment segments.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Corporate and Other depreciation and amortization expense decreased slightly in the three months ended March 31, 2018, as compared with the same period in 2017.</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Preopening costs of $2.1 million during the three months ended March 31, 2018 primarily include costs associated with an expansion of the guest rooms and convention space at Gaylord Texan, which is expected to open in the second quarter of 2018, and costs associated with Ole Red Nashville, which is also expected to open in the second quarter of 2018. Preopening costs of $0.2 million during the three months ended March 31, 2017 include costs associated with a riverfront ballroom at Gaylord National, which opened in the second quarter of 2017, and costs associated with our various Entertainment segment projects.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three months ended March 31, 2018 and 2017 (in thousands, except percentages):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$(16,729)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$(15,864)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2,753</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2,948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(2,588)</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(2,209)</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expense increased $0.9 million during the three months ended March 31, 2018, as compared to the same period in 2017, due primarily to increased interest incurred in connection with our term loan A and increased term loan B, which were both refinanced in April 2017. These increases were partially offset by increased capitalized interest in the current period, as well as decreased interest expense associated with our revolving credit facility due to lower borrowings in the current period.</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Cash interest expense increased $2.1 million to $17.8 million in the three months ended March 31, 2018, as compared to the same period in 2017. Non-cash interest expense, which includes amortization of deferred financing costs, offset by capitalized interest, decreased $1.2 million to $(1.1) million in the three months ended March 31, 2018, as compared to the same period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weighted average interest rate on our borrowings was 4.6% and 4.4% for the three months ended March 31, 2018 and 2017,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Interest income for the three months ended March 31, 2018 and 2017 primarily includes amounts earned on the bonds that were received in connection with the development of Gaylord National, which we hold as notes receivable.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Joint Ventures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loss from joint ventures for the three months ended March 31, 2018 and 2017 primarily represents preopening expenses incurred by our Gaylord Rockies joint venture, which is anticipated to open in late 2018, as well as pre-opening expenses in the 2017 period and losses incurred in the 2018 period by our Opry City Stage joint venture in Times Square in New York City, which opened in December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gains and (losses), net for the three months ended March 31, 2018 and 2017 represents various miscellaneous items.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and 2017, we recorded an income tax provision of $2.2 million and $0.6 million, respectively. These results differ from the statutory rate primarily due to the REIT dividends paid deduction in both periods and the change in valuation allowance required at the TRSs for the 2017 period.</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December 22, 2017, the Tax Cuts and Jobs Act (“TCJA”) was enacted and included a reduction to the U.S. federal corporate income tax rate from 35% to 21% for tax years beginning after December 31, 2017. We have not fully completed our accounting for the income tax effects of the TCJA. As discussed in SEC Staff Accounting Bulletin No. 118, the accounting for the TCJA should be completed within one year from enactment. During the three months ended March 31, 2018, we have made no adjustments to the provisional amounts recorded at December 31, 2017. Any adjustments to the provisional amounts recorded at December 31, 2017 will be reflected upon the completion of our accounting for the TCJA.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flow from operating activities is the principal source of cash used to fund our operating expenses,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debt, maintenance capital expenditures, and dividends to stockholders. During the three months ended March 31, 2018, our net cash flows provided by operating activities were $43.9 million, primarily reflecting cash provided by our income before depreciation expense, amortization expense and other non-cash charges of approximately $61.1 million, partially offset by unfavorable changes in working capital of approximately $17.2 million. During the three months ended March 31, 2017, our net cash flows provided by operating activities were $38.3 million, primarily reflecting cash provided by our income before depreciation expense, amortization expense and other non-cash charges of approximately $62.9 million, partially offset by unfavorable changes in working capital of approximately $24.6 million. The unfavorable changes in working capital in both periods primarily resulted from an increase in trade receivables due to a seasonal change in the timing of payments received from corporate group customers at our Gaylord Hotels properties, as well as a decrease in accounts payable and accrued liabilities primarily attributable to the payment of liabilities associated with our Christmas-related and incentive compensation programs.</w:t>
      </w:r>
    </w:p>
    <w:p>
      <w:pPr>
        <w:spacing w:after="0" w:line="19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During the three months ended March 31, 2018, our primary uses of funds for investing activities were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which totaled $47.6 million, and consisted primarily of the expansion of the guest rooms and convention space at Gaylord Texan, construction of the new waterpark at Gaylord Opryland, and ongoing maintenance capital expenditures for our existing properties.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During the three months ended March 31, 2017, our primary uses of funds for investing activities were purchases of property and equipment, which totaled $37.7 million, and our investment of $16.3 million in the Gaylord Rockies joint venture. Purchases of property and equipment consisted primarily of the renovation of a portion of the guest rooms at Gaylord Opryland, the expansion of the guest rooms and convention space at Gaylord Texan, a freestanding event ballroom and an expanded event space at Gaylord National, and ongoing maintenance capital expenditures for our existing properties.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Financing Activities</w:t>
      </w:r>
      <w:r>
        <w:rPr>
          <w:rFonts w:ascii="Arial" w:cs="Arial" w:eastAsia="Arial" w:hAnsi="Arial"/>
          <w:sz w:val="16"/>
          <w:szCs w:val="16"/>
          <w:color w:val="auto"/>
        </w:rPr>
        <w:t>. Our cash flows from financing activities primarily reflect the incurrence of debt, the repayment of long-term debt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payment of cash dividends. During the three months ended March 31, 2018, our net cash flows provided by financing activities were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$14.9 million, primarily reflecting $56.5 million in net borrowings under our credit facility, partially offset by the payment of $41.0 million in cash dividends.</w:t>
      </w:r>
    </w:p>
    <w:p>
      <w:pPr>
        <w:spacing w:after="0" w:line="2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three months ended March 31, 2017, our net cash flows used in financing activities were approximately $9.6 million, primarily reflecting the payment of $38.9 million in cash dividends, partially offset by $33.0 million in net borrowings under our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March 31, 2018, we had $59.0 million in unrestricted cash and $470.7 million available for borrowing under our revolving credit facility. During the three months ended March 31, 2018, we net borrowed $56.5 million under our credit facility, incurred capital expenditures of $47.6 million and paid cash dividends of $41.0 million. These net outflows were offset by cash flows from operating activities discussed above, resulting in the increase in our cash balance from December 31, 2017 to March 31, 2018.</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plan to pay a quarterly cash dividend of $0.85 per share in July 2018, October 2018 and January 2019, subject to determinations as to the timing and amount by our board of directors. We anticipate investing in our operations during the remainder of 2018 by spending between $130 million and</w:t>
      </w:r>
    </w:p>
    <w:p>
      <w:pPr>
        <w:ind w:right="260"/>
        <w:spacing w:after="0" w:line="290" w:lineRule="auto"/>
        <w:rPr>
          <w:sz w:val="20"/>
          <w:szCs w:val="20"/>
          <w:color w:val="auto"/>
        </w:rPr>
      </w:pPr>
      <w:r>
        <w:rPr>
          <w:rFonts w:ascii="Arial" w:cs="Arial" w:eastAsia="Arial" w:hAnsi="Arial"/>
          <w:sz w:val="17"/>
          <w:szCs w:val="17"/>
          <w:color w:val="auto"/>
        </w:rPr>
        <w:t>$160 million in capital expenditures, which primarily includes ongoing maintenance capital of our current facilities, the completion of the expansion of the guest rooms and convention space at Gaylord Texan, and the construction of a luxury indoor/outdoor waterpark at Gaylord Opryland.</w:t>
      </w:r>
    </w:p>
    <w:p>
      <w:pPr>
        <w:spacing w:after="0" w:line="1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capital lease and operating lease obligations, and (iv) declared dividends. If our existing cash and cash from operations were inadequate to fund such items, as well as capital expenditures, we could draw on our credit facility, subject to the satisfaction of covenants in the credit facility.</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outstanding principal debt agreements, none of which mature prior to 2021, are described below. Based on current projections for compliance under our financial covenants contained in these agreements, we do not foresee a maturity issue prior to their scheduled maturity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we were in compliance with all covenants related to our outstanding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 On May 11, 2017, we entered into a Fifth Amended and Restated Credit Agreement (the “Amended Credit Agreement”) among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to the Amended Credit Agreement among the same parties.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w:t>
      </w:r>
    </w:p>
    <w:p>
      <w:pPr>
        <w:ind w:right="180" w:firstLine="8"/>
        <w:spacing w:after="0" w:line="302"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Amended Credit Agreement are as follows (and are unchanged from the previous credit agreement):</w:t>
      </w:r>
    </w:p>
    <w:p>
      <w:pPr>
        <w:spacing w:after="0" w:line="9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must maintain a consolidated funded indebtedness to total asset value ratio as of the end of each calendar quarter of not more than .65 to 1.0.</w:t>
      </w:r>
    </w:p>
    <w:p>
      <w:pPr>
        <w:spacing w:after="0" w:line="1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must maintain a consolidated tangible net worth (as defined in the Amended Credit Agreement) of not less than $175 million plus 75% of the proceeds received by us or any of our subsidiaries in connection with any equity issuance.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must maintain a consolidated fixed charge coverage ratio (as defined in the Amended Credit Agreement) of not less than 1.50 to 1.00.</w:t>
      </w:r>
    </w:p>
    <w:p>
      <w:pPr>
        <w:spacing w:after="0" w:line="142" w:lineRule="exact"/>
        <w:rPr>
          <w:rFonts w:ascii="Arial" w:cs="Arial" w:eastAsia="Arial" w:hAnsi="Arial"/>
          <w:sz w:val="17"/>
          <w:szCs w:val="17"/>
          <w:color w:val="auto"/>
        </w:rPr>
      </w:pPr>
    </w:p>
    <w:p>
      <w:pPr>
        <w:ind w:left="900" w:right="8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an event of default shall occur and be continuing under the Amended Credit Agreement, the commitments under the Amended Credit Agreement may be terminated and the principal amount outstanding under the Amended Credit Agreement, together with all accrued unpaid interest and other amounts owing in respect thereof, may be declared immediately due and payable.</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$700 Million Revolving Credit Facility</w:t>
      </w:r>
      <w:r>
        <w:rPr>
          <w:rFonts w:ascii="Arial" w:cs="Arial" w:eastAsia="Arial" w:hAnsi="Arial"/>
          <w:sz w:val="16"/>
          <w:szCs w:val="16"/>
          <w:color w:val="auto"/>
        </w:rPr>
        <w:t>. Pursuant to the Amendment, we extended the maturity of the Revolver to May 23, 2021, with two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six-month extension options, at our election. Borrowings under the Revolver bear interest at an annual rate equal to, at our option, either (i) LIBOR plus the applicable margin ranging from 1.55% to 2.40%, dependent upon our funded debt to total asset value ratio (as defined in the Amended Credit Agreement) or</w:t>
      </w:r>
    </w:p>
    <w:p>
      <w:pPr>
        <w:ind w:right="60" w:firstLine="8"/>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base rate as set in the Amended Credit Agreement. At March 31, 2018, the interest rate on the Revolver was LIBOR plus 1.55%. Principal is payable in full at maturity. No additional amounts were borrowed under the Revolver at closing.</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At March 31, 2018, $227.5 million of borrowings were outstanding under the Revolver, and the lending banks had issued $1.8 million of letters of credit under the Amended Credit Agreement, which left $470.7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March 31, 2018).</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$200 Million Term Loan A Facility. </w:t>
      </w:r>
      <w:r>
        <w:rPr>
          <w:rFonts w:ascii="Arial" w:cs="Arial" w:eastAsia="Arial" w:hAnsi="Arial"/>
          <w:sz w:val="17"/>
          <w:szCs w:val="17"/>
          <w:color w:val="auto"/>
        </w:rPr>
        <w:t>The Amendment also provides for the Term Loan A, which has a maturity date of May 23, 2022. Borrowings bear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at an annual rate equal to, at our option, either (i) LIBOR plus the applicable margin ranging from 1.50% to 2.35%, dependent upon our funded debt to total asset value ratio (as defined in the Amended Credit Agreement) or (ii) a base rate as set in the Amended Credit Agreement. At March 31, 2018,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$500 Million Term Loan B Facility. </w:t>
      </w:r>
      <w:r>
        <w:rPr>
          <w:rFonts w:ascii="Arial" w:cs="Arial" w:eastAsia="Arial" w:hAnsi="Arial"/>
          <w:sz w:val="17"/>
          <w:szCs w:val="17"/>
          <w:color w:val="auto"/>
        </w:rPr>
        <w:t>In May 2017, as part of the Amended Credit Agreement discussed above, we increased the capacity under our previous</w:t>
      </w:r>
      <w:r>
        <w:rPr>
          <w:rFonts w:ascii="Arial" w:cs="Arial" w:eastAsia="Arial" w:hAnsi="Arial"/>
          <w:sz w:val="17"/>
          <w:szCs w:val="17"/>
          <w:i w:val="1"/>
          <w:iCs w:val="1"/>
          <w:color w:val="auto"/>
        </w:rPr>
        <w:t xml:space="preserve"> </w:t>
      </w:r>
      <w:r>
        <w:rPr>
          <w:rFonts w:ascii="Arial" w:cs="Arial" w:eastAsia="Arial" w:hAnsi="Arial"/>
          <w:sz w:val="17"/>
          <w:szCs w:val="17"/>
          <w:color w:val="auto"/>
        </w:rPr>
        <w:t>$400 million term loan B to $500 million. The Term Loan B has a maturity date of May 11, 2024 and borrowings bear interest at an annual rate equal to, at our option, either (i) LIBOR plus 2.25% or (ii) a base rate as set in the Amended Credit Agreement. At March 31, 2018, the interest rate on the Term Loan B was LIBOR plus 2.25%. The Term Loan B amortizes in equal quarterly installments in aggregate annual amounts equal to 1.0% of the original principal amount of $500.0 million, with the balance due at maturity. In addition, if for any fiscal year, there is Excess Cash Flow (as defined in the Amended Credit Agreement), an additional principal amount is required. Amounts borrowed under the Term Loan B that are repaid or prepaid may not be reborrowed. At closing, we drew down on the Term Loan B in full. Net proceeds, after the repayment of the original $400 million term loan B and certain transaction expenses payable at closing, were used to pay down a portion of the Revolver.</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$350 Million 5% Senior Notes. </w:t>
      </w:r>
      <w:r>
        <w:rPr>
          <w:rFonts w:ascii="Arial" w:cs="Arial" w:eastAsia="Arial" w:hAnsi="Arial"/>
          <w:sz w:val="17"/>
          <w:szCs w:val="17"/>
          <w:color w:val="auto"/>
        </w:rPr>
        <w:t>In 2013, the Operating Partnership and Finco completed the private placement of $350.0 million in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senior notes due 2021, which are guaranteed by the Company and its subsidiaries that guarantee the Amended Credit Agreement.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8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$350 Million 5% Senior Notes are redeemable, in whole or in part, at a redemption price expressed as a percentage of the principal amount thereof, which percentage is 101.25%, and 100.00% beginning on April 15 of 2018, and 2019, respectively, plus accrued and unpaid interest thereon to, but not including, the redemption date.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$400 Million 5% Senior Notes. </w:t>
      </w:r>
      <w:r>
        <w:rPr>
          <w:rFonts w:ascii="Arial" w:cs="Arial" w:eastAsia="Arial" w:hAnsi="Arial"/>
          <w:sz w:val="18"/>
          <w:szCs w:val="18"/>
          <w:color w:val="auto"/>
        </w:rPr>
        <w:t>In 2015, the Operating Partnership and Finco completed the private placement of $400.0 million in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senior notes due 2023. The $400 Million 5% Senior Notes are general unsecured senior obligations of the Company’s issuing subsidiaries and are guaranteed by the Company and its subsidiaries that guarantee the Amended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$400 Million 5% Senior Notes are redeemable, in whole or in part, at any time on or after April 15, 2018 at a redemption price expressed as a percentage of the principal amount thereof, which percentage is 103.75%, 102.50%, 101.25%, and 100.00% beginning on April 15 of 2018, 2019, 2020, and 2021, respectively, plus accrued and unpaid interest thereon to, but not including, the redemption date.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we are subject to certain debt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31" w:lineRule="exact"/>
        <w:rPr>
          <w:sz w:val="20"/>
          <w:szCs w:val="20"/>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75" w:lineRule="exact"/>
        <w:rPr>
          <w:rFonts w:ascii="Arial" w:cs="Arial" w:eastAsia="Arial" w:hAnsi="Arial"/>
          <w:sz w:val="18"/>
          <w:szCs w:val="18"/>
          <w:color w:val="auto"/>
        </w:rPr>
      </w:pPr>
    </w:p>
    <w:p>
      <w:pPr>
        <w:ind w:left="900" w:right="28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31" w:lineRule="exact"/>
        <w:rPr>
          <w:sz w:val="20"/>
          <w:szCs w:val="20"/>
          <w:color w:val="auto"/>
        </w:rPr>
      </w:pPr>
    </w:p>
    <w:p>
      <w:pPr>
        <w:ind w:left="900" w:right="2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described in Note 12 to our condensed consolidated financial statements included herein, we have invested in a joint venture that is building and owns Gaylord Rockies. In connection with this investment, we agreed to provide guarantees of the hotel’s construction loan, including a principal repayment guaranty of up to $21 million of the total $500 million principal amount of the construction loan previously obtained from a consortium of eight banks, with such amount reducing to $14 million and further reducing to $8.75 million upon Gaylord Rockies’ satisfaction of designated debt service coverage requirements following completion and opening of the hotel. We have also provided a completion guarantee under the construction loan capped at our pro rata share of all costs necessary to complete the project within the time specified in the senior loan documents. Further, we have agreed to a guaranty capped at our pro rata share of the joint venture’s obligations under the construction loan prior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hotel’s opening related to interest accruing under the construction loan and the operating expenses of the property (estimated pro rata share of interest prior to the hotel opening is $9.8 million). In addition to guaranties related to the construction loan, we agreed to provide a guaranty of the mezzanine debt related to the hotel including a payment guaranty capped at $8.75 million for which we are only liable in the event there is a casualty or condemnation event at the hotel and the construction lenders elect to apply those proceeds to the construction loan balance and release the construction loan guaranties and liens. The guaranty related to the mezzanine debt also includes an uncapped completion guaranty and an uncapped guaranty of the joint venture’s obligations under the mezzanine loan prior to the hotel’s opening related to interest accruing under the mezzanine loan and the operating expenses of the property to the extent not already satisfied by the parties under the guaranties related to the construction loan. As of March 31, 2018, we have not recorded any liability in the condensed consolidated balance sheet associated with these guarantees.</w:t>
      </w:r>
    </w:p>
    <w:p>
      <w:pPr>
        <w:spacing w:after="0" w:line="1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we enter into commitments under letters of credit, primarily for the purpose of securing our deductible obligations with our insurers, and lending banks under our Amended Credit Agreement had issued $1.8 million of letters of credit at March 31, 2018.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March 31, 2018, including long-term debt and operating and capital lease commitments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w w:val="90"/>
              </w:rPr>
              <w:t>Total amounts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Payment due by Period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Less than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5"/>
              <w:spacing w:after="0" w:line="123" w:lineRule="exact"/>
              <w:rPr>
                <w:sz w:val="20"/>
                <w:szCs w:val="20"/>
                <w:color w:val="auto"/>
              </w:rPr>
            </w:pPr>
            <w:r>
              <w:rPr>
                <w:rFonts w:ascii="Arial" w:cs="Arial" w:eastAsia="Arial" w:hAnsi="Arial"/>
                <w:sz w:val="14"/>
                <w:szCs w:val="14"/>
                <w:color w:val="auto"/>
                <w:w w:val="95"/>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480" w:type="dxa"/>
            <w:vAlign w:val="bottom"/>
            <w:gridSpan w:val="3"/>
          </w:tcPr>
          <w:p>
            <w:pPr>
              <w:spacing w:after="0"/>
              <w:rPr>
                <w:sz w:val="20"/>
                <w:szCs w:val="20"/>
                <w:color w:val="auto"/>
              </w:rPr>
            </w:pPr>
            <w:r>
              <w:rPr>
                <w:rFonts w:ascii="Arial" w:cs="Arial" w:eastAsia="Arial" w:hAnsi="Arial"/>
                <w:sz w:val="14"/>
                <w:szCs w:val="14"/>
                <w:color w:val="auto"/>
              </w:rPr>
              <w:t>Contractual obligations</w:t>
            </w:r>
          </w:p>
        </w:tc>
        <w:tc>
          <w:tcPr>
            <w:tcW w:w="22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committed</w:t>
            </w:r>
          </w:p>
        </w:tc>
        <w:tc>
          <w:tcPr>
            <w:tcW w:w="8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1 year</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1-3 years</w:t>
            </w: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10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Long-term debt (1)</w:t>
            </w:r>
          </w:p>
        </w:tc>
        <w:tc>
          <w:tcPr>
            <w:tcW w:w="3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$1,673,750</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2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9"/>
              </w:rPr>
              <w:t>$10,000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$787,500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871,250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617,452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Construction commitments (3)</w:t>
            </w:r>
          </w:p>
        </w:tc>
        <w:tc>
          <w:tcPr>
            <w:tcW w:w="2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25,537</w:t>
            </w:r>
          </w:p>
        </w:tc>
        <w:tc>
          <w:tcPr>
            <w:tcW w:w="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25,537</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2,317,373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35,445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20,296</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798,411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1,463,221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60" w:hanging="452"/>
        <w:spacing w:after="0" w:line="26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Long-term debt commitments do not include approximately $326.3 million in interest payments projected to be due in future years (less than 1 year – $72.1 million; 1-3 years – $143.8 million; 3-5 years – $88.4 million; more than 5 years – $22.0 million) based on the stated interest rates on our fixed-rate debt and the rates in effect at March 31, 2018 for our variable-rate debt.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2017 for a discussion of the interest we paid during the fiscal years 2017, 2016 and 2015.</w:t>
      </w:r>
    </w:p>
    <w:p>
      <w:pPr>
        <w:spacing w:after="0" w:line="1" w:lineRule="exact"/>
        <w:rPr>
          <w:rFonts w:ascii="Arial" w:cs="Arial" w:eastAsia="Arial" w:hAnsi="Arial"/>
          <w:sz w:val="17"/>
          <w:szCs w:val="17"/>
          <w:color w:val="auto"/>
        </w:rPr>
      </w:pP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operating lease commitments of $617.5 million includes the 75-year operating lease agreement we entered into during 1999 for 65.3 acres of land located in Osceola County, Florida where Gaylord Palms is located.</w:t>
      </w:r>
    </w:p>
    <w:p>
      <w:pPr>
        <w:ind w:left="460" w:right="20" w:hanging="452"/>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March 31, 2018, $25.5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10-K for the year ended December 31, 2017 for further discussion related to these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income taxes, pension and postretirement benefits other than pension plans,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2017. There were no newly identified critical accounting policies in the first three months of 2018 nor were there any material changes to the critical accounting policies and estimates discussed in our Annual Report on Form 10-K for the year ended December 31, 2017.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Borrowings outstanding under the Revolver bear interest at an annual rate of LIBOR plus 1.55%, subject to adjustment as described in the Amended Credit Agreement. If LIBOR were to increase by 100 basis points, our annual interest cost on the $227.5 million in borrowings outstanding under the Revolver at March 31, 2018 would increase by approximately $2.3 million.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described in the Amended Credit Agreement. If LIBOR were to increase by 100 basis points, our annual interest cost on the $200.0 million in borrowings outstanding under our Term Loan A at March 31, 2018 would increase by approximately $2.0 million.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2.25%, subject to adjustment as described in the Amended Credit Agreement. If LIBOR were to increase by 100 basis points, our annual interest cost on the $496.3 million in borrowings outstanding under our Term Loan B at March 31, 2018 would increase by approximately $5.0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March 31, 2018. As a result, the interest rate market risk implicit in these investments at March 31, 2018, if any, is 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March 31, 2018, the value of the investments in the pension plan was $67.3 million, and an immediate 10% decrease in this value would have reduced the value of the investments in the pension plan by approximately $6.7 million.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12, “Commitments and Contingencies,” to our condensed consolidated financial statements included herein and which our management deems immaterial and will not have a material effect on our results of operations, financial condition or liquidity.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material changes in our “Risk Factors” as previously set forth in the Company’s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4"/>
                <w:szCs w:val="14"/>
                <w:color w:val="auto"/>
                <w:w w:val="96"/>
              </w:rPr>
              <w:t>Exhibit Number</w:t>
            </w:r>
          </w:p>
        </w:tc>
        <w:tc>
          <w:tcPr>
            <w:tcW w:w="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300" w:type="dxa"/>
            <w:vAlign w:val="bottom"/>
            <w:gridSpan w:val="10"/>
          </w:tcPr>
          <w:p>
            <w:pPr>
              <w:spacing w:after="0"/>
              <w:rPr>
                <w:sz w:val="20"/>
                <w:szCs w:val="20"/>
                <w:color w:val="auto"/>
              </w:rPr>
            </w:pPr>
            <w:r>
              <w:rPr>
                <w:rFonts w:ascii="Arial" w:cs="Arial" w:eastAsia="Arial" w:hAnsi="Arial"/>
                <w:sz w:val="14"/>
                <w:szCs w:val="14"/>
                <w:color w:val="auto"/>
              </w:rPr>
              <w:t>Description</w:t>
            </w:r>
          </w:p>
        </w:tc>
      </w:tr>
      <w:tr>
        <w:trPr>
          <w:trHeight w:val="20"/>
        </w:trPr>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1"/>
                <w:szCs w:val="21"/>
                <w:color w:val="auto"/>
              </w:rPr>
            </w:pPr>
          </w:p>
        </w:tc>
        <w:tc>
          <w:tcPr>
            <w:tcW w:w="9860" w:type="dxa"/>
            <w:vAlign w:val="bottom"/>
            <w:tcBorders>
              <w:bottom w:val="single" w:sz="8" w:color="0000EE"/>
            </w:tcBorders>
            <w:gridSpan w:val="11"/>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Amended and Restated Certificate of Incorporation of Ryman Hospitality Properties, Inc. (incorporated by reference to Exhibit 3.1 to the</w:t>
              </w:r>
            </w:hyperlink>
          </w:p>
        </w:tc>
        <w:tc>
          <w:tcPr>
            <w:tcW w:w="60" w:type="dxa"/>
            <w:vAlign w:val="bottom"/>
            <w:gridSpan w:val="2"/>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Company’s Current Report on Form 8-K filed October 1, 2012).</w:t>
              </w:r>
            </w:hyperlink>
          </w:p>
        </w:tc>
        <w:tc>
          <w:tcPr>
            <w:tcW w:w="5300" w:type="dxa"/>
            <w:vAlign w:val="bottom"/>
            <w:gridSpan w:val="10"/>
          </w:tcPr>
          <w:p>
            <w:pPr>
              <w:spacing w:after="0"/>
              <w:rPr>
                <w:sz w:val="17"/>
                <w:szCs w:val="17"/>
                <w:color w:val="auto"/>
              </w:rPr>
            </w:pPr>
          </w:p>
        </w:tc>
      </w:tr>
      <w:tr>
        <w:trPr>
          <w:trHeight w:val="304"/>
        </w:trPr>
        <w:tc>
          <w:tcPr>
            <w:tcW w:w="10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9880" w:type="dxa"/>
            <w:vAlign w:val="bottom"/>
            <w:tcBorders>
              <w:bottom w:val="single" w:sz="8" w:color="0000EE"/>
            </w:tcBorders>
            <w:gridSpan w:val="12"/>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Bylaws of Ryman Hospitality Properties, Inc. (incorporated by reference to Exhibit 3.2 to the Company’s Current</w:t>
              </w:r>
            </w:hyperlink>
          </w:p>
        </w:tc>
        <w:tc>
          <w:tcPr>
            <w:tcW w:w="4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Report on Form 8-K filed October 1, 2012).</w:t>
              </w:r>
            </w:hyperlink>
          </w:p>
        </w:tc>
        <w:tc>
          <w:tcPr>
            <w:tcW w:w="6760" w:type="dxa"/>
            <w:vAlign w:val="bottom"/>
            <w:gridSpan w:val="11"/>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600" w:type="dxa"/>
            <w:vAlign w:val="bottom"/>
            <w:tcBorders>
              <w:bottom w:val="single" w:sz="8" w:color="0000EE"/>
            </w:tcBorders>
            <w:gridSpan w:val="9"/>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Severance Agreement dated as of February 26, 2018 between the Company and Patrick Chaffin (incorporated by reference to Exhibit</w:t>
              </w:r>
            </w:hyperlink>
          </w:p>
        </w:tc>
        <w:tc>
          <w:tcPr>
            <w:tcW w:w="320" w:type="dxa"/>
            <w:vAlign w:val="bottom"/>
            <w:gridSpan w:val="4"/>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21</w:t>
              </w:r>
              <w:r>
                <w:rPr>
                  <w:rFonts w:ascii="Arial" w:cs="Arial" w:eastAsia="Arial" w:hAnsi="Arial"/>
                  <w:sz w:val="18"/>
                  <w:szCs w:val="18"/>
                  <w:color w:val="0000EE"/>
                </w:rPr>
                <w:t xml:space="preserve"> to the Company’s Annual Report on Form 10-K filed February 27, 2018).</w:t>
              </w:r>
            </w:hyperlink>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Severance Agreement dated as of February 26, 2018 between the Company and Scott Lynn (incorporated by reference to Exhibit 10.22 to</w:t>
              </w:r>
            </w:hyperlink>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the Company’s Annual Report on Form 10-K filed February 27, 2018).</w:t>
              </w:r>
            </w:hyperlink>
          </w:p>
        </w:tc>
        <w:tc>
          <w:tcPr>
            <w:tcW w:w="4800" w:type="dxa"/>
            <w:vAlign w:val="bottom"/>
            <w:gridSpan w:val="9"/>
          </w:tcPr>
          <w:p>
            <w:pPr>
              <w:spacing w:after="0"/>
              <w:rPr>
                <w:sz w:val="17"/>
                <w:szCs w:val="17"/>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Severance Agreement dated as of February 26, 2018 between the Company and Jennifer Hutcheson (incorporated by reference to Exhibit</w:t>
              </w:r>
            </w:hyperlink>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10.</w:t>
              </w:r>
              <w:r>
                <w:rPr>
                  <w:rFonts w:ascii="Arial" w:cs="Arial" w:eastAsia="Arial" w:hAnsi="Arial"/>
                  <w:sz w:val="18"/>
                  <w:szCs w:val="18"/>
                  <w:u w:val="single" w:color="auto"/>
                  <w:color w:val="0000EE"/>
                </w:rPr>
                <w:t>23</w:t>
              </w:r>
              <w:r>
                <w:rPr>
                  <w:rFonts w:ascii="Arial" w:cs="Arial" w:eastAsia="Arial" w:hAnsi="Arial"/>
                  <w:sz w:val="18"/>
                  <w:szCs w:val="18"/>
                  <w:color w:val="0000EE"/>
                </w:rPr>
                <w:t xml:space="preserve"> to the Company’s Annual Report on Form 10-K filed February 27, 2018).</w:t>
              </w:r>
            </w:hyperlink>
          </w:p>
        </w:tc>
        <w:tc>
          <w:tcPr>
            <w:tcW w:w="40" w:type="dxa"/>
            <w:vAlign w:val="bottom"/>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36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Colin V. Reed pursuant to Section 302 of Sarbanes-Oxley Act of 2002.</w:t>
              </w:r>
            </w:hyperlink>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86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of Mark Fioravanti pursuant to Section 302 of Sarbanes-Oxley Act of 2002.</w:t>
              </w:r>
            </w:hyperlink>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20" w:type="dxa"/>
            <w:vAlign w:val="bottom"/>
            <w:gridSpan w:val="7"/>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9920" w:type="dxa"/>
            <w:vAlign w:val="bottom"/>
            <w:gridSpan w:val="1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Certification of Colin V. Reed and Mark Fioravanti pursuant to 18 U.S.C. Section 1350, as adopted pursuant to Section 906 of Sarbanes-</w:t>
              </w:r>
            </w:hyperlink>
          </w:p>
        </w:tc>
      </w:tr>
      <w:tr>
        <w:trPr>
          <w:trHeight w:val="196"/>
        </w:trPr>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Oxley Act of 2002.</w:t>
              </w:r>
            </w:hyperlink>
          </w:p>
        </w:tc>
        <w:tc>
          <w:tcPr>
            <w:tcW w:w="100" w:type="dxa"/>
            <w:vAlign w:val="bottom"/>
            <w:gridSpan w:val="3"/>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540" w:type="dxa"/>
            <w:vAlign w:val="bottom"/>
            <w:gridSpan w:val="12"/>
          </w:tcPr>
          <w:p>
            <w:pPr>
              <w:spacing w:after="0" w:line="20" w:lineRule="exact"/>
              <w:rPr>
                <w:sz w:val="1"/>
                <w:szCs w:val="1"/>
                <w:color w:val="auto"/>
              </w:rPr>
            </w:pPr>
          </w:p>
        </w:tc>
      </w:tr>
      <w:tr>
        <w:trPr>
          <w:trHeight w:val="330"/>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w w:val="92"/>
              </w:rPr>
              <w:t>The following materials from Ryman Hospitality Properties, Inc.’s Quarterly Report on Form 10-Q for the quarterly period ended March</w:t>
            </w:r>
          </w:p>
        </w:tc>
      </w:tr>
      <w:tr>
        <w:trPr>
          <w:trHeight w:val="216"/>
        </w:trPr>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w w:val="93"/>
              </w:rPr>
              <w:t>31, 2018, formatted in XBRL (eXtensible Business Reporting Language): (i) Condensed Consolidated Balance Sheets (unaudited) at</w:t>
            </w:r>
          </w:p>
        </w:tc>
      </w:tr>
      <w:tr>
        <w:trPr>
          <w:trHeight w:val="216"/>
        </w:trPr>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w w:val="90"/>
              </w:rPr>
              <w:t>March 31, 2018 and December 31, 2017, (ii) Condensed Consolidated Statements of Operations and Comprehensive Income (unaudited)</w:t>
            </w:r>
          </w:p>
        </w:tc>
      </w:tr>
      <w:tr>
        <w:trPr>
          <w:trHeight w:val="216"/>
        </w:trPr>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w w:val="91"/>
              </w:rPr>
              <w:t>for the three months ended March 31, 2018 and 2017, (iii) Condensed Consolidated Statements of Cash Flows (unaudited) for the three</w:t>
            </w:r>
          </w:p>
        </w:tc>
      </w:tr>
      <w:tr>
        <w:trPr>
          <w:trHeight w:val="230"/>
        </w:trPr>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months ended March 31, 2018 and 2017, and (iv) Notes to Condensed Consolidated Financial Statements (unaudited).</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Furnished herewith.</w:t>
            </w:r>
          </w:p>
        </w:tc>
      </w:tr>
      <w:tr>
        <w:trPr>
          <w:trHeight w:val="365"/>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20" w:type="dxa"/>
            <w:vAlign w:val="bottom"/>
            <w:gridSpan w:val="4"/>
          </w:tcPr>
          <w:p>
            <w:pPr>
              <w:jc w:val="right"/>
              <w:ind w:right="320"/>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26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May 3, 2018</w:t>
            </w:r>
          </w:p>
        </w:tc>
        <w:tc>
          <w:tcPr>
            <w:tcW w:w="7780" w:type="dxa"/>
            <w:vAlign w:val="bottom"/>
            <w:gridSpan w:val="2"/>
          </w:tcPr>
          <w:p>
            <w:pPr>
              <w:ind w:left="2260"/>
              <w:spacing w:after="0"/>
              <w:rPr>
                <w:sz w:val="20"/>
                <w:szCs w:val="20"/>
                <w:color w:val="auto"/>
              </w:rPr>
            </w:pPr>
            <w:r>
              <w:rPr>
                <w:rFonts w:ascii="Arial" w:cs="Arial" w:eastAsia="Arial" w:hAnsi="Arial"/>
                <w:sz w:val="18"/>
                <w:szCs w:val="18"/>
                <w:color w:val="auto"/>
              </w:rPr>
              <w:t>By:  /s/ Colin V. Reed</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Chairman of the Board of Directors and</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Mark Fioravanti</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Mark Fioravanti</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4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w w:val="99"/>
              </w:rPr>
              <w:t>By:</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Jennifer Hutcheson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Jennifer Hutcheson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w:t>
            </w:r>
          </w:p>
        </w:tc>
      </w:tr>
    </w:tbl>
    <w:p>
      <w:pPr>
        <w:ind w:left="62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11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0" w:firstLine="464"/>
        <w:spacing w:after="0" w:line="264" w:lineRule="auto"/>
        <w:tabs>
          <w:tab w:leader="none" w:pos="6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6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464"/>
        <w:spacing w:after="0" w:line="277" w:lineRule="auto"/>
        <w:tabs>
          <w:tab w:leader="none" w:pos="6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64"/>
        <w:spacing w:after="0" w:line="264" w:lineRule="auto"/>
        <w:tabs>
          <w:tab w:leader="none" w:pos="6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64"/>
        <w:spacing w:after="0" w:line="277" w:lineRule="auto"/>
        <w:tabs>
          <w:tab w:leader="none" w:pos="64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Colin V. Reed</w:t>
            </w:r>
          </w:p>
        </w:tc>
      </w:tr>
      <w:tr>
        <w:trPr>
          <w:trHeight w:val="182"/>
        </w:trPr>
        <w:tc>
          <w:tcPr>
            <w:tcW w:w="460" w:type="dxa"/>
            <w:vAlign w:val="bottom"/>
          </w:tcPr>
          <w:p>
            <w:pPr>
              <w:spacing w:after="0" w:line="182" w:lineRule="exact"/>
              <w:rPr>
                <w:sz w:val="20"/>
                <w:szCs w:val="20"/>
                <w:color w:val="auto"/>
              </w:rPr>
            </w:pPr>
            <w:r>
              <w:rPr>
                <w:rFonts w:ascii="Arial" w:cs="Arial" w:eastAsia="Arial" w:hAnsi="Arial"/>
                <w:sz w:val="18"/>
                <w:szCs w:val="18"/>
                <w:color w:val="auto"/>
                <w:w w:val="82"/>
              </w:rPr>
              <w:t>Name:</w:t>
            </w:r>
          </w:p>
        </w:tc>
        <w:tc>
          <w:tcPr>
            <w:tcW w:w="4120" w:type="dxa"/>
            <w:vAlign w:val="bottom"/>
          </w:tcPr>
          <w:p>
            <w:pPr>
              <w:ind w:left="80"/>
              <w:spacing w:after="0" w:line="182" w:lineRule="exact"/>
              <w:rPr>
                <w:sz w:val="20"/>
                <w:szCs w:val="20"/>
                <w:color w:val="auto"/>
              </w:rPr>
            </w:pPr>
            <w:r>
              <w:rPr>
                <w:rFonts w:ascii="Arial" w:cs="Arial" w:eastAsia="Arial" w:hAnsi="Arial"/>
                <w:sz w:val="18"/>
                <w:szCs w:val="18"/>
                <w:color w:val="auto"/>
              </w:rPr>
              <w:t>Colin V. Reed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10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46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 w:firstLine="464"/>
        <w:spacing w:after="0" w:line="264"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464"/>
        <w:spacing w:after="0" w:line="264" w:lineRule="auto"/>
        <w:tabs>
          <w:tab w:leader="none" w:pos="6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464"/>
        <w:spacing w:after="0" w:line="277"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64"/>
        <w:spacing w:after="0" w:line="264" w:lineRule="auto"/>
        <w:tabs>
          <w:tab w:leader="none" w:pos="6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64"/>
        <w:spacing w:after="0" w:line="277" w:lineRule="auto"/>
        <w:tabs>
          <w:tab w:leader="none" w:pos="6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0" w:firstLine="464"/>
        <w:spacing w:after="0" w:line="277" w:lineRule="auto"/>
        <w:tabs>
          <w:tab w:leader="none" w:pos="65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connection with the Quarterly Report of Ryman Hospitality Properties, Inc. (the “Company”) on Form 10-Q for the quarter ended March 31, 2018, as filed with the Securities and Exchange Commission on the date hereof (the “Report”), each of the undersigned certifies, pursuant to 18 U.S.C. § 1350, as adopted pursuant to §906 of the Sarbanes-Oxley Act of 2002, that:</w:t>
      </w:r>
    </w:p>
    <w:p>
      <w:pPr>
        <w:spacing w:after="0" w:line="73" w:lineRule="exact"/>
        <w:rPr>
          <w:sz w:val="20"/>
          <w:szCs w:val="20"/>
          <w:color w:val="auto"/>
        </w:rPr>
      </w:pPr>
    </w:p>
    <w:p>
      <w:pPr>
        <w:ind w:left="1180" w:hanging="25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Colin V. Reed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701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 of Directors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9580"/>
        <w:spacing w:after="0"/>
        <w:rPr>
          <w:sz w:val="20"/>
          <w:szCs w:val="20"/>
          <w:color w:val="auto"/>
        </w:rPr>
      </w:pPr>
      <w:r>
        <w:rPr>
          <w:rFonts w:ascii="Arial" w:cs="Arial" w:eastAsia="Arial" w:hAnsi="Arial"/>
          <w:sz w:val="18"/>
          <w:szCs w:val="18"/>
          <w:color w:val="auto"/>
        </w:rPr>
        <w:t>May 3, 2018</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Fioravanti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701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May 3, 2018</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2"/>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0" Type="http://schemas.openxmlformats.org/officeDocument/2006/relationships/hyperlink" Target="http://www.sec.gov/Archives/edgar/data/1040829/000119312512410191/d419132dex31.htm" TargetMode="External"/><Relationship Id="rId61" Type="http://schemas.openxmlformats.org/officeDocument/2006/relationships/hyperlink" Target="http://www.sec.gov/Archives/edgar/data/1040829/000119312512410191/d419132dex32.htm" TargetMode="External"/><Relationship Id="rId62" Type="http://schemas.openxmlformats.org/officeDocument/2006/relationships/hyperlink" Target="http://www.sec.gov/Archives/edgar/data/1040829/000119312518060772/d503192dex1021.htm" TargetMode="External"/><Relationship Id="rId63" Type="http://schemas.openxmlformats.org/officeDocument/2006/relationships/hyperlink" Target="http://www.sec.gov/Archives/edgar/data/1040829/000119312518060772/d503192dex1022.htm" TargetMode="External"/><Relationship Id="rId64" Type="http://schemas.openxmlformats.org/officeDocument/2006/relationships/hyperlink" Target="http://www.sec.gov/Archives/edgar/data/1040829/000119312518060772/d503192d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2019-12-28T22:12:00Z</dcterms:created>
  <dcterms:modified xsi:type="dcterms:W3CDTF">2019-12-28T22:12:00Z</dcterms:modified>
</cp:coreProperties>
</file>