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3340" w:right="980" w:hanging="3332"/>
        <w:spacing w:after="0" w:line="277" w:lineRule="auto"/>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2021</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740" w:right="960" w:hanging="3732"/>
        <w:spacing w:after="0" w:line="277" w:lineRule="auto"/>
        <w:tabs>
          <w:tab w:leader="none" w:pos="2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1-13079</w:t>
      </w:r>
    </w:p>
    <w:p>
      <w:pPr>
        <w:spacing w:after="0" w:line="126" w:lineRule="exact"/>
        <w:rPr>
          <w:sz w:val="24"/>
          <w:szCs w:val="24"/>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Arial" w:cs="Arial" w:eastAsia="Arial" w:hAnsi="Arial"/>
                <w:sz w:val="18"/>
                <w:szCs w:val="18"/>
                <w:color w:val="auto"/>
                <w:w w:val="89"/>
              </w:rPr>
              <w:t>Delaware</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2"/>
              </w:rPr>
              <w:t>(State or Other Jurisdiction of</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1"/>
              </w:rPr>
              <w:t>Incorporation or Organization)</w:t>
            </w:r>
          </w:p>
        </w:tc>
        <w:tc>
          <w:tcPr>
            <w:tcW w:w="154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350"/>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3"/>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(615) 316-6000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4"/>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Title of Each Class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Trading Symbol(s)</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4"/>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68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2" w:lineRule="exact"/>
        <w:rPr>
          <w:sz w:val="24"/>
          <w:szCs w:val="24"/>
          <w:color w:val="auto"/>
        </w:rPr>
      </w:pPr>
    </w:p>
    <w:p>
      <w:pPr>
        <w:ind w:right="76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Class</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July 31, 2021</w:t>
            </w:r>
          </w:p>
        </w:tc>
      </w:tr>
      <w:tr>
        <w:trPr>
          <w:trHeight w:val="224"/>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55,065,442 shares</w:t>
            </w:r>
          </w:p>
        </w:tc>
      </w:tr>
      <w:tr>
        <w:trPr>
          <w:trHeight w:val="323"/>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2"/>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5"/>
          </w:tcPr>
          <w:p>
            <w:pPr>
              <w:jc w:val="center"/>
              <w:ind w:right="1800"/>
              <w:spacing w:after="0"/>
              <w:rPr>
                <w:sz w:val="20"/>
                <w:szCs w:val="20"/>
                <w:color w:val="auto"/>
              </w:rPr>
            </w:pPr>
            <w:r>
              <w:rPr>
                <w:rFonts w:ascii="Arial" w:cs="Arial" w:eastAsia="Arial" w:hAnsi="Arial"/>
                <w:sz w:val="18"/>
                <w:szCs w:val="18"/>
                <w:b w:val="1"/>
                <w:bCs w:val="1"/>
                <w:color w:val="auto"/>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9"/>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13"/>
          </w:tcPr>
          <w:p>
            <w:pPr>
              <w:jc w:val="center"/>
              <w:ind w:right="2160"/>
              <w:spacing w:after="0"/>
              <w:rPr>
                <w:sz w:val="20"/>
                <w:szCs w:val="20"/>
                <w:color w:val="auto"/>
              </w:rPr>
            </w:pPr>
            <w:r>
              <w:rPr>
                <w:rFonts w:ascii="Arial" w:cs="Arial" w:eastAsia="Arial" w:hAnsi="Arial"/>
                <w:sz w:val="18"/>
                <w:szCs w:val="18"/>
                <w:b w:val="1"/>
                <w:bCs w:val="1"/>
                <w:color w:val="auto"/>
                <w:w w:val="91"/>
              </w:rPr>
              <w:t>For the Quarter Ended June 30, 2021</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 Financial Information</w:t>
              </w:r>
            </w:hyperlink>
          </w:p>
        </w:tc>
        <w:tc>
          <w:tcPr>
            <w:tcW w:w="60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 – June 30, 2021 and December 31,</w:t>
              </w:r>
            </w:hyperlink>
          </w:p>
        </w:tc>
        <w:tc>
          <w:tcPr>
            <w:tcW w:w="52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2020</w:t>
              </w:r>
            </w:hyperlink>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and Comprehensive Loss (Unaudited) -</w:t>
              </w:r>
            </w:hyperlink>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Months and Six Months Ended June 30, 2021 and 2020</w:t>
              </w:r>
            </w:hyperlink>
          </w:p>
        </w:tc>
        <w:tc>
          <w:tcPr>
            <w:tcW w:w="380" w:type="dxa"/>
            <w:vAlign w:val="bottom"/>
            <w:gridSpan w:val="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For the Six Months Ended</w:t>
              </w:r>
            </w:hyperlink>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June 30, 2021 and 2020</w:t>
              </w:r>
            </w:hyperlink>
          </w:p>
        </w:tc>
        <w:tc>
          <w:tcPr>
            <w:tcW w:w="5200" w:type="dxa"/>
            <w:vAlign w:val="bottom"/>
            <w:gridSpan w:val="1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Equity (Deficit) and Noncontrolling Interest</w:t>
              </w:r>
            </w:hyperlink>
          </w:p>
        </w:tc>
        <w:tc>
          <w:tcPr>
            <w:tcW w:w="86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 For the Three Months and Six Months Ended June 30, 2021 and 2020</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88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2. Management’s Discussion and Analysis of Financial Condition and Results of Operations.</w:t>
              </w:r>
            </w:hyperlink>
          </w:p>
        </w:tc>
        <w:tc>
          <w:tcPr>
            <w:tcW w:w="42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Item 3. Quantitative and Qualitative Disclosures About Market Risk.</w:t>
              </w:r>
            </w:hyperlink>
          </w:p>
        </w:tc>
        <w:tc>
          <w:tcPr>
            <w:tcW w:w="250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4. Controls and Procedures.</w:t>
              </w:r>
            </w:hyperlink>
          </w:p>
        </w:tc>
        <w:tc>
          <w:tcPr>
            <w:tcW w:w="51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19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Part II - Other Information</w:t>
              </w:r>
            </w:hyperlink>
          </w:p>
        </w:tc>
        <w:tc>
          <w:tcPr>
            <w:tcW w:w="6200" w:type="dxa"/>
            <w:vAlign w:val="bottom"/>
            <w:gridSpan w:val="1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1. Legal Proceedings.</w:t>
              </w:r>
            </w:hyperlink>
          </w:p>
        </w:tc>
        <w:tc>
          <w:tcPr>
            <w:tcW w:w="554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1A. Risk Factors.</w:t>
              </w:r>
            </w:hyperlink>
          </w:p>
        </w:tc>
        <w:tc>
          <w:tcPr>
            <w:tcW w:w="584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2. Unregistered Sales of Equity Securities and Use of Proceeds.</w:t>
              </w:r>
            </w:hyperlink>
          </w:p>
        </w:tc>
        <w:tc>
          <w:tcPr>
            <w:tcW w:w="25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3. Defaults Upon Senior Securities.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45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Item 5. Other Information.</w:t>
              </w:r>
            </w:hyperlink>
          </w:p>
        </w:tc>
        <w:tc>
          <w:tcPr>
            <w:tcW w:w="556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6. 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80" w:type="dxa"/>
            <w:vAlign w:val="bottom"/>
            <w:gridSpan w:val="2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SIGNATURES</w:t>
              </w:r>
            </w:hyperlink>
          </w:p>
        </w:tc>
        <w:tc>
          <w:tcPr>
            <w:tcW w:w="7020" w:type="dxa"/>
            <w:vAlign w:val="bottom"/>
            <w:gridSpan w:val="2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51</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Property and equipment, net (including $0 and $932,473 from VIEs, respectively)</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3,104,336</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2"/>
              </w:rPr>
              <w:t>3,117,247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4"/>
              </w:rPr>
              <w:t>Cash and cash equivalents - unrestricted (including $0 and $14,441 from VIEs, respectively)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71,612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Cash and cash equivalents - restricted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17,013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Notes receivable, net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71,972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Trade receivables, net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36,937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assets (including $0 and $32,966 from VIEs, respectively)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Intangible assets, net (including $0 and $162,366 from VIEs, respectively)</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146,885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3,552,300</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3,556,495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EQUITY: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Debt and finance lease obligations (including $0 and $794,416 from VIEs, respectively)</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2,970,145</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2"/>
              </w:rPr>
              <w:t>2,658,008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5"/>
              </w:rPr>
              <w:t>Accounts payable and accrued liabilities (including $0 and $59,573 from VIEs, respectively)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Dividends payable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management rights proceeds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108,283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107,569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income tax liabilities, net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liabilities (including $0 and $18,978 from VIEs, respectively)</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82,888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3,578,119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3,235,709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Commitments and contingencies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Noncontrolling interest in consolidated joint venture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Equity: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2"/>
              </w:rPr>
              <w:t>Preferred stock, $.01 par value, 100,000 shares authorized, no shares issued or outstanding</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60" w:type="dxa"/>
            <w:vAlign w:val="bottom"/>
          </w:tcPr>
          <w:p>
            <w:pPr>
              <w:ind w:left="200"/>
              <w:spacing w:after="0" w:line="185" w:lineRule="exact"/>
              <w:rPr>
                <w:sz w:val="20"/>
                <w:szCs w:val="20"/>
                <w:color w:val="auto"/>
              </w:rPr>
            </w:pPr>
            <w:r>
              <w:rPr>
                <w:rFonts w:ascii="Arial" w:cs="Arial" w:eastAsia="Arial" w:hAnsi="Arial"/>
                <w:sz w:val="17"/>
                <w:szCs w:val="17"/>
                <w:color w:val="auto"/>
                <w:w w:val="91"/>
              </w:rPr>
              <w:t>Common stock, $.01 par value, 400,000 shares authorized, 55,065 and 54,982 shares issued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7"/>
                <w:szCs w:val="17"/>
                <w:color w:val="auto"/>
              </w:rPr>
              <w:t>and outstanding, respectively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1,095,415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1,192,261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7"/>
                <w:szCs w:val="17"/>
                <w:color w:val="auto"/>
              </w:rPr>
              <w:t>Treasury stock of 648 and 648 shares, at cost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Distributions in excess of retained earnings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(1,074,872)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(40,647)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stockholders' equity (deficit)</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Noncontrolling interest in Operating Partnership</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equity (deficit)</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Arial" w:cs="Arial" w:eastAsia="Arial" w:hAnsi="Arial"/>
                <w:sz w:val="17"/>
                <w:szCs w:val="17"/>
                <w:color w:val="auto"/>
              </w:rPr>
              <w:t>Total liabilities and equity</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3,552,300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3,556,495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RYMAN HOSPITALITY PROPERTIES,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Rooms</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61,971</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2,802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90,199</w:t>
            </w:r>
          </w:p>
        </w:tc>
        <w:tc>
          <w:tcPr>
            <w:tcW w:w="1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w w:val="95"/>
              </w:rPr>
              <w:t>108,930</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Food and beverage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147,260</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Other hotel 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5,993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51,497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39,786</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Entertainment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35,173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49,546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31,735</w:t>
            </w:r>
          </w:p>
        </w:tc>
        <w:tc>
          <w:tcPr>
            <w:tcW w:w="140" w:type="dxa"/>
            <w:vAlign w:val="bottom"/>
            <w:shd w:val="clear" w:color="auto" w:fill="CCEEFF"/>
          </w:tcPr>
          <w:p>
            <w:pPr>
              <w:spacing w:after="0"/>
              <w:rPr>
                <w:sz w:val="18"/>
                <w:szCs w:val="18"/>
                <w:color w:val="auto"/>
              </w:rPr>
            </w:pPr>
          </w:p>
        </w:tc>
      </w:tr>
      <w:tr>
        <w:trPr>
          <w:trHeight w:val="196"/>
        </w:trPr>
        <w:tc>
          <w:tcPr>
            <w:tcW w:w="4920" w:type="dxa"/>
            <w:vAlign w:val="bottom"/>
          </w:tcPr>
          <w:p>
            <w:pPr>
              <w:ind w:left="220"/>
              <w:spacing w:after="0"/>
              <w:rPr>
                <w:sz w:val="20"/>
                <w:szCs w:val="20"/>
                <w:color w:val="auto"/>
              </w:rPr>
            </w:pPr>
            <w:r>
              <w:rPr>
                <w:rFonts w:ascii="Arial" w:cs="Arial" w:eastAsia="Arial" w:hAnsi="Arial"/>
                <w:sz w:val="15"/>
                <w:szCs w:val="15"/>
                <w:color w:val="auto"/>
              </w:rPr>
              <w:t>Total revenues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170,861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14,681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255,036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w w:val="95"/>
              </w:rPr>
              <w:t>327,711</w:t>
            </w:r>
          </w:p>
        </w:tc>
        <w:tc>
          <w:tcPr>
            <w:tcW w:w="14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Rooms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36,780</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Food and beverage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53,077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95,702</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hotel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135,519</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Management fees, net</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4,929</w:t>
            </w:r>
          </w:p>
        </w:tc>
        <w:tc>
          <w:tcPr>
            <w:tcW w:w="140" w:type="dxa"/>
            <w:vAlign w:val="bottom"/>
            <w:tcBorders>
              <w:bottom w:val="single" w:sz="8" w:color="CCEEFF"/>
            </w:tcBorders>
          </w:tcPr>
          <w:p>
            <w:pPr>
              <w:spacing w:after="0"/>
              <w:rPr>
                <w:sz w:val="18"/>
                <w:szCs w:val="18"/>
                <w:color w:val="auto"/>
              </w:rPr>
            </w:pPr>
          </w:p>
        </w:tc>
      </w:tr>
      <w:tr>
        <w:trPr>
          <w:trHeight w:val="196"/>
        </w:trPr>
        <w:tc>
          <w:tcPr>
            <w:tcW w:w="4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hotel operating expenses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196,417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272,930</w:t>
            </w:r>
          </w:p>
        </w:tc>
        <w:tc>
          <w:tcPr>
            <w:tcW w:w="140" w:type="dxa"/>
            <w:vAlign w:val="bottom"/>
            <w:shd w:val="clear" w:color="auto" w:fill="CCEEFF"/>
          </w:tcPr>
          <w:p>
            <w:pPr>
              <w:spacing w:after="0"/>
              <w:rPr>
                <w:sz w:val="17"/>
                <w:szCs w:val="17"/>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Entertainment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25,639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13,457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44,330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42,803</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15,394</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Preopening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1,501</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sale of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Credit loss on held-to-maturity securities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19,145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24,973</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54,673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107,988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107,356</w:t>
            </w:r>
          </w:p>
        </w:tc>
        <w:tc>
          <w:tcPr>
            <w:tcW w:w="140" w:type="dxa"/>
            <w:vAlign w:val="bottom"/>
            <w:shd w:val="clear" w:color="auto" w:fill="CCEEFF"/>
          </w:tcPr>
          <w:p>
            <w:pPr>
              <w:spacing w:after="0"/>
              <w:rPr>
                <w:sz w:val="18"/>
                <w:szCs w:val="18"/>
                <w:color w:val="auto"/>
              </w:rPr>
            </w:pPr>
          </w:p>
        </w:tc>
      </w:tr>
      <w:tr>
        <w:trPr>
          <w:trHeight w:val="196"/>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201,808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155,416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365,540</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463,696</w:t>
            </w:r>
          </w:p>
        </w:tc>
        <w:tc>
          <w:tcPr>
            <w:tcW w:w="140" w:type="dxa"/>
            <w:vAlign w:val="bottom"/>
            <w:tcBorders>
              <w:bottom w:val="single" w:sz="8" w:color="CCEEFF"/>
            </w:tcBorders>
          </w:tcPr>
          <w:p>
            <w:pPr>
              <w:spacing w:after="0"/>
              <w:rPr>
                <w:sz w:val="17"/>
                <w:szCs w:val="17"/>
                <w:color w:val="auto"/>
              </w:rPr>
            </w:pPr>
          </w:p>
        </w:tc>
      </w:tr>
      <w:tr>
        <w:trPr>
          <w:trHeight w:val="196"/>
        </w:trPr>
        <w:tc>
          <w:tcPr>
            <w:tcW w:w="4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rPr>
              <w:t>Operating loss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(30,947)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(140,735)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(110,504)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0"/>
              </w:rPr>
              <w:t>(135,985)</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(59,400)</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rPr>
              <w:t>Interest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4,225</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Loss on extinguishment of debt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rPr>
              <w:t>Loss from unconsolidated joint ventures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(3,519)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(3,715)</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Other gains and (losses), net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(16,560)</w:t>
            </w:r>
          </w:p>
        </w:tc>
        <w:tc>
          <w:tcPr>
            <w:tcW w:w="140" w:type="dxa"/>
            <w:vAlign w:val="bottom"/>
            <w:shd w:val="clear" w:color="auto" w:fill="CCEEFF"/>
          </w:tcPr>
          <w:p>
            <w:pPr>
              <w:spacing w:after="0"/>
              <w:rPr>
                <w:sz w:val="18"/>
                <w:szCs w:val="18"/>
                <w:color w:val="auto"/>
              </w:rPr>
            </w:pPr>
          </w:p>
        </w:tc>
      </w:tr>
      <w:tr>
        <w:trPr>
          <w:trHeight w:val="196"/>
        </w:trPr>
        <w:tc>
          <w:tcPr>
            <w:tcW w:w="4920" w:type="dxa"/>
            <w:vAlign w:val="bottom"/>
          </w:tcPr>
          <w:p>
            <w:pPr>
              <w:ind w:left="100"/>
              <w:spacing w:after="0"/>
              <w:rPr>
                <w:sz w:val="20"/>
                <w:szCs w:val="20"/>
                <w:color w:val="auto"/>
              </w:rPr>
            </w:pPr>
            <w:r>
              <w:rPr>
                <w:rFonts w:ascii="Arial" w:cs="Arial" w:eastAsia="Arial" w:hAnsi="Arial"/>
                <w:sz w:val="15"/>
                <w:szCs w:val="15"/>
                <w:color w:val="auto"/>
              </w:rPr>
              <w:t>Loss before income taxes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(61,426)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(187,498)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(174,593)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0"/>
              </w:rPr>
              <w:t>(211,435)</w:t>
            </w:r>
          </w:p>
        </w:tc>
        <w:tc>
          <w:tcPr>
            <w:tcW w:w="14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(26,960)</w:t>
            </w:r>
          </w:p>
        </w:tc>
        <w:tc>
          <w:tcPr>
            <w:tcW w:w="140" w:type="dxa"/>
            <w:vAlign w:val="bottom"/>
            <w:shd w:val="clear" w:color="auto" w:fill="CCEEFF"/>
          </w:tcPr>
          <w:p>
            <w:pPr>
              <w:spacing w:after="0"/>
              <w:rPr>
                <w:sz w:val="18"/>
                <w:szCs w:val="18"/>
                <w:color w:val="auto"/>
              </w:rPr>
            </w:pPr>
          </w:p>
        </w:tc>
      </w:tr>
      <w:tr>
        <w:trPr>
          <w:trHeight w:val="196"/>
        </w:trPr>
        <w:tc>
          <w:tcPr>
            <w:tcW w:w="4920" w:type="dxa"/>
            <w:vAlign w:val="bottom"/>
          </w:tcPr>
          <w:p>
            <w:pPr>
              <w:ind w:left="100"/>
              <w:spacing w:after="0"/>
              <w:rPr>
                <w:sz w:val="20"/>
                <w:szCs w:val="20"/>
                <w:color w:val="auto"/>
              </w:rPr>
            </w:pPr>
            <w:r>
              <w:rPr>
                <w:rFonts w:ascii="Arial" w:cs="Arial" w:eastAsia="Arial" w:hAnsi="Arial"/>
                <w:sz w:val="15"/>
                <w:szCs w:val="15"/>
                <w:color w:val="auto"/>
              </w:rPr>
              <w:t>Net loss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(63,049)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(187,659)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(180,170)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0"/>
              </w:rPr>
              <w:t>(238,395)</w:t>
            </w:r>
          </w:p>
        </w:tc>
        <w:tc>
          <w:tcPr>
            <w:tcW w:w="14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w w:val="99"/>
              </w:rPr>
              <w:t>Net loss attributable to noncontrolling interest in consolidated joint venture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4,708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16,501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18,387</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noncontrolling interest in Operating Partnership</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r>
      <w:tr>
        <w:trPr>
          <w:trHeight w:val="223"/>
        </w:trPr>
        <w:tc>
          <w:tcPr>
            <w:tcW w:w="4920" w:type="dxa"/>
            <w:vAlign w:val="bottom"/>
          </w:tcPr>
          <w:p>
            <w:pPr>
              <w:ind w:left="100"/>
              <w:spacing w:after="0"/>
              <w:rPr>
                <w:sz w:val="20"/>
                <w:szCs w:val="20"/>
                <w:color w:val="auto"/>
              </w:rPr>
            </w:pPr>
            <w:r>
              <w:rPr>
                <w:rFonts w:ascii="Arial" w:cs="Arial" w:eastAsia="Arial" w:hAnsi="Arial"/>
                <w:sz w:val="15"/>
                <w:szCs w:val="15"/>
                <w:color w:val="auto"/>
              </w:rPr>
              <w:t>Net loss available to common stockholders</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(57,919)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(173,492)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(162,440)</w:t>
            </w:r>
          </w:p>
        </w:tc>
        <w:tc>
          <w:tcPr>
            <w:tcW w:w="1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0"/>
              </w:rPr>
              <w:t>(220,008)</w:t>
            </w:r>
          </w:p>
        </w:tc>
        <w:tc>
          <w:tcPr>
            <w:tcW w:w="140" w:type="dxa"/>
            <w:vAlign w:val="bottom"/>
          </w:tcPr>
          <w:p>
            <w:pPr>
              <w:spacing w:after="0"/>
              <w:rPr>
                <w:sz w:val="19"/>
                <w:szCs w:val="19"/>
                <w:color w:val="auto"/>
              </w:rPr>
            </w:pPr>
          </w:p>
        </w:tc>
      </w:tr>
      <w:tr>
        <w:trPr>
          <w:trHeight w:val="169"/>
        </w:trPr>
        <w:tc>
          <w:tcPr>
            <w:tcW w:w="49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5"/>
                <w:szCs w:val="15"/>
                <w:color w:val="auto"/>
              </w:rPr>
              <w:t>Basic loss per share available to common stockholders</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(1.05)</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(3.16)</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(2.95)</w:t>
            </w:r>
          </w:p>
        </w:tc>
        <w:tc>
          <w:tcPr>
            <w:tcW w:w="1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(4.00)</w:t>
            </w:r>
          </w:p>
        </w:tc>
        <w:tc>
          <w:tcPr>
            <w:tcW w:w="140" w:type="dxa"/>
            <w:vAlign w:val="bottom"/>
          </w:tcPr>
          <w:p>
            <w:pPr>
              <w:spacing w:after="0"/>
              <w:rPr>
                <w:sz w:val="19"/>
                <w:szCs w:val="19"/>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49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Diluted loss per share available to common stockholders</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(1.05)</w:t>
            </w:r>
          </w:p>
        </w:tc>
        <w:tc>
          <w:tcPr>
            <w:tcW w:w="2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(3.16)</w:t>
            </w:r>
          </w:p>
        </w:tc>
        <w:tc>
          <w:tcPr>
            <w:tcW w:w="2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(2.95)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(4.00)</w:t>
            </w:r>
          </w:p>
        </w:tc>
        <w:tc>
          <w:tcPr>
            <w:tcW w:w="140" w:type="dxa"/>
            <w:vAlign w:val="bottom"/>
            <w:shd w:val="clear" w:color="auto" w:fill="CCEEFF"/>
          </w:tcPr>
          <w:p>
            <w:pPr>
              <w:spacing w:after="0"/>
              <w:rPr>
                <w:sz w:val="13"/>
                <w:szCs w:val="13"/>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169"/>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 net of taxes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(188,848)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(162,866)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(277,021)</w:t>
            </w:r>
          </w:p>
        </w:tc>
        <w:tc>
          <w:tcPr>
            <w:tcW w:w="140" w:type="dxa"/>
            <w:vAlign w:val="bottom"/>
            <w:shd w:val="clear" w:color="auto" w:fill="CCEEFF"/>
          </w:tcPr>
          <w:p>
            <w:pPr>
              <w:spacing w:after="0"/>
              <w:rPr>
                <w:sz w:val="18"/>
                <w:szCs w:val="18"/>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5"/>
                <w:szCs w:val="15"/>
                <w:color w:val="auto"/>
              </w:rPr>
              <w:t>Comprehensive loss, net of taxes, attributable to noncontrolling interest in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5"/>
        </w:trPr>
        <w:tc>
          <w:tcPr>
            <w:tcW w:w="4920" w:type="dxa"/>
            <w:vAlign w:val="bottom"/>
          </w:tcPr>
          <w:p>
            <w:pPr>
              <w:spacing w:after="0"/>
              <w:rPr>
                <w:sz w:val="20"/>
                <w:szCs w:val="20"/>
                <w:color w:val="auto"/>
              </w:rPr>
            </w:pPr>
            <w:r>
              <w:rPr>
                <w:rFonts w:ascii="Arial" w:cs="Arial" w:eastAsia="Arial" w:hAnsi="Arial"/>
                <w:sz w:val="15"/>
                <w:szCs w:val="15"/>
                <w:color w:val="auto"/>
              </w:rPr>
              <w:t>consolidated joint venture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4,708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14,228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15,419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27,057</w:t>
            </w:r>
          </w:p>
        </w:tc>
        <w:tc>
          <w:tcPr>
            <w:tcW w:w="140" w:type="dxa"/>
            <w:vAlign w:val="bottom"/>
          </w:tcPr>
          <w:p>
            <w:pPr>
              <w:spacing w:after="0"/>
              <w:rPr>
                <w:sz w:val="15"/>
                <w:szCs w:val="15"/>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Comprehensive loss, net of taxes, attributable to noncontrolling interest in</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Operating Partnership</w:t>
            </w:r>
          </w:p>
        </w:tc>
        <w:tc>
          <w:tcPr>
            <w:tcW w:w="3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1,104</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r>
      <w:tr>
        <w:trPr>
          <w:trHeight w:val="183"/>
        </w:trPr>
        <w:tc>
          <w:tcPr>
            <w:tcW w:w="4920" w:type="dxa"/>
            <w:vAlign w:val="bottom"/>
          </w:tcPr>
          <w:p>
            <w:pPr>
              <w:spacing w:after="0"/>
              <w:rPr>
                <w:sz w:val="20"/>
                <w:szCs w:val="20"/>
                <w:color w:val="auto"/>
              </w:rPr>
            </w:pPr>
            <w:r>
              <w:rPr>
                <w:rFonts w:ascii="Arial" w:cs="Arial" w:eastAsia="Arial" w:hAnsi="Arial"/>
                <w:sz w:val="15"/>
                <w:szCs w:val="15"/>
                <w:color w:val="auto"/>
              </w:rPr>
              <w:t>Comprehensive loss, net of taxes, available to common stockholders</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(46,796)</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(174,620)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(146,343)</w:t>
            </w:r>
          </w:p>
        </w:tc>
        <w:tc>
          <w:tcPr>
            <w:tcW w:w="14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0"/>
              </w:rPr>
              <w:t>(249,964)</w:t>
            </w:r>
          </w:p>
        </w:tc>
        <w:tc>
          <w:tcPr>
            <w:tcW w:w="140" w:type="dxa"/>
            <w:vAlign w:val="bottom"/>
          </w:tcPr>
          <w:p>
            <w:pPr>
              <w:spacing w:after="0"/>
              <w:rPr>
                <w:sz w:val="15"/>
                <w:szCs w:val="15"/>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Arial" w:cs="Arial" w:eastAsia="Arial" w:hAnsi="Arial"/>
                <w:sz w:val="15"/>
                <w:szCs w:val="15"/>
                <w:color w:val="auto"/>
              </w:rPr>
              <w:t>Net loss</w:t>
            </w:r>
          </w:p>
        </w:tc>
        <w:tc>
          <w:tcPr>
            <w:tcW w:w="106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(180,170)</w:t>
            </w:r>
          </w:p>
        </w:tc>
        <w:tc>
          <w:tcPr>
            <w:tcW w:w="200" w:type="dxa"/>
            <w:vAlign w:val="bottom"/>
          </w:tcPr>
          <w:p>
            <w:pPr>
              <w:spacing w:after="0"/>
              <w:rPr>
                <w:sz w:val="14"/>
                <w:szCs w:val="14"/>
                <w:color w:val="auto"/>
              </w:rPr>
            </w:pPr>
          </w:p>
        </w:tc>
        <w:tc>
          <w:tcPr>
            <w:tcW w:w="220" w:type="dxa"/>
            <w:vAlign w:val="bottom"/>
            <w:gridSpan w:val="2"/>
          </w:tcPr>
          <w:p>
            <w:pPr>
              <w:jc w:val="right"/>
              <w:ind w:right="91"/>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(238,395)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Amounts to reconcile net loss to net cash flows used in operating activities:</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200"/>
              <w:spacing w:after="0" w:line="162" w:lineRule="exact"/>
              <w:rPr>
                <w:sz w:val="20"/>
                <w:szCs w:val="20"/>
                <w:color w:val="auto"/>
              </w:rPr>
            </w:pPr>
            <w:r>
              <w:rPr>
                <w:rFonts w:ascii="Arial" w:cs="Arial" w:eastAsia="Arial" w:hAnsi="Arial"/>
                <w:sz w:val="15"/>
                <w:szCs w:val="15"/>
                <w:color w:val="auto"/>
              </w:rPr>
              <w:t>Provision for deferred income taxes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5,173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26,641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107,988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107,356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2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4,379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3,851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Credit loss on held-to-maturity securities</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24,973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200"/>
              <w:spacing w:after="0" w:line="162" w:lineRule="exact"/>
              <w:rPr>
                <w:sz w:val="20"/>
                <w:szCs w:val="20"/>
                <w:color w:val="auto"/>
              </w:rPr>
            </w:pPr>
            <w:r>
              <w:rPr>
                <w:rFonts w:ascii="Arial" w:cs="Arial" w:eastAsia="Arial" w:hAnsi="Arial"/>
                <w:sz w:val="15"/>
                <w:szCs w:val="15"/>
                <w:color w:val="auto"/>
              </w:rPr>
              <w:t>Forfeiture of Block 21 earnest deposit</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15,000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Write-off of deferred financing costs</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200"/>
              <w:spacing w:after="0" w:line="162" w:lineRule="exact"/>
              <w:rPr>
                <w:sz w:val="20"/>
                <w:szCs w:val="20"/>
                <w:color w:val="auto"/>
              </w:rPr>
            </w:pPr>
            <w:r>
              <w:rPr>
                <w:rFonts w:ascii="Arial" w:cs="Arial" w:eastAsia="Arial" w:hAnsi="Arial"/>
                <w:sz w:val="15"/>
                <w:szCs w:val="15"/>
                <w:color w:val="auto"/>
              </w:rPr>
              <w:t>Loss from unconsolidated joint ventures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3,519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3,715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Stock-based compensation expense</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5,668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4,419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200"/>
              <w:spacing w:after="0" w:line="162" w:lineRule="exact"/>
              <w:rPr>
                <w:sz w:val="20"/>
                <w:szCs w:val="20"/>
                <w:color w:val="auto"/>
              </w:rPr>
            </w:pPr>
            <w:r>
              <w:rPr>
                <w:rFonts w:ascii="Arial" w:cs="Arial" w:eastAsia="Arial" w:hAnsi="Arial"/>
                <w:sz w:val="15"/>
                <w:szCs w:val="15"/>
                <w:color w:val="auto"/>
              </w:rPr>
              <w:t>Changes in:</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Trade receivables</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(16,831)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52,237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 and accrued liabilities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35,827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(109,821)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assets and liabilities</w:t>
            </w:r>
          </w:p>
        </w:tc>
        <w:tc>
          <w:tcPr>
            <w:tcW w:w="8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6,553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(1,012)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2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used in operating activities</w:t>
            </w:r>
          </w:p>
        </w:tc>
        <w:tc>
          <w:tcPr>
            <w:tcW w:w="8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(27,894)</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(110,801)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20" w:type="dxa"/>
            <w:vAlign w:val="bottom"/>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Purchases of property and equipment</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(53,493)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(83,139)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Arial" w:cs="Arial" w:eastAsia="Arial" w:hAnsi="Arial"/>
                <w:sz w:val="15"/>
                <w:szCs w:val="15"/>
                <w:color w:val="auto"/>
              </w:rPr>
              <w:t>Purchase of land adjacent to Gaylord Rockies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(22,000)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 of additional interest in Gaylord Rockies joint venture</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(188,000)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Arial" w:cs="Arial" w:eastAsia="Arial" w:hAnsi="Arial"/>
                <w:sz w:val="15"/>
                <w:szCs w:val="15"/>
                <w:color w:val="auto"/>
              </w:rPr>
              <w:t>Investment in other joint ventures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(4,619)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(6,728)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Other investing activities, net</w:t>
            </w:r>
          </w:p>
        </w:tc>
        <w:tc>
          <w:tcPr>
            <w:tcW w:w="8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5,462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1,691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8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(262,650)</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(88,176)</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20" w:type="dxa"/>
            <w:vAlign w:val="bottom"/>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Net borrowings under revolving credit facility</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119,000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Arial" w:cs="Arial" w:eastAsia="Arial" w:hAnsi="Arial"/>
                <w:sz w:val="15"/>
                <w:szCs w:val="15"/>
                <w:color w:val="auto"/>
              </w:rPr>
              <w:t>Repayments under term loan B</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(2,500)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(2,500)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Issuance of senior notes</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600,000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Arial" w:cs="Arial" w:eastAsia="Arial" w:hAnsi="Arial"/>
                <w:sz w:val="15"/>
                <w:szCs w:val="15"/>
                <w:color w:val="auto"/>
              </w:rPr>
              <w:t>Redemption of senior notes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(400,000)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Deferred financing costs paid</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(10,628)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(1,510)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Arial" w:cs="Arial" w:eastAsia="Arial" w:hAnsi="Arial"/>
                <w:sz w:val="15"/>
                <w:szCs w:val="15"/>
                <w:color w:val="auto"/>
              </w:rPr>
              <w:t>Redemption of noncontrolling interest in Operating Partnership</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(2,438)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dividends</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(102,315)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Arial" w:cs="Arial" w:eastAsia="Arial" w:hAnsi="Arial"/>
                <w:sz w:val="15"/>
                <w:szCs w:val="15"/>
                <w:color w:val="auto"/>
              </w:rPr>
              <w:t>Distributions from consolidated joint venture to noncontrolling interest partners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(992)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(3,407)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(1,660)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Other financing activities, net</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2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provided by (used in) financing activities</w:t>
            </w:r>
          </w:p>
        </w:tc>
        <w:tc>
          <w:tcPr>
            <w:tcW w:w="8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299,415</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(84,120)</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8,871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(283,097)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79,754</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420,396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2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8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88,625</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137,299</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tcPr>
          <w:p>
            <w:pPr>
              <w:ind w:left="80"/>
              <w:spacing w:after="0" w:line="162" w:lineRule="exact"/>
              <w:rPr>
                <w:sz w:val="20"/>
                <w:szCs w:val="20"/>
                <w:color w:val="auto"/>
              </w:rPr>
            </w:pPr>
            <w:r>
              <w:rPr>
                <w:rFonts w:ascii="Arial" w:cs="Arial" w:eastAsia="Arial" w:hAnsi="Arial"/>
                <w:sz w:val="15"/>
                <w:szCs w:val="15"/>
                <w:color w:val="auto"/>
              </w:rPr>
              <w:t>Cash and cash equivalents - unrestricted</w:t>
            </w:r>
          </w:p>
        </w:tc>
        <w:tc>
          <w:tcPr>
            <w:tcW w:w="106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71,612</w:t>
            </w:r>
          </w:p>
        </w:tc>
        <w:tc>
          <w:tcPr>
            <w:tcW w:w="200" w:type="dxa"/>
            <w:vAlign w:val="bottom"/>
          </w:tcPr>
          <w:p>
            <w:pPr>
              <w:spacing w:after="0"/>
              <w:rPr>
                <w:sz w:val="14"/>
                <w:szCs w:val="14"/>
                <w:color w:val="auto"/>
              </w:rPr>
            </w:pPr>
          </w:p>
        </w:tc>
        <w:tc>
          <w:tcPr>
            <w:tcW w:w="220" w:type="dxa"/>
            <w:vAlign w:val="bottom"/>
            <w:gridSpan w:val="2"/>
          </w:tcPr>
          <w:p>
            <w:pPr>
              <w:jc w:val="right"/>
              <w:ind w:right="91"/>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82,376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Cash and cash equivalents - restricted</w:t>
            </w:r>
          </w:p>
        </w:tc>
        <w:tc>
          <w:tcPr>
            <w:tcW w:w="8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17,013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54,923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20" w:type="dxa"/>
            <w:vAlign w:val="bottom"/>
          </w:tcPr>
          <w:p>
            <w:pPr>
              <w:ind w:left="8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880" w:type="dxa"/>
            <w:vAlign w:val="bottom"/>
          </w:tcPr>
          <w:p>
            <w:pPr>
              <w:spacing w:after="0"/>
              <w:rPr>
                <w:sz w:val="13"/>
                <w:szCs w:val="13"/>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88,625</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137,299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99"/>
        <w:spacing w:after="0" w:line="257" w:lineRule="auto"/>
        <w:rPr>
          <w:sz w:val="20"/>
          <w:szCs w:val="20"/>
          <w:color w:val="auto"/>
        </w:rPr>
      </w:pPr>
      <w:r>
        <w:rPr>
          <w:rFonts w:ascii="Arial" w:cs="Arial" w:eastAsia="Arial" w:hAnsi="Arial"/>
          <w:sz w:val="18"/>
          <w:szCs w:val="18"/>
          <w:b w:val="1"/>
          <w:bCs w:val="1"/>
          <w:color w:val="auto"/>
        </w:rPr>
        <w:t>RYMAN HOSPITALITY PROPERTIES, INC. AND SUBSIDIARIES CONDENSED CONSOLIDATED STATEMENTS OF EQUITY (DEFICIT) AND NONCONTROLLING INTEREST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86"/>
              </w:rPr>
              <w:t>Noncontrolling</w:t>
            </w:r>
          </w:p>
        </w:tc>
      </w:tr>
      <w:tr>
        <w:trPr>
          <w:trHeight w:val="135"/>
        </w:trPr>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w w:val="88"/>
              </w:rPr>
              <w:t>Additional</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82"/>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0"/>
              </w:rPr>
              <w:t>Total</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90"/>
              </w:rPr>
              <w:t>Interest in</w:t>
            </w:r>
          </w:p>
        </w:tc>
      </w:tr>
      <w:tr>
        <w:trPr>
          <w:trHeight w:val="135"/>
        </w:trPr>
        <w:tc>
          <w:tcPr>
            <w:tcW w:w="1980" w:type="dxa"/>
            <w:vAlign w:val="bottom"/>
          </w:tcPr>
          <w:p>
            <w:pPr>
              <w:spacing w:after="0"/>
              <w:rPr>
                <w:sz w:val="11"/>
                <w:szCs w:val="11"/>
                <w:color w:val="auto"/>
              </w:rPr>
            </w:pPr>
          </w:p>
        </w:tc>
        <w:tc>
          <w:tcPr>
            <w:tcW w:w="6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Common</w:t>
            </w:r>
          </w:p>
        </w:tc>
        <w:tc>
          <w:tcPr>
            <w:tcW w:w="20" w:type="dxa"/>
            <w:vAlign w:val="bottom"/>
          </w:tcPr>
          <w:p>
            <w:pPr>
              <w:spacing w:after="0"/>
              <w:rPr>
                <w:sz w:val="11"/>
                <w:szCs w:val="11"/>
                <w:color w:val="auto"/>
              </w:rPr>
            </w:pPr>
          </w:p>
        </w:tc>
        <w:tc>
          <w:tcPr>
            <w:tcW w:w="74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w w:val="89"/>
              </w:rPr>
              <w:t>Paid-in</w:t>
            </w:r>
          </w:p>
        </w:tc>
        <w:tc>
          <w:tcPr>
            <w:tcW w:w="40" w:type="dxa"/>
            <w:vAlign w:val="bottom"/>
          </w:tcPr>
          <w:p>
            <w:pPr>
              <w:spacing w:after="0"/>
              <w:rPr>
                <w:sz w:val="11"/>
                <w:szCs w:val="11"/>
                <w:color w:val="auto"/>
              </w:rPr>
            </w:pPr>
          </w:p>
        </w:tc>
        <w:tc>
          <w:tcPr>
            <w:tcW w:w="62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0"/>
              </w:rPr>
              <w:t>Treasury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Retained</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Stockholders'</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Operating</w:t>
            </w:r>
          </w:p>
        </w:tc>
        <w:tc>
          <w:tcPr>
            <w:tcW w:w="10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Total</w:t>
            </w: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4"/>
          </w:tcPr>
          <w:p>
            <w:pPr>
              <w:ind w:left="60"/>
              <w:spacing w:after="0"/>
              <w:rPr>
                <w:sz w:val="20"/>
                <w:szCs w:val="20"/>
                <w:color w:val="auto"/>
              </w:rPr>
            </w:pPr>
            <w:r>
              <w:rPr>
                <w:rFonts w:ascii="Arial" w:cs="Arial" w:eastAsia="Arial" w:hAnsi="Arial"/>
                <w:sz w:val="12"/>
                <w:szCs w:val="12"/>
                <w:b w:val="1"/>
                <w:bCs w:val="1"/>
                <w:color w:val="auto"/>
              </w:rPr>
              <w:t>Stock</w:t>
            </w:r>
          </w:p>
        </w:tc>
        <w:tc>
          <w:tcPr>
            <w:tcW w:w="20" w:type="dxa"/>
            <w:vAlign w:val="bottom"/>
          </w:tcPr>
          <w:p>
            <w:pPr>
              <w:spacing w:after="0"/>
              <w:rPr>
                <w:sz w:val="12"/>
                <w:szCs w:val="12"/>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9"/>
              </w:rPr>
              <w:t>Capital</w:t>
            </w:r>
          </w:p>
        </w:tc>
        <w:tc>
          <w:tcPr>
            <w:tcW w:w="40" w:type="dxa"/>
            <w:vAlign w:val="bottom"/>
          </w:tcPr>
          <w:p>
            <w:pPr>
              <w:spacing w:after="0"/>
              <w:rPr>
                <w:sz w:val="12"/>
                <w:szCs w:val="12"/>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Equity</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Partnership</w:t>
            </w:r>
          </w:p>
        </w:tc>
        <w:tc>
          <w:tcPr>
            <w:tcW w:w="10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9"/>
        </w:trPr>
        <w:tc>
          <w:tcPr>
            <w:tcW w:w="19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2020</w:t>
            </w:r>
          </w:p>
        </w:tc>
        <w:tc>
          <w:tcPr>
            <w:tcW w:w="1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550</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$ 1,192,261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(911,092)</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(57,951)</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205,301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14,516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219,817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100,969</w:t>
            </w: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4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2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(104,521)</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(104,521)</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(807)</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(105,328)</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(11,793)</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4"/>
              </w:rPr>
              <w:t>Other comprehensive income, net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Redemption of noncontrolling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w w:val="98"/>
              </w:rPr>
              <w:t>interest in Operating Partnership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(1,352)</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(1,352)</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(2,438)</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Contribution to consolidated joint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venture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3"/>
                <w:szCs w:val="13"/>
                <w:color w:val="auto"/>
              </w:rPr>
              <w:t>(3,357)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(3,345)</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(3,345)</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19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BALANCE, March 31, 2021</w:t>
            </w:r>
          </w:p>
        </w:tc>
        <w:tc>
          <w:tcPr>
            <w:tcW w:w="10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550</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4"/>
              </w:rPr>
              <w:t>$ 1,191,426</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w w:val="85"/>
              </w:rPr>
              <w:t>$ (1,016,953)</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(51,851)</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104,705</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12,623</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117,328</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93,601</w:t>
            </w:r>
          </w:p>
        </w:tc>
      </w:tr>
      <w:tr>
        <w:trPr>
          <w:trHeight w:val="128"/>
        </w:trPr>
        <w:tc>
          <w:tcPr>
            <w:tcW w:w="198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Net loss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(57,919)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(57,919)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(58,341)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(4,708)</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w w:val="94"/>
              </w:rPr>
              <w:t>Other comprehensive income, net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of income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11,204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11,204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Purchase of remaining interest in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consolidated joint venture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(99,107)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(99,107)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(99,107)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(88,893)</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3,146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1980" w:type="dxa"/>
            <w:vAlign w:val="bottom"/>
          </w:tcPr>
          <w:p>
            <w:pPr>
              <w:ind w:left="20"/>
              <w:spacing w:after="0" w:line="129" w:lineRule="exact"/>
              <w:rPr>
                <w:sz w:val="20"/>
                <w:szCs w:val="20"/>
                <w:color w:val="auto"/>
              </w:rPr>
            </w:pPr>
            <w:r>
              <w:rPr>
                <w:rFonts w:ascii="Arial" w:cs="Arial" w:eastAsia="Arial" w:hAnsi="Arial"/>
                <w:sz w:val="13"/>
                <w:szCs w:val="13"/>
                <w:color w:val="auto"/>
              </w:rPr>
              <w:t>BALANCE, June 30, 2021</w:t>
            </w:r>
          </w:p>
        </w:tc>
        <w:tc>
          <w:tcPr>
            <w:tcW w:w="10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4"/>
              </w:rPr>
              <w:t>$ 1,095,415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w w:val="85"/>
              </w:rPr>
              <w:t>$ (1,074,872)</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(40,647)</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(38,020)</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12,201</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(25,819)</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r>
      <w:tr>
        <w:trPr>
          <w:trHeight w:val="20"/>
        </w:trPr>
        <w:tc>
          <w:tcPr>
            <w:tcW w:w="1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337"/>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9"/>
              </w:rPr>
              <w:t>Distributions</w:t>
            </w:r>
          </w:p>
        </w:tc>
        <w:tc>
          <w:tcPr>
            <w:tcW w:w="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86"/>
              </w:rPr>
              <w:t>Noncontrolling</w:t>
            </w:r>
          </w:p>
        </w:tc>
      </w:tr>
      <w:tr>
        <w:trPr>
          <w:trHeight w:val="135"/>
        </w:trPr>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2"/>
                <w:szCs w:val="12"/>
                <w:b w:val="1"/>
                <w:bCs w:val="1"/>
                <w:color w:val="auto"/>
                <w:w w:val="98"/>
              </w:rPr>
              <w:t>Additional</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82"/>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0"/>
              </w:rPr>
              <w:t>Total</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90"/>
              </w:rPr>
              <w:t>Interest in</w:t>
            </w:r>
          </w:p>
        </w:tc>
      </w:tr>
      <w:tr>
        <w:trPr>
          <w:trHeight w:val="135"/>
        </w:trPr>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Common</w:t>
            </w:r>
          </w:p>
        </w:tc>
        <w:tc>
          <w:tcPr>
            <w:tcW w:w="20" w:type="dxa"/>
            <w:vAlign w:val="bottom"/>
          </w:tcPr>
          <w:p>
            <w:pPr>
              <w:spacing w:after="0"/>
              <w:rPr>
                <w:sz w:val="11"/>
                <w:szCs w:val="11"/>
                <w:color w:val="auto"/>
              </w:rPr>
            </w:pPr>
          </w:p>
        </w:tc>
        <w:tc>
          <w:tcPr>
            <w:tcW w:w="740" w:type="dxa"/>
            <w:vAlign w:val="bottom"/>
            <w:gridSpan w:val="3"/>
          </w:tcPr>
          <w:p>
            <w:pPr>
              <w:jc w:val="right"/>
              <w:ind w:right="240"/>
              <w:spacing w:after="0" w:line="135" w:lineRule="exact"/>
              <w:rPr>
                <w:sz w:val="20"/>
                <w:szCs w:val="20"/>
                <w:color w:val="auto"/>
              </w:rPr>
            </w:pPr>
            <w:r>
              <w:rPr>
                <w:rFonts w:ascii="Arial" w:cs="Arial" w:eastAsia="Arial" w:hAnsi="Arial"/>
                <w:sz w:val="12"/>
                <w:szCs w:val="12"/>
                <w:b w:val="1"/>
                <w:bCs w:val="1"/>
                <w:color w:val="auto"/>
              </w:rPr>
              <w:t>Paid-in</w:t>
            </w:r>
          </w:p>
        </w:tc>
        <w:tc>
          <w:tcPr>
            <w:tcW w:w="40" w:type="dxa"/>
            <w:vAlign w:val="bottom"/>
          </w:tcPr>
          <w:p>
            <w:pPr>
              <w:spacing w:after="0"/>
              <w:rPr>
                <w:sz w:val="11"/>
                <w:szCs w:val="11"/>
                <w:color w:val="auto"/>
              </w:rPr>
            </w:pPr>
          </w:p>
        </w:tc>
        <w:tc>
          <w:tcPr>
            <w:tcW w:w="62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86"/>
              </w:rPr>
              <w:t>Treasury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Retained</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Stockholders'</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Operating</w:t>
            </w:r>
          </w:p>
        </w:tc>
        <w:tc>
          <w:tcPr>
            <w:tcW w:w="10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Total</w:t>
            </w: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Stock</w:t>
            </w:r>
          </w:p>
        </w:tc>
        <w:tc>
          <w:tcPr>
            <w:tcW w:w="2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4"/>
              </w:rPr>
              <w:t>Capital</w:t>
            </w:r>
          </w:p>
        </w:tc>
        <w:tc>
          <w:tcPr>
            <w:tcW w:w="40" w:type="dxa"/>
            <w:vAlign w:val="bottom"/>
          </w:tcPr>
          <w:p>
            <w:pPr>
              <w:spacing w:after="0"/>
              <w:rPr>
                <w:sz w:val="12"/>
                <w:szCs w:val="12"/>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5"/>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Equity</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Partnership</w:t>
            </w:r>
          </w:p>
        </w:tc>
        <w:tc>
          <w:tcPr>
            <w:tcW w:w="10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8"/>
        </w:trPr>
        <w:tc>
          <w:tcPr>
            <w:tcW w:w="19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2019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549</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$ 1,185,168</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(17,315)</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(495,514)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(28,159)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221,511</w:t>
            </w: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7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(46,516)</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(46,516)</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(46,516)</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(4,220)</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to redemption value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Transition adjustment related to</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adoption of ASU 2016-13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(5,343)</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(3,185)</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(3,185)</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Other comprehensive loss, net of</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(37,437)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(37,437)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(37,437)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w w:val="98"/>
              </w:rPr>
              <w:t>Payment of dividends ($0.95 per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share)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147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3"/>
                <w:szCs w:val="13"/>
                <w:color w:val="auto"/>
              </w:rPr>
              <w:t>(557)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(51,996)</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(52,406)</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(52,406)</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(1,660)</w:t>
            </w: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2,230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19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March 31, 2020</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$ 1,185,885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(17,872)</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(545,104)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(63,438)</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560,021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560,021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163,026</w:t>
            </w:r>
          </w:p>
        </w:tc>
      </w:tr>
      <w:tr>
        <w:trPr>
          <w:trHeight w:val="128"/>
        </w:trPr>
        <w:tc>
          <w:tcPr>
            <w:tcW w:w="1980" w:type="dxa"/>
            <w:vAlign w:val="bottom"/>
          </w:tcPr>
          <w:p>
            <w:pPr>
              <w:ind w:left="120"/>
              <w:spacing w:after="0" w:line="129" w:lineRule="exact"/>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(173,492)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(173,492)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w w:val="89"/>
              </w:rPr>
              <w:t>(173,492)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(14,167)</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to redemption value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w w:val="96"/>
              </w:rPr>
              <w:t>Other comprehensive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(1,189)</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(1,189)</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(1,189)</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Payment of dividends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Distribution from consolidated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3"/>
                <w:szCs w:val="13"/>
                <w:color w:val="auto"/>
              </w:rPr>
              <w:t>joint venture to noncontrolling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interest partners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(992)</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2,190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19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June 30, 2020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$ 1,188,046</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(711,798)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(64,627)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393,704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393,704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141,693</w:t>
            </w:r>
          </w:p>
        </w:tc>
      </w:tr>
      <w:tr>
        <w:trPr>
          <w:trHeight w:val="20"/>
        </w:trPr>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prior to May 2021 was owned by a joint venture (the “Gaylord Rockies joint venture”) in which the Company owned a 65% interest. The Company’s other owned hotel assets managed by Marriott include the Inn at Opryland, an overflow hotel adjacent to Gaylord Opryland, and the AC Hotel at National Harbor, Washington D.C. (“AC Hotel”), an overflow hotel adjacent to Gaylord National.</w:t>
      </w:r>
    </w:p>
    <w:p>
      <w:pPr>
        <w:spacing w:after="0" w:line="14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In April 2021, the Company entered into an agreement with RIDA Development Corporation to acquire the remaining 35% ownership interest in the Gaylord Rockies joint venture not previously owned by the Company for approximately $188.0 million and approximately 130 acres of undeveloped, adjacent land for $22.0 million in cash (the “JV Purchase”). The JV Purchase closed in May 2021 and was funded through cash on hand and borrowings under the Company’s $700 million revolving credit facility. As discussed below, the Company previously consolidated the Gaylord Rockies joint venture in the accompanying condensed consolidated financial statements.</w:t>
      </w:r>
    </w:p>
    <w:p>
      <w:pPr>
        <w:spacing w:after="0" w:line="137" w:lineRule="exact"/>
        <w:rPr>
          <w:sz w:val="20"/>
          <w:szCs w:val="20"/>
          <w:color w:val="auto"/>
        </w:rPr>
      </w:pPr>
    </w:p>
    <w:p>
      <w:pPr>
        <w:ind w:left="60" w:right="159"/>
        <w:spacing w:after="0" w:line="290" w:lineRule="auto"/>
        <w:rPr>
          <w:sz w:val="20"/>
          <w:szCs w:val="20"/>
          <w:color w:val="auto"/>
        </w:rPr>
      </w:pPr>
      <w:r>
        <w:rPr>
          <w:rFonts w:ascii="Arial" w:cs="Arial" w:eastAsia="Arial" w:hAnsi="Arial"/>
          <w:sz w:val="16"/>
          <w:szCs w:val="16"/>
          <w:color w:val="auto"/>
        </w:rPr>
        <w:t>As further discussed in the Company’s Annual Report on Form 10-K for the year ended December 31, 2020, management concluded that the Company was the primary beneficiary of the Gaylord Rockies joint venture, which was a variable interest entity (“VIE”). As such, the Company consolidated the assets, liabilities and results of operations of the Gaylord Rockies joint venture in the accompanying condensed consolidated financial statements. The portion of the Gaylord Rockies joint venture that the Company did not previously own was recorded as noncontrolling interest in consolidated joint venture in the accompanying condensed consolidated balance sheet, and any previous adjustment necessary to reflect the noncontrolling interest at its redemption value is shown in the accompanying condensed consolidated statements of equity. As the Gaylord Rockies joint venture is now wholly-owned by the Company, it is no longer considered as a VIE.</w:t>
      </w:r>
    </w:p>
    <w:p>
      <w:pPr>
        <w:spacing w:after="0" w:line="138"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and three Nashville-based assets managed by Marriott – Gaylord Springs Golf Links (“Gaylord Springs”), the Wildhorse Saloon, and the General Jackson Showboat. The Company also owns a 50% interest in a joint venture intended to create and distribute a linear multicast and over-the-top channel dedicated to the country music lifestyle (“Circle”), which launched its broadcast network on January 1, 2020. See Note 13, “Commitments and Contingencies” to the condensed consolidated financial statements included herein for further disclosure.</w:t>
      </w:r>
    </w:p>
    <w:p>
      <w:pPr>
        <w:spacing w:after="0" w:line="125"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2020. In the opinion of management, all adjustments necessary for a fair statement of the results of operations for the interim periods have been included. All adjustments are of a normal,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recurring nature. The results of operations for such interim periods are not necessarily indicative of the results for the full year because of seasonal and short-term variations.</w:t>
      </w:r>
    </w:p>
    <w:p>
      <w:pPr>
        <w:spacing w:after="0" w:line="143"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Pandemic</w:t>
      </w:r>
    </w:p>
    <w:p>
      <w:pPr>
        <w:spacing w:after="0" w:line="185"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The novel coronavirus disease (COVID-19) pandemic has spread throughout the United States and continues to have an unprecedented impact on the U.S. economy. Due to the COVID-19 pandemic, the Company has experienced disruption of its business and in March 2020 temporarily suspended operations of most of its assets, as further described below. While the Company’s assets, including Gaylord National, which reopened July 1, 2021, are now open and operating, there is significant uncertainty surrounding the full extent of the impact of the COVID-19 pandemic on the Company’s future results of operations and financial position.</w:t>
      </w:r>
    </w:p>
    <w:p>
      <w:pPr>
        <w:spacing w:after="0" w:line="165"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Company, in consultation with local governmental authorities, first determined to close its Nashville-based entertainment venues in mid-March 2020. As cancellations at the Gaylord Hotels properties began to increase, the Company and its hotel manager, Marriott, implemented a series of operational changes, culminating with the suspension of operations at the Gaylord Hotels properties in late March 2020. Gaylord Texan reopened June 8, 2020, and Gaylord Opryland, Gaylord Palms and Gaylord Rockies reopened June 25, 2020. Gaylord National reopened July 1, 2021.</w:t>
      </w:r>
    </w:p>
    <w:p>
      <w:pPr>
        <w:spacing w:after="0" w:line="121"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In the Company’s Entertainment segment, in addition to the temporary closure of its entertainment assets, the Company took steps to reduce operating costs in all areas. Many of the Company’s attractions reopened at reduced capacities in May and June 2020. The Grand Ole Opry and Ryman Auditorium began offering limited-capacity tours in June 2020, in September 2020, they reopened for limited-capacity publicly attended performances, and in May 2021, they reopened for full-capacity publicly attended performances. After the April 2021 reopening of the Wildhorse Saloon, which was closed through March 2021 subsequent to the December 2020 downtown Nashville bombing, all of the Company’s entertainment assets are open.</w:t>
      </w:r>
    </w:p>
    <w:p>
      <w:pPr>
        <w:spacing w:after="0" w:line="154"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The Company amended its credit facility on April 23, 2020, and again on December 22, 2020, as described in Note 5, “Debt,” to the Company’s Annual Report on Form 10-K for the year ended December 31, 2020. The Company continues to pay all required debt service payments on its indebtedness, lease payments, taxes and other payables.</w:t>
      </w:r>
    </w:p>
    <w:p>
      <w:pPr>
        <w:spacing w:after="0" w:line="138"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At June 30, 2021, the Company had $474.7 million available for borrowing under its revolving credit facility and $71.6 million in unrestricted cash on hand. The Company’s quarterly dividend is currently suspended. The Company’s board of directors will consider a future dividend as permitted by the Company’s credit agreement. The Company’s credit agreement permits payment of dividends as necessary to maintain the Company’s REIT status and permits the Company to pay a dividend of $0.01 per share each quarter. Any future dividend is subject to the Company’s board of director’s determinations as to the amount of distributions and timing thereof.</w:t>
      </w:r>
    </w:p>
    <w:p>
      <w:pPr>
        <w:spacing w:after="0" w:line="137"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With the exception of the Gaylord Palms expansion project and the renovation of the guest rooms at Gaylord National, the Company has deferred substantially all non-essential capital projects, in addition to delaying the Gaylord Rockies expansion project, which was scheduled to begin construction in second quarter 2020. The Gaylord Palms expansion project was completed in April 2021, and the Company believes the expansion will allow Gaylord Palms to serve groups that have moved their meetings to later in 2021 and beyond.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Newly Issued Accounting Standards</w:t>
      </w:r>
    </w:p>
    <w:p>
      <w:pPr>
        <w:spacing w:after="0" w:line="198"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The Company adopted this ASU in the first quarter of 2021, and this adoption did not have a material impact on the Company’s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In March 2020, the FASB issued ASU No. 2020-04, “</w:t>
      </w:r>
      <w:r>
        <w:rPr>
          <w:rFonts w:ascii="Arial" w:cs="Arial" w:eastAsia="Arial" w:hAnsi="Arial"/>
          <w:sz w:val="16"/>
          <w:szCs w:val="16"/>
          <w:i w:val="1"/>
          <w:iCs w:val="1"/>
          <w:color w:val="auto"/>
        </w:rPr>
        <w:t>Reference Rate Reform –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on Financial Reporting</w:t>
      </w:r>
      <w:r>
        <w:rPr>
          <w:rFonts w:ascii="Arial" w:cs="Arial" w:eastAsia="Arial" w:hAnsi="Arial"/>
          <w:sz w:val="16"/>
          <w:szCs w:val="16"/>
          <w:color w:val="auto"/>
        </w:rPr>
        <w:t>,” which provides temporary optional expedients and exceptions to the existing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REVENUES:</w:t>
      </w:r>
    </w:p>
    <w:p>
      <w:pPr>
        <w:spacing w:after="0" w:line="189"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center"/>
              <w:ind w:right="10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Hotel transient rooms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108,251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39,009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Entertainment produced content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ind w:left="900"/>
              <w:spacing w:after="0"/>
              <w:rPr>
                <w:sz w:val="20"/>
                <w:szCs w:val="20"/>
                <w:color w:val="auto"/>
              </w:rPr>
            </w:pPr>
            <w:r>
              <w:rPr>
                <w:rFonts w:ascii="Arial" w:cs="Arial" w:eastAsia="Arial" w:hAnsi="Arial"/>
                <w:sz w:val="18"/>
                <w:szCs w:val="18"/>
                <w:color w:val="auto"/>
              </w:rPr>
              <w:t>Total revenues</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170,861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14,681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255,036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327,711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right"/>
              <w:ind w:right="2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55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66,761</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Gaylord Palms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Gaylord National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AC Hotel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09"/>
        </w:trPr>
        <w:tc>
          <w:tcPr>
            <w:tcW w:w="3080" w:type="dxa"/>
            <w:vAlign w:val="bottom"/>
            <w:gridSpan w:val="2"/>
          </w:tcPr>
          <w:p>
            <w:pPr>
              <w:spacing w:after="0"/>
              <w:rPr>
                <w:sz w:val="20"/>
                <w:szCs w:val="20"/>
                <w:color w:val="auto"/>
              </w:rPr>
            </w:pPr>
            <w:r>
              <w:rPr>
                <w:rFonts w:ascii="Arial" w:cs="Arial" w:eastAsia="Arial" w:hAnsi="Arial"/>
                <w:sz w:val="18"/>
                <w:szCs w:val="18"/>
                <w:color w:val="auto"/>
              </w:rPr>
              <w:t>Total Hospitality segment revenues</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135,688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10,305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205,490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295,976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majority of the Company’s Entertainment segment revenues are concentrated in Tennessee.</w:t>
      </w:r>
    </w:p>
    <w:p>
      <w:pPr>
        <w:spacing w:after="0" w:line="18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June 30, 2021 and December 31, 2020, the Company had $105.2 million and $70.4 million, respectively, in deferred revenues, which are included in accounts payable and accrued liabilities in the accompanying condensed consolidated balance sheets. Of the amount outstanding at December 31, 2020, approximately $8.0 million was recognized in revenue during the six months ended June 30, 2021.</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INCOME (LOSS) PER SHARE: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420" w:type="dxa"/>
            <w:vAlign w:val="bottom"/>
          </w:tcPr>
          <w:p>
            <w:pPr>
              <w:spacing w:after="0"/>
              <w:rPr>
                <w:sz w:val="14"/>
                <w:szCs w:val="14"/>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36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4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55,058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54,974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55,026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54,943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55,058</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54,974</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55,026</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54,943</w:t>
            </w:r>
          </w:p>
        </w:tc>
      </w:tr>
      <w:tr>
        <w:trPr>
          <w:trHeight w:val="20"/>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For the three months ended June 30, 2021 and 2020, the effect of dilutive stock-based compensation was the equivalent of 0.1 million shares of common stock outstanding, respectively. For the six months ended June 30, 2021 and 2020, the effect of dilutive stock-based compensation was the equivalent of 0.1 million shares of common stock outstanding, respectively. Because the Company had a loss available to common stockholders in the three months and six months ended June 30, 2021 and 2020, these incremental shares were excluded from the computation of dilutive earnings per share as the effect of their inclusion would have been anti-dilutive.</w:t>
      </w:r>
    </w:p>
    <w:p>
      <w:pPr>
        <w:spacing w:after="0" w:line="152"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As more fully discussed in Note 4, “Investment in Gaylord Rockies Joint Venture,” to the Company’s Annual Report on Form 10-K for the year ended December 31, 2020, certain affiliates of Ares Management, L.P. each had a put right to require the Company to purchase their joint venture interests in the Gaylord Rockies joint venture in consideration of cash or operating partnership units (“OP Units”) of RHP Hotel Properties, LP (the “Operating Partnership”). These put rights were exercised during 2020 and are excluded from the computation of dilutive earnings per share for the three months and six months ended June 30, 2020 as the effect of their inclusion would have been anti-dilutive due to the Company’s loss available to common stockholders in that period. The OP Units held by the noncontrolling interest holders have been excluded from the denominator of the diluted loss per share calculation for the three months and six months ended June 30, 2021 as there would be no effect on the calculation of diluted loss per share because the loss attributable to the OP Units held by the noncontrolling interest holders would also be subtracted to derive net loss available to common stockholders.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202"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The Company’s balance in accumulated other comprehensive loss is comprised of amounts related to the Company’s minimum pension liability discussed in Note 11, “Pension Plans,” interest rate derivatives designated as cash flow hedges related to the Company’s outstanding debt as discussed in Note 7, “Debt,” and amounts related to an other-than-temporary impairment of a held-to-maturity investment that existed prior to 2020 with respect to the notes receivable discussed in Note 6, “Notes Receivable,” to the condensed consolidated financial statements included herein, and Note 3, “Notes Receivable,” to the consolidated financial statements included in the Company’s Annual Report on Form 10-K for the year ended December 31, 2020. Changes in accumulated other comprehensive loss by component for the six months ended June 30, 2021 and 2020 consisted of the following (in thousands):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Gains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8,804</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17,304</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June 30, 2021</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(19,532)</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(28,159)</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Losses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(40,148)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(41,254)</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 (loss)</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(38,626)</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Transition adjustment related to adoption of ASU 2016-13</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6"/>
                <w:szCs w:val="16"/>
                <w:color w:val="auto"/>
              </w:rPr>
              <w:t>Balance, June 30, 2020</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(24,989)</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(3,614)</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(36,024)</w:t>
            </w:r>
          </w:p>
        </w:tc>
        <w:tc>
          <w:tcPr>
            <w:tcW w:w="160" w:type="dxa"/>
            <w:vAlign w:val="bottom"/>
            <w:gridSpan w:val="2"/>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(64,627)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w:t>
      </w:r>
    </w:p>
    <w:p>
      <w:pPr>
        <w:spacing w:after="0" w:line="18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Property and equipment, including right-of-use finance lease assets, at June 30, 2021 and December 31, 2020 is recorded at cost (except for right-of-use finance lease assets) and summarized as follows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351,618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3,574,067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3,462,218</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960,666</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166,084</w:t>
            </w: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4,967,403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4,942,199</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(1,863,067)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(1,824,952)</w:t>
            </w:r>
          </w:p>
        </w:tc>
      </w:tr>
      <w:tr>
        <w:trPr>
          <w:trHeight w:val="209"/>
        </w:trPr>
        <w:tc>
          <w:tcPr>
            <w:tcW w:w="5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3,104,336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3,117,247</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NOTES RECEIVABLE:</w:t>
      </w:r>
    </w:p>
    <w:p>
      <w:pPr>
        <w:spacing w:after="0" w:line="202"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As further discussed in the Company’s Annual Report on Form 10-K for the year ended December 31, 2020, in connection with the development of Gaylord National, the Company holds two issuances of governmental bonds (“Series A bond” and “Series B bond”) with a total carrying value and approximate fair value of $72.0 million and $71.9 million at June 30, 2021 and December 31, 2020, respectively, net of credit loss reserve of $38.0 million at each of June 30, 2021 and December 31, 2020. The Company receives debt service and principal payments thereon, payable from property tax increments, hotel taxes and special hotel rental taxes generated from Gaylord National through the maturity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dates of July 1, 2034 and September 1, 2037, respectively. The Company records interest income over the life of the notes using the effective interest method.</w:t>
      </w:r>
    </w:p>
    <w:p>
      <w:pPr>
        <w:spacing w:after="0" w:line="143"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remaining life of the bonds, the Company increased its credit loss reserve by $19.1 million and $25.0 million in the three months and six months ended June 30, 2020, respectively. As a result of additional credit loss reserves recorded in the year ended December 31, 2020, at June 30, 2021, the Series B bond is fully reserved. The Series A bond is of higher priority than other tranches which fall between the Company’s two issuances.</w:t>
      </w:r>
    </w:p>
    <w:p>
      <w:pPr>
        <w:spacing w:after="0" w:line="138"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During the three months ended June 30, 2021 and 2020, the Company recorded interest income of $1.4 million and $1.7 million, respectively, on these bonds. During the six months ended June 30, 2021 and 2020, the Company recorded interest income of $2.7 million and $3.2 million, respectively, on these bonds. The Company received payments of $2.8 million and $2.9 million during the six months ended June 30, 2021 and 2020, respectively, relating to these bonds. At each of June 30, 2021 and December 31, 2020, before consideration of the credit loss reserve, the Company had accrued interest receivable related to these bonds of $40.9 million.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DEBT: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debt and finance lease obligations at June 30, 2021 and December 31, 2020 consisted of (in thousands):</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40" w:type="dxa"/>
            <w:vAlign w:val="bottom"/>
            <w:tcBorders>
              <w:bottom w:val="single" w:sz="8" w:color="CCEEFF"/>
            </w:tcBorders>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$700M Revolving Credit Facility, interest at LIBOR plus 2.25%, maturing March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106,000</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$300M Term Loan A, interest at LIBOR plus 2.25%, maturing March 31, 2025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$500M Term Loan B, interest at LIBOR plus 2.00%, maturing May 11, 2024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381,250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$400M</w:t>
            </w:r>
          </w:p>
        </w:tc>
        <w:tc>
          <w:tcPr>
            <w:tcW w:w="6280" w:type="dxa"/>
            <w:vAlign w:val="bottom"/>
          </w:tcPr>
          <w:p>
            <w:pPr>
              <w:ind w:left="20"/>
              <w:spacing w:after="0"/>
              <w:rPr>
                <w:sz w:val="20"/>
                <w:szCs w:val="20"/>
                <w:color w:val="auto"/>
              </w:rPr>
            </w:pPr>
            <w:r>
              <w:rPr>
                <w:rFonts w:ascii="Arial" w:cs="Arial" w:eastAsia="Arial" w:hAnsi="Arial"/>
                <w:sz w:val="18"/>
                <w:szCs w:val="18"/>
                <w:color w:val="auto"/>
              </w:rPr>
              <w:t>Senior Notes, interest at 5.0%, original maturity April 15, 2023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$600M</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interest at 4.50%, maturing February 15, 2029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$700M</w:t>
            </w:r>
          </w:p>
        </w:tc>
        <w:tc>
          <w:tcPr>
            <w:tcW w:w="6280" w:type="dxa"/>
            <w:vAlign w:val="bottom"/>
          </w:tcPr>
          <w:p>
            <w:pPr>
              <w:ind w:left="20"/>
              <w:spacing w:after="0"/>
              <w:rPr>
                <w:sz w:val="20"/>
                <w:szCs w:val="20"/>
                <w:color w:val="auto"/>
              </w:rPr>
            </w:pPr>
            <w:r>
              <w:rPr>
                <w:rFonts w:ascii="Arial" w:cs="Arial" w:eastAsia="Arial" w:hAnsi="Arial"/>
                <w:sz w:val="18"/>
                <w:szCs w:val="18"/>
                <w:color w:val="auto"/>
              </w:rPr>
              <w:t>Senior Notes, interest at 4.75%, maturing October 15, 2027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700,000</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$800M</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Gaylord Rockies Term Loan, interest at LIBOR plus 2.50%, maturing July 2, 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Finance lease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(32,504)</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premium</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r>
      <w:tr>
        <w:trPr>
          <w:trHeight w:val="210"/>
        </w:trPr>
        <w:tc>
          <w:tcPr>
            <w:tcW w:w="6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2,970,145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2,658,008</w:t>
            </w:r>
          </w:p>
        </w:tc>
      </w:tr>
      <w:tr>
        <w:trPr>
          <w:trHeight w:val="20"/>
        </w:trPr>
        <w:tc>
          <w:tcPr>
            <w:tcW w:w="5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Amounts due within one year consist of the amortization payments for the $500 million term loan B of 1.0% of the original principal balance, as described in the Company’s Annual Report on Form 10-K for the year ended December 31, 2020.</w:t>
      </w:r>
    </w:p>
    <w:p>
      <w:pPr>
        <w:spacing w:after="0" w:line="83"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At June 30, 2021, there were no defaults under the covenants related to the Company’s outstanding debt based on the amended terms reached with the lenders in December 2020.</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 and Redemption of $400 Million 5% Senior Notes Due 2023</w:t>
      </w:r>
    </w:p>
    <w:p>
      <w:pPr>
        <w:spacing w:after="0" w:line="198"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On February 9, 2021, the Company commenced a cash tender offer for any and all outstanding $400 million 5% senior notes due 2023 (the “$400 Million 5% Senior Notes”) at a redemption price of $1,005.00 per $1,000 principal amount. Pursuant to the tender offer, $161.9 million aggregate principal amount of the $400 Million 5% Senior Notes were validly tendered. The Company used a portion of the proceeds from the issuance of the $600 million 4.50% senior notes discussed below to fund the tender offer.</w:t>
      </w:r>
    </w:p>
    <w:p>
      <w:pPr>
        <w:spacing w:after="0" w:line="147"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In accordance with the indenture governing the $400 Million 5% Senior Notes, subsequent to expiration of the tender offer, in February 2021 the Company gave irrevocable notice of the redemption of all remaining $400 Million 5% Senior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Notes not tendered in the tender offer. The redemption and cancellation of the remaining $400 Million 5% Senior Notes was completed on April 15, 2021. The Company used a portion of the proceeds from the issuance of the $600 million 4.50% senior notes discussed below to fund the redemption.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a result of the Company’s purchase of tendered $400 Million 5% Senior Notes and the redemption of all untendered</w:t>
      </w:r>
    </w:p>
    <w:p>
      <w:pPr>
        <w:spacing w:after="0" w:line="46"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$400 Million 5% Senior Notes, the Company recognized a loss on extinguishment of debt of $2.9 million in the six months ended June 30, 2021.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$600 Million 4.50% Senior Notes Due 2029</w:t>
      </w:r>
    </w:p>
    <w:p>
      <w:pPr>
        <w:spacing w:after="0" w:line="185" w:lineRule="exact"/>
        <w:rPr>
          <w:sz w:val="20"/>
          <w:szCs w:val="20"/>
          <w:color w:val="auto"/>
        </w:rPr>
      </w:pPr>
    </w:p>
    <w:p>
      <w:pPr>
        <w:ind w:left="60" w:right="259"/>
        <w:spacing w:after="0" w:line="284" w:lineRule="auto"/>
        <w:rPr>
          <w:sz w:val="20"/>
          <w:szCs w:val="20"/>
          <w:color w:val="auto"/>
        </w:rPr>
      </w:pPr>
      <w:r>
        <w:rPr>
          <w:rFonts w:ascii="Arial" w:cs="Arial" w:eastAsia="Arial" w:hAnsi="Arial"/>
          <w:sz w:val="16"/>
          <w:szCs w:val="16"/>
          <w:color w:val="auto"/>
        </w:rPr>
        <w:t>On February 17, 2021, the Operating Partnership and RHP Finance Corporation, a Delaware corporation (“Finco”) completed the private placement of $600.0 million in aggregate principal amount of 4.50% senior notes due 2029 (the “$600 Million 4.50% Senior Notes”), which are guaranteed by the Company and its subsidiaries that guarantee the Company’s credit agreement. The $600 Million 4.50% Senior Notes and guarantees were issued pursuant to an indenture by and among the issuing subsidiaries, the guarantors and U.S. Bank National Association, as trustee. The $600 Million 4.50% Senior Notes have a maturity date of February 15, 2029 and bear interest at 4.50% per annum, payable semi-annually in cash in arrears on February 15 and August 15 each year, beginning on August 15, 2021. The $600 Million</w:t>
      </w:r>
    </w:p>
    <w:p>
      <w:pPr>
        <w:spacing w:after="0" w:line="2" w:lineRule="exact"/>
        <w:rPr>
          <w:sz w:val="20"/>
          <w:szCs w:val="20"/>
          <w:color w:val="auto"/>
        </w:rPr>
      </w:pPr>
    </w:p>
    <w:p>
      <w:pPr>
        <w:ind w:left="60" w:right="139"/>
        <w:spacing w:after="0" w:line="268" w:lineRule="auto"/>
        <w:rPr>
          <w:sz w:val="20"/>
          <w:szCs w:val="20"/>
          <w:color w:val="auto"/>
        </w:rPr>
      </w:pPr>
      <w:r>
        <w:rPr>
          <w:rFonts w:ascii="Arial" w:cs="Arial" w:eastAsia="Arial" w:hAnsi="Arial"/>
          <w:sz w:val="17"/>
          <w:szCs w:val="17"/>
          <w:color w:val="auto"/>
        </w:rPr>
        <w:t>4.50% Senior Notes are general unsecured and unsubordinated obligations of the issuing subsidiaries and rank equal in right of payment with such subsidiaries’ existing and future senior unsecured indebtedness, including the Company’s $700 million 4.75% senior notes due 2027,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38"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 net proceeds from the issuance of the $600 Million 4.50% Senior Notes totaled approximately $591 million, after deducting the initial purchasers’ discounts, commissions and offering expenses. The Company used a significant portion of these proceeds to tender and redeem the previous $400 Million 5% Senior Notes, as discussed above, and to repay all of the amounts outstanding under the Company’s revolving credit facility. The Company used the remaining net proceeds for general corporate purposes.</w:t>
      </w:r>
    </w:p>
    <w:p>
      <w:pPr>
        <w:spacing w:after="0" w:line="161"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Derivatives</w:t>
      </w:r>
    </w:p>
    <w:p>
      <w:pPr>
        <w:spacing w:after="0" w:line="185"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The Company has entered into interest rate swaps to manage interest rate risk associated with the Company’s $500 million term loan B and the Gaylord Rockies $800 million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49"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$16.0 million will be reclassified from accumulated other comprehensive loss to interest expense in the next twelve months.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estimated fair value of the Company’s derivative financial instruments at June 30, 2021 and December 31, 2020 is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Strike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4"/>
                <w:szCs w:val="14"/>
                <w:color w:val="auto"/>
              </w:rPr>
            </w:pP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Asset (Liability) Balance</w:t>
            </w:r>
          </w:p>
        </w:tc>
        <w:tc>
          <w:tcPr>
            <w:tcW w:w="0" w:type="dxa"/>
            <w:vAlign w:val="bottom"/>
          </w:tcPr>
          <w:p>
            <w:pPr>
              <w:spacing w:after="0"/>
              <w:rPr>
                <w:sz w:val="1"/>
                <w:szCs w:val="1"/>
                <w:color w:val="auto"/>
              </w:rPr>
            </w:pPr>
          </w:p>
        </w:tc>
      </w:tr>
      <w:tr>
        <w:trPr>
          <w:trHeight w:val="119"/>
        </w:trPr>
        <w:tc>
          <w:tcPr>
            <w:tcW w:w="20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Hedged Debt</w:t>
            </w: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Type</w:t>
            </w:r>
          </w:p>
        </w:tc>
        <w:tc>
          <w:tcPr>
            <w:tcW w:w="680" w:type="dxa"/>
            <w:vAlign w:val="bottom"/>
            <w:gridSpan w:val="2"/>
            <w:vMerge w:val="continue"/>
          </w:tcPr>
          <w:p>
            <w:pPr>
              <w:spacing w:after="0"/>
              <w:rPr>
                <w:sz w:val="10"/>
                <w:szCs w:val="10"/>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Index</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Maturity Date</w:t>
            </w:r>
          </w:p>
        </w:tc>
        <w:tc>
          <w:tcPr>
            <w:tcW w:w="920" w:type="dxa"/>
            <w:vAlign w:val="bottom"/>
            <w:gridSpan w:val="2"/>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9"/>
              </w:rPr>
              <w:t>June 30,</w:t>
            </w:r>
          </w:p>
        </w:tc>
        <w:tc>
          <w:tcPr>
            <w:tcW w:w="9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11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B</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Interest Rate Swap</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1.2235%</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1-month LIBOR</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$ 87,500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(1,601)</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ind w:right="7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8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(1,601)</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(1,601)</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1.2315%</w:t>
            </w:r>
          </w:p>
        </w:tc>
        <w:tc>
          <w:tcPr>
            <w:tcW w:w="8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(1,614)</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Gaylord Rockies Term Loan</w:t>
            </w:r>
          </w:p>
        </w:tc>
        <w:tc>
          <w:tcPr>
            <w:tcW w:w="12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Interest Rate Swap</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1.6500%</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3"/>
              </w:rPr>
              <w:t>August 1, 2022</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(13,115)</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(19,532)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center"/>
              <w:ind w:right="7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(27,819)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83"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condensed consolidated statements of operations for the respective periods is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Amount of Gain (Loss)</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Recognized in OCI</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21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on Derivative</w:t>
            </w:r>
          </w:p>
        </w:tc>
        <w:tc>
          <w:tcPr>
            <w:tcW w:w="1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162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Reclassified from</w:t>
            </w:r>
          </w:p>
        </w:tc>
        <w:tc>
          <w:tcPr>
            <w:tcW w:w="14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3"/>
          </w:tcPr>
          <w:p>
            <w:pPr>
              <w:jc w:val="center"/>
              <w:ind w:right="4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Accumulated OCI</w:t>
            </w:r>
          </w:p>
        </w:tc>
        <w:tc>
          <w:tcPr>
            <w:tcW w:w="140" w:type="dxa"/>
            <w:vAlign w:val="bottom"/>
          </w:tcPr>
          <w:p>
            <w:pPr>
              <w:spacing w:after="0"/>
              <w:rPr>
                <w:sz w:val="14"/>
                <w:szCs w:val="14"/>
                <w:color w:val="auto"/>
              </w:rPr>
            </w:pPr>
          </w:p>
        </w:tc>
        <w:tc>
          <w:tcPr>
            <w:tcW w:w="1200" w:type="dxa"/>
            <w:vAlign w:val="bottom"/>
            <w:gridSpan w:val="2"/>
          </w:tcPr>
          <w:p>
            <w:pPr>
              <w:jc w:val="center"/>
              <w:ind w:left="467"/>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4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Arial" w:cs="Arial" w:eastAsia="Arial" w:hAnsi="Arial"/>
                <w:sz w:val="15"/>
                <w:szCs w:val="15"/>
                <w:color w:val="auto"/>
              </w:rPr>
              <w:t>Interest rate swaps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207"/>
              <w:spacing w:after="0"/>
              <w:rPr>
                <w:sz w:val="20"/>
                <w:szCs w:val="20"/>
                <w:color w:val="auto"/>
              </w:rPr>
            </w:pPr>
            <w:r>
              <w:rPr>
                <w:rFonts w:ascii="Arial" w:cs="Arial" w:eastAsia="Arial" w:hAnsi="Arial"/>
                <w:sz w:val="15"/>
                <w:szCs w:val="15"/>
                <w:color w:val="auto"/>
                <w:w w:val="96"/>
              </w:rPr>
              <w:t>(426)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(4,201)</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Interest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(4,110)</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(2,942)</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Total derivatives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center"/>
              <w:ind w:left="207"/>
              <w:spacing w:after="0" w:line="169" w:lineRule="exact"/>
              <w:rPr>
                <w:sz w:val="20"/>
                <w:szCs w:val="20"/>
                <w:color w:val="auto"/>
              </w:rPr>
            </w:pPr>
            <w:r>
              <w:rPr>
                <w:rFonts w:ascii="Arial" w:cs="Arial" w:eastAsia="Arial" w:hAnsi="Arial"/>
                <w:sz w:val="15"/>
                <w:szCs w:val="15"/>
                <w:color w:val="auto"/>
                <w:w w:val="96"/>
              </w:rPr>
              <w:t>(426)</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(4,201)</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(4,110)</w:t>
            </w:r>
          </w:p>
        </w:tc>
        <w:tc>
          <w:tcPr>
            <w:tcW w:w="280" w:type="dxa"/>
            <w:vAlign w:val="bottom"/>
            <w:shd w:val="clear" w:color="auto" w:fill="CCEEFF"/>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(2,942)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540" w:type="dxa"/>
            <w:vAlign w:val="bottom"/>
          </w:tcPr>
          <w:p>
            <w:pPr>
              <w:spacing w:after="0"/>
              <w:rPr>
                <w:sz w:val="24"/>
                <w:szCs w:val="2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Amount of Gain (Loss)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5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21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Derivative</w:t>
            </w:r>
          </w:p>
        </w:tc>
        <w:tc>
          <w:tcPr>
            <w:tcW w:w="1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
              <w:spacing w:after="0" w:line="119" w:lineRule="exact"/>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0"/>
                <w:szCs w:val="10"/>
                <w:color w:val="auto"/>
              </w:rPr>
            </w:pPr>
          </w:p>
        </w:tc>
        <w:tc>
          <w:tcPr>
            <w:tcW w:w="16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Reclassified from</w:t>
            </w:r>
          </w:p>
        </w:tc>
        <w:tc>
          <w:tcPr>
            <w:tcW w:w="14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3"/>
          </w:tcPr>
          <w:p>
            <w:pPr>
              <w:jc w:val="center"/>
              <w:ind w:right="45"/>
              <w:spacing w:after="0" w:line="119" w:lineRule="exact"/>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Accumulated OCI</w:t>
            </w:r>
          </w:p>
        </w:tc>
        <w:tc>
          <w:tcPr>
            <w:tcW w:w="140" w:type="dxa"/>
            <w:vAlign w:val="bottom"/>
          </w:tcPr>
          <w:p>
            <w:pPr>
              <w:spacing w:after="0"/>
              <w:rPr>
                <w:sz w:val="14"/>
                <w:szCs w:val="14"/>
                <w:color w:val="auto"/>
              </w:rPr>
            </w:pPr>
          </w:p>
        </w:tc>
        <w:tc>
          <w:tcPr>
            <w:tcW w:w="1200" w:type="dxa"/>
            <w:vAlign w:val="bottom"/>
            <w:gridSpan w:val="2"/>
          </w:tcPr>
          <w:p>
            <w:pPr>
              <w:jc w:val="center"/>
              <w:ind w:left="467"/>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4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20"/>
              <w:spacing w:after="0" w:line="162" w:lineRule="exact"/>
              <w:rPr>
                <w:sz w:val="20"/>
                <w:szCs w:val="20"/>
                <w:color w:val="auto"/>
              </w:rPr>
            </w:pPr>
            <w:r>
              <w:rPr>
                <w:rFonts w:ascii="Arial" w:cs="Arial" w:eastAsia="Arial" w:hAnsi="Arial"/>
                <w:sz w:val="15"/>
                <w:szCs w:val="15"/>
                <w:color w:val="auto"/>
              </w:rPr>
              <w:t>Interest rate swaps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tcPr>
          <w:p>
            <w:pPr>
              <w:jc w:val="center"/>
              <w:ind w:left="227"/>
              <w:spacing w:after="0" w:line="162" w:lineRule="exact"/>
              <w:rPr>
                <w:sz w:val="20"/>
                <w:szCs w:val="20"/>
                <w:color w:val="auto"/>
              </w:rPr>
            </w:pPr>
            <w:r>
              <w:rPr>
                <w:rFonts w:ascii="Arial" w:cs="Arial" w:eastAsia="Arial" w:hAnsi="Arial"/>
                <w:sz w:val="15"/>
                <w:szCs w:val="15"/>
                <w:color w:val="auto"/>
                <w:w w:val="95"/>
              </w:rPr>
              <w:t>176</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6"/>
              </w:rPr>
              <w:t>(40,148)</w:t>
            </w: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5"/>
                <w:szCs w:val="15"/>
                <w:color w:val="auto"/>
                <w:w w:val="90"/>
              </w:rPr>
              <w:t>Interest expense</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(8,111)</w:t>
            </w:r>
          </w:p>
        </w:tc>
        <w:tc>
          <w:tcPr>
            <w:tcW w:w="280" w:type="dxa"/>
            <w:vAlign w:val="bottom"/>
          </w:tcPr>
          <w:p>
            <w:pPr>
              <w:jc w:val="right"/>
              <w:ind w:right="124"/>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(2,490)</w:t>
            </w:r>
          </w:p>
        </w:tc>
        <w:tc>
          <w:tcPr>
            <w:tcW w:w="0" w:type="dxa"/>
            <w:vAlign w:val="bottom"/>
          </w:tcPr>
          <w:p>
            <w:pPr>
              <w:spacing w:after="0"/>
              <w:rPr>
                <w:sz w:val="1"/>
                <w:szCs w:val="1"/>
                <w:color w:val="auto"/>
              </w:rPr>
            </w:pPr>
          </w:p>
        </w:tc>
      </w:tr>
      <w:tr>
        <w:trPr>
          <w:trHeight w:val="155"/>
        </w:trPr>
        <w:tc>
          <w:tcPr>
            <w:tcW w:w="354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derivatives</w:t>
            </w: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right w:val="single" w:sz="8" w:color="CCEEFF"/>
            </w:tcBorders>
            <w:shd w:val="clear" w:color="auto" w:fill="CCEEFF"/>
          </w:tcPr>
          <w:p>
            <w:pPr>
              <w:jc w:val="center"/>
              <w:ind w:left="227"/>
              <w:spacing w:after="0" w:line="156" w:lineRule="exact"/>
              <w:rPr>
                <w:sz w:val="20"/>
                <w:szCs w:val="20"/>
                <w:color w:val="auto"/>
              </w:rPr>
            </w:pPr>
            <w:r>
              <w:rPr>
                <w:rFonts w:ascii="Arial" w:cs="Arial" w:eastAsia="Arial" w:hAnsi="Arial"/>
                <w:sz w:val="15"/>
                <w:szCs w:val="15"/>
                <w:color w:val="auto"/>
                <w:w w:val="95"/>
              </w:rPr>
              <w:t>176</w:t>
            </w: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(40,148)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(8,111)</w:t>
            </w:r>
          </w:p>
        </w:tc>
        <w:tc>
          <w:tcPr>
            <w:tcW w:w="280" w:type="dxa"/>
            <w:vAlign w:val="bottom"/>
            <w:tcBorders>
              <w:top w:val="single" w:sz="8" w:color="auto"/>
              <w:bottom w:val="single" w:sz="8" w:color="auto"/>
            </w:tcBorders>
            <w:shd w:val="clear" w:color="auto" w:fill="CCEEFF"/>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(2,490)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the three months ended June 30, 2021 and 2020 was $29.8 million and $30.0 million, respectively, and for the six months ended June 30, 2021 and 2020 was $60.6 million and $59.4 million, respectively.</w:t>
      </w:r>
    </w:p>
    <w:p>
      <w:pPr>
        <w:spacing w:after="0" w:line="160"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At June 30, 2021, the fair value of derivatives in a net liability position including accrued interest but excluding any adjustment for nonperformance risk related to these agreements was $20.8 million. As of June 30, 2021,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$20.8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189"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as a result are not included in the Company’s calculation of its right-of-use assets and lease liabilities.</w:t>
      </w:r>
    </w:p>
    <w:p>
      <w:pPr>
        <w:spacing w:after="0" w:line="164"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4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76"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color w:val="auto"/>
        </w:rPr>
        <w:t>The Company’s lease costs for the three months and six months ended June 30, 2021 and 2020 are as follows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2020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6,080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Finance lease cost: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on lease liabilities</w:t>
            </w: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6,179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60" w:type="dxa"/>
            <w:vAlign w:val="bottom"/>
            <w:vMerge w:val="restart"/>
          </w:tcPr>
          <w:p>
            <w:pPr>
              <w:jc w:val="right"/>
              <w:ind w:right="35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minimum lease payments under non-cancelable leases at June 30, 2021 are as follows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Finance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Leases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4"/>
              </w:rPr>
              <w:t>Leases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565,247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(487,114)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present value of minimum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color w:val="auto"/>
                <w:w w:val="91"/>
              </w:rPr>
              <w:t>The remaining lease term and discount rate for the Company’s leases are as follows: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2"/>
              </w:rPr>
              <w:t>50.0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10.3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6.9 %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 PLANS:</w:t>
      </w:r>
    </w:p>
    <w:p>
      <w:pPr>
        <w:spacing w:after="0" w:line="202"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During the six months ended June 30, 2021, the Company granted 0.3 million restricted stock units with a weighted-average grant date fair value of $73.69 per unit. There were 0.5 million and 0.4 million restricted stock units outstanding at June 30, 2021 and December 31, 2020, respectively.</w:t>
      </w:r>
    </w:p>
    <w:p>
      <w:pPr>
        <w:spacing w:after="0" w:line="143"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Compensation expense for the Company’s stock-based compensation plans was $3.1 million and $2.2 million for the three months ended June 30, 2021 and 2020, respectively, and $5.7 million and $4.4 million for the six months ended June 30, 2021 and 2020, respectively.</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PENSION PLANS:</w:t>
      </w:r>
    </w:p>
    <w:p>
      <w:pPr>
        <w:spacing w:after="0" w:line="202" w:lineRule="exact"/>
        <w:rPr>
          <w:sz w:val="20"/>
          <w:szCs w:val="20"/>
          <w:color w:val="auto"/>
        </w:rPr>
      </w:pPr>
    </w:p>
    <w:p>
      <w:pPr>
        <w:ind w:left="60" w:right="679"/>
        <w:spacing w:after="0" w:line="342" w:lineRule="auto"/>
        <w:rPr>
          <w:sz w:val="20"/>
          <w:szCs w:val="20"/>
          <w:color w:val="auto"/>
        </w:rPr>
      </w:pPr>
      <w:r>
        <w:rPr>
          <w:rFonts w:ascii="Arial" w:cs="Arial" w:eastAsia="Arial" w:hAnsi="Arial"/>
          <w:sz w:val="16"/>
          <w:szCs w:val="16"/>
          <w:color w:val="auto"/>
        </w:rPr>
        <w:t>Net periodic pension expense (benefit) reflected in other gains and (losses), net in the accompanying condensed consolidated statements of operations included the following components for the respective periods (in thousands):</w:t>
      </w:r>
    </w:p>
    <w:p>
      <w:pPr>
        <w:spacing w:after="0" w:line="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(1,054)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(2,047)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(2,109)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settlement loss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expense (benefit)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As a result of increased lump-sum distributions from the Company’s qualified retirement plan during 2021, a net settlement loss of $0.6 million was recognized in the three months and six months ended June 30, 2021.</w:t>
      </w:r>
    </w:p>
    <w:p>
      <w:pPr>
        <w:spacing w:after="0" w:line="170" w:lineRule="exact"/>
        <w:rPr>
          <w:sz w:val="20"/>
          <w:szCs w:val="20"/>
          <w:color w:val="auto"/>
        </w:rPr>
      </w:pPr>
    </w:p>
    <w:p>
      <w:pPr>
        <w:jc w:val="both"/>
        <w:ind w:left="60" w:right="199"/>
        <w:spacing w:after="0" w:line="286" w:lineRule="auto"/>
        <w:rPr>
          <w:sz w:val="20"/>
          <w:szCs w:val="20"/>
          <w:color w:val="auto"/>
        </w:rPr>
      </w:pPr>
      <w:r>
        <w:rPr>
          <w:rFonts w:ascii="Arial" w:cs="Arial" w:eastAsia="Arial" w:hAnsi="Arial"/>
          <w:sz w:val="17"/>
          <w:szCs w:val="17"/>
          <w:color w:val="auto"/>
        </w:rPr>
        <w:t>In addition, the increase in lump-sum distributions required the Company to re-measure its liability under its pension plan as of June 30, 2021. As a result of the re-measurement, as well as an increase in the pension plan’s assumed discount rate from 1.95% at December 31, 2020 to 2.31% at June 30, 2021, the Company recorded a $6.9 million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decrease to its liability under the pension plan and a corresponding decrease in accumulated other comprehensive loss in the accompanying condensed consolidated balance sheet at June 30,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pacing w:after="0" w:line="14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For the three months ended June 30, 2021 and 2020, the Company recorded an income tax provision of $1.6 million and $0.2 million, respectively. For the six months ended June 30, 2021 and 2020, the Company recorded an income tax provision of $5.6 million and $27.0 million, respectively. The income tax provision for the six months ended June 30, 2021 and 2020 included the recording of a valuation allowance of $3.6 million and $26.7 million, respectively, as further described below. Additionally, in the six months ended June 30, 2021 and 2020, the Company recorded an income tax provision of $2.0 million and $0.2 million, respectively, inclusive of valuation allowance, related to the current period operations of the Company.</w:t>
      </w:r>
    </w:p>
    <w:p>
      <w:pPr>
        <w:spacing w:after="0" w:line="154"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Due to the financial statement impact of the COVID-19 pandemic, in connection with the preparation of the condensed consolidated financial statements included herein, the Company reassessed the realizability of net deferred tax assets during 2020, and as a result, the Company included a valuation allowance of $26.7 million in its income tax provision for the six months ended June 30, 2020 on the net deferred tax assets of its TRSs. After further analysis, the Company identified the need for an additional valuation allowance related to the deferred tax assets in 2020 of $3.6 million, which is included in the income tax provision for the six months ended June 30, 2021.</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June 30, 2021 and December 31, 2020, the Company had no unrecognized tax benefits.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 has entered into limited repayment and carry guaranties related to the Gaylord Rockies Loan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34"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In April 2019, a subsidiary of the Company entered into a joint venture with Gray Television, Inc. to create and distribute a linear multicast and over-the-top channel dedicated to the country music lifestyle, Circle. The Company acquired a 50% equity interest in this joint venture and has made capital contributions of $17.0 million. In addition, the Company intends to contribute up to an additional $4.0 million through December 31, 2021. The Company accounts for its investment in this joint venture under the equity method of accounting.</w:t>
      </w:r>
    </w:p>
    <w:p>
      <w:pPr>
        <w:spacing w:after="0" w:line="14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EQUITY: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Due to the COVID-19 pandemic, the Company has suspended its regular quarterly dividend payments. The Company’s board of directors will consider a future dividend as permitted by the Company’s credit agreement. The Company’s credit agreement permits payment of dividends as necessary to maintain the Company’s REIT status and permits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Company to pay a dividend of $0.01 per share each quarter. Any future dividend is subject to the Company’s board of director’s determination as to the amount of distributions and the timing thereof.</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 in the Operating Partnership</w:t>
      </w:r>
    </w:p>
    <w:p>
      <w:pPr>
        <w:spacing w:after="0" w:line="18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June 30, 2021, 0.4 million outstanding OP Units, or less than 1% of the outstanding OP Units, were held by the noncontrolling limited partners and are included as a component of equity in the accompanying condensed consolidated balance sheet. The Company owns, directly or indirectly, the remaining 99.3% of the outstanding OP Units.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(“ATM”) Equity Distribution Agreement</w:t>
      </w:r>
    </w:p>
    <w:p>
      <w:pPr>
        <w:spacing w:after="0" w:line="198" w:lineRule="exact"/>
        <w:rPr>
          <w:sz w:val="20"/>
          <w:szCs w:val="20"/>
          <w:color w:val="auto"/>
        </w:rPr>
      </w:pPr>
    </w:p>
    <w:p>
      <w:pPr>
        <w:ind w:left="60" w:right="439"/>
        <w:spacing w:after="0" w:line="275" w:lineRule="auto"/>
        <w:rPr>
          <w:sz w:val="20"/>
          <w:szCs w:val="20"/>
          <w:color w:val="auto"/>
        </w:rPr>
      </w:pPr>
      <w:r>
        <w:rPr>
          <w:rFonts w:ascii="Arial" w:cs="Arial" w:eastAsia="Arial" w:hAnsi="Arial"/>
          <w:sz w:val="17"/>
          <w:szCs w:val="17"/>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3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Company’s credit agreement governing the Company’s revolving credit facility. Net proceeds which are not used for the repayment of outstanding indebtedness (to the extent then permitted by the Company’s credit agreement) may be used for general corporate purposes.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 shares were issued under the ATM Agreement during the three months and six months ended June 30, 2021.</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FAIR VALUE MEASUREMENTS:</w:t>
      </w:r>
    </w:p>
    <w:p>
      <w:pPr>
        <w:spacing w:after="0" w:line="18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1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60"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2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Arial" w:cs="Arial" w:eastAsia="Arial" w:hAnsi="Arial"/>
          <w:sz w:val="18"/>
          <w:szCs w:val="18"/>
          <w:color w:val="auto"/>
        </w:rPr>
        <w:t>The Company’s assets and liabilities measured at fair value on a recurring basis at June 30, 2021 and December 31, 2020, were as follows (in thousands):</w:t>
      </w:r>
    </w:p>
    <w:tbl>
      <w:tblPr>
        <w:tblLayout w:type="fixed"/>
        <w:tblInd w:w="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6"/>
              <w:spacing w:after="0" w:line="141"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2"/>
                <w:szCs w:val="12"/>
                <w:color w:val="auto"/>
              </w:rPr>
            </w:pPr>
          </w:p>
        </w:tc>
        <w:tc>
          <w:tcPr>
            <w:tcW w:w="9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0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19,532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060" w:type="dxa"/>
            <w:vAlign w:val="bottom"/>
            <w:gridSpan w:val="3"/>
          </w:tcPr>
          <w:p>
            <w:pPr>
              <w:ind w:left="9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27,819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The remainder of the assets and liabilities held by the Company at June 30, 2021 are not required to be recorded at fair value, and the carrying value of these assets and liabilities approximates fair value, except as described below.</w:t>
      </w:r>
    </w:p>
    <w:p>
      <w:pPr>
        <w:spacing w:after="0" w:line="97"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The Company has outstanding $600.0 million in aggregate principal amount of $600 million 4.50% senior notes. The carrying value of these notes at June 30, 2021 was $590.0 million, net of unamortized deferred financing costs (“DFCs”). The fair value of these notes, based upon quoted market prices (Level 1), was $606.0 million at June 30, 2021.</w:t>
      </w:r>
    </w:p>
    <w:p>
      <w:pPr>
        <w:spacing w:after="0" w:line="108"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The Company has outstanding $700.0 million in aggregate principal amount of $700 million 4.75% senior notes. The carrying value of these notes at June 30, 2021 was $692.0 million, net of unamortized DFCs and premiums. The fair value of these notes, based upon quoted market prices (Level 1), was $719.6 million at June 30, 2021.</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FINANCIAL REPORTING BY BUSINESS SEGMENTS: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the Gaylord Hotels properties, the Inn at Opryland and the AC Hotel;</w:t>
      </w:r>
    </w:p>
    <w:p>
      <w:pPr>
        <w:spacing w:after="0" w:line="23" w:lineRule="exact"/>
        <w:rPr>
          <w:rFonts w:ascii="Arial" w:cs="Arial" w:eastAsia="Arial" w:hAnsi="Arial"/>
          <w:sz w:val="18"/>
          <w:szCs w:val="18"/>
          <w:color w:val="auto"/>
        </w:rPr>
      </w:pPr>
    </w:p>
    <w:p>
      <w:pPr>
        <w:ind w:left="720" w:right="13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investment in Circle, and the Company’s Nashville-based attractions; and</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135,688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205,490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295,976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170,861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50,487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49,588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99,635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99,357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107,988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107,356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(27,100)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(100,128)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(90,562)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(76,311)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Preopening costs (1)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Gain on sale of assets (2)</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Credit loss on held-to-maturity securities (3)</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operating 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(30,947)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(140,735)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(110,504)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(135,985)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(29,847)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Loss on extinguishment of debt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unconsolidated joint ventures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gains and (losses),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(61,426)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(187,498)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(174,593)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(211,435)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20" w:right="279" w:hanging="319"/>
        <w:spacing w:after="0" w:line="28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Preopening costs for the three months and six months ended June 30, 2021 relates to the Hospitality segment. Preopening costs for the three months ended June 30, 2020 include $0.1 million and $0.6 million for the Hospitality and Entertainment segments, respectively. Preopening costs for the six months ended June 30, 2020 include $0.2 million and $1.3 million for the Hospitality and Entertainment segments, respectively.</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Gain on sale of assets for the six months ended June 30, 2021 and 2020 relates to the Hospitality segment.</w:t>
      </w:r>
    </w:p>
    <w:p>
      <w:pPr>
        <w:spacing w:after="0" w:line="20" w:lineRule="exact"/>
        <w:rPr>
          <w:rFonts w:ascii="Arial" w:cs="Arial" w:eastAsia="Arial" w:hAnsi="Arial"/>
          <w:sz w:val="17"/>
          <w:szCs w:val="17"/>
          <w:color w:val="auto"/>
        </w:rPr>
      </w:pPr>
    </w:p>
    <w:p>
      <w:pPr>
        <w:ind w:left="720" w:right="21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loss on held-to-maturity securities for the three months and six months ended June 30, 2020 relates to the Hospitality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5"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owned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2020, included in our Annual Report on Form 10-K that was filed with the SEC on February 26, 2021.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85" w:lineRule="exact"/>
        <w:rPr>
          <w:sz w:val="20"/>
          <w:szCs w:val="20"/>
          <w:color w:val="auto"/>
        </w:rPr>
      </w:pPr>
    </w:p>
    <w:p>
      <w:pPr>
        <w:ind w:left="60" w:right="59"/>
        <w:spacing w:after="0" w:line="283"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future travel, transient and group demand, the anticipated impact of the novel coronavirus disease (COVID-19) pandemic on our results of operations and liquidity, the expected effects of cost containment efforts, and efforts to rebook customers for later dates in 2021 and later years; (ii) the effect of our election to be taxed as a REIT and maintain REIT status for federal income tax purposes; (iii) the holding of our non-qualifying REIT assets in one or more taxable REIT subsidiaries (“TRSs”); (iv) the suspension of our dividend and our dividend policy, including the frequency and amount of any dividend we may pay;</w:t>
      </w:r>
    </w:p>
    <w:p>
      <w:pPr>
        <w:spacing w:after="0" w:line="1" w:lineRule="exact"/>
        <w:rPr>
          <w:sz w:val="20"/>
          <w:szCs w:val="20"/>
          <w:color w:val="auto"/>
        </w:rPr>
      </w:pPr>
    </w:p>
    <w:p>
      <w:pPr>
        <w:ind w:left="60" w:right="159" w:hanging="10"/>
        <w:spacing w:after="0" w:line="268" w:lineRule="auto"/>
        <w:tabs>
          <w:tab w:leader="none" w:pos="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the remainder of 2021; (x) our ability to borrow available funds under our credit facility; (xi) our expectations about successfully amending the agreements governing our indebtedness should the need arise; and (xii) any other business or operational matters. We have based these forward-looking statements on our current expectations and projections about future events.</w:t>
      </w:r>
    </w:p>
    <w:p>
      <w:pPr>
        <w:spacing w:after="0" w:line="141"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COVID-19 pandemic,</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including the effects of the COVID-19 pandemic on us and the hospitality and entertainment industries generally, the effects of the COVID-19 pandemic on the demand for travel, transient and group business (including government-imposed restrictions or guidelines), levels of consumer confidence in the safety of travel and group gathering as a result of COVID-19, the length and severity of the COVID-19 pandemic in the United States and the pace of recovery following the COVID-19 pandemic, the duration and severity of the COVID-19 pandemic in the markets where our assets are located, the economic conditions affecting the hospitality business generally, the geographic concentration of our hotel properties, business levels at our hotels,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including future changes from the London Inter-Bank Offered Rate (“LIBOR”) to a different base rate, and those factors described elsewhere in this Quarterly Report on Form 10-Q, including in Item 1A, “Risk Factors,” and our Annual Report on Form 10-K for the year ended December 31, 2020 or described from time to time in our other reports filed with the SEC.</w:t>
      </w:r>
    </w:p>
    <w:p>
      <w:pPr>
        <w:spacing w:after="0" w:line="15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(“Gaylord Rockies”), which was previously owned by a joint venture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and the AC Hotel at National Harbor, Washington D.C. (“AC Hotel”), an overflow hotel adjacent to Gaylord National.</w:t>
      </w:r>
    </w:p>
    <w:p>
      <w:pPr>
        <w:spacing w:after="0" w:line="145"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95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We also own a 50% interest in a joint venture intended to create and distribute a linear multicast and over-the-top channel dedicated to the country music lifestyle (“Circle”).</w:t>
      </w:r>
    </w:p>
    <w:p>
      <w:pPr>
        <w:spacing w:after="0" w:line="154"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7"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2020 for important information regarding forward-looking statements made in this report and risks and uncertainties we face.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198"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The novel coronavirus disease (COVID-19) pandemic has spread throughout the United States and continues to have an unprecedented impact on the U.S. economy. As discussed more fully in our Annual Report on Form 10-K for the year ended December 31, 2020, due to the COVID-19 pandemic, we have experienced disruption of our business. While all of our assets have reopened and are operating, there is significant uncertainty surrounding the full extent of the impact of the COVID-19 pandemic on our future results of operations and financial position.</w:t>
      </w:r>
    </w:p>
    <w:p>
      <w:pPr>
        <w:spacing w:after="0" w:line="136"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We continue taking steps to preserve liquidity in order to weather the COVID-19 pandemic, and continue to pay all required debt service payments on our indebtedness, lease payments, taxes and other payables. At June 30, 2021, we had $474.7 million available for borrowing under our revolving credit facility and $71.6 million in unrestricted cash on hand. Within our Hospitality segment, we, along with Marriott, have implemented various actions in order to contain costs in all areas. We have implemented similar cost containment initiatives in our Entertainment and Corporate segments.</w:t>
      </w:r>
    </w:p>
    <w:p>
      <w:pPr>
        <w:spacing w:after="0" w:line="12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As previously disclosed in 2020, we have suspended our regular quarterly dividend payments to stockholders. Our board of directors will consider a future dividend as permitted by our credit agreement and subject to our board of director’s determinations as to the amount of distributions and the timing thereof. With the exception of the Gaylord Palms expansion project and the renovation of the rooms at Gaylord National, we have deferred all non-essential capital projects. With respect to our properties that are operated under management agreements with Marriott, we are obligated to maintain an FF&amp;E reserve account for future planned and emergency-related capital expenditures at these properties; however Marriott has suspended this obligation through December 2021, although we have made voluntary contributions to fund the rooms renovation at Gaylord National.</w:t>
      </w:r>
    </w:p>
    <w:p>
      <w:pPr>
        <w:spacing w:after="0" w:line="16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As previously disclosed in 2020, we entered into certain amendments to the credit agreement governing our $700 million revolving credit facility (of which $225.0 million was outstanding at June 30, 2021), $300 million term loan A facility and the original $500 million term loan B facility (of which $378.8 million was outstanding at June 30, 2021). Together, the amendments provided for a temporary waiver of financial covenants in the credit facility through March 31, 2022 (unless terminated early by us at our option) and confirm our continued ability to borrow the remaining amounts available under the revolving credit facility (subject to a minimum liquidity covenant). Additionally, in 2020 the Gaylord Rockies joint venture completed an amendment to its $800 million term loan that provided the ability to use cash for certain purposes, even during a Cash Sweep Period (as defined in the loan agreement). Beginning in July 2020, the Gaylord Rockies joint venture was in a Cash Sweep Period pursuant to the loan agreement. For additional discussion of this amendment and other amendments to our credit agreement, see “Principal Debt Agreements” below.</w:t>
      </w:r>
    </w:p>
    <w:p>
      <w:pPr>
        <w:spacing w:after="0" w:line="128"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i w:val="1"/>
          <w:iCs w:val="1"/>
          <w:color w:val="auto"/>
        </w:rPr>
        <w:t>Impact on Operations</w:t>
      </w:r>
      <w:r>
        <w:rPr>
          <w:rFonts w:ascii="Arial" w:cs="Arial" w:eastAsia="Arial" w:hAnsi="Arial"/>
          <w:sz w:val="18"/>
          <w:szCs w:val="18"/>
          <w:color w:val="auto"/>
        </w:rPr>
        <w:t>. Except for Gaylord National, which reopened in July 2021, and the Wildhorse Saloon, which closed</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to the December 2020 downtown Nashville bombing and reopened in April 2021, our hotels and entertainment venues reopened in the second and third quarters of 2020.</w:t>
      </w:r>
    </w:p>
    <w:p>
      <w:pPr>
        <w:spacing w:after="0" w:line="143"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We and Marriott’s sales teams have been working closely with our customers to rebook previously cancelled business and, through June 30, 2021, we have rebooked approximately 66% of total room nights cancelled as a result of the COVID-19 pandemic. Cancelled room nights in the six months ended June 30, 2021 decreased 53% from the six months ended December 31, 2020 and group attrition as a percentage of contracted block has decreased in each sequential quarter since the onset of the COVID-19 pandemic. Occupancy within our Hospitality segment (including Gaylord National for the period it was closed) has increased each sequential month in 2021, from 11.9% in January 2021 to 47.3% in June 2021. In addition, organic group bookings (defined as bookings unrelated to a COVID-19 pandemic rebooking) made up 56% of group room nights booked in the three months ended June 30, 2021, compared to 44% in the three months ended March 31, 2021, 26% in the three months ended December 31, 2020 and 23% in the three months ended September 30, 2020.</w:t>
      </w:r>
    </w:p>
    <w:p>
      <w:pPr>
        <w:spacing w:after="0" w:line="139"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color w:val="auto"/>
        </w:rPr>
        <w:t>The aforementioned rebooking efforts have resulted in contracted business for 2022 that approaches or exceeds pre-pandemic levels based on pacing in 2018 for 2019. Our group ADR on-the-books for the next five years is ahead of the same time in 2018 by an average of 6.0% per year. This combined impact yields projected group rooms revenue on-the-books that we estimate is at or above pre-pandemic levels.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For additional discussion of the impact of the COVID-19 pandemic on our business, see “Risk Factors” under Part I, Item 1A of our Annual Report on Form 10-K for the year ended December 31, 2020.</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18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In May 2021, we purchased the remaining 35% ownership interest in the Gaylord Rockies joint venture. Prior to May 2021, we had a 65% ownership interest in the Gaylord Rockies joint venture, and our management concluded that the Company was the primary beneficiary of this previous variable interest entity (“VIE”). The financial position and results of operations of this previous VIE have been consolidated in the accompanying condensed consolidated financial statements included herein. We also purchased 130 acres of undeveloped land, adjacent to Gaylord Rockies.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198"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In 2018, we began construction of a $158 million expansion of Gaylord Palms, which includes an additional 302 guest rooms and 96,000 square feet of meeting space, an expanded resort pool and events lawn, and a new multi-level parking structure. The expansion was completed in April 2021.</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Circle</w:t>
      </w:r>
    </w:p>
    <w:p>
      <w:pPr>
        <w:spacing w:after="0" w:line="185"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In 2019, we acquired a 50% equity interest in Circle, and we have made $17.0 million in capital contributions through June 30, 2021. In addition, we intend to contribute up to an additional $4.0 million through December 31, 2021. Circle launched its broadcast network on January 1, 2020, with sixteen original shows and two major distribution partnerships. As of July 2021, Circle is available to more than 65% of U.S. television households via over-the-air and cable television and is available through multiple online streaming services covering over 154 million monthly average users.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Note Refinancing</w:t>
      </w:r>
    </w:p>
    <w:p>
      <w:pPr>
        <w:spacing w:after="0" w:line="18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On February 9, 2021, we commenced a cash tender offer for any and all outstanding $400 million 5% senior notes due 2023 (the “$400 Million 5% Senior Notes”) at a redemption price of $1,005.00 per $1,000 principal amount. Pursuant to the tender offer, $161.9 million aggregate principal amount of the $400 Million 5% Senior Notes were validly tendered. The Company used a portion of the proceeds from the issuance of the $600 million 4.50% senior notes discussed below to fund the tender offer.</w:t>
      </w:r>
    </w:p>
    <w:p>
      <w:pPr>
        <w:spacing w:after="0" w:line="14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accordance with the indenture governing the $400 Million 5% Senior Notes, subsequent to expiration of the tender offer, in February 2021 we gave irrevocable notice of the redemption of all remaining $400 Million 5% Senior Notes not tendered in the tender offer. The redemption and cancellation of the remaining $400 Million 5% Senior Notes was completed April 15, 2021. We used a portion of the proceeds from the issuance of the $600 million 4.50% senior notes discussed below to fund the redemption.</w:t>
      </w:r>
    </w:p>
    <w:p>
      <w:pPr>
        <w:spacing w:after="0" w:line="161"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As a result of the Company’s purchase of tendered $400 Million 5% Senior Notes and the redemption of all untendered $400 Million Senior Notes, we recognized a loss on extinguishment of debt of $2.9 million in the six months ended June 30, 2021.</w:t>
      </w:r>
    </w:p>
    <w:p>
      <w:pPr>
        <w:spacing w:after="0" w:line="184"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On February 17, 2021, the Operating Partnership and Finco (collectively, the “Issuers”) completed the private placement of $600 million in aggregate principal amount of 4.50% senior notes due 2029 (the “$600 Million 4.50% Senior Notes”). The aggregate net proceeds from the issuance of the $600 Million 4.5% Senior Notes totaled approximately $591 million, after deducting the initial purchasers’ discounts, commissions and offering expenses. After using a significant portion of these net proceeds to tender and redeem the $400 Million 5% Senior Notes, we used the net proceeds to repay all of the amounts outstanding under our $700 million revolving credit facility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Long-Term Strategic Plan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08"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i w:val="1"/>
          <w:iCs w:val="1"/>
          <w:color w:val="auto"/>
        </w:rPr>
        <w:t>Existing Hotel Property Design</w:t>
      </w:r>
      <w:r>
        <w:rPr>
          <w:rFonts w:ascii="Arial" w:cs="Arial" w:eastAsia="Arial" w:hAnsi="Arial"/>
          <w:sz w:val="17"/>
          <w:szCs w:val="17"/>
          <w:color w:val="auto"/>
        </w:rPr>
        <w:t>. Our Gaylord Hotels properties focus on the large group meetings market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36"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i w:val="1"/>
          <w:iCs w:val="1"/>
          <w:color w:val="auto"/>
        </w:rPr>
        <w:t>Expansion of Hotel Asset Portfolio</w:t>
      </w:r>
      <w:r>
        <w:rPr>
          <w:rFonts w:ascii="Arial" w:cs="Arial" w:eastAsia="Arial" w:hAnsi="Arial"/>
          <w:sz w:val="16"/>
          <w:szCs w:val="16"/>
          <w:color w:val="auto"/>
        </w:rPr>
        <w:t>. Part of our long-term growth strategy includes acquisitions of other hotels, particularly</w:t>
      </w:r>
      <w:r>
        <w:rPr>
          <w:rFonts w:ascii="Arial" w:cs="Arial" w:eastAsia="Arial" w:hAnsi="Arial"/>
          <w:sz w:val="16"/>
          <w:szCs w:val="16"/>
          <w:i w:val="1"/>
          <w:iCs w:val="1"/>
          <w:color w:val="auto"/>
        </w:rPr>
        <w:t xml:space="preserve"> </w:t>
      </w:r>
      <w:r>
        <w:rPr>
          <w:rFonts w:ascii="Arial" w:cs="Arial" w:eastAsia="Arial" w:hAnsi="Arial"/>
          <w:sz w:val="16"/>
          <w:szCs w:val="16"/>
          <w:color w:val="auto"/>
        </w:rPr>
        <w:t>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a part of our long-term growth strategy.</w:t>
      </w:r>
    </w:p>
    <w:p>
      <w:pPr>
        <w:spacing w:after="0" w:line="139"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Ole Red locations, as well as Circle.</w:t>
      </w:r>
    </w:p>
    <w:p>
      <w:pPr>
        <w:spacing w:after="0" w:line="138" w:lineRule="exact"/>
        <w:rPr>
          <w:sz w:val="20"/>
          <w:szCs w:val="20"/>
          <w:color w:val="auto"/>
        </w:rPr>
      </w:pPr>
    </w:p>
    <w:p>
      <w:pPr>
        <w:ind w:left="60" w:right="339"/>
        <w:spacing w:after="0" w:line="273" w:lineRule="auto"/>
        <w:rPr>
          <w:sz w:val="20"/>
          <w:szCs w:val="20"/>
          <w:color w:val="auto"/>
        </w:rPr>
      </w:pPr>
      <w:r>
        <w:rPr>
          <w:rFonts w:ascii="Arial" w:cs="Arial" w:eastAsia="Arial" w:hAnsi="Arial"/>
          <w:sz w:val="17"/>
          <w:szCs w:val="17"/>
          <w:i w:val="1"/>
          <w:iCs w:val="1"/>
          <w:color w:val="auto"/>
        </w:rPr>
        <w:t>Short-Term Capital Allocation</w:t>
      </w:r>
      <w:r>
        <w:rPr>
          <w:rFonts w:ascii="Arial" w:cs="Arial" w:eastAsia="Arial" w:hAnsi="Arial"/>
          <w:sz w:val="17"/>
          <w:szCs w:val="17"/>
          <w:color w:val="auto"/>
        </w:rPr>
        <w:t>. Prior to the COVID-19 pandemic, our short-term capital allocation strategy focused on</w:t>
      </w:r>
      <w:r>
        <w:rPr>
          <w:rFonts w:ascii="Arial" w:cs="Arial" w:eastAsia="Arial" w:hAnsi="Arial"/>
          <w:sz w:val="17"/>
          <w:szCs w:val="17"/>
          <w:i w:val="1"/>
          <w:iCs w:val="1"/>
          <w:color w:val="auto"/>
        </w:rPr>
        <w:t xml:space="preserve"> </w:t>
      </w:r>
      <w:r>
        <w:rPr>
          <w:rFonts w:ascii="Arial" w:cs="Arial" w:eastAsia="Arial" w:hAnsi="Arial"/>
          <w:sz w:val="17"/>
          <w:szCs w:val="17"/>
          <w:color w:val="auto"/>
        </w:rPr>
        <w:t>returning capital to stockholders through the payment of dividends, in addition to investing in our assets and operations. However, in March 2020, we suspended our regular quarterly dividend payments. Our board of directors will consider a future dividend as permitted by our credit agreement. Any future dividend is subject to our board of director’s determinations as to the amount and timing thereof. We are currently focused on managing our business through the COVID-19 pandemic and are limiting our non-essential capital expenditures.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and the AC Hotel.</w:t>
      </w:r>
    </w:p>
    <w:p>
      <w:pPr>
        <w:spacing w:after="0" w:line="184" w:lineRule="exact"/>
        <w:rPr>
          <w:rFonts w:ascii="Arial" w:cs="Arial" w:eastAsia="Arial" w:hAnsi="Arial"/>
          <w:sz w:val="18"/>
          <w:szCs w:val="18"/>
          <w:color w:val="auto"/>
        </w:rPr>
      </w:pPr>
    </w:p>
    <w:p>
      <w:pPr>
        <w:ind w:left="720" w:right="65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Circle, and our other Nashville-based attractions.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For the three months and six months ended June 30, 2021 and 2020, our total revenues were divided among these business segments as follows:</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92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8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30 %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19 %</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0 %</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As described above, our hotels and entertainment assets were closed for a period of time in 2020 and Gaylord National reopened on July 1, 2021. While facilities were closed, we recorded negligible revenue, and we incurred expenses as described below under “Operating Results – Detailed Segment Financial Information.” Our short-term strategy is to safely operate our businesses through the COVID-19 pandemic, work with Marriot to rebook business in our hotels, and pursue cost containment strategies. While all of our assets have reopened and are operating, there is significant uncertainty surrounding the full extent of the impact of the COVID-19 pandemic on our future results of operations and financial position.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85"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47"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hotel occupancy – a volume indicator calculated by dividing total rooms sold by total rooms available;</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07" w:lineRule="exact"/>
        <w:rPr>
          <w:rFonts w:ascii="Arial" w:cs="Arial" w:eastAsia="Arial" w:hAnsi="Arial"/>
          <w:sz w:val="16"/>
          <w:szCs w:val="16"/>
          <w:color w:val="auto"/>
        </w:rPr>
      </w:pPr>
    </w:p>
    <w:p>
      <w:pPr>
        <w:ind w:left="720" w:right="5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129" w:lineRule="exact"/>
        <w:rPr>
          <w:rFonts w:ascii="Arial" w:cs="Arial" w:eastAsia="Arial" w:hAnsi="Arial"/>
          <w:sz w:val="18"/>
          <w:szCs w:val="18"/>
          <w:color w:val="auto"/>
        </w:rPr>
      </w:pPr>
    </w:p>
    <w:p>
      <w:pPr>
        <w:ind w:left="720" w:right="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56" w:lineRule="exact"/>
        <w:rPr>
          <w:rFonts w:ascii="Arial" w:cs="Arial" w:eastAsia="Arial" w:hAnsi="Arial"/>
          <w:sz w:val="18"/>
          <w:szCs w:val="18"/>
          <w:color w:val="auto"/>
        </w:rPr>
      </w:pPr>
    </w:p>
    <w:p>
      <w:pPr>
        <w:ind w:left="720" w:right="25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definite group room nights booked – a volume indicator which represents the total number of definite group bookings for future room nights at our hotels confirmed during the applicable period, net of cancellations.</w:t>
      </w:r>
    </w:p>
    <w:p>
      <w:pPr>
        <w:spacing w:after="0" w:line="83"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For the three months and six months ended June 30, 2021 and 2020, the method of calculation of these indicators has not been changed as a result of the COVID-19 pandemic and the resulting hotel closures and is consistent with historical periods. As such, performance metrics include closed hotel room nights available.</w:t>
      </w:r>
    </w:p>
    <w:p>
      <w:pPr>
        <w:spacing w:after="0" w:line="143"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97" w:lineRule="exact"/>
        <w:rPr>
          <w:sz w:val="20"/>
          <w:szCs w:val="20"/>
          <w:color w:val="auto"/>
        </w:rPr>
      </w:pPr>
    </w:p>
    <w:p>
      <w:pPr>
        <w:jc w:val="both"/>
        <w:ind w:left="720" w:right="15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Before Interest Expense, Income Taxes, Depreciation and Amortization for Real Estate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and</w:t>
      </w:r>
    </w:p>
    <w:p>
      <w:pPr>
        <w:spacing w:after="0" w:line="143"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Funds From Operations (“FFO”) available to common shareholders and unit holders and Adjusted FFO available to common shareholders and unitholders.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“Non-GAAP Financial Measures” below for further discussion.</w:t>
      </w:r>
    </w:p>
    <w:p>
      <w:pPr>
        <w:spacing w:after="0" w:line="198"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The closure, limited reopening and pandemic-constrained business levels of our Gaylord Hotels properties have resulted in the significant decrease in performance reflected in these key performance indicators and non-GAAP financial measures for the three months and six months ended June 30, 2021 and 2020, as compared to historical periods.</w:t>
      </w:r>
    </w:p>
    <w:p>
      <w:pPr>
        <w:spacing w:after="0" w:line="108"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98" w:lineRule="exact"/>
        <w:rPr>
          <w:sz w:val="20"/>
          <w:szCs w:val="20"/>
          <w:color w:val="auto"/>
        </w:rPr>
      </w:pPr>
    </w:p>
    <w:p>
      <w:pPr>
        <w:jc w:val="both"/>
        <w:ind w:left="60" w:right="379"/>
        <w:spacing w:after="0" w:line="286" w:lineRule="auto"/>
        <w:rPr>
          <w:sz w:val="20"/>
          <w:szCs w:val="20"/>
          <w:color w:val="auto"/>
        </w:rPr>
      </w:pPr>
      <w:r>
        <w:rPr>
          <w:rFonts w:ascii="Arial" w:cs="Arial" w:eastAsia="Arial" w:hAnsi="Arial"/>
          <w:sz w:val="17"/>
          <w:szCs w:val="17"/>
          <w:color w:val="auto"/>
        </w:rPr>
        <w:t>The following table contains our unaudited selected summary financial data for the three months and six months ended June 30, 2021 and 2020. The table also shows the percentage relationships to total revenues and, in the case of segment operating income, its relationship to segment revenues (in thousands,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6"/>
              </w:rPr>
              <w:t>Unaudited</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6"/>
              </w:rPr>
              <w:t>Unaudited</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0"/>
          </w:tcPr>
          <w:p>
            <w:pPr>
              <w:jc w:val="center"/>
              <w:ind w:left="268"/>
              <w:spacing w:after="0"/>
              <w:rPr>
                <w:sz w:val="20"/>
                <w:szCs w:val="20"/>
                <w:color w:val="auto"/>
              </w:rPr>
            </w:pPr>
            <w:r>
              <w:rPr>
                <w:rFonts w:ascii="Arial" w:cs="Arial" w:eastAsia="Arial" w:hAnsi="Arial"/>
                <w:sz w:val="14"/>
                <w:szCs w:val="14"/>
                <w:b w:val="1"/>
                <w:bCs w:val="1"/>
                <w:color w:val="auto"/>
                <w:w w:val="93"/>
              </w:rPr>
              <w:t>Three Months Ended June 30,</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9"/>
          </w:tcPr>
          <w:p>
            <w:pPr>
              <w:jc w:val="center"/>
              <w:ind w:left="228"/>
              <w:spacing w:after="0"/>
              <w:rPr>
                <w:sz w:val="20"/>
                <w:szCs w:val="20"/>
                <w:color w:val="auto"/>
              </w:rPr>
            </w:pPr>
            <w:r>
              <w:rPr>
                <w:rFonts w:ascii="Arial" w:cs="Arial" w:eastAsia="Arial" w:hAnsi="Arial"/>
                <w:sz w:val="14"/>
                <w:szCs w:val="14"/>
                <w:b w:val="1"/>
                <w:bCs w:val="1"/>
                <w:color w:val="auto"/>
                <w:w w:val="93"/>
              </w:rPr>
              <w:t>Six Months Ended June 30,</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gridSpan w:val="2"/>
          </w:tcPr>
          <w:p>
            <w:pPr>
              <w:jc w:val="center"/>
              <w:ind w:left="10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gridSpan w:val="2"/>
          </w:tcPr>
          <w:p>
            <w:pPr>
              <w:jc w:val="center"/>
              <w:ind w:left="8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30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62"/>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Rooms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61,971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36.3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2,802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90,199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35.4</w:t>
            </w:r>
          </w:p>
        </w:tc>
        <w:tc>
          <w:tcPr>
            <w:tcW w:w="280" w:type="dxa"/>
            <w:vAlign w:val="bottom"/>
            <w:gridSpan w:val="4"/>
          </w:tcPr>
          <w:p>
            <w:pPr>
              <w:jc w:val="right"/>
              <w:spacing w:after="0"/>
              <w:rPr>
                <w:sz w:val="20"/>
                <w:szCs w:val="20"/>
                <w:color w:val="auto"/>
              </w:rPr>
            </w:pPr>
            <w:r>
              <w:rPr>
                <w:rFonts w:ascii="Arial" w:cs="Arial" w:eastAsia="Arial" w:hAnsi="Arial"/>
                <w:sz w:val="14"/>
                <w:szCs w:val="14"/>
                <w:color w:val="auto"/>
                <w:w w:val="99"/>
              </w:rPr>
              <w:t>% $</w:t>
            </w:r>
          </w:p>
        </w:tc>
        <w:tc>
          <w:tcPr>
            <w:tcW w:w="600" w:type="dxa"/>
            <w:vAlign w:val="bottom"/>
          </w:tcPr>
          <w:p>
            <w:pPr>
              <w:jc w:val="right"/>
              <w:spacing w:after="0"/>
              <w:rPr>
                <w:sz w:val="20"/>
                <w:szCs w:val="20"/>
                <w:color w:val="auto"/>
              </w:rPr>
            </w:pPr>
            <w:r>
              <w:rPr>
                <w:rFonts w:ascii="Arial" w:cs="Arial" w:eastAsia="Arial" w:hAnsi="Arial"/>
                <w:sz w:val="14"/>
                <w:szCs w:val="14"/>
                <w:color w:val="auto"/>
              </w:rPr>
              <w:t>108,930</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33.2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45,619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63,794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147,260</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Other hotel revenue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28,098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5,993</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51,497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39,786</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Entertainment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31,735</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42"/>
        </w:trPr>
        <w:tc>
          <w:tcPr>
            <w:tcW w:w="4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gridSpan w:val="2"/>
          </w:tcPr>
          <w:p>
            <w:pPr>
              <w:ind w:left="180"/>
              <w:spacing w:after="0" w:line="142" w:lineRule="exact"/>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170,861</w:t>
            </w:r>
          </w:p>
        </w:tc>
        <w:tc>
          <w:tcPr>
            <w:tcW w:w="1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14,681</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255,036</w:t>
            </w:r>
          </w:p>
        </w:tc>
        <w:tc>
          <w:tcPr>
            <w:tcW w:w="1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327,711</w:t>
            </w:r>
          </w:p>
        </w:tc>
        <w:tc>
          <w:tcPr>
            <w:tcW w:w="1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30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2"/>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Rooms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15,039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4,472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24,516</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36,780</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11,891</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53,077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95,702</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Other hotel expenses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61,365</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35.9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45,045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306.8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115,922</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45.5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135,519</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Hotel management fees, net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4,929</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Entertainment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25,639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13,457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91.7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44,330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17.4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42,803</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Corporate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7,258</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15,394</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Preopening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616</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1,501</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Gain on sale of assets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1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62"/>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Credit loss on held-to-maturity securities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19,145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130.4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5"/>
          </w:tcPr>
          <w:p>
            <w:pPr>
              <w:jc w:val="right"/>
              <w:ind w:right="89"/>
              <w:spacing w:after="0"/>
              <w:rPr>
                <w:sz w:val="20"/>
                <w:szCs w:val="20"/>
                <w:color w:val="auto"/>
              </w:rPr>
            </w:pPr>
            <w:r>
              <w:rPr>
                <w:rFonts w:ascii="Arial" w:cs="Arial" w:eastAsia="Arial" w:hAnsi="Arial"/>
                <w:sz w:val="14"/>
                <w:szCs w:val="14"/>
                <w:color w:val="auto"/>
              </w:rPr>
              <w:t>— %</w:t>
            </w:r>
          </w:p>
        </w:tc>
        <w:tc>
          <w:tcPr>
            <w:tcW w:w="600" w:type="dxa"/>
            <w:vAlign w:val="bottom"/>
          </w:tcPr>
          <w:p>
            <w:pPr>
              <w:jc w:val="right"/>
              <w:spacing w:after="0"/>
              <w:rPr>
                <w:sz w:val="20"/>
                <w:szCs w:val="20"/>
                <w:color w:val="auto"/>
              </w:rPr>
            </w:pPr>
            <w:r>
              <w:rPr>
                <w:rFonts w:ascii="Arial" w:cs="Arial" w:eastAsia="Arial" w:hAnsi="Arial"/>
                <w:sz w:val="14"/>
                <w:szCs w:val="14"/>
                <w:color w:val="auto"/>
              </w:rPr>
              <w:t>24,973</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48"/>
        </w:trPr>
        <w:tc>
          <w:tcPr>
            <w:tcW w:w="4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2"/>
        </w:trPr>
        <w:tc>
          <w:tcPr>
            <w:tcW w:w="40" w:type="dxa"/>
            <w:vAlign w:val="bottom"/>
          </w:tcPr>
          <w:p>
            <w:pPr>
              <w:spacing w:after="0"/>
              <w:rPr>
                <w:sz w:val="14"/>
                <w:szCs w:val="14"/>
                <w:color w:val="auto"/>
              </w:rPr>
            </w:pPr>
          </w:p>
        </w:tc>
        <w:tc>
          <w:tcPr>
            <w:tcW w:w="3020" w:type="dxa"/>
            <w:vAlign w:val="bottom"/>
            <w:gridSpan w:val="2"/>
          </w:tcPr>
          <w:p>
            <w:pPr>
              <w:ind w:left="180"/>
              <w:spacing w:after="0"/>
              <w:rPr>
                <w:sz w:val="20"/>
                <w:szCs w:val="20"/>
                <w:color w:val="auto"/>
              </w:rPr>
            </w:pPr>
            <w:r>
              <w:rPr>
                <w:rFonts w:ascii="Arial" w:cs="Arial" w:eastAsia="Arial" w:hAnsi="Arial"/>
                <w:sz w:val="14"/>
                <w:szCs w:val="14"/>
                <w:color w:val="auto"/>
              </w:rPr>
              <w:t>Hospitality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50,487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29.5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49,588</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337.8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99,635</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39.1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99,357</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Entertainment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62"/>
        </w:trPr>
        <w:tc>
          <w:tcPr>
            <w:tcW w:w="4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w:t>
            </w:r>
          </w:p>
        </w:tc>
        <w:tc>
          <w:tcPr>
            <w:tcW w:w="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0.3</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w:t>
            </w:r>
          </w:p>
        </w:tc>
        <w:tc>
          <w:tcPr>
            <w:tcW w:w="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0.4</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1,492</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w w:val="96"/>
              </w:rPr>
              <w:t>%</w:t>
            </w:r>
          </w:p>
        </w:tc>
      </w:tr>
      <w:tr>
        <w:trPr>
          <w:trHeight w:val="142"/>
        </w:trPr>
        <w:tc>
          <w:tcPr>
            <w:tcW w:w="4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depreciation and amortization</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54,673</w:t>
            </w:r>
          </w:p>
        </w:tc>
        <w:tc>
          <w:tcPr>
            <w:tcW w:w="5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32.0</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54,011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367.9</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107,988</w:t>
            </w:r>
          </w:p>
        </w:tc>
        <w:tc>
          <w:tcPr>
            <w:tcW w:w="5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42.3</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107,356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32.8</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r>
      <w:tr>
        <w:trPr>
          <w:trHeight w:val="142"/>
        </w:trPr>
        <w:tc>
          <w:tcPr>
            <w:tcW w:w="4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gridSpan w:val="2"/>
          </w:tcPr>
          <w:p>
            <w:pPr>
              <w:ind w:left="180"/>
              <w:spacing w:after="0" w:line="142"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201,808</w:t>
            </w:r>
          </w:p>
        </w:tc>
        <w:tc>
          <w:tcPr>
            <w:tcW w:w="54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118.1</w:t>
            </w:r>
          </w:p>
        </w:tc>
        <w:tc>
          <w:tcPr>
            <w:tcW w:w="20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w w:val="96"/>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155,416</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9"/>
              </w:rPr>
              <w:t>1,058.6</w:t>
            </w:r>
          </w:p>
        </w:tc>
        <w:tc>
          <w:tcPr>
            <w:tcW w:w="18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w w:val="96"/>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365,540</w:t>
            </w:r>
          </w:p>
        </w:tc>
        <w:tc>
          <w:tcPr>
            <w:tcW w:w="54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143.3</w:t>
            </w:r>
          </w:p>
        </w:tc>
        <w:tc>
          <w:tcPr>
            <w:tcW w:w="18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w w:val="96"/>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463,696</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96"/>
              </w:rPr>
              <w:t>141.5</w:t>
            </w:r>
          </w:p>
        </w:tc>
        <w:tc>
          <w:tcPr>
            <w:tcW w:w="16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w w:val="96"/>
              </w:rPr>
              <w:t>%</w:t>
            </w:r>
          </w:p>
        </w:tc>
      </w:tr>
      <w:tr>
        <w:trPr>
          <w:trHeight w:val="142"/>
        </w:trPr>
        <w:tc>
          <w:tcPr>
            <w:tcW w:w="30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OPERATING INCOME (LOSS):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2"/>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Hospitality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9"/>
              </w:rPr>
              <w:t>(27,100)</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6"/>
              </w:rPr>
              <w:t>(100,128)</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(971.6)%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(90,562)</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(44.1)%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(76,311)</w:t>
            </w:r>
          </w:p>
        </w:tc>
        <w:tc>
          <w:tcPr>
            <w:tcW w:w="14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(25.8)%</w:t>
            </w: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Entertainment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(12,483)</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(17,575)</w:t>
            </w:r>
          </w:p>
        </w:tc>
        <w:tc>
          <w:tcPr>
            <w:tcW w:w="1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(55.4)%</w:t>
            </w:r>
          </w:p>
        </w:tc>
      </w:tr>
      <w:tr>
        <w:trPr>
          <w:trHeight w:val="148"/>
        </w:trPr>
        <w:tc>
          <w:tcPr>
            <w:tcW w:w="40" w:type="dxa"/>
            <w:vAlign w:val="bottom"/>
          </w:tcPr>
          <w:p>
            <w:pPr>
              <w:spacing w:after="0"/>
              <w:rPr>
                <w:sz w:val="12"/>
                <w:szCs w:val="12"/>
                <w:color w:val="auto"/>
              </w:rPr>
            </w:pPr>
          </w:p>
        </w:tc>
        <w:tc>
          <w:tcPr>
            <w:tcW w:w="3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Corporate and 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(9,543)</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(8,279)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(17,637)</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(16,886)</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Preopening costs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62"/>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Gain on sale of assets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317</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0.1 %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1,261</w:t>
            </w:r>
          </w:p>
        </w:tc>
        <w:tc>
          <w:tcPr>
            <w:tcW w:w="14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0.4 %</w:t>
            </w: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Credit loss on held-to-maturity securities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(19,145)</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5"/>
            <w:shd w:val="clear" w:color="auto" w:fill="CCEEFF"/>
          </w:tcPr>
          <w:p>
            <w:pPr>
              <w:jc w:val="right"/>
              <w:ind w:right="89"/>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(24,973)</w:t>
            </w:r>
          </w:p>
        </w:tc>
        <w:tc>
          <w:tcPr>
            <w:tcW w:w="1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42"/>
        </w:trPr>
        <w:tc>
          <w:tcPr>
            <w:tcW w:w="40" w:type="dxa"/>
            <w:vAlign w:val="bottom"/>
          </w:tcPr>
          <w:p>
            <w:pPr>
              <w:spacing w:after="0"/>
              <w:rPr>
                <w:sz w:val="12"/>
                <w:szCs w:val="12"/>
                <w:color w:val="auto"/>
              </w:rPr>
            </w:pPr>
          </w:p>
        </w:tc>
        <w:tc>
          <w:tcPr>
            <w:tcW w:w="302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Total operating loss</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(30,947)</w:t>
            </w:r>
          </w:p>
        </w:tc>
        <w:tc>
          <w:tcPr>
            <w:tcW w:w="74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(18.1)%</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(140,735)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(958.6)%</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(110,504)</w:t>
            </w:r>
          </w:p>
        </w:tc>
        <w:tc>
          <w:tcPr>
            <w:tcW w:w="7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(43.3)%</w:t>
            </w: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(135,985)</w:t>
            </w:r>
          </w:p>
        </w:tc>
        <w:tc>
          <w:tcPr>
            <w:tcW w:w="14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(41.5)%</w:t>
            </w:r>
          </w:p>
        </w:tc>
      </w:tr>
      <w:tr>
        <w:trPr>
          <w:trHeight w:val="148"/>
        </w:trPr>
        <w:tc>
          <w:tcPr>
            <w:tcW w:w="3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(29,847)</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(30,042)</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(60,643)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(59,400)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3060" w:type="dxa"/>
            <w:vAlign w:val="bottom"/>
            <w:gridSpan w:val="3"/>
          </w:tcPr>
          <w:p>
            <w:pPr>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1,451</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1,854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2,821</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4,225</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3060" w:type="dxa"/>
            <w:vAlign w:val="bottom"/>
            <w:gridSpan w:val="3"/>
          </w:tcPr>
          <w:p>
            <w:pPr>
              <w:spacing w:after="0" w:line="149" w:lineRule="exact"/>
              <w:rPr>
                <w:sz w:val="20"/>
                <w:szCs w:val="20"/>
                <w:color w:val="auto"/>
              </w:rPr>
            </w:pPr>
            <w:r>
              <w:rPr>
                <w:rFonts w:ascii="Arial" w:cs="Arial" w:eastAsia="Arial" w:hAnsi="Arial"/>
                <w:sz w:val="14"/>
                <w:szCs w:val="14"/>
                <w:color w:val="auto"/>
              </w:rPr>
              <w:t>Loss from unconsolidated joint ventures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(1,910)</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(3,519)</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(3,715)</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gains and (losses), net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3060" w:type="dxa"/>
            <w:vAlign w:val="bottom"/>
            <w:tcBorders>
              <w:bottom w:val="single" w:sz="8" w:color="CCEEFF"/>
            </w:tcBorders>
            <w:gridSpan w:val="3"/>
          </w:tcPr>
          <w:p>
            <w:pPr>
              <w:spacing w:after="0" w:line="149" w:lineRule="exact"/>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(1,623)</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ind w:left="160"/>
              <w:spacing w:after="0" w:line="149" w:lineRule="exact"/>
              <w:rPr>
                <w:sz w:val="20"/>
                <w:szCs w:val="20"/>
                <w:color w:val="auto"/>
              </w:rPr>
            </w:pPr>
            <w:r>
              <w:rPr>
                <w:rFonts w:ascii="Arial" w:cs="Arial" w:eastAsia="Arial" w:hAnsi="Arial"/>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(5,577)</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(26,960)</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142"/>
        </w:trPr>
        <w:tc>
          <w:tcPr>
            <w:tcW w:w="30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(63,049)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(187,659)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(180,170)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(238,395)</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0"/>
        </w:trPr>
        <w:tc>
          <w:tcPr>
            <w:tcW w:w="40" w:type="dxa"/>
            <w:vAlign w:val="bottom"/>
          </w:tcPr>
          <w:p>
            <w:pPr>
              <w:spacing w:after="0"/>
              <w:rPr>
                <w:sz w:val="11"/>
                <w:szCs w:val="11"/>
                <w:color w:val="auto"/>
              </w:rPr>
            </w:pPr>
          </w:p>
        </w:tc>
        <w:tc>
          <w:tcPr>
            <w:tcW w:w="30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8"/>
              </w:rPr>
              <w:t>Net loss attributable to noncontrolling interest 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7"/>
        </w:trPr>
        <w:tc>
          <w:tcPr>
            <w:tcW w:w="40" w:type="dxa"/>
            <w:vAlign w:val="bottom"/>
          </w:tcPr>
          <w:p>
            <w:pPr>
              <w:spacing w:after="0"/>
              <w:rPr>
                <w:sz w:val="14"/>
                <w:szCs w:val="1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consolidated joint venture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4,708</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14,167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16,501</w:t>
            </w:r>
          </w:p>
        </w:tc>
        <w:tc>
          <w:tcPr>
            <w:tcW w:w="1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18,387</w:t>
            </w:r>
          </w:p>
        </w:tc>
        <w:tc>
          <w:tcPr>
            <w:tcW w:w="1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0"/>
        </w:trPr>
        <w:tc>
          <w:tcPr>
            <w:tcW w:w="40" w:type="dxa"/>
            <w:vAlign w:val="bottom"/>
            <w:shd w:val="clear" w:color="auto" w:fill="CCEEFF"/>
          </w:tcPr>
          <w:p>
            <w:pPr>
              <w:spacing w:after="0"/>
              <w:rPr>
                <w:sz w:val="11"/>
                <w:szCs w:val="11"/>
                <w:color w:val="auto"/>
              </w:rPr>
            </w:pPr>
          </w:p>
        </w:tc>
        <w:tc>
          <w:tcPr>
            <w:tcW w:w="30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Net loss attributable to noncontrolling interest in</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7"/>
        </w:trPr>
        <w:tc>
          <w:tcPr>
            <w:tcW w:w="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the Operating Partnership</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302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Net loss available to common stockholders</w:t>
            </w:r>
          </w:p>
        </w:tc>
        <w:tc>
          <w:tcPr>
            <w:tcW w:w="1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(57,919)</w:t>
            </w:r>
          </w:p>
        </w:tc>
        <w:tc>
          <w:tcPr>
            <w:tcW w:w="16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(173,492)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(162,440)</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(220,008)</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8"/>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80" w:lineRule="exact"/>
        <w:rPr>
          <w:sz w:val="20"/>
          <w:szCs w:val="20"/>
          <w:color w:val="auto"/>
        </w:rPr>
      </w:pPr>
    </w:p>
    <w:p>
      <w:pPr>
        <w:jc w:val="center"/>
        <w:ind w:left="4420" w:right="739" w:hanging="4370"/>
        <w:spacing w:after="0" w:line="77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 of Operations</w:t>
      </w:r>
    </w:p>
    <w:p>
      <w:pPr>
        <w:spacing w:after="0" w:line="18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following table summarizes our financial results for the three months and six months ended June 30, 2021 and 2020 (in thousands, except percentages and per share data):</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gridSpan w:val="5"/>
          </w:tcPr>
          <w:p>
            <w:pPr>
              <w:jc w:val="center"/>
              <w:ind w:left="522"/>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440" w:type="dxa"/>
            <w:vAlign w:val="bottom"/>
            <w:vMerge w:val="restart"/>
          </w:tcPr>
          <w:p>
            <w:pPr>
              <w:spacing w:after="0"/>
              <w:rPr>
                <w:sz w:val="10"/>
                <w:szCs w:val="10"/>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160" w:type="dxa"/>
            <w:vAlign w:val="bottom"/>
            <w:vMerge w:val="restart"/>
          </w:tcPr>
          <w:p>
            <w:pPr>
              <w:spacing w:after="0"/>
              <w:rPr>
                <w:sz w:val="10"/>
                <w:szCs w:val="10"/>
                <w:color w:val="auto"/>
              </w:rPr>
            </w:pPr>
          </w:p>
        </w:tc>
        <w:tc>
          <w:tcPr>
            <w:tcW w:w="8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8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140" w:type="dxa"/>
            <w:vAlign w:val="bottom"/>
            <w:vMerge w:val="restart"/>
          </w:tcPr>
          <w:p>
            <w:pPr>
              <w:spacing w:after="0"/>
              <w:rPr>
                <w:sz w:val="10"/>
                <w:szCs w:val="10"/>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7"/>
              </w:rPr>
              <w:t>Change</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$ 170,861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14,681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1,063.8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255,036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327,711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(22.2)%</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201,808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155,416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29.9 %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365,540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463,696</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(21.2)%</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(30,947)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78.0 %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(135,985)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(63,049)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(187,659)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66.4 %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(180,170)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(238,395)</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available to common</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(173,492)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66.6 %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(220,008)</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rPr>
              <w:t>Net loss available to common</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stockholders per share - diluted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66.8 %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Revenues</w:t>
      </w:r>
    </w:p>
    <w:p>
      <w:pPr>
        <w:spacing w:after="0" w:line="198"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increase in our total revenues for the three months ended June 30, 2021, as compared to the same period in 2020, is attributable to increases in our Hospitality segment and Entertainment segment of $125.4 million and $30.8 million, respectively. The decrease in our total revenues for the six months ended June 30, 2021, as compared to the same period in 2020, is attributable to a decrease in our Hospitality segment of $90.5 million, partially offset by an increase in our Entertainment segment of $17.8 million.</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 increase in our total operating expenses for the three months ended June 30, 2021, as compared to the same period in 2020, is primarily the result of increases in our Hospitality segment and Entertainment segment of $51.5 million and $12.2 million, respectively, as well as a credit loss on held-to-maturity investments in the 2020 period that did not occur in the 2021 period of $19.1 million. The decrease in our total operating expenses for the six months ended June 30, 2021, as compared to the same period in 2020, is primarily the result of a decrease in our Hospitality segment of $76.5 million, partially offset by an increase in our Entertainment segment of $1.5 million, as well as a credit loss on held-to-maturity investments in the 2020 period that did not occur in the 2021 period of $25.0 million.</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w:t>
      </w:r>
    </w:p>
    <w:p>
      <w:pPr>
        <w:spacing w:after="0" w:line="18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Our net loss of $63.0 million for the three months ended June 30, 2021, as compared to a net loss of $187.7 million for the same period in 2020, was primarily due to the changes in our revenues and operating expenses reflected above. The 2020 period also included a $15.0 million loss related to the forfeiture of the earnest deposit in the terminated potential acquisition of Block 21, a mixed-use entertainment, lodging, office and retail complex located in Austin, Texas (“Block 21”).</w:t>
      </w:r>
    </w:p>
    <w:p>
      <w:pPr>
        <w:spacing w:after="0" w:line="147"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Our net loss of $180.2 million for the six months ended June 30, 2021, as compared to a net loss of $238.4 million for the same period in 2020, was primarily due to the changes in our revenues and operating expenses reflected above, and the following factors, each as described more fully below:</w:t>
      </w:r>
    </w:p>
    <w:p>
      <w:pPr>
        <w:spacing w:after="0" w:line="157"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$21.4 million decrease in in the provision for income taxes in the 2021 period.</w:t>
      </w:r>
    </w:p>
    <w:p>
      <w:pPr>
        <w:spacing w:after="0" w:line="184"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$15.0 million loss related to the forfeiture of the earnest deposit in the terminated potential Block 21 acquisition in the 2020 period.</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$2.9 million loss on extinguishment of debt in the 2021 period that did not occur in the 2020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85"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The following presents the financial results of our Hospitality segment for the three months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and 2020 (in thousands, except percentages and performance metrics):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9"/>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520" w:type="dxa"/>
            <w:vAlign w:val="bottom"/>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520" w:type="dxa"/>
            <w:vAlign w:val="bottom"/>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Rooms</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61,971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2,802</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2,111.7</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90,199</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108,930</w:t>
            </w:r>
          </w:p>
        </w:tc>
        <w:tc>
          <w:tcPr>
            <w:tcW w:w="16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45,619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1,510</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2,921.1</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63,794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147,260</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4"/>
                <w:szCs w:val="14"/>
                <w:color w:val="auto"/>
              </w:rPr>
              <w:t>Other hotel revenue</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28,098</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5,993</w:t>
            </w: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368.8</w:t>
            </w:r>
          </w:p>
        </w:tc>
        <w:tc>
          <w:tcPr>
            <w:tcW w:w="2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51,497</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39,786</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gridSpan w:val="3"/>
          </w:tcPr>
          <w:p>
            <w:pPr>
              <w:jc w:val="right"/>
              <w:ind w:right="220"/>
              <w:spacing w:after="0" w:line="149" w:lineRule="exact"/>
              <w:rPr>
                <w:sz w:val="20"/>
                <w:szCs w:val="20"/>
                <w:color w:val="auto"/>
              </w:rPr>
            </w:pPr>
            <w:r>
              <w:rPr>
                <w:rFonts w:ascii="Arial" w:cs="Arial" w:eastAsia="Arial" w:hAnsi="Arial"/>
                <w:sz w:val="14"/>
                <w:szCs w:val="14"/>
                <w:color w:val="auto"/>
              </w:rPr>
              <w:t>29.4 %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hospitality revenue</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135,688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10,305</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1,216.7</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205,490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295,976</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Hospitality operating expenses: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Rooms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236.3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36,780</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33,748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11,891</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183.8</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53,077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95,702</w:t>
            </w:r>
          </w:p>
        </w:tc>
        <w:tc>
          <w:tcPr>
            <w:tcW w:w="16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hotel expenses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61,365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45,045</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115,922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135,519</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Management fees, net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(563)</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481.7</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2,902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4,929</w:t>
            </w:r>
          </w:p>
        </w:tc>
        <w:tc>
          <w:tcPr>
            <w:tcW w:w="16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5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50,487</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49,588</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99,635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99,357</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gridSpan w:val="2"/>
          </w:tcPr>
          <w:p>
            <w:pPr>
              <w:ind w:left="220"/>
              <w:spacing w:after="0" w:line="142" w:lineRule="exact"/>
              <w:rPr>
                <w:sz w:val="20"/>
                <w:szCs w:val="20"/>
                <w:color w:val="auto"/>
              </w:rPr>
            </w:pPr>
            <w:r>
              <w:rPr>
                <w:rFonts w:ascii="Arial" w:cs="Arial" w:eastAsia="Arial" w:hAnsi="Arial"/>
                <w:sz w:val="14"/>
                <w:szCs w:val="14"/>
                <w:color w:val="auto"/>
              </w:rPr>
              <w:t>Total Hospitality operating expenses</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162,788</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110,433</w:t>
            </w: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47.4</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296,052</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372,287</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gridSpan w:val="3"/>
          </w:tcPr>
          <w:p>
            <w:pPr>
              <w:jc w:val="right"/>
              <w:ind w:right="220"/>
              <w:spacing w:after="0" w:line="142"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Hospitality operating loss (1)(2)</w:t>
            </w: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(27,100)</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(100,128)</w:t>
            </w:r>
          </w:p>
        </w:tc>
        <w:tc>
          <w:tcPr>
            <w:tcW w:w="1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72.9</w:t>
            </w:r>
          </w:p>
        </w:tc>
        <w:tc>
          <w:tcPr>
            <w:tcW w:w="2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(90,562)</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(76,311)</w:t>
            </w: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
        </w:trPr>
        <w:tc>
          <w:tcPr>
            <w:tcW w:w="3260" w:type="dxa"/>
            <w:vAlign w:val="bottom"/>
            <w:gridSpan w:val="3"/>
            <w:vMerge w:val="restart"/>
          </w:tcPr>
          <w:p>
            <w:pPr>
              <w:ind w:left="20"/>
              <w:spacing w:after="0"/>
              <w:rPr>
                <w:sz w:val="20"/>
                <w:szCs w:val="20"/>
                <w:color w:val="auto"/>
              </w:rPr>
            </w:pPr>
            <w:r>
              <w:rPr>
                <w:rFonts w:ascii="Arial" w:cs="Arial" w:eastAsia="Arial" w:hAnsi="Arial"/>
                <w:sz w:val="14"/>
                <w:szCs w:val="14"/>
                <w:color w:val="auto"/>
              </w:rPr>
              <w:t>Hospitality performance metrics:</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6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ADR</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202.12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181.66</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197.97</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201.51</w:t>
            </w:r>
          </w:p>
        </w:tc>
        <w:tc>
          <w:tcPr>
            <w:tcW w:w="16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RevPAR (3)</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2,080.7</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48.98</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59.20</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RevPAR (4)</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145.63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11.20</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1,200.3</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111.58</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160.85</w:t>
            </w:r>
          </w:p>
        </w:tc>
        <w:tc>
          <w:tcPr>
            <w:tcW w:w="16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Net Definite Group Room Nights Booked (5)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371,540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(206,518)</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337,831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(622,272)</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154.3 %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Hospitality segment operating loss does not include preopening costs of $0.2 million and $0.1 million in the</w:t>
      </w:r>
    </w:p>
    <w:p>
      <w:pPr>
        <w:spacing w:after="0" w:line="23" w:lineRule="exact"/>
        <w:rPr>
          <w:rFonts w:ascii="Arial" w:cs="Arial" w:eastAsia="Arial" w:hAnsi="Arial"/>
          <w:sz w:val="18"/>
          <w:szCs w:val="18"/>
          <w:color w:val="auto"/>
        </w:rPr>
      </w:pPr>
    </w:p>
    <w:p>
      <w:pPr>
        <w:ind w:left="380" w:right="79"/>
        <w:spacing w:after="0" w:line="253" w:lineRule="auto"/>
        <w:rPr>
          <w:rFonts w:ascii="Arial" w:cs="Arial" w:eastAsia="Arial" w:hAnsi="Arial"/>
          <w:sz w:val="18"/>
          <w:szCs w:val="18"/>
          <w:color w:val="auto"/>
        </w:rPr>
      </w:pPr>
      <w:r>
        <w:rPr>
          <w:rFonts w:ascii="Arial" w:cs="Arial" w:eastAsia="Arial" w:hAnsi="Arial"/>
          <w:sz w:val="18"/>
          <w:szCs w:val="18"/>
          <w:color w:val="auto"/>
        </w:rPr>
        <w:t>three months ended June 30, 2021 and 2020, respectively, and $0.6 million and $0.2 million in the six months ended June 30, 2021 and 2020, respectively. Hospitality segment operating loss also does not include gain on sale of assets of $0.3 million and $1.3 million in the six months ended June 30, 2021 and 2020, respectively, and credit losses on held-to-maturity securities of $19.1 million and $25.0 million in the three months and six months ended June 30, 2020, respectively. See discussion of these items below.</w:t>
      </w:r>
    </w:p>
    <w:p>
      <w:pPr>
        <w:spacing w:after="0" w:line="163" w:lineRule="exact"/>
        <w:rPr>
          <w:rFonts w:ascii="Arial" w:cs="Arial" w:eastAsia="Arial" w:hAnsi="Arial"/>
          <w:sz w:val="18"/>
          <w:szCs w:val="18"/>
          <w:color w:val="auto"/>
        </w:rPr>
      </w:pPr>
    </w:p>
    <w:p>
      <w:pPr>
        <w:ind w:left="380" w:right="99" w:hanging="330"/>
        <w:spacing w:after="0" w:line="255"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Hospitality segment operating loss for the three months and six months ended June 30, 2020 includes approximately $10.2 million and $20.5 million, respectively, in expenses directly related to the COVID-19 pandemic, which are primarily employment costs. Hospitality segment operating loss for the three months and six months ended June 30, 2021, includes approximately $3.2 million and $3.0 million, respectively, in credits, which each are net of $3.7 million of payroll tax credits afforded under the 2020 Coronavirus Aid, Relief, and Economic Security Act (the “CARES Act”).</w:t>
      </w:r>
    </w:p>
    <w:p>
      <w:pPr>
        <w:spacing w:after="0" w:line="151" w:lineRule="exact"/>
        <w:rPr>
          <w:rFonts w:ascii="Arial" w:cs="Arial" w:eastAsia="Arial" w:hAnsi="Arial"/>
          <w:sz w:val="18"/>
          <w:szCs w:val="18"/>
          <w:color w:val="auto"/>
        </w:rPr>
      </w:pPr>
    </w:p>
    <w:p>
      <w:pPr>
        <w:ind w:left="380" w:right="99" w:hanging="330"/>
        <w:spacing w:after="0" w:line="26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Room nights available to guests include nights the hotels are closed. Hospitality RevPAR is not comparable to similarly titled measures such as revenues.</w:t>
      </w:r>
    </w:p>
    <w:p>
      <w:pPr>
        <w:spacing w:after="0" w:line="143" w:lineRule="exact"/>
        <w:rPr>
          <w:rFonts w:ascii="Arial" w:cs="Arial" w:eastAsia="Arial" w:hAnsi="Arial"/>
          <w:sz w:val="18"/>
          <w:szCs w:val="18"/>
          <w:color w:val="auto"/>
        </w:rPr>
      </w:pPr>
    </w:p>
    <w:p>
      <w:pPr>
        <w:ind w:left="380" w:right="159" w:hanging="330"/>
        <w:spacing w:after="0" w:line="259"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the hotels are closed. Hospitality Total RevPAR is not comparable to similarly titled measures such as revenues.</w:t>
      </w:r>
    </w:p>
    <w:p>
      <w:pPr>
        <w:spacing w:after="0" w:line="159" w:lineRule="exact"/>
        <w:rPr>
          <w:rFonts w:ascii="Arial" w:cs="Arial" w:eastAsia="Arial" w:hAnsi="Arial"/>
          <w:sz w:val="18"/>
          <w:szCs w:val="18"/>
          <w:color w:val="auto"/>
        </w:rPr>
      </w:pPr>
    </w:p>
    <w:p>
      <w:pPr>
        <w:ind w:left="380" w:right="159" w:hanging="330"/>
        <w:spacing w:after="0" w:line="26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definite group room nights booked includes approximately 169,000 and 734,000 group room cancellations in the three months ended June 30, 2021 and 2020, respectively, and 490,000 and 1,331,000 group room cancellations in the six months ended June 30, 2021 and 2020,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Total Hospitality segment revenues in the three months and six months ended June 30, 2021 include $7.6 million and $17.8 million, respectively, in attrition and cancellation fee revenue, an increase of $3.4 million and $7.9 million, respectively, from the 2020 periods. Since the beginning of 2020, we have recorded $50.6 million in attrition and cancellation fee revenue.</w:t>
      </w:r>
    </w:p>
    <w:p>
      <w:pPr>
        <w:spacing w:after="0" w:line="160"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8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4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2020</w:t>
            </w:r>
          </w:p>
        </w:tc>
        <w:tc>
          <w:tcPr>
            <w:tcW w:w="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Transient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20"/>
                <w:szCs w:val="20"/>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97 %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69 %</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23 %</w:t>
            </w:r>
          </w:p>
        </w:tc>
      </w:tr>
    </w:tbl>
    <w:p>
      <w:pPr>
        <w:spacing w:after="0" w:line="187"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Other hotel expenses for the three months and six months ended June 30, 2021 and 2020 consist of the following (in thousands):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40" w:type="dxa"/>
            <w:vAlign w:val="bottom"/>
            <w:gridSpan w:val="6"/>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40" w:type="dxa"/>
            <w:vAlign w:val="bottom"/>
            <w:gridSpan w:val="5"/>
          </w:tcPr>
          <w:p>
            <w:pPr>
              <w:jc w:val="center"/>
              <w:ind w:left="275"/>
              <w:spacing w:after="0"/>
              <w:rPr>
                <w:sz w:val="20"/>
                <w:szCs w:val="20"/>
                <w:color w:val="auto"/>
              </w:rPr>
            </w:pPr>
            <w:r>
              <w:rPr>
                <w:rFonts w:ascii="Arial" w:cs="Arial" w:eastAsia="Arial" w:hAnsi="Arial"/>
                <w:sz w:val="14"/>
                <w:szCs w:val="14"/>
                <w:b w:val="1"/>
                <w:bCs w:val="1"/>
                <w:color w:val="auto"/>
                <w:w w:val="93"/>
              </w:rPr>
              <w:t>Six Months Ended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640" w:type="dxa"/>
            <w:vAlign w:val="bottom"/>
            <w:vMerge w:val="restart"/>
          </w:tcPr>
          <w:p>
            <w:pPr>
              <w:spacing w:after="0"/>
              <w:rPr>
                <w:sz w:val="10"/>
                <w:szCs w:val="10"/>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160" w:type="dxa"/>
            <w:vAlign w:val="bottom"/>
            <w:vMerge w:val="restart"/>
          </w:tcPr>
          <w:p>
            <w:pPr>
              <w:spacing w:after="0"/>
              <w:rPr>
                <w:sz w:val="10"/>
                <w:szCs w:val="10"/>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62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48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2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6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$ 18,757</w:t>
            </w:r>
          </w:p>
        </w:tc>
        <w:tc>
          <w:tcPr>
            <w:tcW w:w="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$ 18,530</w:t>
            </w:r>
          </w:p>
        </w:tc>
        <w:tc>
          <w:tcPr>
            <w:tcW w:w="16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36,379</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(36.8)%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Utilities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4,598</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42.3 %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11,428</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10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28,286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13,034</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117.0 %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48,383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$ 61,365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$ 45,045</w:t>
            </w:r>
          </w:p>
        </w:tc>
        <w:tc>
          <w:tcPr>
            <w:tcW w:w="1020" w:type="dxa"/>
            <w:vAlign w:val="bottom"/>
            <w:tcBorders>
              <w:top w:val="single" w:sz="8" w:color="CCEEFF"/>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36.2 %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115,922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135,519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slightly during the three months ended June 30, 2021, as compared to the same period in 2020. Administrative employment costs decreased during the six months ended June 30, 2021, as compared to the same period in 2020, primarily due to cost containment efforts at each of our Gaylord Hotels properties, including as a result of lower volumes, as well as Gaylord National remaining closed through June 30, 2021. Utility costs increased during the</w:t>
      </w:r>
    </w:p>
    <w:p>
      <w:pPr>
        <w:spacing w:after="0" w:line="4" w:lineRule="exact"/>
        <w:rPr>
          <w:sz w:val="20"/>
          <w:szCs w:val="20"/>
          <w:color w:val="auto"/>
        </w:rPr>
      </w:pPr>
    </w:p>
    <w:p>
      <w:pPr>
        <w:ind w:left="60" w:right="219"/>
        <w:spacing w:after="0" w:line="281" w:lineRule="auto"/>
        <w:rPr>
          <w:sz w:val="20"/>
          <w:szCs w:val="20"/>
          <w:color w:val="auto"/>
        </w:rPr>
      </w:pPr>
      <w:r>
        <w:rPr>
          <w:rFonts w:ascii="Arial" w:cs="Arial" w:eastAsia="Arial" w:hAnsi="Arial"/>
          <w:sz w:val="16"/>
          <w:szCs w:val="16"/>
          <w:color w:val="auto"/>
        </w:rPr>
        <w:t>three months and six months ended June 30, 2021, as compared to the same periods in 2020, primarily due to increases at Gaylord Opryland, Gaylord Palms and Gaylord Texan due to increased usage. Property taxes decreased during the</w:t>
      </w:r>
    </w:p>
    <w:p>
      <w:pPr>
        <w:spacing w:after="0" w:line="1"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three months and six months ended June 30, 2021, as compared to the 2020 periods, primarily due to a decrease at Gaylord Texan due to a reduction in assessed value driven by the impact of the COVID-19 pandemic. Other expenses, which include supplies, advertising, maintenance costs and consulting costs, increased during the three months ended June 30, 2021, as compared to the same period in 2020, primarily as a result of various increases at each of our Gaylord Hotel properties, other than Gaylord National, as each hotel was closed for portions of the prior year period. Other expenses increased slightly in the six months ended June 30, 2021, as compared to the same period in 2020, primarily due to increases at Gaylord Opryland related to increased business levels at SoundWaves, partially offset by various decreases at Gaylord National as a result of it remaining closed through June 30, 2021.</w:t>
      </w:r>
    </w:p>
    <w:p>
      <w:pPr>
        <w:spacing w:after="0" w:line="15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Each of our management agreements with Marriott for our Gaylord Hotels properties, excluding Gaylord Rockies, requires us to pay Marriott a base management fee of approximately 2% of gross revenues from the applicable property for each fiscal year or portion thereof. Additionally, an incentive management fee is based on the profitability of our Gaylord Hotels properties, excluding Gaylord Rockies,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June 30, 2021 and 2020, we incurred $2.9 million and $0.2 million, respectively, and in the six months ended June 30, 2021 and 2020, we incurred $4.5 million and $6.5 million, respectively, related to base management fees for our Hospitality segment. In the three months and six months ended June 30, 2021 and 2020, we incurred $0 related to incentive management fees for our Hospitality segment. Management fees are presented throughout this Quarterly Report on Form 10-Q net of the amortization of the deferred management rights proceeds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discussed in Note 8, “Deferred Management Rights Proceeds,” to the accompanying condensed consolidated financial statements included herein.</w:t>
      </w:r>
    </w:p>
    <w:p>
      <w:pPr>
        <w:spacing w:after="0" w:line="143"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Total Hospitality segment depreciation and amortization expense increased slightly in the three months and six months ended June 30, 2021, as compared to the same period in 2020.</w:t>
      </w:r>
    </w:p>
    <w:p>
      <w:pPr>
        <w:spacing w:after="0" w:line="130"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i w:val="1"/>
          <w:iCs w:val="1"/>
          <w:color w:val="auto"/>
        </w:rPr>
        <w:t xml:space="preserve">Property-Level Results. </w:t>
      </w:r>
      <w:r>
        <w:rPr>
          <w:rFonts w:ascii="Arial" w:cs="Arial" w:eastAsia="Arial" w:hAnsi="Arial"/>
          <w:sz w:val="16"/>
          <w:szCs w:val="16"/>
          <w:color w:val="auto"/>
        </w:rPr>
        <w:t>The following presents the property-level financial results of our Hospitality segment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and six months ended June 30, 2021 and 2020. The Gaylord Hotels properties experienced higher levels of attrition and cancellations and lower occupancy levels, which are directly related to the COVID-19 pandemic, in the three months and six months ended June 30, 2021 and 2020, and experienced heavily transient business in the three months and six months ended June 30, 2021. In addition, property-level financial results for the three months and six months ended June 30, 2021 are not comparable to the three months and six months ended June 30, 2020 due to the temporary property closures that began in late-March 2020, which were directly related to the COVID-19 pandemic. Therefore, the property-level financial results for the three months and six months ended June 30, 2021 and 2020 are not comparable to historical periods. Total revenue at each of our Gaylord Hotels properties was lower than that of historical periods for the three months and six months ended June 30, 2021 and 2020 due to the COVID-19 pandemic. Operating costs at each of our Gaylord Hotels properties were lower for the three months and six months ended June 30, 2021 and 2020 as a result of cost containment initiatives and lower variable costs due to lower occupancies and, for the three months and six months ended June 30, 2020, the temporary property closures that began in late-March 2020 due to the COVID-19 pandemic.</w:t>
      </w:r>
    </w:p>
    <w:p>
      <w:pPr>
        <w:spacing w:after="0" w:line="174"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and six months ended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are as follows (in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58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48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120"/>
              <w:spacing w:after="0"/>
              <w:rPr>
                <w:sz w:val="20"/>
                <w:szCs w:val="20"/>
                <w:color w:val="auto"/>
              </w:rPr>
            </w:pPr>
            <w:r>
              <w:rPr>
                <w:rFonts w:ascii="Arial" w:cs="Arial" w:eastAsia="Arial" w:hAnsi="Arial"/>
                <w:sz w:val="16"/>
                <w:szCs w:val="16"/>
                <w:color w:val="auto"/>
              </w:rPr>
              <w:t>Rooms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22,832</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407</w:t>
            </w: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5,509.8 %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32,806</w:t>
            </w:r>
          </w:p>
        </w:tc>
        <w:tc>
          <w:tcPr>
            <w:tcW w:w="1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31,277</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12,519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5,051.9 %</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17,906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36,254</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hotel revenue</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w w:val="97"/>
              </w:rPr>
              <w:t>1,340.4 %</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16,049</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9,916</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61.8 %</w:t>
            </w:r>
          </w:p>
        </w:tc>
        <w:tc>
          <w:tcPr>
            <w:tcW w:w="0" w:type="dxa"/>
            <w:vAlign w:val="bottom"/>
          </w:tcPr>
          <w:p>
            <w:pPr>
              <w:spacing w:after="0"/>
              <w:rPr>
                <w:sz w:val="1"/>
                <w:szCs w:val="1"/>
                <w:color w:val="auto"/>
              </w:rPr>
            </w:pPr>
          </w:p>
        </w:tc>
      </w:tr>
      <w:tr>
        <w:trPr>
          <w:trHeight w:val="196"/>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45,002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3,309.2 %</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66,761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77,447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446.5 %</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374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8,776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3,055</w:t>
            </w: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187.3 %</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14,595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23,492</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18,831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11,749</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60.3 %</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34,857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36,370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3740" w:type="dxa"/>
            <w:vAlign w:val="bottom"/>
            <w:gridSpan w:val="2"/>
          </w:tcPr>
          <w:p>
            <w:pPr>
              <w:ind w:left="120"/>
              <w:spacing w:after="0"/>
              <w:rPr>
                <w:sz w:val="20"/>
                <w:szCs w:val="20"/>
                <w:color w:val="auto"/>
              </w:rPr>
            </w:pPr>
            <w:r>
              <w:rPr>
                <w:rFonts w:ascii="Arial" w:cs="Arial" w:eastAsia="Arial" w:hAnsi="Arial"/>
                <w:sz w:val="16"/>
                <w:szCs w:val="16"/>
                <w:color w:val="auto"/>
              </w:rPr>
              <w:t>Management fees, net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(211)</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408.1 %</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1,053</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8,818</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17,137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17,616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6"/>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41,801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24,324</w:t>
            </w: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71.9 %</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75,627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87,707</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ind w:left="120"/>
              <w:spacing w:after="0"/>
              <w:rPr>
                <w:sz w:val="20"/>
                <w:szCs w:val="20"/>
                <w:color w:val="auto"/>
              </w:rPr>
            </w:pPr>
            <w:r>
              <w:rPr>
                <w:rFonts w:ascii="Arial" w:cs="Arial" w:eastAsia="Arial" w:hAnsi="Arial"/>
                <w:sz w:val="16"/>
                <w:szCs w:val="16"/>
                <w:color w:val="auto"/>
              </w:rPr>
              <w:t>Occupancy</w:t>
            </w: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40.2 %</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0.9 %</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39.3 pts</w:t>
            </w:r>
          </w:p>
        </w:tc>
        <w:tc>
          <w:tcPr>
            <w:tcW w:w="1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29.3 %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30.6 %</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(1.3)pts</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216.09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172.28</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25.4 %</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214.22</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194.22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03"/>
        </w:trPr>
        <w:tc>
          <w:tcPr>
            <w:tcW w:w="3740" w:type="dxa"/>
            <w:vAlign w:val="bottom"/>
            <w:gridSpan w:val="2"/>
          </w:tcPr>
          <w:p>
            <w:pPr>
              <w:ind w:left="120"/>
              <w:spacing w:after="0"/>
              <w:rPr>
                <w:sz w:val="20"/>
                <w:szCs w:val="20"/>
                <w:color w:val="auto"/>
              </w:rPr>
            </w:pPr>
            <w:r>
              <w:rPr>
                <w:rFonts w:ascii="Arial" w:cs="Arial" w:eastAsia="Arial" w:hAnsi="Arial"/>
                <w:sz w:val="16"/>
                <w:szCs w:val="16"/>
                <w:color w:val="auto"/>
              </w:rPr>
              <w:t>RevPAR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86.88</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5,505.2 %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62.76</w:t>
            </w:r>
          </w:p>
        </w:tc>
        <w:tc>
          <w:tcPr>
            <w:tcW w:w="1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59.51</w:t>
            </w:r>
          </w:p>
        </w:tc>
        <w:tc>
          <w:tcPr>
            <w:tcW w:w="2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171.23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3,311.0 %</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127.71</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147.34</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99" w:hanging="330"/>
        <w:spacing w:after="0" w:line="258"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a gain on sale of assets of $0.3 million and $1.3 million in the six months ended June 30, 2021 and 2020, respectively.</w:t>
      </w:r>
    </w:p>
    <w:p>
      <w:pPr>
        <w:spacing w:after="0" w:line="1" w:lineRule="exact"/>
        <w:rPr>
          <w:rFonts w:ascii="Arial" w:cs="Arial" w:eastAsia="Arial" w:hAnsi="Arial"/>
          <w:sz w:val="18"/>
          <w:szCs w:val="18"/>
          <w:color w:val="auto"/>
        </w:rPr>
      </w:pPr>
    </w:p>
    <w:p>
      <w:pPr>
        <w:ind w:left="380" w:right="99" w:hanging="330"/>
        <w:spacing w:after="0" w:line="25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Gaylord Opryland operating expenses for the three months and six months ended June 30, 2020 include approximately $2.1 million and $4.5 million, respectively, in expenses directly related to the COVID-19 pandemic, which are primarily employment costs. Gaylord Opryland operating expenses for the three months and six months ended June 30, 2021 include approximately $0.4 million in credits, which is net of $0.5 million in payroll tax credits afforded under the CARES 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63"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Gaylord Palms results include 302 expansion rooms beginning in April 2021.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Gaylord Palms for the three months and six months ended June 30, 2021 and 2020 are as follows (in thousands, except percentages and performance metrics):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0"/>
                <w:szCs w:val="10"/>
                <w:color w:val="auto"/>
              </w:rPr>
            </w:pPr>
          </w:p>
        </w:tc>
        <w:tc>
          <w:tcPr>
            <w:tcW w:w="660" w:type="dxa"/>
            <w:vAlign w:val="bottom"/>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50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7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$ 14,643</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11,163.8 %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20,589</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17,598</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13,056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23,214.3 %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16,774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22,543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Other hotel revenue</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5,003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628</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696.7 %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10,456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6,048</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72.9 %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7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32,702</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3,917.4 %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47,819</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46,189</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511.2 %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8,109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395.1 %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11,683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13,625</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13,178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24,394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25,591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515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555.8 %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684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652</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5,302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28.5 %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8,410</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72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30,105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14,556</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106.8 %</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50,841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52,752</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1520" w:type="dxa"/>
            <w:vAlign w:val="bottom"/>
            <w:gridSpan w:val="3"/>
          </w:tcPr>
          <w:p>
            <w:pPr>
              <w:jc w:val="right"/>
              <w:ind w:right="40"/>
              <w:spacing w:after="0"/>
              <w:rPr>
                <w:sz w:val="20"/>
                <w:szCs w:val="20"/>
                <w:color w:val="auto"/>
              </w:rPr>
            </w:pPr>
            <w:r>
              <w:rPr>
                <w:rFonts w:ascii="Arial" w:cs="Arial" w:eastAsia="Arial" w:hAnsi="Arial"/>
                <w:sz w:val="16"/>
                <w:szCs w:val="16"/>
                <w:color w:val="auto"/>
              </w:rPr>
              <w:t>52.2 %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0.8 %</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51.4 pts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38.9 %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31.7 %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7.2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$ 199.63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129.79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53.8 %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197.28</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215.60</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$ 104.17</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10,213.9 %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76.82</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68.29</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$ 232.64</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3,586.8 %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178.42</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179.23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99" w:hanging="330"/>
        <w:spacing w:after="0" w:line="255"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Gaylord Palms operating expenses do not include preopening costs of $0.2 million and $0.1 million in the three months ended June 30, 2021 and 2020, respectively, and $0.6 million and $0.2 million in the six months ended June 30, 2021 and 2020, respectively. See discussion of these items below.</w:t>
      </w:r>
    </w:p>
    <w:p>
      <w:pPr>
        <w:spacing w:after="0" w:line="2" w:lineRule="exact"/>
        <w:rPr>
          <w:rFonts w:ascii="Arial" w:cs="Arial" w:eastAsia="Arial" w:hAnsi="Arial"/>
          <w:sz w:val="18"/>
          <w:szCs w:val="18"/>
          <w:color w:val="auto"/>
        </w:rPr>
      </w:pPr>
    </w:p>
    <w:p>
      <w:pPr>
        <w:ind w:left="380" w:right="339" w:hanging="330"/>
        <w:spacing w:after="0" w:line="255"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Gaylord Palms operating expenses for the three months and six months ended June 30, 2020 include approximately $1.2 million and $2.5 million, respectively, in expenses directly related to the COVID-19 pandemic, which are primarily employment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and six months ended June 30,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are 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58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50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Rooms</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14,672</w:t>
            </w:r>
          </w:p>
        </w:tc>
        <w:tc>
          <w:tcPr>
            <w:tcW w:w="18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1,519</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865.9 %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21,690</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20,545</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13,013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1,060.8 %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18,122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30,376</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hotel revenue</w:t>
            </w:r>
          </w:p>
        </w:tc>
        <w:tc>
          <w:tcPr>
            <w:tcW w:w="15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6,384</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125.4 %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12,615</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10,547</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34,069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522.6 %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52,427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61,468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Operating expenses: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315.5 %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9,317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2,564</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263.4 %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13,877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17,654</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11,618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46.9 %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21,795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23,603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Management fees, net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933.3 %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692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871</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Depreciation and amortization</w:t>
            </w:r>
          </w:p>
        </w:tc>
        <w:tc>
          <w:tcPr>
            <w:tcW w:w="15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6,394</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12,423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12,857</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w w:val="97"/>
              </w:rPr>
              <w:t>Total operating expenses (1)</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30,791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17,569</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75.3 %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53,930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60,186</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Occupancy</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43.7 %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5.0 %</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38.7 pts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33.2 %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30.6 %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2.6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203.43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185.45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9.7 %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198.82</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203.14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RevPAR</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88.88</w:t>
            </w:r>
          </w:p>
        </w:tc>
        <w:tc>
          <w:tcPr>
            <w:tcW w:w="18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9.20</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866.1 %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66.06</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62.23</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206.39</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522.6 %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159.68</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186.18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339" w:hanging="330"/>
        <w:spacing w:after="0" w:line="26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Gaylord Texan operating expenses for the three months and six months ended June 30, 2020 include approximately $1.1 million and $2.0 million, respectively, in expenses directly related to the COVID-19 pandemic, which are primarily employment costs.</w:t>
      </w:r>
    </w:p>
    <w:p>
      <w:pPr>
        <w:spacing w:after="0" w:line="184"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Gaylord National was closed from late March 2020 and reopened July 1, 2021.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Gaylord National for the three months and six months ended June 30, 2021 and 2020 are 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52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54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w w:val="95"/>
              </w:rPr>
              <w:t>(100.0)%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19,533</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277.8 %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24,721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342.1 %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5,669</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 (1)</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336.9 %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49,923</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11,004</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1,149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2,818</w:t>
            </w:r>
          </w:p>
        </w:tc>
        <w:tc>
          <w:tcPr>
            <w:tcW w:w="2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1,588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21,417</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10,509</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16,814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31,068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18.2 %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579</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(157.7)%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6,925</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14,039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13,866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(2)(3)</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17,362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21,447</w:t>
            </w:r>
          </w:p>
        </w:tc>
        <w:tc>
          <w:tcPr>
            <w:tcW w:w="2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33,142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77,934</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6"/>
                <w:szCs w:val="16"/>
                <w:color w:val="auto"/>
              </w:rPr>
              <w:t>—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Arial" w:cs="Arial" w:eastAsia="Arial" w:hAnsi="Arial"/>
                <w:sz w:val="16"/>
                <w:szCs w:val="16"/>
                <w:color w:val="auto"/>
              </w:rPr>
              <w:t>— %</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 pts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26.0 %</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(26.0)pts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207.14</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53.77</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337.1 %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137.42</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19" w:hanging="330"/>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Gaylord National revenue for the three months and six months ended June 30, 2021 and the three months ended June 30, 2020 consists primarily of attrition and cancellation fee revenue.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19" w:hanging="330"/>
        <w:spacing w:after="0" w:line="291"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Gaylord National operating expenses do not include credit losses on held-to-maturity securities of $19.1 million and $25.0 million in the three months and six months ended June 30, 2020, respectively. See discussion of this item below.</w:t>
      </w:r>
    </w:p>
    <w:p>
      <w:pPr>
        <w:ind w:left="380" w:right="119" w:hanging="330"/>
        <w:spacing w:after="0" w:line="253"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Gaylord National operating expenses for the three months and six months ended June 30, 2020 include approximately $4.8 million and $9.2 million, respectively, in expenses directly related to the COVID-19 pandemic, which are primarily employment costs. Gaylord National operating expenses for the three months and six months ended June 30, 2021 include approximately $2.4 million in credits, which is net of $2.5 million in payroll tax credits afforded under the CARES Act.</w:t>
      </w:r>
    </w:p>
    <w:p>
      <w:pPr>
        <w:spacing w:after="0" w:line="191"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months and six months ended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are 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0"/>
              </w:rPr>
              <w:t>June 30, 2021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80"/>
        </w:trPr>
        <w:tc>
          <w:tcPr>
            <w:tcW w:w="2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178"/>
        </w:trPr>
        <w:tc>
          <w:tcPr>
            <w:tcW w:w="2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520" w:type="dxa"/>
            <w:vAlign w:val="bottom"/>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gridSpan w:val="2"/>
          </w:tcPr>
          <w:p>
            <w:pPr>
              <w:ind w:left="120"/>
              <w:spacing w:after="0"/>
              <w:rPr>
                <w:sz w:val="20"/>
                <w:szCs w:val="20"/>
                <w:color w:val="auto"/>
              </w:rPr>
            </w:pPr>
            <w:r>
              <w:rPr>
                <w:rFonts w:ascii="Arial" w:cs="Arial" w:eastAsia="Arial" w:hAnsi="Arial"/>
                <w:sz w:val="16"/>
                <w:szCs w:val="16"/>
                <w:color w:val="auto"/>
              </w:rPr>
              <w:t>Rooms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7,019</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449</w:t>
            </w: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1,463.3 %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11,134</w:t>
            </w:r>
          </w:p>
        </w:tc>
        <w:tc>
          <w:tcPr>
            <w:tcW w:w="16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16,379</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(32.0)%</w:t>
            </w:r>
          </w:p>
        </w:tc>
      </w:tr>
      <w:tr>
        <w:trPr>
          <w:trHeight w:val="203"/>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14,252.2 %</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10,411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32,614</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(68.1)%</w:t>
            </w:r>
          </w:p>
        </w:tc>
      </w:tr>
      <w:tr>
        <w:trPr>
          <w:trHeight w:val="203"/>
        </w:trPr>
        <w:tc>
          <w:tcPr>
            <w:tcW w:w="3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259.8 %</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8,763</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7,411</w:t>
            </w:r>
          </w:p>
        </w:tc>
        <w:tc>
          <w:tcPr>
            <w:tcW w:w="2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18.2 %</w:t>
            </w:r>
          </w:p>
        </w:tc>
      </w:tr>
      <w:tr>
        <w:trPr>
          <w:trHeight w:val="196"/>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18,338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915.4 %</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30,308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56,404</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(46.3)%</w:t>
            </w:r>
          </w:p>
        </w:tc>
      </w:tr>
      <w:tr>
        <w:trPr>
          <w:trHeight w:val="203"/>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296.9 %</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(24.4)%</w:t>
            </w:r>
          </w:p>
        </w:tc>
      </w:tr>
      <w:tr>
        <w:trPr>
          <w:trHeight w:val="203"/>
        </w:trPr>
        <w:tc>
          <w:tcPr>
            <w:tcW w:w="396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1,650</w:t>
            </w: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264.1 %</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10,747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18,598</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(42.2)%</w:t>
            </w:r>
          </w:p>
        </w:tc>
      </w:tr>
      <w:tr>
        <w:trPr>
          <w:trHeight w:val="203"/>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47.8 %</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14,674</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15,497</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w:t>
            </w:r>
          </w:p>
        </w:tc>
      </w:tr>
      <w:tr>
        <w:trPr>
          <w:trHeight w:val="203"/>
        </w:trPr>
        <w:tc>
          <w:tcPr>
            <w:tcW w:w="3960" w:type="dxa"/>
            <w:vAlign w:val="bottom"/>
            <w:gridSpan w:val="2"/>
          </w:tcPr>
          <w:p>
            <w:pPr>
              <w:ind w:left="120"/>
              <w:spacing w:after="0"/>
              <w:rPr>
                <w:sz w:val="20"/>
                <w:szCs w:val="20"/>
                <w:color w:val="auto"/>
              </w:rPr>
            </w:pPr>
            <w:r>
              <w:rPr>
                <w:rFonts w:ascii="Arial" w:cs="Arial" w:eastAsia="Arial" w:hAnsi="Arial"/>
                <w:sz w:val="16"/>
                <w:szCs w:val="16"/>
                <w:color w:val="auto"/>
              </w:rPr>
              <w:t>Management fees, net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224.4 %</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588</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2,192</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(73.2)%</w:t>
            </w:r>
          </w:p>
        </w:tc>
      </w:tr>
      <w:tr>
        <w:trPr>
          <w:trHeight w:val="20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22,617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22,672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45,308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45,281</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0.1 %</w:t>
            </w:r>
          </w:p>
        </w:tc>
      </w:tr>
      <w:tr>
        <w:trPr>
          <w:trHeight w:val="196"/>
        </w:trPr>
        <w:tc>
          <w:tcPr>
            <w:tcW w:w="396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38,613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30,092</w:t>
            </w: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28.3 %</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75,399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86,967</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r>
      <w:tr>
        <w:trPr>
          <w:trHeight w:val="203"/>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960" w:type="dxa"/>
            <w:vAlign w:val="bottom"/>
            <w:gridSpan w:val="2"/>
          </w:tcPr>
          <w:p>
            <w:pPr>
              <w:ind w:left="120"/>
              <w:spacing w:after="0"/>
              <w:rPr>
                <w:sz w:val="20"/>
                <w:szCs w:val="20"/>
                <w:color w:val="auto"/>
              </w:rPr>
            </w:pPr>
            <w:r>
              <w:rPr>
                <w:rFonts w:ascii="Arial" w:cs="Arial" w:eastAsia="Arial" w:hAnsi="Arial"/>
                <w:sz w:val="16"/>
                <w:szCs w:val="16"/>
                <w:color w:val="auto"/>
              </w:rPr>
              <w:t>Occupancy</w:t>
            </w:r>
          </w:p>
        </w:tc>
        <w:tc>
          <w:tcPr>
            <w:tcW w:w="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25.7 %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0.8 %</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24.9 pts</w:t>
            </w:r>
          </w:p>
        </w:tc>
        <w:tc>
          <w:tcPr>
            <w:tcW w:w="1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21.6 %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29.1 %</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(7.5)pts</w:t>
            </w:r>
          </w:p>
        </w:tc>
      </w:tr>
      <w:tr>
        <w:trPr>
          <w:trHeight w:val="203"/>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199.69</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394.44</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189.92</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206.04</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w:t>
            </w:r>
          </w:p>
        </w:tc>
      </w:tr>
      <w:tr>
        <w:trPr>
          <w:trHeight w:val="203"/>
        </w:trPr>
        <w:tc>
          <w:tcPr>
            <w:tcW w:w="3960" w:type="dxa"/>
            <w:vAlign w:val="bottom"/>
            <w:gridSpan w:val="2"/>
          </w:tcPr>
          <w:p>
            <w:pPr>
              <w:ind w:left="120"/>
              <w:spacing w:after="0"/>
              <w:rPr>
                <w:sz w:val="20"/>
                <w:szCs w:val="20"/>
                <w:color w:val="auto"/>
              </w:rPr>
            </w:pPr>
            <w:r>
              <w:rPr>
                <w:rFonts w:ascii="Arial" w:cs="Arial" w:eastAsia="Arial" w:hAnsi="Arial"/>
                <w:sz w:val="16"/>
                <w:szCs w:val="16"/>
                <w:color w:val="auto"/>
              </w:rPr>
              <w:t>RevPAR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51.38</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3.29</w:t>
            </w: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1,461.7 %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40.98</w:t>
            </w:r>
          </w:p>
        </w:tc>
        <w:tc>
          <w:tcPr>
            <w:tcW w:w="16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59.96</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(31.7)%</w:t>
            </w:r>
          </w:p>
        </w:tc>
      </w:tr>
      <w:tr>
        <w:trPr>
          <w:trHeight w:val="203"/>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134.25</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915.5 %</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111.55</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206.47</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(46.0)%</w:t>
            </w:r>
          </w:p>
        </w:tc>
      </w:tr>
      <w:tr>
        <w:trPr>
          <w:trHeight w:val="108"/>
        </w:trPr>
        <w:tc>
          <w:tcPr>
            <w:tcW w:w="224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80" w:lineRule="exact"/>
        <w:rPr>
          <w:sz w:val="20"/>
          <w:szCs w:val="20"/>
          <w:color w:val="auto"/>
        </w:rPr>
      </w:pPr>
    </w:p>
    <w:p>
      <w:pPr>
        <w:ind w:left="380" w:right="199" w:hanging="330"/>
        <w:spacing w:after="0" w:line="263"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Gaylord Rockies operating expenses for the three months and six months ended June 30, 2020 include approximately $1.0 million and $2.2 million, respectively, in expenses directly related to the COVID-19 pandemic, which are primarily employment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98"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Due to the COVID-19 pandemic, we temporarily closed our Entertainment segment assets in mid-March 2020 and reopened in stages in the summer and fall of 2020 with limited capacity. In May 2021, all venues returned to full capacity. The Wildhorse Saloon was again closed subsequent to the December 2020 downtown Nashville bombing and reopened in April 2021. The Entertainment segment financial results for the three months and six months ended June 30, 2021 and 2020 are not comparable to historical periods. In addition, the Entertainment segment financial results for the three months and six months ended June 30, 2021 are not comparable to the three months and six months ended June 30, 2020 due to the temporary closures, which were directly related to the COVID-19 pandemic. The following presents the financial results of our Entertainment segment for the three months and six months ended June 30, 2021 and 2020 (in thousands, except percentages):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40" w:type="dxa"/>
            <w:vAlign w:val="bottom"/>
            <w:gridSpan w:val="5"/>
          </w:tcPr>
          <w:p>
            <w:pPr>
              <w:ind w:left="540"/>
              <w:spacing w:after="0"/>
              <w:rPr>
                <w:sz w:val="20"/>
                <w:szCs w:val="20"/>
                <w:color w:val="auto"/>
              </w:rPr>
            </w:pPr>
            <w:r>
              <w:rPr>
                <w:rFonts w:ascii="Arial" w:cs="Arial" w:eastAsia="Arial" w:hAnsi="Arial"/>
                <w:sz w:val="14"/>
                <w:szCs w:val="14"/>
                <w:b w:val="1"/>
                <w:bCs w:val="1"/>
                <w:color w:val="auto"/>
                <w:w w:val="97"/>
              </w:rPr>
              <w:t>Six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50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7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50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35,173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703.8 %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$ 49,546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31,735</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25,639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13,457</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90.5 %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44,330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42,803</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1"/>
              </w:rPr>
              <w:t>Depreciation and amortization</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6.4 %</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398"/>
        </w:trPr>
        <w:tc>
          <w:tcPr>
            <w:tcW w:w="2240" w:type="dxa"/>
            <w:vAlign w:val="bottom"/>
            <w:gridSpan w:val="2"/>
          </w:tcPr>
          <w:p>
            <w:pPr>
              <w:ind w:left="20"/>
              <w:spacing w:after="0"/>
              <w:rPr>
                <w:sz w:val="20"/>
                <w:szCs w:val="20"/>
                <w:color w:val="auto"/>
              </w:rPr>
            </w:pPr>
            <w:r>
              <w:rPr>
                <w:rFonts w:ascii="Arial" w:cs="Arial" w:eastAsia="Arial" w:hAnsi="Arial"/>
                <w:sz w:val="18"/>
                <w:szCs w:val="18"/>
                <w:color w:val="auto"/>
                <w:w w:val="91"/>
              </w:rPr>
              <w:t>Operating income (loss) (1)(2)</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w w:val="92"/>
              </w:rPr>
              <w:t>(12,483)</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147.4 %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(2,006)</w:t>
            </w: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(17,575)</w:t>
            </w:r>
          </w:p>
        </w:tc>
        <w:tc>
          <w:tcPr>
            <w:tcW w:w="14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88.6 %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19" w:hanging="330"/>
        <w:spacing w:after="0" w:line="342"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Entertainment segment operating income (loss) does not include preopening costs of $0.6 million and $1.3 million in the three months and six months ended June 30, 2020, respectively. See discussion of this item below.</w:t>
      </w:r>
    </w:p>
    <w:p>
      <w:pPr>
        <w:spacing w:after="0" w:line="83" w:lineRule="exact"/>
        <w:rPr>
          <w:rFonts w:ascii="Arial" w:cs="Arial" w:eastAsia="Arial" w:hAnsi="Arial"/>
          <w:sz w:val="16"/>
          <w:szCs w:val="16"/>
          <w:color w:val="auto"/>
        </w:rPr>
      </w:pPr>
    </w:p>
    <w:p>
      <w:pPr>
        <w:ind w:left="380" w:right="359" w:hanging="330"/>
        <w:spacing w:after="0" w:line="263"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Entertainment segment operating expenses for the three months and six months ended June 30, 2020 include approximately $0.4 million and $4.1 million, respectively, in expenses directly related to the COVID-19 pandemic, which are primarily employment costs.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85" w:lineRule="exact"/>
        <w:rPr>
          <w:sz w:val="20"/>
          <w:szCs w:val="20"/>
          <w:color w:val="auto"/>
        </w:rPr>
      </w:pPr>
    </w:p>
    <w:p>
      <w:pPr>
        <w:ind w:left="60" w:right="1019"/>
        <w:spacing w:after="0" w:line="308" w:lineRule="auto"/>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The following presents the financial results of our Corporate and Other segment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and six months ended June 30, 2021 and 2020 (in thousands, except percentages):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7"/>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00" w:type="dxa"/>
            <w:vAlign w:val="bottom"/>
            <w:gridSpan w:val="5"/>
          </w:tcPr>
          <w:p>
            <w:pPr>
              <w:jc w:val="center"/>
              <w:ind w:left="297"/>
              <w:spacing w:after="0"/>
              <w:rPr>
                <w:sz w:val="20"/>
                <w:szCs w:val="20"/>
                <w:color w:val="auto"/>
              </w:rPr>
            </w:pPr>
            <w:r>
              <w:rPr>
                <w:rFonts w:ascii="Arial" w:cs="Arial" w:eastAsia="Arial" w:hAnsi="Arial"/>
                <w:sz w:val="14"/>
                <w:szCs w:val="14"/>
                <w:b w:val="1"/>
                <w:bCs w:val="1"/>
                <w:color w:val="auto"/>
                <w:w w:val="92"/>
              </w:rPr>
              <w:t>Six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64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50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Depreciation and amortization</w:t>
            </w:r>
          </w:p>
        </w:tc>
        <w:tc>
          <w:tcPr>
            <w:tcW w:w="1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88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w w:val="98"/>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(1)</w:t>
            </w: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(9,543)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(8,279)</w:t>
            </w:r>
          </w:p>
        </w:tc>
        <w:tc>
          <w:tcPr>
            <w:tcW w:w="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(17,637)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(16,886)</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339" w:hanging="330"/>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segment operating loss for the three months and six months ended June 30, 2020 includes approximately $0.3 million and $0.5 million, respectively, in expenses directly related to the COVID-19 pandemic, which are primarily employment costs.</w:t>
      </w:r>
    </w:p>
    <w:p>
      <w:pPr>
        <w:spacing w:after="0" w:line="143"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months and six months ended June 30, 2021, as compared to the prior year periods, primarily as a result of increased consulting and stock compensation expenses.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85"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Preopening costs during the three months and six months ended June 30, 2021 primarily include costs associated with the Gaylord Palms expansion, which was completed in April 2021. Preopening costs during the three months and six months ended June 30, 2020 primarily include costs associated with Ole Red Orlando, which opened in June 2020, and the Gaylord Palms expansion.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Gain on Sale of Assets</w:t>
      </w:r>
    </w:p>
    <w:p>
      <w:pPr>
        <w:spacing w:after="0" w:line="198"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Gain on sale of assets of during the three months and six months ended June 30, 2021 and 2020 includes the sale of certain assets at Gaylord Opryland.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Credit Losses on Held-to-Maturity Securities</w:t>
      </w:r>
    </w:p>
    <w:p>
      <w:pPr>
        <w:spacing w:after="0" w:line="185" w:lineRule="exact"/>
        <w:rPr>
          <w:sz w:val="20"/>
          <w:szCs w:val="20"/>
          <w:color w:val="auto"/>
        </w:rPr>
      </w:pPr>
    </w:p>
    <w:p>
      <w:pPr>
        <w:jc w:val="both"/>
        <w:ind w:left="60" w:right="299"/>
        <w:spacing w:after="0" w:line="259" w:lineRule="auto"/>
        <w:rPr>
          <w:sz w:val="20"/>
          <w:szCs w:val="20"/>
          <w:color w:val="auto"/>
        </w:rPr>
      </w:pPr>
      <w:r>
        <w:rPr>
          <w:rFonts w:ascii="Arial" w:cs="Arial" w:eastAsia="Arial" w:hAnsi="Arial"/>
          <w:sz w:val="18"/>
          <w:szCs w:val="18"/>
          <w:color w:val="auto"/>
        </w:rPr>
        <w:t>Credit losses on held-to-maturity securities of $19.1 million and $25.0 million during the three months and six months ended June 30, 2020, respectively, relate to the bonds we received in 2008 related to the Gaylord National construction, which we hold as notes receivable. See further discussion regarding these credit losses in Note 6, “Notes Receivable,” to the condensed consolidated financial statements included herein.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Results Affecting Net Loss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summarizes the other factors which affected our net loss for the three months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and 2020 (in thousands, except percentages):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74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2"/>
              </w:rPr>
              <w:t>Six Months Ended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320" w:type="dxa"/>
            <w:vAlign w:val="bottom"/>
            <w:vMerge w:val="restart"/>
          </w:tcPr>
          <w:p>
            <w:pPr>
              <w:spacing w:after="0"/>
              <w:rPr>
                <w:sz w:val="10"/>
                <w:szCs w:val="10"/>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140" w:type="dxa"/>
            <w:vAlign w:val="bottom"/>
            <w:vMerge w:val="restart"/>
          </w:tcPr>
          <w:p>
            <w:pPr>
              <w:spacing w:after="0"/>
              <w:rPr>
                <w:sz w:val="10"/>
                <w:szCs w:val="10"/>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58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6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60" w:type="dxa"/>
            <w:vAlign w:val="bottom"/>
            <w:vMerge w:val="restart"/>
          </w:tcPr>
          <w:p>
            <w:pPr>
              <w:spacing w:after="0"/>
              <w:rPr>
                <w:sz w:val="10"/>
                <w:szCs w:val="10"/>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60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$ 29,847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30,042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$ 60,643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59,400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4,225</w:t>
            </w:r>
          </w:p>
        </w:tc>
        <w:tc>
          <w:tcPr>
            <w:tcW w:w="14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Loss from unconsolidated joint ventures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(3,715)</w:t>
            </w:r>
          </w:p>
        </w:tc>
        <w:tc>
          <w:tcPr>
            <w:tcW w:w="14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101.2 %</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(908.1)%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(26,960)</w:t>
            </w:r>
          </w:p>
        </w:tc>
        <w:tc>
          <w:tcPr>
            <w:tcW w:w="140" w:type="dxa"/>
            <w:vAlign w:val="bottom"/>
          </w:tcPr>
          <w:p>
            <w:pPr>
              <w:spacing w:after="0"/>
              <w:rPr>
                <w:sz w:val="20"/>
                <w:szCs w:val="20"/>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79.3 %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Interest expense decreased $0.2 million and increased $1.2 million during the three months and six months ended June 30, 2021, respectively, as compared to the same periods in 2020. The increase in the six-month period was due primarily to increased principal balances outstanding under our senior notes, partially offset by a decrease in average borrowings outstanding under our revolving credit facility.</w:t>
      </w:r>
    </w:p>
    <w:p>
      <w:pPr>
        <w:spacing w:after="0" w:line="14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Cash interest expense increased $0.5 million to $29.3 million in the three months and increased $2.4 million to $59.3 million in the six months ended June 30, 2021, as compared to the same periods in 2020. Non-cash interest expense, which includes amortization and write-off of deferred financing costs and is offset by capitalized interest, decreased $0.7 million to $0.6 million in the three months and decreased $1.1 million to $1.3 million in the six months ended June 30, 2021, as compared to the same periods in 2020.</w:t>
      </w:r>
    </w:p>
    <w:p>
      <w:pPr>
        <w:spacing w:after="0" w:line="161"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Our weighted average interest rate on our borrowings, excluding the write-off of deferred financing costs and capitalized interest, but including the impact of interest rate swaps, was 4.3% and 4.2% for the three months ended June 30, 2021 and 2020, respectively, and 4.5% and 4.4% for the six months ended June 30, 2021 and 2020, respectively.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Interest income for the three months and six months ended June 30, 2021 and 2020 primarily includes amounts earned on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Extinguishment of Debt</w:t>
      </w:r>
    </w:p>
    <w:p>
      <w:pPr>
        <w:spacing w:after="0" w:line="19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February 2021, we commenced a cash tender offer for any and all outstanding $400 Million 5% Senior Notes at a redemption price of $1,005.00 per $1,000 principal amount. Pursuant to the tender offer, $161.9 million aggregate principal amount of these notes were validly tendered. As a result of our purchase of these tendered notes, and the subsequent redemption of all untendered $400 Million 5% Senior Notes, we recognized a loss on extinguishment of debt of $2.9 million in the six months ended June 30, 2021.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from Unconsolidated Joint Ventures</w:t>
      </w:r>
    </w:p>
    <w:p>
      <w:pPr>
        <w:spacing w:after="0" w:line="18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loss from unconsolidated joint ventures for the three months and six months ended June 30, 2021 and 2020 represents our equity method share of losses associated with Circle.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Gains and (Losses), net</w:t>
      </w:r>
    </w:p>
    <w:p>
      <w:pPr>
        <w:spacing w:after="0" w:line="185" w:lineRule="exact"/>
        <w:rPr>
          <w:sz w:val="20"/>
          <w:szCs w:val="20"/>
          <w:color w:val="auto"/>
        </w:rPr>
      </w:pPr>
    </w:p>
    <w:p>
      <w:pPr>
        <w:jc w:val="both"/>
        <w:ind w:left="60" w:right="339"/>
        <w:spacing w:after="0" w:line="286" w:lineRule="auto"/>
        <w:rPr>
          <w:sz w:val="20"/>
          <w:szCs w:val="20"/>
          <w:color w:val="auto"/>
        </w:rPr>
      </w:pPr>
      <w:r>
        <w:rPr>
          <w:rFonts w:ascii="Arial" w:cs="Arial" w:eastAsia="Arial" w:hAnsi="Arial"/>
          <w:sz w:val="17"/>
          <w:szCs w:val="17"/>
          <w:color w:val="auto"/>
        </w:rPr>
        <w:t>Other gains and (losses), net for the three months and six months ended June 30, 2021 represents various miscellaneous items. Other gains and (losses), net for the three months and six months ended June 30, 2020 includes the forfeiture of a $15.0 million deposit associated with the terminated potential acquisition of Block 21.</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19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43"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For the three months ended June 30, 2021 and 2020, we recorded an income tax provision of $1.6 million and $0.2 million, respectively. For the six months ended June 30, 2021 and 2020, we recorded an income tax provision of $5.6 million and $27.0 million, respectively. The income tax provision for the six months ended June 30, 2021 and 2020 includes the recording of a valuation allowance of $3.6 million and $26.7 million, respectively, as discussed in Note 12, “Income Taxes,” to the condensed consolidated financial statements included herein. In the six months ended June 30, 2021 and 2020, we also recorded an income tax provision of $2.0 million and $0.2 million, respectively, inclusive of valuation allowance, related to current period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8"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We present the following non-GAAP financial measures, which we believe are useful to investors as key measures of our operating performance:</w:t>
      </w:r>
    </w:p>
    <w:p>
      <w:pPr>
        <w:spacing w:after="0" w:line="170"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EBITDAre, Adjusted EBITDAre and Adjusted EBITDAre, Excluding Noncontrolling Interest in Consolidated Joint Venture Interest Definition</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calculate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unconsolidated affiliates.</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is then calculated as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plus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losses on held-to-maturity securities;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transactions costs of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 rata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from unconsolidated joint ventures;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then exclude the pro rata share of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related to noncontrolling interests in consolidated joint ventures to calculate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w:t>
      </w:r>
    </w:p>
    <w:p>
      <w:pPr>
        <w:spacing w:after="0" w:line="170"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use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when evaluating our performance because we believe that presenting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provides useful information to investors regarding our operating performance and debt leverage metrics.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FFO, Adjusted FFO, and Adjusted FFO available to common shareholders and unit holders Definition</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calculate FFO</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6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To calculate Adjusted FFO available to common shareholders and unit holders, we then exclude,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Right-of-use asset amortization;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Write-offs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debt discounts or premiums and amortization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Credit loss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pro rata adjustments from unconsolidated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(Gains) losses on other assets;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Transactions costs on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Deferred income tax expense (benefit);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FFO available to common shareholders and unit holders and Adjusted FFO available to common shareholders and unit holders exclude the ownership portion of the Gaylord Rockies joint venture not controlled or owned by the Company.</w:t>
      </w:r>
    </w:p>
    <w:p>
      <w:pPr>
        <w:spacing w:after="0" w:line="124"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Beginning in the third quarter of 2020, we refer to unitholders in these measures, reflecting outstanding OP units issued to noncontrolling interests for the first time during third quarter 2020.</w:t>
      </w:r>
    </w:p>
    <w:p>
      <w:pPr>
        <w:spacing w:after="0" w:line="170"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We believe that the presentation of FFO available to common shareholders and unit holders and Adjusted FFO available to common shareholders and unit holders provides useful information to investors regarding the performance of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8"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caution investors that amounts presented in accordance with our definitions of Adjusted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18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following is a reconciliation of our consolidated GAAP net loss to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for the three months and six months ended June 30, 2021 and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7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7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(187,659)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(180,170)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(238,395)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28,396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28,188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57,822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55,175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26,960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54,673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54,011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107,988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107,356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loss on sale of assets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(1,255)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Pro rata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from unconsolidated joint ventures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17"/>
                <w:szCs w:val="17"/>
                <w:i w:val="1"/>
                <w:iCs w:val="1"/>
                <w:color w:val="auto"/>
              </w:rPr>
              <w:t>re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(105,287)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(50,150)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Preopening costs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lease expense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Equity-based compensation expense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2,189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Pension settlement charge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Credit loss on held-to-maturity securities</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19,145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24,973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income on Gaylord National bonds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Loss on extinguishment of debt</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costs of acquisitions</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15,138</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15,435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28,155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(65,241)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6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of noncontrolling interest in consolidated joint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venture</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060" w:type="dxa"/>
            <w:vAlign w:val="bottom"/>
          </w:tcPr>
          <w:p>
            <w:pPr>
              <w:ind w:left="20"/>
              <w:spacing w:after="0" w:line="165" w:lineRule="exact"/>
              <w:rPr>
                <w:sz w:val="20"/>
                <w:szCs w:val="20"/>
                <w:color w:val="auto"/>
              </w:rPr>
            </w:pPr>
            <w:r>
              <w:rPr>
                <w:rFonts w:ascii="Arial" w:cs="Arial" w:eastAsia="Arial" w:hAnsi="Arial"/>
                <w:sz w:val="17"/>
                <w:szCs w:val="17"/>
                <w:color w:val="auto"/>
                <w:w w:val="96"/>
              </w:rPr>
              <w:t>Adjusted EBITDA</w:t>
            </w:r>
            <w:r>
              <w:rPr>
                <w:rFonts w:ascii="Arial" w:cs="Arial" w:eastAsia="Arial" w:hAnsi="Arial"/>
                <w:sz w:val="17"/>
                <w:szCs w:val="17"/>
                <w:i w:val="1"/>
                <w:iCs w:val="1"/>
                <w:color w:val="auto"/>
                <w:w w:val="96"/>
              </w:rPr>
              <w:t>re</w:t>
            </w:r>
            <w:r>
              <w:rPr>
                <w:rFonts w:ascii="Arial" w:cs="Arial" w:eastAsia="Arial" w:hAnsi="Arial"/>
                <w:sz w:val="17"/>
                <w:szCs w:val="17"/>
                <w:color w:val="auto"/>
                <w:w w:val="96"/>
              </w:rPr>
              <w:t>, excluding noncontrolling interest in consolidated</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28,428</w:t>
            </w:r>
          </w:p>
        </w:tc>
        <w:tc>
          <w:tcPr>
            <w:tcW w:w="1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(63,113)</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6,723</w:t>
            </w:r>
          </w:p>
        </w:tc>
        <w:tc>
          <w:tcPr>
            <w:tcW w:w="1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(3,944)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060" w:type="dxa"/>
            <w:vAlign w:val="bottom"/>
          </w:tcPr>
          <w:p>
            <w:pPr>
              <w:ind w:left="20"/>
              <w:spacing w:after="0"/>
              <w:rPr>
                <w:sz w:val="20"/>
                <w:szCs w:val="20"/>
                <w:color w:val="auto"/>
              </w:rPr>
            </w:pPr>
            <w:r>
              <w:rPr>
                <w:rFonts w:ascii="Arial" w:cs="Arial" w:eastAsia="Arial" w:hAnsi="Arial"/>
                <w:sz w:val="17"/>
                <w:szCs w:val="17"/>
                <w:color w:val="auto"/>
              </w:rPr>
              <w:t>joint venture</w:t>
            </w:r>
          </w:p>
        </w:tc>
        <w:tc>
          <w:tcPr>
            <w:tcW w:w="1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is a reconciliation of our consolidated GAAP net loss to FFO and Adjusted FFO for the three months and six months ended June 30, 2021 and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r>
      <w:tr>
        <w:trPr>
          <w:trHeight w:val="196"/>
        </w:trPr>
        <w:tc>
          <w:tcPr>
            <w:tcW w:w="49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(238,395)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 in consolidated joint venture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common shareholders and unit holders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(58,341)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(163,669)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(220,008)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54,636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107,914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107,282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(17,138)</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 rata adjustments from joint ventures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 available to common shareholders and unit holders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(128,093)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(129,853)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Right-of-use asset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Pension settlement charge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on held-to-maturity securities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Gain on other assets</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Write-off of deferred financing costs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debt premiums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Transaction costs of acquisitions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expense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960" w:type="dxa"/>
            <w:vAlign w:val="bottom"/>
          </w:tcPr>
          <w:p>
            <w:pPr>
              <w:ind w:left="20"/>
              <w:spacing w:after="0"/>
              <w:rPr>
                <w:sz w:val="20"/>
                <w:szCs w:val="20"/>
                <w:color w:val="auto"/>
              </w:rPr>
            </w:pPr>
            <w:r>
              <w:rPr>
                <w:rFonts w:ascii="Arial" w:cs="Arial" w:eastAsia="Arial" w:hAnsi="Arial"/>
                <w:sz w:val="18"/>
                <w:szCs w:val="18"/>
                <w:color w:val="auto"/>
                <w:w w:val="94"/>
              </w:rPr>
              <w:t>Adjusted FFO available to common shareholders and unit 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Cash flow from operating activities is the principal source of cash used to fund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expenses, interest payments on debt, maintenance capital expenditures, and dividends to stockholders. During the six months ended June 30, 2021, with most of our hotels and other assets operating at limited capacity for at least a portion of the period, our net cash flows used in operating activities were $27.9 million, primarily reflecting cash used in our net loss before depreciation expense, amortization expense and other non-cash charges of $53.4 million, partially offset by favorable changes in working capital of $25.5 million. The favorable changes in working capital primarily resulted from an increase in deferred revenues associated with advanced room deposits at our Gaylord Hotels properties and advanced ticket purchases at our Entertainment segment venues, partially offset by an increase in accounts receivable due to an increase in group business at our Gaylord Hotels properties.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six months ended June 30, 2020, our net cash flows used in operating activities were $110.8 million, primarily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reflecting cash used in our net loss before depreciation expense, amortization expense and other non-cash charges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$52.2 million and unfavorable changes in working capital of $58.6 million. The unfavorable changes in working capital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primarily resulted from a decrease in accounts payable and accrued liabilities associated with the payment of accrued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property taxes and incentive compensation, partially offset by a decrease in accounts receivable due to the collection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previous receivables and the decrease of new receivables due to property closures.</w:t>
      </w:r>
    </w:p>
    <w:p>
      <w:pPr>
        <w:spacing w:after="0" w:line="17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During the six months ended June 30, 2021, our primary use of funds for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was the $210.0 million purchase of the remaining 35% interest in the Gaylord Rockies joint venture and adjacent, undeveloped land. In addition, we spent $53.5 million for purchases of property and equipment, which consisted primarily of the expansion of Gaylord Palms, a rooms renovation at Gaylord National, and ongoing maintenance capital expenditures for our existing properties.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During the six months ended June 30, 2020, our primary uses of funds for investing activities were purchases of property and equipment, which totaled $83.1 million, and consisted primarily of the expansion at Gaylord Palms and ongoing maintenance capital expenditures for our existing properties.</w:t>
      </w:r>
    </w:p>
    <w:p>
      <w:pPr>
        <w:spacing w:after="0" w:line="157"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i w:val="1"/>
          <w:iCs w:val="1"/>
          <w:color w:val="auto"/>
        </w:rPr>
        <w:t>Cash Flows From Financing Activities</w:t>
      </w:r>
      <w:r>
        <w:rPr>
          <w:rFonts w:ascii="Arial" w:cs="Arial" w:eastAsia="Arial" w:hAnsi="Arial"/>
          <w:sz w:val="17"/>
          <w:szCs w:val="17"/>
          <w:color w:val="auto"/>
        </w:rPr>
        <w:t>. Our cash flows from financing activities primarily reflect the incurrence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the repayment of long-term debt and, during the six months ended June 30, 2020, the payment of cash dividends. During the six months ended June 30, 2021, our net cash flows provided by financing activities were $299.4 million, primarily reflecting net senior note borrowing of $200.0 million and net borrowings under our credit facility of $116.5 million, partially offset by the payment of $10.6 million in deferred financing costs.</w:t>
      </w:r>
    </w:p>
    <w:p>
      <w:pPr>
        <w:spacing w:after="0" w:line="136"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During the six months ended June 30, 2020, our net cash flows used in financing activities were $84.1 million, primarily reflecting the payment of $102.3 in cash dividends, partially offset by $25.0 million in borrowings under our revolving credit agreement.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98"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At June 30, 2021, we had $71.6 million in unrestricted cash and $474.7 million available for borrowing under our revolving credit facility. During the six months ended June 30, 2021, we borrowed $119.0 million under our revolving credit facility, tendered for and redeemed $400.0 million in aggregate principal amount of senior notes, issued $600.0 million in aggregate principal amount of new senior notes, purchased the remaining 35% of the Gaylord Rockies joint venture that we did not previously own and undeveloped land adjacent to Gaylord Rockies for approximately $210.0 million, and incurred capital expenditures of $53.5 million. These net inflows, partially offset by cash flows used in operations discussed above, were the primary factors in the slight increase in our cash balance from December 31, 2020 to June 30, 2021.</w:t>
      </w:r>
    </w:p>
    <w:p>
      <w:pPr>
        <w:spacing w:after="0" w:line="151" w:lineRule="exact"/>
        <w:rPr>
          <w:sz w:val="20"/>
          <w:szCs w:val="20"/>
          <w:color w:val="auto"/>
        </w:rPr>
      </w:pPr>
    </w:p>
    <w:p>
      <w:pPr>
        <w:ind w:left="60" w:right="239"/>
        <w:spacing w:after="0" w:line="308" w:lineRule="auto"/>
        <w:rPr>
          <w:sz w:val="20"/>
          <w:szCs w:val="20"/>
          <w:color w:val="auto"/>
        </w:rPr>
      </w:pPr>
      <w:r>
        <w:rPr>
          <w:rFonts w:ascii="Arial" w:cs="Arial" w:eastAsia="Arial" w:hAnsi="Arial"/>
          <w:sz w:val="17"/>
          <w:szCs w:val="17"/>
          <w:color w:val="auto"/>
        </w:rPr>
        <w:t>We anticipate investing in our operations during the remainder of 2021 by spending between $26 million and $41 million in capital expenditures, which primarily includes ongoing maintenance capital of our current facilities.</w:t>
      </w:r>
    </w:p>
    <w:p>
      <w:pPr>
        <w:spacing w:after="0" w:line="10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believe that our cash on hand, together with amounts available for borrowing under our revolving credit facility, will be adequate to fund our general short-term commitments, as well as: (i) current operating expenses, (ii) interest expense on long-term debt obligations, and (iii) financing lease and operating lease obligations until our assets are operating at pre-COVID-19 pandemic levels. Our ability to draw on our credit facility is subject to the satisfaction of provisions of the credit facility, as amended. Our cash burn has continued to improve during 2021, and we achieved positive cash flow in June 2021.</w:t>
      </w:r>
    </w:p>
    <w:p>
      <w:pPr>
        <w:spacing w:after="0" w:line="165"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On May 27, 2021, we entered into an at-the-market (“ATM”) equity distribution agreement (the “ATM Agreement”) with a consortium of banks (each a “Sales Agent” and collectively, the “Sales Agents”), pursuant to which we may offer and sell to or through our Sales Agents (the “ATM Offering”), from time to time, up to 4.0 million shares of our common stock in such share amounts as we may specify by notice to the Sales Agents, in accordance with the terms and conditions set forth in the ATM Agreement. We intend to use the net proceeds from any sale of shares under the ATM Agreement for the repayment of outstanding indebtedness, which may include the repayment of amounts outstanding under our credit agreement governing our revolving credit facility. Net proceeds which are not used for the repayment of outstanding indebtedness (to the extent then permitted by our credit agreement) may be used for general corporate purposes. No shares were issued under the ATM Agreement during the three months and six months ended June 30, 2021.</w:t>
      </w:r>
    </w:p>
    <w:p>
      <w:pPr>
        <w:spacing w:after="0" w:line="126" w:lineRule="exact"/>
        <w:rPr>
          <w:sz w:val="20"/>
          <w:szCs w:val="20"/>
          <w:color w:val="auto"/>
        </w:rPr>
      </w:pPr>
    </w:p>
    <w:p>
      <w:pPr>
        <w:jc w:val="both"/>
        <w:ind w:left="60" w:right="699"/>
        <w:spacing w:after="0" w:line="342" w:lineRule="auto"/>
        <w:rPr>
          <w:sz w:val="20"/>
          <w:szCs w:val="20"/>
          <w:color w:val="auto"/>
        </w:rPr>
      </w:pPr>
      <w:r>
        <w:rPr>
          <w:rFonts w:ascii="Arial" w:cs="Arial" w:eastAsia="Arial" w:hAnsi="Arial"/>
          <w:sz w:val="16"/>
          <w:szCs w:val="16"/>
          <w:color w:val="auto"/>
        </w:rPr>
        <w:t>Our outstanding principal debt agreements are described below. At June 30, 2021, there were no defaults under the covenants related to our outstanding debt based on the amended terms reached with the lenders in December 2020.</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Debt Agreements</w:t>
      </w:r>
    </w:p>
    <w:p>
      <w:pPr>
        <w:spacing w:after="0" w:line="198"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i w:val="1"/>
          <w:iCs w:val="1"/>
          <w:color w:val="auto"/>
        </w:rPr>
        <w:t>Credit Facility</w:t>
      </w:r>
      <w:r>
        <w:rPr>
          <w:rFonts w:ascii="Arial" w:cs="Arial" w:eastAsia="Arial" w:hAnsi="Arial"/>
          <w:sz w:val="16"/>
          <w:szCs w:val="16"/>
          <w:color w:val="auto"/>
        </w:rPr>
        <w:t>. On October 31, 2019, we entered into a Sixth Amended and Restated Credit Agreement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credit facility (the “Revolver”), a $300.0 million senior secured term loan A (the “Term Loan A”), and a $500.0 million senior secured term loan B (the “Term Loan B”), each as discussed below. In 2020, we entered into two amendments (the “Amendments”) to the Credit Agreement among the same parties, as discussed below.</w:t>
      </w:r>
    </w:p>
    <w:p>
      <w:pPr>
        <w:spacing w:after="0" w:line="157"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Each of the Revolver, Term Loan A and Term Loan B is guaranteed by us, each of our subsidiaries that own the Gaylord Hotels properties, other than Gaylord Rockies, and certain of our other subsidiaries. Each is secured by (i) a first mortgage lien on the real property of each of our Gaylord Hotels properties, excluding Gaylord Rockies, (ii) pledges of equity interests in our subsidiaries that own the Gaylord Hotels properties, excluding Gaylord Rockies,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Gaylord Hotels properties, excluding Gaylord Rockies. Advances are subject to a 55% borrowing base, based on the appraisal value of the Gaylord Hotels properties (reduced to 50% in the event one of the Gaylord Hotels properties is sold), excluding Gaylord Rockies. Assets of Gaylord Rockies are not subject to the liens of our credit facility.</w:t>
      </w:r>
    </w:p>
    <w:p>
      <w:pPr>
        <w:spacing w:after="0" w:line="14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1" w:lineRule="exact"/>
        <w:rPr>
          <w:sz w:val="20"/>
          <w:szCs w:val="20"/>
          <w:color w:val="auto"/>
        </w:rPr>
      </w:pPr>
    </w:p>
    <w:p>
      <w:pPr>
        <w:ind w:left="720" w:right="45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29"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3"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Amendments provide for a waiver of the foregoing financial covenants through March 31, 2022 (the “Temporary Waiver Period”). In addition, the Amendments contain a covenant that we must maintain unrestricted liquidity (in the form of unrestricted cash on hand or undrawn availability under the Revolver) of at least $100 million. In the event we are unable to comply with the Credit Agreement’s financial covenants, we expect to further amend the Credit Agreement or take other mitigating actions prior to a potential breach.</w:t>
      </w:r>
    </w:p>
    <w:p>
      <w:pPr>
        <w:spacing w:after="0" w:line="161"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We may elect to terminate the Temporary Waiver Period prior to expiration. For the first quarter following the expiration or termination of the Temporary Waiver Period, we will calculate compliance with the financial covenants in the Credit Agreement using a designated annualized calculation based on our most recently completed fiscal quarter. Thereafter, we will be required to satisfy financial covenants at the levels set forth in the Credit Agreement using a designated annualized calculation based on our most recently completed fiscal quarters, as applicable. Pursuant to the Amendment, we are required to use any proceeds from borrowings drawn during the Temporary Waiver Period and until we demonstrate financial covenant compliance following the expiration or earlier termination of the Temporary Waiver Period (the “Restricted Period”) to fund operating expenses, debt service of the Company and its subsidiaries, and permitted capital expenditures and investments.</w:t>
      </w:r>
    </w:p>
    <w:p>
      <w:pPr>
        <w:spacing w:after="0" w:line="140"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25" w:lineRule="exact"/>
        <w:rPr>
          <w:sz w:val="20"/>
          <w:szCs w:val="20"/>
          <w:color w:val="auto"/>
        </w:rPr>
      </w:pPr>
    </w:p>
    <w:p>
      <w:pPr>
        <w:ind w:left="60" w:right="239"/>
        <w:spacing w:after="0" w:line="296"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Pursuant to the Credit Agreement, we extended the maturity date of the Revolver to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2024, with two additional six-month extension options, at our election. Borrowings under the Revolver bear interest at an annual rate equal to, at our option, either (i) LIBOR plus the applicable margin ranging from 1.40% to 1.95%, dependent upon our funded debt to total asset value ratio (as defined in the Credit Agreement) or (ii) a base rate as set forth in the Credit Agreement. Pursuant to the Amendments, beginning April 1, 2021 through the end of the Restricted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Period, the interest rate on LIBOR-based borrowings under the Revolver will be LIBOR plus 2.25%. Principal is payable in full at maturity.</w:t>
      </w:r>
    </w:p>
    <w:p>
      <w:pPr>
        <w:spacing w:after="0" w:line="143"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At June 30, 2021, $225.0 million was outstanding under the Revolver, and the lending banks had issued $0.3 million of letters of credit under the Credit Agreement, which left $474.7 million of availability under the Revolver (subject to the satisfaction of debt incurrence tests under the indentures governing our $600 Million 4.5% Senior Notes and our $700 million in aggregate principal amount of senior notes due 2027 (the “$700 Million 4.75% Senior Notes”), which we met at June 30, 2021).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Term Loan A Facility. </w:t>
      </w:r>
      <w:r>
        <w:rPr>
          <w:rFonts w:ascii="Arial" w:cs="Arial" w:eastAsia="Arial" w:hAnsi="Arial"/>
          <w:sz w:val="17"/>
          <w:szCs w:val="17"/>
          <w:color w:val="auto"/>
        </w:rPr>
        <w:t>Pursuant to the Credit Agreement, in 2019 the Term Loan A was increased from $200 million to</w:t>
      </w:r>
    </w:p>
    <w:p>
      <w:pPr>
        <w:spacing w:after="0" w:line="35"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auto"/>
        </w:rPr>
        <w:t>$300 million and the maturity date was extended to March 31, 2025. Borrowings bear interest at an annual rate equal to, at our option, either (i) LIBOR plus the applicable margin ranging from 1.35% to 1.90%, dependent upon our funded debt to total asset value ratio (as defined in the Credit Agreement) or (ii) a base rate as set forth in the Credit Agreement. Pursuant to the Amendments, beginning April 1, 2021 through the end of the Restricted Period, the interest rate on LIBOR-based borrowings under the Term Loan A will be LIBOR plus 2.25%. Amounts borrowed under the Term Loan A that are repaid or prepaid may not be reborrowed.</w:t>
      </w:r>
    </w:p>
    <w:p>
      <w:pPr>
        <w:spacing w:after="0" w:line="153"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i w:val="1"/>
          <w:iCs w:val="1"/>
          <w:color w:val="auto"/>
        </w:rPr>
        <w:t xml:space="preserve">Term Loan B Facility. </w:t>
      </w:r>
      <w:r>
        <w:rPr>
          <w:rFonts w:ascii="Arial" w:cs="Arial" w:eastAsia="Arial" w:hAnsi="Arial"/>
          <w:sz w:val="16"/>
          <w:szCs w:val="16"/>
          <w:color w:val="auto"/>
        </w:rPr>
        <w:t>The Term Loan B has a maturity date of May 11, 2024. The applicable interest rate margins for</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under the Term Loan B are, at our option, either (i) LIBOR plus 2.00% or (ii) a base rate as set forth in the Credit Agreement. At June 30, 2021,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w:t>
      </w:r>
    </w:p>
    <w:p>
      <w:pPr>
        <w:spacing w:after="0" w:line="2" w:lineRule="exact"/>
        <w:rPr>
          <w:sz w:val="20"/>
          <w:szCs w:val="20"/>
          <w:color w:val="auto"/>
        </w:rPr>
      </w:pPr>
    </w:p>
    <w:p>
      <w:pPr>
        <w:jc w:val="both"/>
        <w:ind w:left="60" w:right="379"/>
        <w:spacing w:after="0" w:line="255" w:lineRule="auto"/>
        <w:rPr>
          <w:sz w:val="20"/>
          <w:szCs w:val="20"/>
          <w:color w:val="auto"/>
        </w:rPr>
      </w:pPr>
      <w:r>
        <w:rPr>
          <w:rFonts w:ascii="Arial" w:cs="Arial" w:eastAsia="Arial" w:hAnsi="Arial"/>
          <w:sz w:val="18"/>
          <w:szCs w:val="18"/>
          <w:color w:val="auto"/>
        </w:rPr>
        <w:t>fiscal year, there is Excess Cash Flow (as defined in the Credit Agreement), an additional principal amount is required. Amounts borrowed under the Term Loan B that are repaid or prepaid may not be reborrowed. At June 30, 2021, $378.8 million in borrowings were outstanding under the Term Loan B.</w:t>
      </w:r>
    </w:p>
    <w:p>
      <w:pPr>
        <w:spacing w:after="0" w:line="163"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w:t>
      </w:r>
    </w:p>
    <w:p>
      <w:pPr>
        <w:spacing w:after="0" w:line="4"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4.75% Senior Notes are general unsecured and unsubordinated obligations of the issuing subsidiaries and rank equal in right of payment with such subsidiaries’ existing and future senior unsecured indebtedness, including the $400 Million 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32"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4.75% Senior Notes”). All other terms and conditions of the additional 2027 notes are identical to the $500 Million 4.75% Senior Notes.</w:t>
      </w:r>
    </w:p>
    <w:p>
      <w:pPr>
        <w:spacing w:after="0" w:line="185" w:lineRule="exact"/>
        <w:rPr>
          <w:sz w:val="20"/>
          <w:szCs w:val="20"/>
          <w:color w:val="auto"/>
        </w:rPr>
      </w:pPr>
    </w:p>
    <w:p>
      <w:pPr>
        <w:jc w:val="both"/>
        <w:ind w:left="60" w:right="479"/>
        <w:spacing w:after="0" w:line="311" w:lineRule="auto"/>
        <w:rPr>
          <w:sz w:val="20"/>
          <w:szCs w:val="20"/>
          <w:color w:val="auto"/>
        </w:rPr>
      </w:pPr>
      <w:r>
        <w:rPr>
          <w:rFonts w:ascii="Arial" w:cs="Arial" w:eastAsia="Arial" w:hAnsi="Arial"/>
          <w:sz w:val="16"/>
          <w:szCs w:val="16"/>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color w:val="auto"/>
        </w:rPr>
        <w:t>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5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right="219"/>
        <w:spacing w:after="0" w:line="285" w:lineRule="auto"/>
        <w:rPr>
          <w:sz w:val="20"/>
          <w:szCs w:val="20"/>
          <w:color w:val="auto"/>
        </w:rPr>
      </w:pPr>
      <w:r>
        <w:rPr>
          <w:rFonts w:ascii="Arial" w:cs="Arial" w:eastAsia="Arial" w:hAnsi="Arial"/>
          <w:sz w:val="16"/>
          <w:szCs w:val="16"/>
          <w:i w:val="1"/>
          <w:iCs w:val="1"/>
          <w:color w:val="auto"/>
        </w:rPr>
        <w:t>$600 Million 4.50% Senior Notes</w:t>
      </w:r>
      <w:r>
        <w:rPr>
          <w:rFonts w:ascii="Arial" w:cs="Arial" w:eastAsia="Arial" w:hAnsi="Arial"/>
          <w:sz w:val="16"/>
          <w:szCs w:val="16"/>
          <w:color w:val="auto"/>
        </w:rPr>
        <w:t>. On February 17, 2021,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w:t>
      </w:r>
    </w:p>
    <w:p>
      <w:pPr>
        <w:spacing w:after="0" w:line="2" w:lineRule="exact"/>
        <w:rPr>
          <w:sz w:val="20"/>
          <w:szCs w:val="20"/>
          <w:color w:val="auto"/>
        </w:rPr>
      </w:pPr>
    </w:p>
    <w:p>
      <w:pPr>
        <w:ind w:left="60" w:right="139"/>
        <w:spacing w:after="0" w:line="267" w:lineRule="auto"/>
        <w:rPr>
          <w:sz w:val="20"/>
          <w:szCs w:val="20"/>
          <w:color w:val="auto"/>
        </w:rPr>
      </w:pPr>
      <w:r>
        <w:rPr>
          <w:rFonts w:ascii="Arial" w:cs="Arial" w:eastAsia="Arial" w:hAnsi="Arial"/>
          <w:sz w:val="17"/>
          <w:szCs w:val="17"/>
          <w:color w:val="auto"/>
        </w:rPr>
        <w:t>4.50% per annum, payable semi-annually in cash in arrears on February 15 and August 15 each year, beginning on August 15, 2021. The $600 Million 4.50% Senior Notes are general unsecured and unsubordinated obligations of the issuing subsidiaries and rank equal in right of payment with such subsidiaries’ existing and future senior unsecured indebtedness, including the $700 Million 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5" w:lineRule="exact"/>
        <w:rPr>
          <w:sz w:val="20"/>
          <w:szCs w:val="20"/>
          <w:color w:val="auto"/>
        </w:rPr>
      </w:pPr>
    </w:p>
    <w:p>
      <w:pPr>
        <w:jc w:val="both"/>
        <w:ind w:left="60" w:right="459"/>
        <w:spacing w:after="0" w:line="279" w:lineRule="auto"/>
        <w:rPr>
          <w:sz w:val="20"/>
          <w:szCs w:val="20"/>
          <w:color w:val="auto"/>
        </w:rPr>
      </w:pPr>
      <w:r>
        <w:rPr>
          <w:rFonts w:ascii="Arial" w:cs="Arial" w:eastAsia="Arial" w:hAnsi="Arial"/>
          <w:sz w:val="17"/>
          <w:szCs w:val="17"/>
          <w:color w:val="auto"/>
        </w:rPr>
        <w:t>The net proceeds from the issuance of the $600 Million 4.50% Senior Notes totaled approximately $591 million, after deducting the initial purchasers’ discounts, commissions and offering expenses. We used a significant portion of these proceeds to tender and redeem our previous $400 Million 5% Senior Notes, as discussed below, and to repay all of the amounts outstanding under the Revolver and for general corporate purposes.</w:t>
      </w:r>
    </w:p>
    <w:p>
      <w:pPr>
        <w:spacing w:after="0" w:line="144"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i w:val="1"/>
          <w:iCs w:val="1"/>
          <w:color w:val="auto"/>
        </w:rPr>
        <w:t xml:space="preserve">Tender for and Redemption of $400 Million 5% Senior Notes. </w:t>
      </w:r>
      <w:r>
        <w:rPr>
          <w:rFonts w:ascii="Arial" w:cs="Arial" w:eastAsia="Arial" w:hAnsi="Arial"/>
          <w:sz w:val="18"/>
          <w:szCs w:val="18"/>
          <w:color w:val="auto"/>
        </w:rPr>
        <w:t>In 2015, the Operating Partnership and Finco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placement of $400.0 million in aggregate principal amount of senior notes due 2023.</w:t>
      </w:r>
    </w:p>
    <w:p>
      <w:pPr>
        <w:spacing w:after="0" w:line="130"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On February 9, 2021, we commenced a cash tender offer for any and all outstanding $400 Million 5% Senior Notes at a redemption price of $1,005.00 per $1,000 principal amount. Pursuant to the tender offer, $161.9 million aggregate principal amount of the $400 Million 5% Senior Notes were validly tendered. We used a portion of the proceeds from the issuance of the $600 Million 4.50% Senior Notes to fund the tender offer. In accordance with the indenture governing the $400 Million 5% Senior Notes, subsequent to the expiration of the tender offer, on February 17, 2021, we gave irrevocable notice of the redemption of all remaining $400 Million 5% Senior Notes not tendered in the tender offer and irrevocably deposited with the trustee for the $400 Million 5% Senior Notes an amount sufficient to pay the redemption price of the $400 Million 5% Senior Notes called for redemption at that date, including interest through April 15, 2021. The redemption and cancellation of the $400 Million 5% Senior Notes was completed on April 15, 2021. We used a portion of the proceeds from the issuance of the $600 Million 4.50% Senior Notes to fund the redemption.</w:t>
      </w:r>
    </w:p>
    <w:p>
      <w:pPr>
        <w:spacing w:after="0" w:line="141"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i w:val="1"/>
          <w:iCs w:val="1"/>
          <w:color w:val="auto"/>
        </w:rPr>
        <w:t>$800 Million Term Loan (Gaylord Rockies)</w:t>
      </w:r>
      <w:r>
        <w:rPr>
          <w:rFonts w:ascii="Arial" w:cs="Arial" w:eastAsia="Arial" w:hAnsi="Arial"/>
          <w:sz w:val="17"/>
          <w:szCs w:val="17"/>
          <w:color w:val="auto"/>
        </w:rPr>
        <w:t>. On July 2, 2019, Aurora Convention Center Hotel, LLC (“Hotel Owner”) and</w:t>
      </w:r>
      <w:r>
        <w:rPr>
          <w:rFonts w:ascii="Arial" w:cs="Arial" w:eastAsia="Arial" w:hAnsi="Arial"/>
          <w:sz w:val="17"/>
          <w:szCs w:val="17"/>
          <w:i w:val="1"/>
          <w:iCs w:val="1"/>
          <w:color w:val="auto"/>
        </w:rPr>
        <w:t xml:space="preserve"> </w:t>
      </w:r>
      <w:r>
        <w:rPr>
          <w:rFonts w:ascii="Arial" w:cs="Arial" w:eastAsia="Arial" w:hAnsi="Arial"/>
          <w:sz w:val="17"/>
          <w:szCs w:val="17"/>
          <w:color w:val="auto"/>
        </w:rPr>
        <w:t>Aurora Convention Center Hotel Lessee, LLC (“Tenant” and collectively, with Hotel Owner, the “Loan Parties”), subsidiaries of the entities that comprised the Gaylord Rockies joint venture, entered into a Second Amended and Restated Loan Agreement (the “Gaylord Rockies Loan”) with Wells Fargo Bank, National Association, as administrative agent, which refinanced the Gaylord Rockies joint venture’s existing $500 million construction loan and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$39 million mezzanine loan, which were scheduled to mature in December 2019. The Gaylord Rockies Loan consists of an $800.0 million secured term loan facility and also includes the option for an additional $80.0 million of borrowing capacity should we pursue an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6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Gaylord Rockies Loan is secured by a deed of trust lien on the Gaylord Rockies real estate and related assets. We have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pacing w:after="0" w:line="184" w:lineRule="exact"/>
        <w:rPr>
          <w:sz w:val="20"/>
          <w:szCs w:val="20"/>
          <w:color w:val="auto"/>
        </w:rPr>
      </w:pPr>
    </w:p>
    <w:p>
      <w:pPr>
        <w:jc w:val="both"/>
        <w:ind w:left="60" w:right="339"/>
        <w:spacing w:after="0" w:line="279" w:lineRule="auto"/>
        <w:rPr>
          <w:sz w:val="20"/>
          <w:szCs w:val="20"/>
          <w:color w:val="auto"/>
        </w:rPr>
      </w:pPr>
      <w:r>
        <w:rPr>
          <w:rFonts w:ascii="Arial" w:cs="Arial" w:eastAsia="Arial" w:hAnsi="Arial"/>
          <w:sz w:val="17"/>
          <w:szCs w:val="17"/>
          <w:color w:val="auto"/>
        </w:rPr>
        <w:t>The Loan Amendment modified the Gaylord Rockies Loan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pacing w:after="0" w:line="171" w:lineRule="exact"/>
        <w:rPr>
          <w:sz w:val="20"/>
          <w:szCs w:val="20"/>
          <w:color w:val="auto"/>
        </w:rPr>
      </w:pPr>
    </w:p>
    <w:p>
      <w:pPr>
        <w:jc w:val="both"/>
        <w:ind w:left="60" w:right="339"/>
        <w:spacing w:after="0" w:line="277" w:lineRule="auto"/>
        <w:rPr>
          <w:sz w:val="20"/>
          <w:szCs w:val="20"/>
          <w:color w:val="auto"/>
        </w:rPr>
      </w:pPr>
      <w:r>
        <w:rPr>
          <w:rFonts w:ascii="Arial" w:cs="Arial" w:eastAsia="Arial" w:hAnsi="Arial"/>
          <w:sz w:val="18"/>
          <w:szCs w:val="18"/>
          <w:color w:val="auto"/>
        </w:rPr>
        <w:t>The Loan Amendment includes restrictions on distributions to our subsidiaries that own Gaylord Rockies and requires a certain level of equity financing for a Gaylord Rockies expansion.</w:t>
      </w:r>
    </w:p>
    <w:p>
      <w:pPr>
        <w:spacing w:after="0" w:line="170"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i w:val="1"/>
          <w:iCs w:val="1"/>
          <w:color w:val="auto"/>
        </w:rPr>
        <w:t>Additional Debt Limitations</w:t>
      </w:r>
      <w:r>
        <w:rPr>
          <w:rFonts w:ascii="Arial" w:cs="Arial" w:eastAsia="Arial" w:hAnsi="Arial"/>
          <w:sz w:val="16"/>
          <w:szCs w:val="16"/>
          <w:color w:val="auto"/>
        </w:rPr>
        <w:t>. Pursuant to the terms of the management agreements and pooling agreement with Marriott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Gaylord Hotels properties, excluding Gaylord Rockies, we are subject to certain debt limitations described below.</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29"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w:t>
      </w:r>
    </w:p>
    <w:p>
      <w:pPr>
        <w:spacing w:after="0" w:line="34" w:lineRule="exact"/>
        <w:rPr>
          <w:rFonts w:ascii="Arial" w:cs="Arial" w:eastAsia="Arial" w:hAnsi="Arial"/>
          <w:sz w:val="17"/>
          <w:szCs w:val="17"/>
          <w:color w:val="auto"/>
        </w:rPr>
      </w:pPr>
    </w:p>
    <w:p>
      <w:pPr>
        <w:ind w:left="720" w:right="279"/>
        <w:spacing w:after="0" w:line="260" w:lineRule="auto"/>
        <w:rPr>
          <w:rFonts w:ascii="Arial" w:cs="Arial" w:eastAsia="Arial" w:hAnsi="Arial"/>
          <w:sz w:val="17"/>
          <w:szCs w:val="17"/>
          <w:color w:val="auto"/>
        </w:rPr>
      </w:pPr>
      <w:r>
        <w:rPr>
          <w:rFonts w:ascii="Arial" w:cs="Arial" w:eastAsia="Arial" w:hAnsi="Arial"/>
          <w:sz w:val="18"/>
          <w:szCs w:val="18"/>
          <w:color w:val="auto"/>
        </w:rPr>
        <w:t>12 months prior to closing on any mortgage or mezzanine debt to (b) annual debt service for the Pooled Hotels, shall equal or exceed 1.2:1.</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is not a Pooled Hotel for this purpose.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Estimated Interest on Principal Debt Agreements</w:t>
      </w:r>
    </w:p>
    <w:p>
      <w:pPr>
        <w:spacing w:after="0" w:line="198"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Based on the stated interest rates on our fixed-rate debt and the rates in effect at June 30, 2021 for our variable-rate debt after considering interest rate swaps, our estimated interest obligations through 2025 are $399.9 million. These estimated obligations are $59.2 million for the remainder of 2021, $115.2 million in 2022, $90.0 million in 2023, $72.1 million in 2024, and $63.4 million in 2025.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2020 for a discussion of the interest we paid during 2020, 2019 and 2018.</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185"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The Company’s $600 Million 4.50%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$600 Million 4.50% Senior Notes and $700 Million 4.75% Senior Notes, and the guarantees are structurally subordinated to all indebtedness and other obligations of such subsidiaries that have not guaranteed the Company’s $600 Million 4.50% Senior Notes and $700 Million 4.75% Senior Notes.</w:t>
      </w:r>
    </w:p>
    <w:p>
      <w:pPr>
        <w:spacing w:after="0" w:line="141" w:lineRule="exact"/>
        <w:rPr>
          <w:sz w:val="20"/>
          <w:szCs w:val="20"/>
          <w:color w:val="auto"/>
        </w:rPr>
      </w:pPr>
    </w:p>
    <w:p>
      <w:pPr>
        <w:ind w:left="60" w:right="59"/>
        <w:spacing w:after="0" w:line="286" w:lineRule="auto"/>
        <w:rPr>
          <w:sz w:val="20"/>
          <w:szCs w:val="20"/>
          <w:color w:val="auto"/>
        </w:rPr>
      </w:pPr>
      <w:r>
        <w:rPr>
          <w:rFonts w:ascii="Arial" w:cs="Arial" w:eastAsia="Arial" w:hAnsi="Arial"/>
          <w:sz w:val="17"/>
          <w:szCs w:val="17"/>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1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74"/>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receivables due from non-guarantor subsidiaries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525,483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1,638,293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2,163,776</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2,320,765</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Total noncontrolling interest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12,201</w:t>
            </w:r>
          </w:p>
        </w:tc>
        <w:tc>
          <w:tcPr>
            <w:tcW w:w="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2"/>
              </w:rPr>
              <w:t>June 30, 2021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third-parties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Revenues from non-guarantor subsidiaries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56,555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Operating expenses (excluding expenses to non-guarantor subsidiaries)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56,593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Expenses to non-guarantor subsidiaries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5,737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(5,519)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(45,090)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stockholders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(43,861)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credit losses on financial assets, stock-based compensation, derivative financial instruments, depreciation and amortization, income taxes, pension plans, acquisitions and purchase price allocations, and legal contingencies, require that we apply significant judgment in defining the appropriate assumptions for calculating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2020. There were no newly identified critical accounting policies in the first six months of 2021, nor were there any material changes to the critical accounting policies and estimates discussed in our Annual Report on Form 10-K for the year ended December 31, 2020.</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There have been no material changes in our quantitative and qualitative market risks since December 31, 2020. For a discussion of the Company’s exposure to market risk, refer to the Company’s market risk disclosures set forth in Part II, Item 7A. “Quantitative and Qualitative Disclosures About Market Risk” of the Company’s Annual Report on Form 10-K for the year ended December 31,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28"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Except as otherwise described herein, there have been no material changes from the risk factors disclosed in Part I, Item 1A, “Risk Factors,” of our Annual Report on Form 10-K for the fiscal year ended December 31, 2020.</w:t>
      </w:r>
    </w:p>
    <w:p>
      <w:pPr>
        <w:spacing w:after="0" w:line="10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Any replacement of LIBOR as the basis on which interest on our variable-rate debt is calculated may harm our financial results, profitability and cash flows</w:t>
      </w:r>
      <w:r>
        <w:rPr>
          <w:rFonts w:ascii="Arial" w:cs="Arial" w:eastAsia="Arial" w:hAnsi="Arial"/>
          <w:sz w:val="18"/>
          <w:szCs w:val="18"/>
          <w:b w:val="1"/>
          <w:bCs w:val="1"/>
          <w:color w:val="auto"/>
        </w:rPr>
        <w:t>.</w:t>
      </w:r>
    </w:p>
    <w:p>
      <w:pPr>
        <w:spacing w:after="0" w:line="130" w:lineRule="exact"/>
        <w:rPr>
          <w:sz w:val="20"/>
          <w:szCs w:val="20"/>
          <w:color w:val="auto"/>
        </w:rPr>
      </w:pPr>
    </w:p>
    <w:p>
      <w:pPr>
        <w:jc w:val="both"/>
        <w:ind w:left="60" w:right="99"/>
        <w:spacing w:after="0" w:line="277" w:lineRule="auto"/>
        <w:rPr>
          <w:sz w:val="20"/>
          <w:szCs w:val="20"/>
          <w:color w:val="auto"/>
        </w:rPr>
      </w:pPr>
      <w:r>
        <w:rPr>
          <w:rFonts w:ascii="Arial" w:cs="Arial" w:eastAsia="Arial" w:hAnsi="Arial"/>
          <w:sz w:val="18"/>
          <w:szCs w:val="18"/>
          <w:color w:val="auto"/>
        </w:rPr>
        <w:t>At June 30, 2021, we had $1.7 billion of variable interest rate debt that was indexed to the London Inter-Bank Offered Rate (“LIBOR”), a portion of which are subject to interest rate swap agreements.</w:t>
      </w:r>
    </w:p>
    <w:p>
      <w:pPr>
        <w:spacing w:after="0" w:line="143"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On July 27, 2017, the United Kingdom’s Financial Conduct Authority (“FCA”), which regulates LIBOR, announced that it intends to stop persuading or compelling banks to submit LIBOR quotations after 2021 (the “2017 FCA Announcement”). The 2017 FCA Announcement indicates that the continuation of LIBOR on the current basis cannot and will not be assured after 2021, and LIBOR may cease to exist or otherwise be unsuitable for use as a benchmark.</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On March 5, 2021, the FCA announced that USD LIBOR will no longer be published after June 30, 2023. This announcement has several implications, including setting spread adjustments that may be used to convert contracts automatically from LIBOR to the Secured Overnight Financing Rate (“SOFR”). Additionally, banking regulators are encouraging banks to discontinue new LIBOR debt issuances by December 31, 2021. While we currently expect LIBOR to be available in substantially its current form until June 30, 2023, it is possible that LIBOR will become unavailable prior to that date. This could result, for example, if an insufficient number of banks continue to make submissions to the LIBOR administrator, or if regulatory considerations prompt holders of our variable interest rate debt to make an earlier transition.</w:t>
      </w:r>
    </w:p>
    <w:p>
      <w:pPr>
        <w:spacing w:after="0" w:line="139"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LIBOR reform proposals may result in the establishment of new methods for calculating LIBOR or the establishment of one or more alternative benchmark rates (including SOFR plus the applicable spread adjustment). Although the agreements governing our indebtedness provide for successor base rates, as applicable, the successor base rates may not be related to LIBOR, and the consequences of any potential cessation, modification or other reform of LIBOR cannot be predicted at this time. If LIBOR ceases to be usable as an interest rate benchmark, we may need to amend the agreements governing our indebtedness, and we cannot predict what alternative interest rate(s) will be negotiated with our counterparties. As a result, our interest expense may increase, our ability to refinance some or all of our existing indebtedness and/or interest rate swaps may be impacted and our available cash flow may be adversely affected.</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Exhibit Number</w:t>
            </w:r>
          </w:p>
        </w:tc>
        <w:tc>
          <w:tcPr>
            <w:tcW w:w="2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14"/>
          </w:tcPr>
          <w:p>
            <w:pPr>
              <w:ind w:left="280"/>
              <w:spacing w:after="0"/>
              <w:rPr>
                <w:sz w:val="20"/>
                <w:szCs w:val="20"/>
                <w:color w:val="auto"/>
              </w:rPr>
            </w:pPr>
            <w:r>
              <w:rPr>
                <w:rFonts w:ascii="Arial" w:cs="Arial" w:eastAsia="Arial" w:hAnsi="Arial"/>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6420" w:type="dxa"/>
            <w:vAlign w:val="bottom"/>
            <w:tcBorders>
              <w:bottom w:val="single" w:sz="8" w:color="0000EE"/>
            </w:tcBorders>
            <w:gridSpan w:val="6"/>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Amended and Restated Certificate of Incorporation of Ryman Hospitality Properties, Inc.</w:t>
              </w:r>
            </w:hyperlink>
          </w:p>
        </w:tc>
        <w:tc>
          <w:tcPr>
            <w:tcW w:w="100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October 1, 2012).</w:t>
              </w:r>
            </w:hyperlink>
          </w:p>
        </w:tc>
        <w:tc>
          <w:tcPr>
            <w:tcW w:w="5460" w:type="dxa"/>
            <w:vAlign w:val="bottom"/>
            <w:tcBorders>
              <w:top w:val="single" w:sz="8" w:color="0000EE"/>
            </w:tcBorders>
            <w:gridSpan w:val="7"/>
          </w:tcPr>
          <w:p>
            <w:pPr>
              <w:spacing w:after="0"/>
              <w:rPr>
                <w:sz w:val="17"/>
                <w:szCs w:val="17"/>
                <w:color w:val="auto"/>
              </w:rPr>
            </w:pPr>
          </w:p>
        </w:tc>
        <w:tc>
          <w:tcPr>
            <w:tcW w:w="700" w:type="dxa"/>
            <w:vAlign w:val="bottom"/>
            <w:gridSpan w:val="9"/>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7120" w:type="dxa"/>
            <w:vAlign w:val="bottom"/>
            <w:tcBorders>
              <w:bottom w:val="single" w:sz="8" w:color="0000EE"/>
            </w:tcBorders>
            <w:gridSpan w:val="12"/>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Amended and Restated Bylaws of Ryman Hospitality Properties, Inc. (incorporated by reference to</w:t>
              </w:r>
            </w:hyperlink>
          </w:p>
        </w:tc>
        <w:tc>
          <w:tcPr>
            <w:tcW w:w="30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Exhibit 3.2 to the Company’s Current Report on Form 8-K filed October 1, 2012).</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6700" w:type="dxa"/>
            <w:vAlign w:val="bottom"/>
            <w:tcBorders>
              <w:bottom w:val="single" w:sz="8" w:color="0000EE"/>
            </w:tcBorders>
            <w:gridSpan w:val="7"/>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ATM Equity Distribution Agreement, dated May 27, 2021, by and among Ryman Hospitality</w:t>
              </w:r>
            </w:hyperlink>
          </w:p>
        </w:tc>
        <w:tc>
          <w:tcPr>
            <w:tcW w:w="720" w:type="dxa"/>
            <w:vAlign w:val="bottom"/>
            <w:gridSpan w:val="10"/>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58">
              <w:r>
                <w:rPr>
                  <w:rFonts w:ascii="Arial" w:cs="Arial" w:eastAsia="Arial" w:hAnsi="Arial"/>
                  <w:sz w:val="18"/>
                  <w:szCs w:val="18"/>
                  <w:color w:val="0000EE"/>
                  <w:w w:val="89"/>
                </w:rPr>
                <w:t>Properties, Inc. and the sales agents named therein (incorporated by reference to Exhibit 1.1 to the</w:t>
              </w:r>
            </w:hyperlink>
          </w:p>
        </w:tc>
        <w:tc>
          <w:tcPr>
            <w:tcW w:w="36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Company’s Current Report on Form 8-K filed May 27, 2021).</w:t>
              </w:r>
            </w:hyperlink>
          </w:p>
        </w:tc>
        <w:tc>
          <w:tcPr>
            <w:tcW w:w="2960" w:type="dxa"/>
            <w:vAlign w:val="bottom"/>
            <w:gridSpan w:val="13"/>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72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Amendment No. 2 to Second Amended and Restated Loan Agreement and Modification to Guaranty,</w:t>
              </w:r>
            </w:hyperlink>
          </w:p>
        </w:tc>
        <w:tc>
          <w:tcPr>
            <w:tcW w:w="14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dated as of May 7, 2021, by and among Aurora Convention Center Hotel, LLC, Aurora Convention</w:t>
              </w:r>
            </w:hyperlink>
          </w:p>
        </w:tc>
        <w:tc>
          <w:tcPr>
            <w:tcW w:w="26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Center Hotel Lessee, LLC, Wells Fargo Bank National Association, as administrative agent, and the</w:t>
              </w:r>
            </w:hyperlink>
          </w:p>
        </w:tc>
        <w:tc>
          <w:tcPr>
            <w:tcW w:w="18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lenders from time to time party thereto.</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7420" w:type="dxa"/>
            <w:vAlign w:val="bottom"/>
            <w:gridSpan w:val="17"/>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Purchase Agreement (Joint Venture Interests), dated April 30, 2021, by and among RHPAHO, LLC</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4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and RHPAHP, LLC, as purchasers, and Aurora Convention Center Hotel Partners, LLC and RIDA</w:t>
              </w:r>
            </w:hyperlink>
          </w:p>
        </w:tc>
        <w:tc>
          <w:tcPr>
            <w:tcW w:w="28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Aurora 2018 Acquisition, LLC, as sellers.</w:t>
              </w:r>
            </w:hyperlink>
          </w:p>
        </w:tc>
        <w:tc>
          <w:tcPr>
            <w:tcW w:w="360" w:type="dxa"/>
            <w:vAlign w:val="bottom"/>
            <w:gridSpan w:val="6"/>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67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Amendment No. 3 to Sixth Amended Credit Agreement, dated April 30, 2021, among Ryman</w:t>
              </w:r>
            </w:hyperlink>
          </w:p>
        </w:tc>
        <w:tc>
          <w:tcPr>
            <w:tcW w:w="68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Hospitality Properties, Inc., as a guarantor, RHP Hotel Properties, LP, as borrower, certain other</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880" w:type="dxa"/>
            <w:vAlign w:val="bottom"/>
            <w:gridSpan w:val="10"/>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subsidiaries of Ryman Hospitality Properties, Inc. party thereto, as guarantors, certain subsidiaries of</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 w:lineRule="exact"/>
        <w:rPr>
          <w:sz w:val="20"/>
          <w:szCs w:val="20"/>
          <w:color w:val="auto"/>
        </w:rPr>
      </w:pPr>
    </w:p>
    <w:p>
      <w:pPr>
        <w:ind w:left="1520" w:right="79"/>
        <w:spacing w:after="0" w:line="277" w:lineRule="auto"/>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Ryman Hospitality Properties, Inc. party thereto, as pledgors, the lenders party thereto and Wells Fargo</w:t>
        </w:r>
      </w:hyperlink>
      <w:r>
        <w:rPr>
          <w:rFonts w:ascii="Arial" w:cs="Arial" w:eastAsia="Arial" w:hAnsi="Arial"/>
          <w:sz w:val="18"/>
          <w:szCs w:val="18"/>
          <w:u w:val="single" w:color="auto"/>
          <w:color w:val="0000EE"/>
        </w:rPr>
        <w:t xml:space="preserve"> </w:t>
      </w:r>
      <w:hyperlink w:anchor="page90">
        <w:r>
          <w:rPr>
            <w:rFonts w:ascii="Arial" w:cs="Arial" w:eastAsia="Arial" w:hAnsi="Arial"/>
            <w:sz w:val="18"/>
            <w:szCs w:val="18"/>
            <w:u w:val="single" w:color="auto"/>
            <w:color w:val="0000EE"/>
          </w:rPr>
          <w:t>Bank National Association, as administrative agent.</w:t>
        </w:r>
      </w:hyperlink>
    </w:p>
    <w:p>
      <w:pPr>
        <w:spacing w:after="0" w:line="170" w:lineRule="exact"/>
        <w:rPr>
          <w:sz w:val="20"/>
          <w:szCs w:val="20"/>
          <w:color w:val="auto"/>
        </w:rPr>
      </w:pPr>
    </w:p>
    <w:p>
      <w:pPr>
        <w:ind w:left="1520" w:right="299" w:hanging="978"/>
        <w:spacing w:after="0" w:line="342" w:lineRule="auto"/>
        <w:tabs>
          <w:tab w:leader="none" w:pos="1520" w:val="left"/>
        </w:tabs>
        <w:numPr>
          <w:ilvl w:val="0"/>
          <w:numId w:val="26"/>
        </w:numPr>
        <w:rPr>
          <w:rFonts w:ascii="Arial" w:cs="Arial" w:eastAsia="Arial" w:hAnsi="Arial"/>
          <w:sz w:val="16"/>
          <w:szCs w:val="16"/>
          <w:u w:val="single" w:color="auto"/>
          <w:color w:val="0000EE"/>
        </w:rPr>
      </w:pPr>
      <w:hyperlink r:id="rId59">
        <w:r>
          <w:rPr>
            <w:rFonts w:ascii="Arial" w:cs="Arial" w:eastAsia="Arial" w:hAnsi="Arial"/>
            <w:sz w:val="16"/>
            <w:szCs w:val="16"/>
            <w:u w:val="single" w:color="auto"/>
            <w:color w:val="0000EE"/>
          </w:rPr>
          <w:t>List of Parent and Subsidiary Guarantors (incorporated by reference to Exhibit 22 to the Company’s</w:t>
        </w:r>
      </w:hyperlink>
      <w:r>
        <w:rPr>
          <w:rFonts w:ascii="Arial" w:cs="Arial" w:eastAsia="Arial" w:hAnsi="Arial"/>
          <w:sz w:val="16"/>
          <w:szCs w:val="16"/>
          <w:u w:val="single" w:color="auto"/>
          <w:color w:val="0000EE"/>
        </w:rPr>
        <w:t xml:space="preserve"> </w:t>
      </w:r>
      <w:hyperlink r:id="rId59">
        <w:r>
          <w:rPr>
            <w:rFonts w:ascii="Arial" w:cs="Arial" w:eastAsia="Arial" w:hAnsi="Arial"/>
            <w:sz w:val="16"/>
            <w:szCs w:val="16"/>
            <w:u w:val="single" w:color="auto"/>
            <w:color w:val="0000EE"/>
          </w:rPr>
          <w:t>Quarterly Report on Form 10-Q for the quarter ended March 31, 2021, filed May 4, 2021).</w:t>
        </w:r>
      </w:hyperlink>
    </w:p>
    <w:p>
      <w:pPr>
        <w:spacing w:after="0" w:line="106" w:lineRule="exact"/>
        <w:rPr>
          <w:rFonts w:ascii="Arial" w:cs="Arial" w:eastAsia="Arial" w:hAnsi="Arial"/>
          <w:sz w:val="16"/>
          <w:szCs w:val="16"/>
          <w:color w:val="auto"/>
        </w:rPr>
      </w:pPr>
    </w:p>
    <w:tbl>
      <w:tblPr>
        <w:tblLayout w:type="fixed"/>
        <w:tblInd w:w="5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62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Certification of Colin V. Reed pursuant to Section 302 of Sarbanes-Oxley Act of 2002.</w:t>
              </w:r>
            </w:hyperlink>
          </w:p>
        </w:tc>
        <w:tc>
          <w:tcPr>
            <w:tcW w:w="1160" w:type="dxa"/>
            <w:vAlign w:val="bottom"/>
            <w:gridSpan w:val="3"/>
          </w:tcPr>
          <w:p>
            <w:pPr>
              <w:spacing w:after="0"/>
              <w:rPr>
                <w:sz w:val="18"/>
                <w:szCs w:val="18"/>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64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10">
              <w:r>
                <w:rPr>
                  <w:rFonts w:ascii="Arial" w:cs="Arial" w:eastAsia="Arial" w:hAnsi="Arial"/>
                  <w:sz w:val="18"/>
                  <w:szCs w:val="18"/>
                  <w:color w:val="0000EE"/>
                  <w:w w:val="92"/>
                </w:rPr>
                <w:t>Certification of Mark Fioravanti pursuant to Section 302 of Sarbanes-Oxley Act of 2002.</w:t>
              </w:r>
            </w:hyperlink>
          </w:p>
        </w:tc>
        <w:tc>
          <w:tcPr>
            <w:tcW w:w="100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7420" w:type="dxa"/>
            <w:vAlign w:val="bottom"/>
            <w:gridSpan w:val="5"/>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Certification of Colin V. Reed and Mark Fioravanti pursuant to 18 U.S.C. Section 1350, as adopted</w:t>
              </w:r>
            </w:hyperlink>
          </w:p>
        </w:tc>
      </w:tr>
      <w:tr>
        <w:trPr>
          <w:trHeight w:val="196"/>
        </w:trPr>
        <w:tc>
          <w:tcPr>
            <w:tcW w:w="980" w:type="dxa"/>
            <w:vAlign w:val="bottom"/>
          </w:tcPr>
          <w:p>
            <w:pPr>
              <w:spacing w:after="0"/>
              <w:rPr>
                <w:sz w:val="17"/>
                <w:szCs w:val="17"/>
                <w:color w:val="auto"/>
              </w:rPr>
            </w:pPr>
          </w:p>
        </w:tc>
        <w:tc>
          <w:tcPr>
            <w:tcW w:w="7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pursuant to Section 906 of Sarbanes-Oxley Act of 2002.</w:t>
              </w:r>
            </w:hyperlink>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438"/>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7420" w:type="dxa"/>
            <w:vAlign w:val="bottom"/>
            <w:gridSpan w:val="5"/>
          </w:tcPr>
          <w:p>
            <w:pPr>
              <w:spacing w:after="0"/>
              <w:rPr>
                <w:sz w:val="20"/>
                <w:szCs w:val="20"/>
                <w:color w:val="auto"/>
              </w:rPr>
            </w:pPr>
            <w:r>
              <w:rPr>
                <w:rFonts w:ascii="Arial" w:cs="Arial" w:eastAsia="Arial" w:hAnsi="Arial"/>
                <w:sz w:val="18"/>
                <w:szCs w:val="18"/>
                <w:color w:val="auto"/>
                <w:w w:val="93"/>
              </w:rPr>
              <w:t>The following materials from Ryman Hospitality Properties, Inc.’s Quarterly Report on Form 10-Q for</w:t>
            </w:r>
          </w:p>
        </w:tc>
      </w:tr>
      <w:tr>
        <w:trPr>
          <w:trHeight w:val="216"/>
        </w:trPr>
        <w:tc>
          <w:tcPr>
            <w:tcW w:w="980" w:type="dxa"/>
            <w:vAlign w:val="bottom"/>
          </w:tcPr>
          <w:p>
            <w:pPr>
              <w:spacing w:after="0"/>
              <w:rPr>
                <w:sz w:val="18"/>
                <w:szCs w:val="18"/>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w w:val="93"/>
              </w:rPr>
              <w:t>the quarterly period ended June 30, 2021, formatted in Inline XBRL (eXtensible Business Reporting</w:t>
            </w:r>
          </w:p>
        </w:tc>
      </w:tr>
      <w:tr>
        <w:trPr>
          <w:trHeight w:val="216"/>
        </w:trPr>
        <w:tc>
          <w:tcPr>
            <w:tcW w:w="980" w:type="dxa"/>
            <w:vAlign w:val="bottom"/>
          </w:tcPr>
          <w:p>
            <w:pPr>
              <w:spacing w:after="0"/>
              <w:rPr>
                <w:sz w:val="18"/>
                <w:szCs w:val="18"/>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rPr>
              <w:t>Language): (i) Condensed Consolidated Balance Sheets (unaudited) at June 30, 2021 and</w:t>
            </w:r>
          </w:p>
        </w:tc>
      </w:tr>
      <w:tr>
        <w:trPr>
          <w:trHeight w:val="216"/>
        </w:trPr>
        <w:tc>
          <w:tcPr>
            <w:tcW w:w="980" w:type="dxa"/>
            <w:vAlign w:val="bottom"/>
          </w:tcPr>
          <w:p>
            <w:pPr>
              <w:spacing w:after="0"/>
              <w:rPr>
                <w:sz w:val="18"/>
                <w:szCs w:val="18"/>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w w:val="90"/>
              </w:rPr>
              <w:t>December 31, 2020, (ii) Condensed Consolidated Statements of Operations and Comprehensive Loss</w:t>
            </w:r>
          </w:p>
        </w:tc>
      </w:tr>
      <w:tr>
        <w:trPr>
          <w:trHeight w:val="216"/>
        </w:trPr>
        <w:tc>
          <w:tcPr>
            <w:tcW w:w="980" w:type="dxa"/>
            <w:vAlign w:val="bottom"/>
          </w:tcPr>
          <w:p>
            <w:pPr>
              <w:spacing w:after="0"/>
              <w:rPr>
                <w:sz w:val="18"/>
                <w:szCs w:val="18"/>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w w:val="96"/>
              </w:rPr>
              <w:t>(unaudited) for the three months and six months ended June 30, 2021 and 2020, (iii) Condensed</w:t>
            </w:r>
          </w:p>
        </w:tc>
      </w:tr>
      <w:tr>
        <w:trPr>
          <w:trHeight w:val="216"/>
        </w:trPr>
        <w:tc>
          <w:tcPr>
            <w:tcW w:w="980" w:type="dxa"/>
            <w:vAlign w:val="bottom"/>
          </w:tcPr>
          <w:p>
            <w:pPr>
              <w:spacing w:after="0"/>
              <w:rPr>
                <w:sz w:val="18"/>
                <w:szCs w:val="18"/>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w w:val="89"/>
              </w:rPr>
              <w:t>Consolidated Statements of Cash Flows (unaudited) for the six months ended June 30, 2021 and 2020,</w:t>
            </w:r>
          </w:p>
        </w:tc>
      </w:tr>
      <w:tr>
        <w:trPr>
          <w:trHeight w:val="216"/>
        </w:trPr>
        <w:tc>
          <w:tcPr>
            <w:tcW w:w="980" w:type="dxa"/>
            <w:vAlign w:val="bottom"/>
          </w:tcPr>
          <w:p>
            <w:pPr>
              <w:spacing w:after="0"/>
              <w:rPr>
                <w:sz w:val="18"/>
                <w:szCs w:val="18"/>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w w:val="93"/>
              </w:rPr>
              <w:t>(iv) Condensed Consolidated Statements of Equity (Deficit) (unaudited) for the three months and six</w:t>
            </w:r>
          </w:p>
        </w:tc>
      </w:tr>
      <w:tr>
        <w:trPr>
          <w:trHeight w:val="216"/>
        </w:trPr>
        <w:tc>
          <w:tcPr>
            <w:tcW w:w="980" w:type="dxa"/>
            <w:vAlign w:val="bottom"/>
          </w:tcPr>
          <w:p>
            <w:pPr>
              <w:spacing w:after="0"/>
              <w:rPr>
                <w:sz w:val="18"/>
                <w:szCs w:val="18"/>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w w:val="88"/>
              </w:rPr>
              <w:t>months ended June 30, 2021 and 2020, and (v) Notes to Condensed Consolidated Financial Statements</w:t>
            </w:r>
          </w:p>
        </w:tc>
      </w:tr>
      <w:tr>
        <w:trPr>
          <w:trHeight w:val="230"/>
        </w:trPr>
        <w:tc>
          <w:tcPr>
            <w:tcW w:w="980" w:type="dxa"/>
            <w:vAlign w:val="bottom"/>
          </w:tcPr>
          <w:p>
            <w:pPr>
              <w:spacing w:after="0"/>
              <w:rPr>
                <w:sz w:val="20"/>
                <w:szCs w:val="20"/>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rPr>
              <w:t>(unaudited).</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742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3, 2021</w:t>
            </w: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By:/s/ Colin V. Reed</w:t>
            </w:r>
          </w:p>
        </w:tc>
      </w:tr>
      <w:tr>
        <w:trPr>
          <w:trHeight w:val="195"/>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432"/>
        </w:trPr>
        <w:tc>
          <w:tcPr>
            <w:tcW w:w="3040" w:type="dxa"/>
            <w:vAlign w:val="bottom"/>
          </w:tcPr>
          <w:p>
            <w:pPr>
              <w:spacing w:after="0"/>
              <w:rPr>
                <w:sz w:val="24"/>
                <w:szCs w:val="24"/>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By:/s/ Mark Fioravanti</w:t>
            </w:r>
          </w:p>
        </w:tc>
      </w:tr>
      <w:tr>
        <w:trPr>
          <w:trHeight w:val="195"/>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3040" w:type="dxa"/>
            <w:vAlign w:val="bottom"/>
          </w:tcPr>
          <w:p>
            <w:pPr>
              <w:spacing w:after="0"/>
              <w:rPr>
                <w:sz w:val="24"/>
                <w:szCs w:val="24"/>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By:/s/ Jennifer Hutcheson</w:t>
            </w:r>
          </w:p>
        </w:tc>
      </w:tr>
      <w:tr>
        <w:trPr>
          <w:trHeight w:val="195"/>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Executive Vice President, Corporate</w:t>
            </w:r>
          </w:p>
        </w:tc>
      </w:tr>
      <w:tr>
        <w:trPr>
          <w:trHeight w:val="230"/>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jc w:val="center"/>
        <w:ind w:left="200" w:right="259"/>
        <w:spacing w:after="0" w:line="266" w:lineRule="auto"/>
        <w:rPr>
          <w:sz w:val="20"/>
          <w:szCs w:val="20"/>
          <w:color w:val="auto"/>
        </w:rPr>
      </w:pPr>
      <w:r>
        <w:rPr>
          <w:rFonts w:ascii="Arial" w:cs="Arial" w:eastAsia="Arial" w:hAnsi="Arial"/>
          <w:sz w:val="20"/>
          <w:szCs w:val="20"/>
          <w:b w:val="1"/>
          <w:bCs w:val="1"/>
          <w:color w:val="auto"/>
        </w:rPr>
        <w:t>AMENDMENT NO. 2 TO SECOND AMENDED AND RESTATED LOAN AGREEMENT AND MODIFICATION TO GUARANTY</w:t>
      </w:r>
    </w:p>
    <w:p>
      <w:pPr>
        <w:spacing w:after="0" w:line="170"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9"/>
          <w:szCs w:val="19"/>
          <w:color w:val="auto"/>
        </w:rPr>
        <w:t>AMENDMENT NO. 2 TO SECOND AMENDED AND RESTATED LOAN AGREEMENT AND MODIFICATION TO GUARANTY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May 7, 2021, relating to the Second Amended and Restated Loan Agreement, dated as of July 2, 2019, as amended by that certain Amendment No. 1 to Second Amended and Restated Loan Agreement and Modification to Loan Documents, dated as of June 30, 2020 (as amended, supplemented or otherwise modified prior to the date hereof, the “</w:t>
      </w:r>
      <w:r>
        <w:rPr>
          <w:rFonts w:ascii="Arial" w:cs="Arial" w:eastAsia="Arial" w:hAnsi="Arial"/>
          <w:sz w:val="19"/>
          <w:szCs w:val="19"/>
          <w:u w:val="single" w:color="auto"/>
          <w:color w:val="auto"/>
        </w:rPr>
        <w:t>Existing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 Agreement</w:t>
      </w:r>
      <w:r>
        <w:rPr>
          <w:rFonts w:ascii="Arial" w:cs="Arial" w:eastAsia="Arial" w:hAnsi="Arial"/>
          <w:sz w:val="19"/>
          <w:szCs w:val="19"/>
          <w:color w:val="auto"/>
        </w:rPr>
        <w:t>”), by and among AURORA CONVENTION CENTER HOTEL, LLC, a Delaware limited liability company (“</w:t>
      </w:r>
      <w:r>
        <w:rPr>
          <w:rFonts w:ascii="Arial" w:cs="Arial" w:eastAsia="Arial" w:hAnsi="Arial"/>
          <w:sz w:val="19"/>
          <w:szCs w:val="19"/>
          <w:u w:val="single" w:color="auto"/>
          <w:color w:val="auto"/>
        </w:rPr>
        <w:t>Borrower</w:t>
      </w:r>
      <w:r>
        <w:rPr>
          <w:rFonts w:ascii="Arial" w:cs="Arial" w:eastAsia="Arial" w:hAnsi="Arial"/>
          <w:sz w:val="19"/>
          <w:szCs w:val="19"/>
          <w:color w:val="auto"/>
        </w:rPr>
        <w:t>”), AURORA CONVENTION CENTER HOTEL LESSEE, LLC, a Delaware limited liability company (“</w:t>
      </w:r>
      <w:r>
        <w:rPr>
          <w:rFonts w:ascii="Arial" w:cs="Arial" w:eastAsia="Arial" w:hAnsi="Arial"/>
          <w:sz w:val="19"/>
          <w:szCs w:val="19"/>
          <w:u w:val="single" w:color="auto"/>
          <w:color w:val="auto"/>
        </w:rPr>
        <w:t>Operating Lessee</w:t>
      </w:r>
      <w:r>
        <w:rPr>
          <w:rFonts w:ascii="Arial" w:cs="Arial" w:eastAsia="Arial" w:hAnsi="Arial"/>
          <w:sz w:val="19"/>
          <w:szCs w:val="19"/>
          <w:color w:val="auto"/>
        </w:rPr>
        <w:t>”), the LENDERS from time to time party thereto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WELLS FARGO BANK, NATIONAL ASSOCIATION, as Administrative Agent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48"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0"/>
          <w:szCs w:val="20"/>
          <w:color w:val="auto"/>
        </w:rPr>
        <w:t>WHEREAS, Borrower and Operating Lessee have notified Administrative Agent and the Lenders that, effective as of the date hereof, Rida Guarantor has transferred all of its direct and indirect interest in Borrower and Operating Lessee to Ryman Guarantor and/or its respective Affiliates; and</w:t>
      </w:r>
    </w:p>
    <w:p>
      <w:pPr>
        <w:spacing w:after="0" w:line="200" w:lineRule="exact"/>
        <w:rPr>
          <w:sz w:val="20"/>
          <w:szCs w:val="20"/>
          <w:color w:val="auto"/>
        </w:rPr>
      </w:pPr>
    </w:p>
    <w:p>
      <w:pPr>
        <w:spacing w:after="0" w:line="317"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20"/>
          <w:szCs w:val="20"/>
          <w:color w:val="auto"/>
        </w:rPr>
        <w:t xml:space="preserve">WHEREAS, Rida Guarantor has requested, pursuant to </w:t>
      </w:r>
      <w:r>
        <w:rPr>
          <w:rFonts w:ascii="Arial" w:cs="Arial" w:eastAsia="Arial" w:hAnsi="Arial"/>
          <w:sz w:val="20"/>
          <w:szCs w:val="20"/>
          <w:u w:val="single" w:color="auto"/>
          <w:color w:val="auto"/>
        </w:rPr>
        <w:t>Section 9.15(d)</w:t>
      </w:r>
      <w:r>
        <w:rPr>
          <w:rFonts w:ascii="Arial" w:cs="Arial" w:eastAsia="Arial" w:hAnsi="Arial"/>
          <w:sz w:val="20"/>
          <w:szCs w:val="20"/>
          <w:color w:val="auto"/>
        </w:rPr>
        <w:t xml:space="preserve"> of the Loan Agreement, to be released from (i) the Rida Guaranty, and (ii) the Hazardous Materials Indemnity, and Administrative Agent has agreed to said release pursuant to the terms and conditions of that certain Release of Guarantor, dated as of the date hereof, by and between Administrative Agent and Rida Guarantor (the “</w:t>
      </w:r>
      <w:r>
        <w:rPr>
          <w:rFonts w:ascii="Arial" w:cs="Arial" w:eastAsia="Arial" w:hAnsi="Arial"/>
          <w:sz w:val="20"/>
          <w:szCs w:val="20"/>
          <w:u w:val="single" w:color="auto"/>
          <w:color w:val="auto"/>
        </w:rPr>
        <w:t>Rida Guaranty Release</w:t>
      </w:r>
      <w:r>
        <w:rPr>
          <w:rFonts w:ascii="Arial" w:cs="Arial" w:eastAsia="Arial" w:hAnsi="Arial"/>
          <w:sz w:val="20"/>
          <w:szCs w:val="20"/>
          <w:color w:val="auto"/>
        </w:rPr>
        <w:t>”); and</w:t>
      </w:r>
    </w:p>
    <w:p>
      <w:pPr>
        <w:spacing w:after="0" w:line="200" w:lineRule="exact"/>
        <w:rPr>
          <w:sz w:val="20"/>
          <w:szCs w:val="20"/>
          <w:color w:val="auto"/>
        </w:rPr>
      </w:pPr>
    </w:p>
    <w:p>
      <w:pPr>
        <w:spacing w:after="0" w:line="307"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9.15(d)</w:t>
      </w:r>
      <w:r>
        <w:rPr>
          <w:rFonts w:ascii="Arial" w:cs="Arial" w:eastAsia="Arial" w:hAnsi="Arial"/>
          <w:sz w:val="20"/>
          <w:szCs w:val="20"/>
          <w:color w:val="auto"/>
        </w:rPr>
        <w:t xml:space="preserve"> of the Existing Loan Agreement, as a condition to Administrative Agent entering into the Rida Guaranty Release, Ryman Guarantor has agreed to assume one hundred percent (100%) of the Repayment and Carry Guaranty Obligations, upon the terms set forth herein; and</w:t>
      </w:r>
    </w:p>
    <w:p>
      <w:pPr>
        <w:spacing w:after="0" w:line="191"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 xml:space="preserve">Borrower, Operating Lessee, Ryman Guarantor and Administrative Agent, on behalf of itself and the Requisite Lenders required pursuant to </w:t>
      </w:r>
      <w:r>
        <w:rPr>
          <w:rFonts w:ascii="Arial" w:cs="Arial" w:eastAsia="Arial" w:hAnsi="Arial"/>
          <w:sz w:val="20"/>
          <w:szCs w:val="20"/>
          <w:u w:val="single" w:color="auto"/>
          <w:color w:val="auto"/>
        </w:rPr>
        <w:t>Section 13.12</w:t>
      </w:r>
      <w:r>
        <w:rPr>
          <w:rFonts w:ascii="Arial" w:cs="Arial" w:eastAsia="Arial" w:hAnsi="Arial"/>
          <w:sz w:val="20"/>
          <w:szCs w:val="20"/>
          <w:color w:val="auto"/>
        </w:rPr>
        <w:t xml:space="preserve"> of the Existing Loan Agreement (collectively, the “</w:t>
      </w:r>
      <w:r>
        <w:rPr>
          <w:rFonts w:ascii="Arial" w:cs="Arial" w:eastAsia="Arial" w:hAnsi="Arial"/>
          <w:sz w:val="20"/>
          <w:szCs w:val="20"/>
          <w:u w:val="single" w:color="auto"/>
          <w:color w:val="auto"/>
        </w:rPr>
        <w:t>Requisite Lenders</w:t>
      </w:r>
      <w:r>
        <w:rPr>
          <w:rFonts w:ascii="Arial" w:cs="Arial" w:eastAsia="Arial" w:hAnsi="Arial"/>
          <w:sz w:val="20"/>
          <w:szCs w:val="20"/>
          <w:color w:val="auto"/>
        </w:rPr>
        <w:t>”), agree to amend the Ryman Guaranty, and to modify certain other terms of the Existing Loan Agreement, on the terms set forth herein.</w:t>
      </w:r>
    </w:p>
    <w:p>
      <w:pPr>
        <w:spacing w:after="0" w:line="191"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NOW, THEREFORE, in consideration of the mutual agreements herein contained and other good and valuable consideration, the sufficiency and receipt of which are hereby acknowledged, the parties hereto hereby agree as follows:</w:t>
      </w:r>
    </w:p>
    <w:p>
      <w:pPr>
        <w:spacing w:after="0" w:line="19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but not defined herein shall have the</w:t>
      </w:r>
      <w:r>
        <w:rPr>
          <w:rFonts w:ascii="Arial" w:cs="Arial" w:eastAsia="Arial" w:hAnsi="Arial"/>
          <w:sz w:val="21"/>
          <w:szCs w:val="21"/>
          <w:color w:val="auto"/>
        </w:rPr>
        <w:t xml:space="preserve"> </w:t>
      </w:r>
      <w:r>
        <w:rPr>
          <w:rFonts w:ascii="Arial" w:cs="Arial" w:eastAsia="Arial" w:hAnsi="Arial"/>
          <w:sz w:val="18"/>
          <w:szCs w:val="18"/>
          <w:color w:val="auto"/>
        </w:rPr>
        <w:t xml:space="preserve">meanings given to them in the Existing Loan Agreement. The rules of interpretation set forth in the Existing Loan Agreement are hereby incorporated by reference herein, </w:t>
      </w:r>
      <w:r>
        <w:rPr>
          <w:rFonts w:ascii="Arial" w:cs="Arial" w:eastAsia="Arial" w:hAnsi="Arial"/>
          <w:sz w:val="18"/>
          <w:szCs w:val="18"/>
          <w:i w:val="1"/>
          <w:iCs w:val="1"/>
          <w:color w:val="auto"/>
        </w:rPr>
        <w:t>mutatis mutandis</w:t>
      </w:r>
      <w:r>
        <w:rPr>
          <w:rFonts w:ascii="Arial" w:cs="Arial" w:eastAsia="Arial" w:hAnsi="Arial"/>
          <w:sz w:val="18"/>
          <w:szCs w:val="18"/>
          <w:color w:val="auto"/>
        </w:rPr>
        <w:t>. Each reference to “hereof”, “hereunder”, “herein” and “hereby” and each other similar reference and each reference to “this Agreement” and each other similar reference contained in the Existing Loan Agreement, the Ryman Guaranty or any other Loan Document shall, after this Agreement becomes effective, refer to the Existing Loan Agreement, the Ryman Guaranty or such other Loan Document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p>
      <w:pPr>
        <w:jc w:val="both"/>
        <w:ind w:left="200" w:right="219" w:firstLine="648"/>
        <w:spacing w:after="0" w:line="241"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19"/>
          <w:szCs w:val="19"/>
          <w:u w:val="single" w:color="auto"/>
          <w:color w:val="auto"/>
        </w:rPr>
        <w:t>Amendments to the Loan Agreement</w:t>
      </w:r>
      <w:r>
        <w:rPr>
          <w:rFonts w:ascii="Arial" w:cs="Arial" w:eastAsia="Arial" w:hAnsi="Arial"/>
          <w:sz w:val="19"/>
          <w:szCs w:val="19"/>
          <w:color w:val="auto"/>
        </w:rPr>
        <w:t>. The Existing Loan Agreement is, effective</w:t>
      </w:r>
      <w:r>
        <w:rPr>
          <w:rFonts w:ascii="Arial" w:cs="Arial" w:eastAsia="Arial" w:hAnsi="Arial"/>
          <w:sz w:val="22"/>
          <w:szCs w:val="22"/>
          <w:color w:val="auto"/>
        </w:rPr>
        <w:t xml:space="preserve"> </w:t>
      </w:r>
      <w:r>
        <w:rPr>
          <w:rFonts w:ascii="Arial" w:cs="Arial" w:eastAsia="Arial" w:hAnsi="Arial"/>
          <w:sz w:val="19"/>
          <w:szCs w:val="19"/>
          <w:color w:val="auto"/>
        </w:rPr>
        <w:t>as of the Amendment No. 2 Effective Date (as defined below), hereby amended as follows (the Existing Loan Agreement, as so amended, the “</w:t>
      </w:r>
      <w:r>
        <w:rPr>
          <w:rFonts w:ascii="Arial" w:cs="Arial" w:eastAsia="Arial" w:hAnsi="Arial"/>
          <w:sz w:val="19"/>
          <w:szCs w:val="19"/>
          <w:u w:val="single" w:color="auto"/>
          <w:color w:val="auto"/>
        </w:rPr>
        <w:t>Second Amended Loan Agreement</w:t>
      </w:r>
      <w:r>
        <w:rPr>
          <w:rFonts w:ascii="Arial" w:cs="Arial" w:eastAsia="Arial" w:hAnsi="Arial"/>
          <w:sz w:val="19"/>
          <w:szCs w:val="19"/>
          <w:color w:val="auto"/>
        </w:rPr>
        <w:t>”):</w:t>
      </w:r>
    </w:p>
    <w:p>
      <w:pPr>
        <w:spacing w:after="0" w:line="204" w:lineRule="exact"/>
        <w:rPr>
          <w:sz w:val="20"/>
          <w:szCs w:val="20"/>
          <w:color w:val="auto"/>
        </w:rPr>
      </w:pPr>
    </w:p>
    <w:p>
      <w:pPr>
        <w:ind w:left="860" w:right="219" w:firstLine="645"/>
        <w:spacing w:after="0" w:line="343" w:lineRule="auto"/>
        <w:tabs>
          <w:tab w:leader="none" w:pos="215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Existing Loan Agreement is hereby amended by adding the following definitions, in each case in appropriate alphabetical order, as follows:</w:t>
      </w:r>
    </w:p>
    <w:p>
      <w:pPr>
        <w:spacing w:after="0" w:line="96" w:lineRule="exact"/>
        <w:rPr>
          <w:sz w:val="20"/>
          <w:szCs w:val="20"/>
          <w:color w:val="auto"/>
        </w:rPr>
      </w:pPr>
    </w:p>
    <w:p>
      <w:pPr>
        <w:jc w:val="both"/>
        <w:ind w:left="1500" w:right="21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2</w:t>
      </w:r>
      <w:r>
        <w:rPr>
          <w:rFonts w:ascii="Arial" w:cs="Arial" w:eastAsia="Arial" w:hAnsi="Arial"/>
          <w:sz w:val="20"/>
          <w:szCs w:val="20"/>
          <w:color w:val="auto"/>
        </w:rPr>
        <w:t>” – means that certain Amendment No. 2 to Second Amended and Restated Loan Agreement and Modification to Guaranty, dated as of May 7, 2021, by and among Borrower, Operating Lessee, Ryman Guarantor and Administrative Agent, on behalf of itself and on behalf of the Requisite Lenders.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2 Effective Date</w:t>
      </w:r>
      <w:r>
        <w:rPr>
          <w:rFonts w:ascii="Arial" w:cs="Arial" w:eastAsia="Arial" w:hAnsi="Arial"/>
          <w:sz w:val="20"/>
          <w:szCs w:val="20"/>
          <w:color w:val="auto"/>
        </w:rPr>
        <w:t>” – means May 7, 2021.</w:t>
      </w:r>
    </w:p>
    <w:p>
      <w:pPr>
        <w:spacing w:after="0" w:line="224" w:lineRule="exact"/>
        <w:rPr>
          <w:sz w:val="20"/>
          <w:szCs w:val="20"/>
          <w:color w:val="auto"/>
        </w:rPr>
      </w:pPr>
    </w:p>
    <w:p>
      <w:pPr>
        <w:jc w:val="both"/>
        <w:ind w:left="860" w:right="219" w:firstLine="645"/>
        <w:spacing w:after="0" w:line="297" w:lineRule="auto"/>
        <w:tabs>
          <w:tab w:leader="none" w:pos="215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of the Existing Loan Agreement is hereby modified by replacing Borrower’s requirement to deliver audited Financial Statements with respect to Borrower and Operating Lessee with unaudited Financial Statements, </w:t>
      </w:r>
      <w:r>
        <w:rPr>
          <w:rFonts w:ascii="Arial" w:cs="Arial" w:eastAsia="Arial" w:hAnsi="Arial"/>
          <w:sz w:val="19"/>
          <w:szCs w:val="19"/>
          <w:u w:val="single" w:color="auto"/>
          <w:color w:val="auto"/>
        </w:rPr>
        <w:t>provided</w:t>
      </w:r>
      <w:r>
        <w:rPr>
          <w:rFonts w:ascii="Arial" w:cs="Arial" w:eastAsia="Arial" w:hAnsi="Arial"/>
          <w:sz w:val="19"/>
          <w:szCs w:val="19"/>
          <w:color w:val="auto"/>
        </w:rPr>
        <w:t>, that Borrower will continue to deliver to Administrative Agent audited Financial Statements of Ryman Guarantor, in each case as and when set forth in the Existing Loan Agreement.</w:t>
      </w:r>
    </w:p>
    <w:p>
      <w:pPr>
        <w:spacing w:after="0" w:line="146" w:lineRule="exact"/>
        <w:rPr>
          <w:rFonts w:ascii="Arial" w:cs="Arial" w:eastAsia="Arial" w:hAnsi="Arial"/>
          <w:sz w:val="19"/>
          <w:szCs w:val="19"/>
          <w:color w:val="auto"/>
        </w:rPr>
      </w:pPr>
    </w:p>
    <w:p>
      <w:pPr>
        <w:jc w:val="both"/>
        <w:ind w:left="860" w:right="219" w:firstLine="645"/>
        <w:spacing w:after="0" w:line="290" w:lineRule="auto"/>
        <w:tabs>
          <w:tab w:leader="none" w:pos="2156"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The Existing Loan Agreement is hereby modified by removing all references to RIDA Guarantor and the RIDA Guaranty, including, but not limited to (i) the deletion of the defined terms “RIDA Guarantor” and “RIDA Guaranty”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Existing Loan Agreement, (ii) modification of the defined terms “Financial Statements”, “Guarantor”, “Guaranty” and “Hazardous Material Indemnity” to remove reference to RIDA Guarantor and RIDA Guaranty, and (iii) modifications of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of the Existing Loan Agreement to remove reference to RIDA Guarantor and RIDA Guaranty.</w:t>
      </w:r>
    </w:p>
    <w:p>
      <w:pPr>
        <w:spacing w:after="0" w:line="156" w:lineRule="exact"/>
        <w:rPr>
          <w:sz w:val="20"/>
          <w:szCs w:val="20"/>
          <w:color w:val="auto"/>
        </w:rPr>
      </w:pPr>
    </w:p>
    <w:p>
      <w:pPr>
        <w:ind w:left="860"/>
        <w:spacing w:after="0"/>
        <w:tabs>
          <w:tab w:leader="none" w:pos="2140" w:val="left"/>
          <w:tab w:leader="none" w:pos="51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20"/>
          <w:szCs w:val="20"/>
          <w:u w:val="single" w:color="auto"/>
          <w:color w:val="auto"/>
        </w:rPr>
        <w:t>Amendments to Ryman Guaranty</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The Ryman Guaranty is, effective as of the</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Amendment No. 2 Effective Date, hereby amended as follows:</w:t>
      </w:r>
    </w:p>
    <w:p>
      <w:pPr>
        <w:spacing w:after="0" w:line="208" w:lineRule="exact"/>
        <w:rPr>
          <w:sz w:val="20"/>
          <w:szCs w:val="20"/>
          <w:color w:val="auto"/>
        </w:rPr>
      </w:pPr>
    </w:p>
    <w:p>
      <w:pPr>
        <w:jc w:val="both"/>
        <w:ind w:left="860" w:right="219" w:firstLine="645"/>
        <w:spacing w:after="0" w:line="265" w:lineRule="auto"/>
        <w:tabs>
          <w:tab w:leader="none" w:pos="2156"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Ryman Guaranty is hereby modified by increasing Ryman Guarantor’s obligation under the Repayment Guaranty from an amount equal to six and four tenths percent (6.4%) of the then-outstanding principal balance of the Loan to ten percent (10%) of the then-outstanding principal balance of the Loan.</w:t>
      </w:r>
    </w:p>
    <w:p>
      <w:pPr>
        <w:spacing w:after="0" w:line="175" w:lineRule="exact"/>
        <w:rPr>
          <w:rFonts w:ascii="Arial" w:cs="Arial" w:eastAsia="Arial" w:hAnsi="Arial"/>
          <w:sz w:val="21"/>
          <w:szCs w:val="21"/>
          <w:color w:val="auto"/>
        </w:rPr>
      </w:pPr>
    </w:p>
    <w:p>
      <w:pPr>
        <w:jc w:val="both"/>
        <w:ind w:left="860" w:right="219" w:firstLine="645"/>
        <w:spacing w:after="0" w:line="250" w:lineRule="auto"/>
        <w:tabs>
          <w:tab w:leader="none" w:pos="215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the Ryman Guaranty is hereby modified by increasing Ryman Guarantor’s obligation under the Carry Guaranty from an amount equal to sixty-four percent (64%) of the costs and expenses described therein to one hundred percent (100%) of said costs and expenses.</w:t>
      </w:r>
    </w:p>
    <w:p>
      <w:pPr>
        <w:spacing w:after="0" w:line="187" w:lineRule="exact"/>
        <w:rPr>
          <w:rFonts w:ascii="Arial" w:cs="Arial" w:eastAsia="Arial" w:hAnsi="Arial"/>
          <w:sz w:val="22"/>
          <w:szCs w:val="22"/>
          <w:color w:val="auto"/>
        </w:rPr>
      </w:pPr>
    </w:p>
    <w:p>
      <w:pPr>
        <w:jc w:val="both"/>
        <w:ind w:left="860" w:right="219" w:firstLine="645"/>
        <w:spacing w:after="0" w:line="302" w:lineRule="auto"/>
        <w:tabs>
          <w:tab w:leader="none" w:pos="2156"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Ryman Guaranty is hereby modified by removing all references to RIDA Guarantor and the RIDA Guaranty, including but not limited to (i) the modification of Section 2 of the Ryman Guaranty, (ii) deletion of Section 12.2 of the Ryman Guaranty in its entirety and (iii) deletion of Section 19.11 of the Ryman Guaranty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300990</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3" w:name="page54"/>
    <w:bookmarkEnd w:id="53"/>
    <w:p>
      <w:pPr>
        <w:jc w:val="both"/>
        <w:ind w:left="200" w:right="219" w:firstLine="648"/>
        <w:spacing w:after="0" w:line="241"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19"/>
          <w:szCs w:val="19"/>
          <w:u w:val="single" w:color="auto"/>
          <w:color w:val="auto"/>
        </w:rPr>
        <w:t>Conditions to the Close</w:t>
      </w:r>
      <w:r>
        <w:rPr>
          <w:rFonts w:ascii="Arial" w:cs="Arial" w:eastAsia="Arial" w:hAnsi="Arial"/>
          <w:sz w:val="19"/>
          <w:szCs w:val="19"/>
          <w:color w:val="auto"/>
        </w:rPr>
        <w:t>. This Agreement is effective on the Amendment No. 2</w:t>
      </w:r>
      <w:r>
        <w:rPr>
          <w:rFonts w:ascii="Arial" w:cs="Arial" w:eastAsia="Arial" w:hAnsi="Arial"/>
          <w:sz w:val="22"/>
          <w:szCs w:val="22"/>
          <w:color w:val="auto"/>
        </w:rPr>
        <w:t xml:space="preserve"> </w:t>
      </w:r>
      <w:r>
        <w:rPr>
          <w:rFonts w:ascii="Arial" w:cs="Arial" w:eastAsia="Arial" w:hAnsi="Arial"/>
          <w:sz w:val="19"/>
          <w:szCs w:val="19"/>
          <w:color w:val="auto"/>
        </w:rPr>
        <w:t>Effective Date. By its execution of this Agreement, Administrative Agent hereby acknowledges and agrees that each of the following conditions have been satisfied or waived by Administrative Agent:</w:t>
      </w:r>
    </w:p>
    <w:p>
      <w:pPr>
        <w:spacing w:after="0" w:line="204" w:lineRule="exact"/>
        <w:rPr>
          <w:sz w:val="20"/>
          <w:szCs w:val="20"/>
          <w:color w:val="auto"/>
        </w:rPr>
      </w:pPr>
    </w:p>
    <w:p>
      <w:pPr>
        <w:ind w:left="2160" w:hanging="655"/>
        <w:spacing w:after="0"/>
        <w:tabs>
          <w:tab w:leader="none" w:pos="21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Representations and Warranties.</w:t>
      </w:r>
    </w:p>
    <w:p>
      <w:pPr>
        <w:spacing w:after="0" w:line="237" w:lineRule="exact"/>
        <w:rPr>
          <w:rFonts w:ascii="Arial" w:cs="Arial" w:eastAsia="Arial" w:hAnsi="Arial"/>
          <w:sz w:val="22"/>
          <w:szCs w:val="22"/>
          <w:color w:val="auto"/>
        </w:rPr>
      </w:pPr>
    </w:p>
    <w:p>
      <w:pPr>
        <w:jc w:val="both"/>
        <w:ind w:left="1500" w:right="219" w:firstLine="653"/>
        <w:spacing w:after="0" w:line="271" w:lineRule="auto"/>
        <w:tabs>
          <w:tab w:leader="none" w:pos="2796" w:val="left"/>
        </w:tabs>
        <w:numPr>
          <w:ilvl w:val="1"/>
          <w:numId w:val="31"/>
        </w:numPr>
        <w:rPr>
          <w:rFonts w:ascii="Arial" w:cs="Arial" w:eastAsia="Arial" w:hAnsi="Arial"/>
          <w:sz w:val="19"/>
          <w:szCs w:val="19"/>
          <w:color w:val="auto"/>
        </w:rPr>
      </w:pPr>
      <w:r>
        <w:rPr>
          <w:rFonts w:ascii="Arial" w:cs="Arial" w:eastAsia="Arial" w:hAnsi="Arial"/>
          <w:sz w:val="18"/>
          <w:szCs w:val="18"/>
          <w:color w:val="auto"/>
        </w:rPr>
        <w:t xml:space="preserve">The representations and warranties of Borrower, Operating Lessee and each other Loan Party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 Existing Loan Agreement or any other Loan Document, or which are contained in any document furnished at any time under or in connection herewith or therewith, shall be true and correct in all material respects (except that any representation and warranty that is qualified by materiality shall be true and correct in all respects) on and as of the Amendment No. 2 Effective Date, except to the extent that such representations and warranties specifically refer or relate to an earlier date, in which case they shall be true and correct as of such earlier date.</w:t>
      </w:r>
    </w:p>
    <w:p>
      <w:pPr>
        <w:spacing w:after="0" w:line="196" w:lineRule="exact"/>
        <w:rPr>
          <w:rFonts w:ascii="Arial" w:cs="Arial" w:eastAsia="Arial" w:hAnsi="Arial"/>
          <w:sz w:val="19"/>
          <w:szCs w:val="19"/>
          <w:color w:val="auto"/>
        </w:rPr>
      </w:pPr>
    </w:p>
    <w:p>
      <w:pPr>
        <w:jc w:val="both"/>
        <w:ind w:left="1500" w:right="219" w:firstLine="653"/>
        <w:spacing w:after="0" w:line="271" w:lineRule="auto"/>
        <w:tabs>
          <w:tab w:leader="none" w:pos="2796" w:val="left"/>
        </w:tabs>
        <w:numPr>
          <w:ilvl w:val="1"/>
          <w:numId w:val="31"/>
        </w:numPr>
        <w:rPr>
          <w:rFonts w:ascii="Arial" w:cs="Arial" w:eastAsia="Arial" w:hAnsi="Arial"/>
          <w:sz w:val="19"/>
          <w:szCs w:val="19"/>
          <w:color w:val="auto"/>
        </w:rPr>
      </w:pPr>
      <w:r>
        <w:rPr>
          <w:rFonts w:ascii="Arial" w:cs="Arial" w:eastAsia="Arial" w:hAnsi="Arial"/>
          <w:sz w:val="18"/>
          <w:szCs w:val="18"/>
          <w:color w:val="auto"/>
        </w:rPr>
        <w:t xml:space="preserve">The representations and warranties of Ryman Guarantor contained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Ryman Guaranty or any other Loan Document or Other Related Document, or which are contained in any document furnished at any time under or in connection herewith or therewith, shall be true and correct in all material respects (except that any representation and warranty that is qualified by materiality shall be true and correct in all respects) on and as of the Amendment No. 2 Effective Date, except to the extent that such representations and warranties specifically refer or relate to an earlier date, in which case they shall be true and correct as of such earlier date.</w:t>
      </w:r>
    </w:p>
    <w:p>
      <w:pPr>
        <w:spacing w:after="0" w:line="178" w:lineRule="exact"/>
        <w:rPr>
          <w:rFonts w:ascii="Arial" w:cs="Arial" w:eastAsia="Arial" w:hAnsi="Arial"/>
          <w:sz w:val="19"/>
          <w:szCs w:val="19"/>
          <w:color w:val="auto"/>
        </w:rPr>
      </w:pPr>
    </w:p>
    <w:p>
      <w:pPr>
        <w:ind w:left="860" w:right="239" w:firstLine="645"/>
        <w:spacing w:after="0" w:line="287" w:lineRule="auto"/>
        <w:tabs>
          <w:tab w:leader="none" w:pos="215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No Default</w:t>
      </w:r>
      <w:r>
        <w:rPr>
          <w:rFonts w:ascii="Arial" w:cs="Arial" w:eastAsia="Arial" w:hAnsi="Arial"/>
          <w:sz w:val="21"/>
          <w:szCs w:val="21"/>
          <w:color w:val="auto"/>
        </w:rPr>
        <w:t>. Neither a Default nor, to Borrower’s knowledge, Potential Default shall exist, or would result from, the effectiveness of this Agreement.</w:t>
      </w:r>
    </w:p>
    <w:p>
      <w:pPr>
        <w:spacing w:after="0" w:line="151" w:lineRule="exact"/>
        <w:rPr>
          <w:rFonts w:ascii="Arial" w:cs="Arial" w:eastAsia="Arial" w:hAnsi="Arial"/>
          <w:sz w:val="21"/>
          <w:szCs w:val="21"/>
          <w:color w:val="auto"/>
        </w:rPr>
      </w:pPr>
    </w:p>
    <w:p>
      <w:pPr>
        <w:jc w:val="both"/>
        <w:ind w:left="860" w:right="219" w:firstLine="645"/>
        <w:spacing w:after="0" w:line="312" w:lineRule="auto"/>
        <w:tabs>
          <w:tab w:leader="none" w:pos="215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This Agreement</w:t>
      </w:r>
      <w:r>
        <w:rPr>
          <w:rFonts w:ascii="Arial" w:cs="Arial" w:eastAsia="Arial" w:hAnsi="Arial"/>
          <w:sz w:val="19"/>
          <w:szCs w:val="19"/>
          <w:color w:val="auto"/>
        </w:rPr>
        <w:t>. Administrative Agent has received executed counterparts hereof that, when taken together, bear the signatures of Borrower, Operating Lessee, Ryman Guarantor and Administrative Agent, on behalf of itself and the Requisite Lenders.</w:t>
      </w:r>
    </w:p>
    <w:p>
      <w:pPr>
        <w:spacing w:after="0" w:line="133" w:lineRule="exact"/>
        <w:rPr>
          <w:rFonts w:ascii="Arial" w:cs="Arial" w:eastAsia="Arial" w:hAnsi="Arial"/>
          <w:sz w:val="19"/>
          <w:szCs w:val="19"/>
          <w:color w:val="auto"/>
        </w:rPr>
      </w:pPr>
    </w:p>
    <w:p>
      <w:pPr>
        <w:jc w:val="both"/>
        <w:ind w:left="860" w:right="219" w:firstLine="645"/>
        <w:spacing w:after="0" w:line="250" w:lineRule="auto"/>
        <w:tabs>
          <w:tab w:leader="none" w:pos="215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 Borrower has paid all fees required in connection with the closing of this Agreement and all reasonable costs and expenses (including reasonable attorneys’ costs and fees) incurred by Administrative Agent in documenting or implementing same.</w:t>
      </w:r>
    </w:p>
    <w:p>
      <w:pPr>
        <w:spacing w:after="0" w:line="187" w:lineRule="exact"/>
        <w:rPr>
          <w:rFonts w:ascii="Arial" w:cs="Arial" w:eastAsia="Arial" w:hAnsi="Arial"/>
          <w:sz w:val="22"/>
          <w:szCs w:val="22"/>
          <w:color w:val="auto"/>
        </w:rPr>
      </w:pPr>
    </w:p>
    <w:p>
      <w:pPr>
        <w:jc w:val="both"/>
        <w:ind w:left="860" w:right="219" w:firstLine="645"/>
        <w:spacing w:after="0" w:line="250" w:lineRule="auto"/>
        <w:tabs>
          <w:tab w:leader="none" w:pos="215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Other Deliverables</w:t>
      </w:r>
      <w:r>
        <w:rPr>
          <w:rFonts w:ascii="Arial" w:cs="Arial" w:eastAsia="Arial" w:hAnsi="Arial"/>
          <w:sz w:val="22"/>
          <w:szCs w:val="22"/>
          <w:color w:val="auto"/>
        </w:rPr>
        <w:t>. Borrower has provided to Administrative Agent, and Administrative Agent has approved, all other materials, documents and submissions requested by Administrative Agent in connection with the transactions contemplated by this Agreement.</w:t>
      </w:r>
    </w:p>
    <w:p>
      <w:pPr>
        <w:spacing w:after="0" w:line="188"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18"/>
          <w:szCs w:val="18"/>
          <w:u w:val="single" w:color="auto"/>
          <w:color w:val="auto"/>
        </w:rPr>
        <w:t>Reaffirmation</w:t>
      </w:r>
      <w:r>
        <w:rPr>
          <w:rFonts w:ascii="Arial" w:cs="Arial" w:eastAsia="Arial" w:hAnsi="Arial"/>
          <w:sz w:val="18"/>
          <w:szCs w:val="18"/>
          <w:i w:val="1"/>
          <w:iCs w:val="1"/>
          <w:color w:val="auto"/>
        </w:rPr>
        <w:t>.</w:t>
      </w:r>
      <w:r>
        <w:rPr>
          <w:rFonts w:ascii="Arial" w:cs="Arial" w:eastAsia="Arial" w:hAnsi="Arial"/>
          <w:sz w:val="21"/>
          <w:szCs w:val="21"/>
          <w:color w:val="auto"/>
        </w:rPr>
        <w:t xml:space="preserve"> </w:t>
      </w:r>
      <w:r>
        <w:rPr>
          <w:rFonts w:ascii="Arial" w:cs="Arial" w:eastAsia="Arial" w:hAnsi="Arial"/>
          <w:sz w:val="18"/>
          <w:szCs w:val="18"/>
          <w:color w:val="auto"/>
        </w:rPr>
        <w:t>By signing this Agreement, each Loan Party herby confirms that</w:t>
      </w:r>
      <w:r>
        <w:rPr>
          <w:rFonts w:ascii="Arial" w:cs="Arial" w:eastAsia="Arial" w:hAnsi="Arial"/>
          <w:sz w:val="21"/>
          <w:szCs w:val="21"/>
          <w:color w:val="auto"/>
        </w:rPr>
        <w:t xml:space="preserve"> </w:t>
      </w:r>
      <w:r>
        <w:rPr>
          <w:rFonts w:ascii="Arial" w:cs="Arial" w:eastAsia="Arial" w:hAnsi="Arial"/>
          <w:sz w:val="18"/>
          <w:szCs w:val="18"/>
          <w:color w:val="auto"/>
        </w:rPr>
        <w:t>this Agreement shall not effect a novation of any of the obligations of the Loan Parties under the Existing Loan Agreement, any other Loan Document or any Other Related Document, which obligations shall continue in full force and effect as set forth in the Second Amended Loan Agreement and such other Loan Documents. Additionally, by signing this Agreement, Ryman Guarantor hereby confirms that this Agreement shall not effect a novation of any of its obligations under the Ryman Guaranty, the Hazardous Materials Indemnity, any other Loan Document or any Other Related Document to which Ryman Guarantor is a party (collectively, the “</w:t>
      </w:r>
      <w:r>
        <w:rPr>
          <w:rFonts w:ascii="Arial" w:cs="Arial" w:eastAsia="Arial" w:hAnsi="Arial"/>
          <w:sz w:val="18"/>
          <w:szCs w:val="18"/>
          <w:u w:val="single" w:color="auto"/>
          <w:color w:val="auto"/>
        </w:rPr>
        <w:t>Guarantor Documents</w:t>
      </w:r>
      <w:r>
        <w:rPr>
          <w:rFonts w:ascii="Arial" w:cs="Arial" w:eastAsia="Arial" w:hAnsi="Arial"/>
          <w:sz w:val="18"/>
          <w:szCs w:val="18"/>
          <w:color w:val="auto"/>
        </w:rPr>
        <w:t>”), which obligations continue in full force and effect, and the Guarantor Documents are hereby reaffirmed, ratified and confirmed. Each Loan Party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4" w:name="page55"/>
    <w:bookmarkEnd w:id="54"/>
    <w:p>
      <w:pPr>
        <w:jc w:val="both"/>
        <w:ind w:left="200" w:right="219"/>
        <w:spacing w:after="0" w:line="291" w:lineRule="auto"/>
        <w:rPr>
          <w:sz w:val="20"/>
          <w:szCs w:val="20"/>
          <w:color w:val="auto"/>
        </w:rPr>
      </w:pPr>
      <w:r>
        <w:rPr>
          <w:rFonts w:ascii="Arial" w:cs="Arial" w:eastAsia="Arial" w:hAnsi="Arial"/>
          <w:sz w:val="18"/>
          <w:szCs w:val="18"/>
          <w:color w:val="auto"/>
        </w:rPr>
        <w:t>ratifies and confirms that all Liens granted, conveyed, or assigned to Administrative Agent by such Person pursuant to any Loan Document to which it is a party remain in full force and effect, are not released or reduced, and continue to secure full payment and performance of the Obligations as increased hereby.</w:t>
      </w:r>
    </w:p>
    <w:p>
      <w:pPr>
        <w:spacing w:after="0" w:line="162" w:lineRule="exact"/>
        <w:rPr>
          <w:sz w:val="20"/>
          <w:szCs w:val="20"/>
          <w:color w:val="auto"/>
        </w:rPr>
      </w:pPr>
    </w:p>
    <w:p>
      <w:pPr>
        <w:ind w:left="860"/>
        <w:spacing w:after="0"/>
        <w:tabs>
          <w:tab w:leader="none" w:pos="22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8"/>
          <w:szCs w:val="18"/>
          <w:u w:val="single" w:color="auto"/>
          <w:color w:val="auto"/>
        </w:rPr>
        <w:t>Applicable Law; Jurisdiction; Venue</w:t>
      </w:r>
      <w:r>
        <w:rPr>
          <w:rFonts w:ascii="Arial" w:cs="Arial" w:eastAsia="Arial" w:hAnsi="Arial"/>
          <w:sz w:val="18"/>
          <w:szCs w:val="18"/>
          <w:color w:val="auto"/>
        </w:rPr>
        <w:t>.</w:t>
      </w:r>
    </w:p>
    <w:p>
      <w:pPr>
        <w:spacing w:after="0" w:line="220" w:lineRule="exact"/>
        <w:rPr>
          <w:sz w:val="20"/>
          <w:szCs w:val="20"/>
          <w:color w:val="auto"/>
        </w:rPr>
      </w:pPr>
    </w:p>
    <w:p>
      <w:pPr>
        <w:jc w:val="both"/>
        <w:ind w:left="860" w:right="219" w:firstLine="645"/>
        <w:spacing w:after="0" w:line="253" w:lineRule="auto"/>
        <w:tabs>
          <w:tab w:leader="none" w:pos="215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IN ACCORDANCE WITH AND GOVERNED BY THE LAWS OF THE STATE OF NEW YORK.</w:t>
      </w:r>
    </w:p>
    <w:p>
      <w:pPr>
        <w:spacing w:after="0" w:line="185" w:lineRule="exact"/>
        <w:rPr>
          <w:rFonts w:ascii="Arial" w:cs="Arial" w:eastAsia="Arial" w:hAnsi="Arial"/>
          <w:sz w:val="22"/>
          <w:szCs w:val="22"/>
          <w:color w:val="auto"/>
        </w:rPr>
      </w:pPr>
    </w:p>
    <w:p>
      <w:pPr>
        <w:jc w:val="both"/>
        <w:ind w:left="860" w:right="219" w:firstLine="645"/>
        <w:spacing w:after="0" w:line="256" w:lineRule="auto"/>
        <w:tabs>
          <w:tab w:leader="none" w:pos="2156"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BORROWER, OPERATING LESSEE, EACH OTHER LOAN PARTY, AND ADMINISTRATIVE AGENT, ON BEHALF OF ITSELF AND THE REQUISITE LENDERS,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ADMINISTRATIVE AGENT OR ANY LENDER MAY OTHERWISE HAVE TO BRING ANY ACTION OR PROCEEDING RELATING TO THIS AGREEMENT OR ANY OTHER LOAN DOCUMENT AGAINST BORROWER, OPERATING LESSEE OR ANY OTHER LOAN PARTY OR ITS PROPERTIES IN THE COURTS OF ANY JURISDICTION.</w:t>
      </w:r>
    </w:p>
    <w:p>
      <w:pPr>
        <w:spacing w:after="0" w:line="190" w:lineRule="exact"/>
        <w:rPr>
          <w:rFonts w:ascii="Arial" w:cs="Arial" w:eastAsia="Arial" w:hAnsi="Arial"/>
          <w:sz w:val="21"/>
          <w:szCs w:val="21"/>
          <w:color w:val="auto"/>
        </w:rPr>
      </w:pPr>
    </w:p>
    <w:p>
      <w:pPr>
        <w:jc w:val="both"/>
        <w:ind w:left="860" w:right="219" w:firstLine="645"/>
        <w:spacing w:after="0" w:line="245" w:lineRule="auto"/>
        <w:tabs>
          <w:tab w:leader="none" w:pos="215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WAIVER OF VENUE</w:t>
      </w:r>
      <w:r>
        <w:rPr>
          <w:rFonts w:ascii="Arial" w:cs="Arial" w:eastAsia="Arial" w:hAnsi="Arial"/>
          <w:sz w:val="22"/>
          <w:szCs w:val="22"/>
          <w:color w:val="auto"/>
        </w:rPr>
        <w:t>. BORROWER, OPERATING LESSEE, EACH OTHER LOAN PARTY AND ADMINISTRATIVE AGENT, ON BEHALF OF ITSELF AND THE REQUISITE LENDERS,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(ii) OF THIS SECTION. EACH OF THE PARTIES HERETO HEREBY IRREVOCABLY WAIVES, TO THE FULLEST EXTENT PERMITTED BY APPLICABLE LAW, THE DEFENSE OF AN INCONVENIENT FORUM TO THE MAINTENANCE OF SUCH ACTION OR PROCEEDING IN ANY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5" w:name="page56"/>
    <w:bookmarkEnd w:id="55"/>
    <w:p>
      <w:pPr>
        <w:jc w:val="both"/>
        <w:ind w:left="860" w:right="219" w:firstLine="645"/>
        <w:spacing w:after="0" w:line="257" w:lineRule="auto"/>
        <w:tabs>
          <w:tab w:leader="none" w:pos="2156"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18"/>
          <w:szCs w:val="18"/>
          <w:u w:val="single" w:color="auto"/>
          <w:color w:val="auto"/>
        </w:rPr>
        <w:t>Loan Agreement Governs</w:t>
      </w:r>
      <w:r>
        <w:rPr>
          <w:rFonts w:ascii="Arial" w:cs="Arial" w:eastAsia="Arial" w:hAnsi="Arial"/>
          <w:sz w:val="18"/>
          <w:szCs w:val="18"/>
          <w:color w:val="auto"/>
        </w:rPr>
        <w:t>. Except as expressly set forth herein, this Agreement</w:t>
      </w:r>
      <w:r>
        <w:rPr>
          <w:rFonts w:ascii="Arial" w:cs="Arial" w:eastAsia="Arial" w:hAnsi="Arial"/>
          <w:sz w:val="21"/>
          <w:szCs w:val="21"/>
          <w:color w:val="auto"/>
        </w:rPr>
        <w:t xml:space="preserve"> </w:t>
      </w:r>
      <w:r>
        <w:rPr>
          <w:rFonts w:ascii="Arial" w:cs="Arial" w:eastAsia="Arial" w:hAnsi="Arial"/>
          <w:sz w:val="18"/>
          <w:szCs w:val="18"/>
          <w:color w:val="auto"/>
        </w:rPr>
        <w:t>shall not by implication or otherwise limit, impair, constitute a waiver of or otherwise affect the rights and remedies of any Lender or Administrative Agent under the Existing Loan Agreement or any other Loan Document, and shall not alter, modify, amend or in any way affect any of the terms, conditions, obligations, covenants or agreements contained in the Existing Loan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Second Amended Loan Agreement or any other Loan Document in similar or different circumstances.</w:t>
      </w:r>
    </w:p>
    <w:p>
      <w:pPr>
        <w:spacing w:after="0" w:line="175"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Agreement by facsimile or electronic transmission shall be as effective as delivery of a manually executed counterpart hereof.</w:t>
      </w:r>
    </w:p>
    <w:p>
      <w:pPr>
        <w:spacing w:after="0" w:line="174"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or obligation under this Agreement shall be</w:t>
      </w:r>
      <w:r>
        <w:rPr>
          <w:rFonts w:ascii="Arial" w:cs="Arial" w:eastAsia="Arial" w:hAnsi="Arial"/>
          <w:sz w:val="22"/>
          <w:szCs w:val="22"/>
          <w:color w:val="auto"/>
        </w:rPr>
        <w:t xml:space="preserve"> </w:t>
      </w:r>
      <w:r>
        <w:rPr>
          <w:rFonts w:ascii="Arial" w:cs="Arial" w:eastAsia="Arial" w:hAnsi="Arial"/>
          <w:sz w:val="19"/>
          <w:szCs w:val="19"/>
          <w:color w:val="auto"/>
        </w:rPr>
        <w:t>determined by a court of competent jurisdiction to be invalid, illegal or unenforceable, that provision shall be deemed severed from this Agreement and the validity, legality and enforceability of the remaining provisions or obligations shall remain in full force as though the invalid, illegal, or unenforceable provision had never been a part of this Agreement.</w:t>
      </w:r>
    </w:p>
    <w:p>
      <w:pPr>
        <w:spacing w:after="0" w:line="200"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This Agreement may be executed in one or more</w:t>
      </w:r>
      <w:r>
        <w:rPr>
          <w:rFonts w:ascii="Arial" w:cs="Arial" w:eastAsia="Arial" w:hAnsi="Arial"/>
          <w:sz w:val="21"/>
          <w:szCs w:val="21"/>
          <w:color w:val="auto"/>
        </w:rPr>
        <w:t xml:space="preserve"> </w:t>
      </w:r>
      <w:r>
        <w:rPr>
          <w:rFonts w:ascii="Arial" w:cs="Arial" w:eastAsia="Arial" w:hAnsi="Arial"/>
          <w:sz w:val="18"/>
          <w:szCs w:val="18"/>
          <w:color w:val="auto"/>
        </w:rPr>
        <w:t>counterparts, each of which shall constitute an original and all of which when taken together shall constitute one agreement. The words “execution,” signed,” “signature,” and words of like import in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Each party hereto hereby waives any defenses to the enforcement of the terms of this Agreement based on the form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6" w:name="page57"/>
    <w:bookmarkEnd w:id="56"/>
    <w:p>
      <w:pPr>
        <w:jc w:val="both"/>
        <w:ind w:left="200" w:right="219"/>
        <w:spacing w:after="0" w:line="242" w:lineRule="auto"/>
        <w:rPr>
          <w:sz w:val="20"/>
          <w:szCs w:val="20"/>
          <w:color w:val="auto"/>
        </w:rPr>
      </w:pPr>
      <w:r>
        <w:rPr>
          <w:rFonts w:ascii="Arial" w:cs="Arial" w:eastAsia="Arial" w:hAnsi="Arial"/>
          <w:sz w:val="20"/>
          <w:szCs w:val="20"/>
          <w:color w:val="auto"/>
        </w:rPr>
        <w:t>signature, and hereby agrees that such electronically transmitted or signed signatures shall be conclusive proof, admissible in judicial proceedings, of such party’s execution of this Agreement. Even though the parties agree that electronic signatures are legally enforceable and intended to be effective for all purposes, the signing parties agree if requested by Administrative Agent in its sole discretion to promptly deliver to Administrative Agent the requested original document bearing an original manual signature, to the extent required or advisable to be delivered in connection with any program made available to Administrative Agent or any of its affiliates by the Federal Reserve, U.S. Treasury Department or any other federal or state regulatory body.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7" w:name="page58"/>
    <w:bookmarkEnd w:id="57"/>
    <w:p>
      <w:pPr>
        <w:ind w:left="200" w:right="239" w:firstLine="648"/>
        <w:spacing w:after="0" w:line="266"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have caused this Agreement to be duly executed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as of the date first above written.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AURORA CONVENTION CENTER HOTEL, LLC,</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Fioravanti</w:t>
            </w:r>
          </w:p>
        </w:tc>
      </w:tr>
      <w:tr>
        <w:trPr>
          <w:trHeight w:val="260"/>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3240" w:type="dxa"/>
            <w:vAlign w:val="bottom"/>
          </w:tcPr>
          <w:p>
            <w:pPr>
              <w:spacing w:after="0"/>
              <w:rPr>
                <w:sz w:val="20"/>
                <w:szCs w:val="20"/>
                <w:color w:val="auto"/>
              </w:rPr>
            </w:pPr>
            <w:r>
              <w:rPr>
                <w:rFonts w:ascii="Arial" w:cs="Arial" w:eastAsia="Arial" w:hAnsi="Arial"/>
                <w:sz w:val="20"/>
                <w:szCs w:val="20"/>
                <w:color w:val="auto"/>
              </w:rPr>
              <w:t>Mark Fioravanti</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3240" w:type="dxa"/>
            <w:vAlign w:val="bottom"/>
          </w:tcPr>
          <w:p>
            <w:pPr>
              <w:spacing w:after="0"/>
              <w:rPr>
                <w:sz w:val="20"/>
                <w:szCs w:val="20"/>
                <w:color w:val="auto"/>
              </w:rPr>
            </w:pPr>
            <w:r>
              <w:rPr>
                <w:rFonts w:ascii="Arial" w:cs="Arial" w:eastAsia="Arial" w:hAnsi="Arial"/>
                <w:sz w:val="20"/>
                <w:szCs w:val="20"/>
                <w:color w:val="auto"/>
                <w:w w:val="98"/>
              </w:rPr>
              <w:t>President and Chief Financial Officer</w:t>
            </w:r>
          </w:p>
        </w:tc>
      </w:tr>
    </w:tbl>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OPERATING LESSEE</w:t>
      </w:r>
      <w:r>
        <w:rPr>
          <w:rFonts w:ascii="Arial" w:cs="Arial" w:eastAsia="Arial" w:hAnsi="Arial"/>
          <w:sz w:val="20"/>
          <w:szCs w:val="20"/>
          <w:color w:val="auto"/>
        </w:rPr>
        <w:t>”</w:t>
      </w:r>
    </w:p>
    <w:p>
      <w:pPr>
        <w:spacing w:after="0" w:line="168" w:lineRule="exact"/>
        <w:rPr>
          <w:sz w:val="20"/>
          <w:szCs w:val="20"/>
          <w:color w:val="auto"/>
        </w:rPr>
      </w:pPr>
    </w:p>
    <w:p>
      <w:pPr>
        <w:ind w:left="200" w:right="3839"/>
        <w:spacing w:after="0" w:line="274" w:lineRule="auto"/>
        <w:rPr>
          <w:sz w:val="20"/>
          <w:szCs w:val="20"/>
          <w:color w:val="auto"/>
        </w:rPr>
      </w:pPr>
      <w:r>
        <w:rPr>
          <w:rFonts w:ascii="Arial" w:cs="Arial" w:eastAsia="Arial" w:hAnsi="Arial"/>
          <w:sz w:val="20"/>
          <w:szCs w:val="20"/>
          <w:color w:val="auto"/>
        </w:rPr>
        <w:t>AURORA CONVENTION CENTER HOTEL LESSEE,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20"/>
                <w:szCs w:val="20"/>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Fioravanti</w:t>
            </w:r>
          </w:p>
        </w:tc>
        <w:tc>
          <w:tcPr>
            <w:tcW w:w="4700" w:type="dxa"/>
            <w:vAlign w:val="bottom"/>
          </w:tcPr>
          <w:p>
            <w:pPr>
              <w:spacing w:after="0"/>
              <w:rPr>
                <w:sz w:val="19"/>
                <w:szCs w:val="19"/>
                <w:color w:val="auto"/>
              </w:rPr>
            </w:pPr>
          </w:p>
        </w:tc>
      </w:tr>
      <w:tr>
        <w:trPr>
          <w:trHeight w:val="260"/>
        </w:trPr>
        <w:tc>
          <w:tcPr>
            <w:tcW w:w="660" w:type="dxa"/>
            <w:vAlign w:val="bottom"/>
            <w:gridSpan w:val="2"/>
          </w:tcPr>
          <w:p>
            <w:pPr>
              <w:spacing w:after="0"/>
              <w:rPr>
                <w:sz w:val="20"/>
                <w:szCs w:val="20"/>
                <w:color w:val="auto"/>
              </w:rPr>
            </w:pPr>
            <w:r>
              <w:rPr>
                <w:rFonts w:ascii="Arial" w:cs="Arial" w:eastAsia="Arial" w:hAnsi="Arial"/>
                <w:sz w:val="20"/>
                <w:szCs w:val="20"/>
                <w:color w:val="auto"/>
              </w:rPr>
              <w:t>Name:</w:t>
            </w:r>
          </w:p>
        </w:tc>
        <w:tc>
          <w:tcPr>
            <w:tcW w:w="7940" w:type="dxa"/>
            <w:vAlign w:val="bottom"/>
            <w:gridSpan w:val="2"/>
          </w:tcPr>
          <w:p>
            <w:pPr>
              <w:spacing w:after="0"/>
              <w:rPr>
                <w:sz w:val="20"/>
                <w:szCs w:val="20"/>
                <w:color w:val="auto"/>
              </w:rPr>
            </w:pPr>
            <w:r>
              <w:rPr>
                <w:rFonts w:ascii="Arial" w:cs="Arial" w:eastAsia="Arial" w:hAnsi="Arial"/>
                <w:sz w:val="20"/>
                <w:szCs w:val="20"/>
                <w:color w:val="auto"/>
              </w:rPr>
              <w:t>Mark Fioravanti</w:t>
            </w:r>
          </w:p>
        </w:tc>
      </w:tr>
      <w:tr>
        <w:trPr>
          <w:trHeight w:val="250"/>
        </w:trPr>
        <w:tc>
          <w:tcPr>
            <w:tcW w:w="660" w:type="dxa"/>
            <w:vAlign w:val="bottom"/>
            <w:gridSpan w:val="2"/>
          </w:tcPr>
          <w:p>
            <w:pPr>
              <w:spacing w:after="0"/>
              <w:rPr>
                <w:sz w:val="20"/>
                <w:szCs w:val="20"/>
                <w:color w:val="auto"/>
              </w:rPr>
            </w:pPr>
            <w:r>
              <w:rPr>
                <w:rFonts w:ascii="Arial" w:cs="Arial" w:eastAsia="Arial" w:hAnsi="Arial"/>
                <w:sz w:val="20"/>
                <w:szCs w:val="20"/>
                <w:color w:val="auto"/>
              </w:rPr>
              <w:t>Its:</w:t>
            </w:r>
          </w:p>
        </w:tc>
        <w:tc>
          <w:tcPr>
            <w:tcW w:w="7940" w:type="dxa"/>
            <w:vAlign w:val="bottom"/>
            <w:gridSpan w:val="2"/>
          </w:tcPr>
          <w:p>
            <w:pPr>
              <w:spacing w:after="0"/>
              <w:rPr>
                <w:sz w:val="20"/>
                <w:szCs w:val="20"/>
                <w:color w:val="auto"/>
              </w:rPr>
            </w:pPr>
            <w:r>
              <w:rPr>
                <w:rFonts w:ascii="Arial" w:cs="Arial" w:eastAsia="Arial" w:hAnsi="Arial"/>
                <w:sz w:val="20"/>
                <w:szCs w:val="20"/>
                <w:color w:val="auto"/>
              </w:rPr>
              <w:t>President and Chief Financial Officer</w:t>
            </w:r>
          </w:p>
        </w:tc>
      </w:tr>
      <w:tr>
        <w:trPr>
          <w:trHeight w:val="78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40" w:type="dxa"/>
            <w:vAlign w:val="bottom"/>
            <w:gridSpan w:val="2"/>
          </w:tcPr>
          <w:p>
            <w:pPr>
              <w:ind w:left="1940"/>
              <w:spacing w:after="0"/>
              <w:rPr>
                <w:sz w:val="20"/>
                <w:szCs w:val="20"/>
                <w:color w:val="auto"/>
              </w:rPr>
            </w:pPr>
            <w:r>
              <w:rPr>
                <w:rFonts w:ascii="Arial" w:cs="Arial" w:eastAsia="Arial" w:hAnsi="Arial"/>
                <w:sz w:val="20"/>
                <w:szCs w:val="20"/>
                <w:b w:val="1"/>
                <w:bCs w:val="1"/>
                <w:i w:val="1"/>
                <w:iCs w:val="1"/>
                <w:color w:val="auto"/>
              </w:rPr>
              <w:t>[Signatures Continue on Following Page]</w:t>
            </w:r>
          </w:p>
        </w:tc>
      </w:tr>
      <w:tr>
        <w:trPr>
          <w:trHeight w:val="1326"/>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58" w:name="page59"/>
    <w:bookmarkEnd w:id="58"/>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RYMAN GUARANTOR</w:t>
      </w:r>
      <w:r>
        <w:rPr>
          <w:rFonts w:ascii="Arial" w:cs="Arial" w:eastAsia="Arial" w:hAnsi="Arial"/>
          <w:sz w:val="20"/>
          <w:szCs w:val="20"/>
          <w:color w:val="auto"/>
        </w:rPr>
        <w: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RHP HOTEL PROPERTIES, LP,</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limited partnership</w:t>
      </w:r>
    </w:p>
    <w:p>
      <w:pPr>
        <w:spacing w:after="0" w:line="397"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3400" w:type="dxa"/>
            <w:vAlign w:val="bottom"/>
            <w:gridSpan w:val="3"/>
          </w:tcPr>
          <w:p>
            <w:pPr>
              <w:ind w:left="180"/>
              <w:spacing w:after="0"/>
              <w:rPr>
                <w:sz w:val="20"/>
                <w:szCs w:val="20"/>
                <w:color w:val="auto"/>
              </w:rPr>
            </w:pPr>
            <w:r>
              <w:rPr>
                <w:rFonts w:ascii="Arial" w:cs="Arial" w:eastAsia="Arial" w:hAnsi="Arial"/>
                <w:sz w:val="20"/>
                <w:szCs w:val="20"/>
                <w:color w:val="auto"/>
              </w:rPr>
              <w:t>RHP Partner, LLC,</w:t>
            </w:r>
          </w:p>
        </w:tc>
      </w:tr>
      <w:tr>
        <w:trPr>
          <w:trHeight w:val="243"/>
        </w:trPr>
        <w:tc>
          <w:tcPr>
            <w:tcW w:w="48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0"/>
                <w:szCs w:val="20"/>
                <w:color w:val="auto"/>
                <w:w w:val="99"/>
              </w:rPr>
              <w:t>a Delaware limited liability company,</w:t>
            </w:r>
          </w:p>
        </w:tc>
      </w:tr>
      <w:tr>
        <w:trPr>
          <w:trHeight w:val="250"/>
        </w:trPr>
        <w:tc>
          <w:tcPr>
            <w:tcW w:w="48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0"/>
                <w:szCs w:val="20"/>
                <w:color w:val="auto"/>
              </w:rPr>
              <w:t>as sole general partner</w:t>
            </w:r>
          </w:p>
        </w:tc>
      </w:tr>
      <w:tr>
        <w:trPr>
          <w:trHeight w:val="927"/>
        </w:trPr>
        <w:tc>
          <w:tcPr>
            <w:tcW w:w="4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0"/>
                <w:szCs w:val="20"/>
                <w:color w:val="auto"/>
              </w:rPr>
              <w:t>By:</w:t>
            </w:r>
          </w:p>
        </w:tc>
        <w:tc>
          <w:tcPr>
            <w:tcW w:w="6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Fioravanti</w:t>
            </w:r>
          </w:p>
        </w:tc>
      </w:tr>
      <w:tr>
        <w:trPr>
          <w:trHeight w:val="260"/>
        </w:trPr>
        <w:tc>
          <w:tcPr>
            <w:tcW w:w="4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20"/>
                <w:szCs w:val="20"/>
                <w:color w:val="auto"/>
                <w:w w:val="94"/>
              </w:rPr>
              <w:t>Name:</w:t>
            </w:r>
          </w:p>
        </w:tc>
        <w:tc>
          <w:tcPr>
            <w:tcW w:w="2640" w:type="dxa"/>
            <w:vAlign w:val="bottom"/>
            <w:gridSpan w:val="2"/>
          </w:tcPr>
          <w:p>
            <w:pPr>
              <w:ind w:left="60"/>
              <w:spacing w:after="0"/>
              <w:rPr>
                <w:sz w:val="20"/>
                <w:szCs w:val="20"/>
                <w:color w:val="auto"/>
              </w:rPr>
            </w:pPr>
            <w:r>
              <w:rPr>
                <w:rFonts w:ascii="Arial" w:cs="Arial" w:eastAsia="Arial" w:hAnsi="Arial"/>
                <w:sz w:val="20"/>
                <w:szCs w:val="20"/>
                <w:color w:val="auto"/>
              </w:rPr>
              <w:t>Mark Fioravanti</w:t>
            </w:r>
          </w:p>
        </w:tc>
      </w:tr>
      <w:tr>
        <w:trPr>
          <w:trHeight w:val="250"/>
        </w:trPr>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20"/>
                <w:szCs w:val="20"/>
                <w:color w:val="auto"/>
              </w:rPr>
              <w:t>Title:</w:t>
            </w:r>
          </w:p>
        </w:tc>
        <w:tc>
          <w:tcPr>
            <w:tcW w:w="2640" w:type="dxa"/>
            <w:vAlign w:val="bottom"/>
            <w:gridSpan w:val="2"/>
          </w:tcPr>
          <w:p>
            <w:pPr>
              <w:ind w:left="6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RYMAN HOSPITALITY PROPERTIES, INC.,</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Fioravanti</w:t>
            </w:r>
          </w:p>
        </w:tc>
        <w:tc>
          <w:tcPr>
            <w:tcW w:w="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60"/>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3220" w:type="dxa"/>
            <w:vAlign w:val="bottom"/>
            <w:gridSpan w:val="3"/>
          </w:tcPr>
          <w:p>
            <w:pPr>
              <w:spacing w:after="0"/>
              <w:rPr>
                <w:sz w:val="20"/>
                <w:szCs w:val="20"/>
                <w:color w:val="auto"/>
              </w:rPr>
            </w:pPr>
            <w:r>
              <w:rPr>
                <w:rFonts w:ascii="Arial" w:cs="Arial" w:eastAsia="Arial" w:hAnsi="Arial"/>
                <w:sz w:val="20"/>
                <w:szCs w:val="20"/>
                <w:color w:val="auto"/>
              </w:rPr>
              <w:t>Mark Fioravanti</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3220" w:type="dxa"/>
            <w:vAlign w:val="bottom"/>
            <w:gridSpan w:val="3"/>
          </w:tcPr>
          <w:p>
            <w:pPr>
              <w:spacing w:after="0"/>
              <w:rPr>
                <w:sz w:val="20"/>
                <w:szCs w:val="20"/>
                <w:color w:val="auto"/>
              </w:rPr>
            </w:pPr>
            <w:r>
              <w:rPr>
                <w:rFonts w:ascii="Arial" w:cs="Arial" w:eastAsia="Arial" w:hAnsi="Arial"/>
                <w:sz w:val="20"/>
                <w:szCs w:val="20"/>
                <w:color w:val="auto"/>
                <w:w w:val="98"/>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1119505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59" w:name="page60"/>
    <w:bookmarkEnd w:id="59"/>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w:t>
      </w:r>
      <w:r>
        <w:rPr>
          <w:rFonts w:ascii="Arial" w:cs="Arial" w:eastAsia="Arial" w:hAnsi="Arial"/>
          <w:sz w:val="20"/>
          <w:szCs w:val="20"/>
          <w:color w:val="auto"/>
        </w:rPr>
        <w: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WELLS FARGO BANK, NATIONAL ASSOCIATION,</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as Administrative Agent for itself and on behalf of the Requisite Lenders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Anand J. Jobanputra</w:t>
            </w:r>
          </w:p>
        </w:tc>
        <w:tc>
          <w:tcPr>
            <w:tcW w:w="4720" w:type="dxa"/>
            <w:vAlign w:val="bottom"/>
          </w:tcPr>
          <w:p>
            <w:pPr>
              <w:spacing w:after="0"/>
              <w:rPr>
                <w:sz w:val="19"/>
                <w:szCs w:val="19"/>
                <w:color w:val="auto"/>
              </w:rPr>
            </w:pPr>
          </w:p>
        </w:tc>
      </w:tr>
      <w:tr>
        <w:trPr>
          <w:trHeight w:val="260"/>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7940" w:type="dxa"/>
            <w:vAlign w:val="bottom"/>
            <w:gridSpan w:val="2"/>
          </w:tcPr>
          <w:p>
            <w:pPr>
              <w:spacing w:after="0"/>
              <w:rPr>
                <w:sz w:val="20"/>
                <w:szCs w:val="20"/>
                <w:color w:val="auto"/>
              </w:rPr>
            </w:pPr>
            <w:r>
              <w:rPr>
                <w:rFonts w:ascii="Arial" w:cs="Arial" w:eastAsia="Arial" w:hAnsi="Arial"/>
                <w:sz w:val="20"/>
                <w:szCs w:val="20"/>
                <w:color w:val="auto"/>
              </w:rPr>
              <w:t>Anand. J. Jobanputra</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7940" w:type="dxa"/>
            <w:vAlign w:val="bottom"/>
            <w:gridSpan w:val="2"/>
          </w:tcPr>
          <w:p>
            <w:pPr>
              <w:spacing w:after="0"/>
              <w:rPr>
                <w:sz w:val="20"/>
                <w:szCs w:val="20"/>
                <w:color w:val="auto"/>
              </w:rPr>
            </w:pPr>
            <w:r>
              <w:rPr>
                <w:rFonts w:ascii="Arial" w:cs="Arial" w:eastAsia="Arial" w:hAnsi="Arial"/>
                <w:sz w:val="20"/>
                <w:szCs w:val="20"/>
                <w:color w:val="auto"/>
              </w:rPr>
              <w:t>Managing Director</w:t>
            </w:r>
          </w:p>
        </w:tc>
      </w:tr>
      <w:tr>
        <w:trPr>
          <w:trHeight w:val="557"/>
        </w:trPr>
        <w:tc>
          <w:tcPr>
            <w:tcW w:w="6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60"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PURCHASE AGREEMENT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Joint Venture Interests</w:t>
      </w:r>
    </w:p>
    <w:p>
      <w:pPr>
        <w:spacing w:after="0" w:line="239" w:lineRule="exact"/>
        <w:rPr>
          <w:sz w:val="20"/>
          <w:szCs w:val="20"/>
          <w:color w:val="auto"/>
        </w:rPr>
      </w:pPr>
    </w:p>
    <w:p>
      <w:pPr>
        <w:ind w:left="200" w:right="239" w:firstLine="648"/>
        <w:spacing w:after="0" w:line="308" w:lineRule="auto"/>
        <w:rPr>
          <w:sz w:val="20"/>
          <w:szCs w:val="20"/>
          <w:color w:val="auto"/>
        </w:rPr>
      </w:pPr>
      <w:r>
        <w:rPr>
          <w:rFonts w:ascii="Arial" w:cs="Arial" w:eastAsia="Arial" w:hAnsi="Arial"/>
          <w:sz w:val="19"/>
          <w:szCs w:val="19"/>
          <w:color w:val="auto"/>
        </w:rPr>
        <w:t>This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April 30, 2021, is by and among RHPAHO, LLC, a Delaware limited liability company, and RHPAHP, LLC, a Delaware limited liability company (collectively, the “</w:t>
      </w:r>
      <w:r>
        <w:rPr>
          <w:rFonts w:ascii="Arial" w:cs="Arial" w:eastAsia="Arial" w:hAnsi="Arial"/>
          <w:sz w:val="19"/>
          <w:szCs w:val="19"/>
          <w:u w:val="single" w:color="auto"/>
          <w:color w:val="auto"/>
        </w:rPr>
        <w:t>Purchasers</w:t>
      </w:r>
      <w:r>
        <w:rPr>
          <w:rFonts w:ascii="Arial" w:cs="Arial" w:eastAsia="Arial" w:hAnsi="Arial"/>
          <w:sz w:val="19"/>
          <w:szCs w:val="19"/>
          <w:color w:val="auto"/>
        </w:rPr>
        <w:t>” and each a “</w:t>
      </w:r>
      <w:r>
        <w:rPr>
          <w:rFonts w:ascii="Arial" w:cs="Arial" w:eastAsia="Arial" w:hAnsi="Arial"/>
          <w:sz w:val="19"/>
          <w:szCs w:val="19"/>
          <w:u w:val="single" w:color="auto"/>
          <w:color w:val="auto"/>
        </w:rPr>
        <w:t>Purchaser</w:t>
      </w:r>
      <w:r>
        <w:rPr>
          <w:rFonts w:ascii="Arial" w:cs="Arial" w:eastAsia="Arial" w:hAnsi="Arial"/>
          <w:sz w:val="19"/>
          <w:szCs w:val="19"/>
          <w:color w:val="auto"/>
        </w:rPr>
        <w:t>”), on the one hand, and Aurora Convention Center Hotel Partners, LLC, a Delaware limited liability company (“</w:t>
      </w:r>
      <w:r>
        <w:rPr>
          <w:rFonts w:ascii="Arial" w:cs="Arial" w:eastAsia="Arial" w:hAnsi="Arial"/>
          <w:sz w:val="19"/>
          <w:szCs w:val="19"/>
          <w:u w:val="single" w:color="auto"/>
          <w:color w:val="auto"/>
        </w:rPr>
        <w:t>RIDA</w:t>
      </w:r>
      <w:r>
        <w:rPr>
          <w:rFonts w:ascii="Arial" w:cs="Arial" w:eastAsia="Arial" w:hAnsi="Arial"/>
          <w:sz w:val="19"/>
          <w:szCs w:val="19"/>
          <w:color w:val="auto"/>
        </w:rPr>
        <w:t xml:space="preserve"> </w:t>
      </w:r>
      <w:r>
        <w:rPr>
          <w:rFonts w:ascii="Arial" w:cs="Arial" w:eastAsia="Arial" w:hAnsi="Arial"/>
          <w:sz w:val="19"/>
          <w:szCs w:val="19"/>
          <w:u w:val="single" w:color="auto"/>
          <w:color w:val="auto"/>
        </w:rPr>
        <w:t>Aurora</w:t>
      </w:r>
      <w:r>
        <w:rPr>
          <w:rFonts w:ascii="Arial" w:cs="Arial" w:eastAsia="Arial" w:hAnsi="Arial"/>
          <w:sz w:val="19"/>
          <w:szCs w:val="19"/>
          <w:color w:val="auto"/>
        </w:rPr>
        <w:t>,”), and RIDA Aurora 2018 Acquisition, LLC, a Delaware limited liability company (“</w:t>
      </w:r>
      <w:r>
        <w:rPr>
          <w:rFonts w:ascii="Arial" w:cs="Arial" w:eastAsia="Arial" w:hAnsi="Arial"/>
          <w:sz w:val="19"/>
          <w:szCs w:val="19"/>
          <w:u w:val="single" w:color="auto"/>
          <w:color w:val="auto"/>
        </w:rPr>
        <w:t>RIDA 2018</w:t>
      </w:r>
      <w:r>
        <w:rPr>
          <w:rFonts w:ascii="Arial" w:cs="Arial" w:eastAsia="Arial" w:hAnsi="Arial"/>
          <w:sz w:val="19"/>
          <w:szCs w:val="19"/>
          <w:color w:val="auto"/>
        </w:rPr>
        <w:t>”) (collectively, the “</w:t>
      </w:r>
      <w:r>
        <w:rPr>
          <w:rFonts w:ascii="Arial" w:cs="Arial" w:eastAsia="Arial" w:hAnsi="Arial"/>
          <w:sz w:val="19"/>
          <w:szCs w:val="19"/>
          <w:u w:val="single" w:color="auto"/>
          <w:color w:val="auto"/>
        </w:rPr>
        <w:t>Sellers</w:t>
      </w:r>
      <w:r>
        <w:rPr>
          <w:rFonts w:ascii="Arial" w:cs="Arial" w:eastAsia="Arial" w:hAnsi="Arial"/>
          <w:sz w:val="19"/>
          <w:szCs w:val="19"/>
          <w:color w:val="auto"/>
        </w:rPr>
        <w:t>” and each a “</w:t>
      </w:r>
      <w:r>
        <w:rPr>
          <w:rFonts w:ascii="Arial" w:cs="Arial" w:eastAsia="Arial" w:hAnsi="Arial"/>
          <w:sz w:val="19"/>
          <w:szCs w:val="19"/>
          <w:u w:val="single" w:color="auto"/>
          <w:color w:val="auto"/>
        </w:rPr>
        <w:t>Seller</w:t>
      </w:r>
      <w:r>
        <w:rPr>
          <w:rFonts w:ascii="Arial" w:cs="Arial" w:eastAsia="Arial" w:hAnsi="Arial"/>
          <w:sz w:val="19"/>
          <w:szCs w:val="19"/>
          <w:color w:val="auto"/>
        </w:rPr>
        <w:t>”), on the other hand.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left="200" w:right="279" w:firstLine="657"/>
        <w:spacing w:after="0" w:line="305" w:lineRule="auto"/>
        <w:tabs>
          <w:tab w:leader="none" w:pos="1496" w:val="left"/>
        </w:tabs>
        <w:numPr>
          <w:ilvl w:val="0"/>
          <w:numId w:val="34"/>
        </w:numPr>
        <w:rPr>
          <w:rFonts w:ascii="Arial" w:cs="Arial" w:eastAsia="Arial" w:hAnsi="Arial"/>
          <w:sz w:val="19"/>
          <w:szCs w:val="19"/>
          <w:color w:val="auto"/>
        </w:rPr>
      </w:pPr>
      <w:r>
        <w:rPr>
          <w:rFonts w:ascii="Arial" w:cs="Arial" w:eastAsia="Arial" w:hAnsi="Arial"/>
          <w:sz w:val="19"/>
          <w:szCs w:val="19"/>
          <w:color w:val="auto"/>
        </w:rPr>
        <w:t>Sellers are direct members of each of Aurora Convention Center Hotel Investors, LLC (“</w:t>
      </w:r>
      <w:r>
        <w:rPr>
          <w:rFonts w:ascii="Arial" w:cs="Arial" w:eastAsia="Arial" w:hAnsi="Arial"/>
          <w:sz w:val="19"/>
          <w:szCs w:val="19"/>
          <w:u w:val="single" w:color="auto"/>
          <w:color w:val="auto"/>
        </w:rPr>
        <w:t>Propco Joint Venture</w:t>
      </w:r>
      <w:r>
        <w:rPr>
          <w:rFonts w:ascii="Arial" w:cs="Arial" w:eastAsia="Arial" w:hAnsi="Arial"/>
          <w:sz w:val="19"/>
          <w:szCs w:val="19"/>
          <w:color w:val="auto"/>
        </w:rPr>
        <w:t>”), a joint venture that owns indirectly through a wholly owned subsidiary, the Gaylord Rockies Resort and Convention Center hotel and convention center development in Aurora, Colorado (the “</w:t>
      </w:r>
      <w:r>
        <w:rPr>
          <w:rFonts w:ascii="Arial" w:cs="Arial" w:eastAsia="Arial" w:hAnsi="Arial"/>
          <w:sz w:val="19"/>
          <w:szCs w:val="19"/>
          <w:u w:val="single" w:color="auto"/>
          <w:color w:val="auto"/>
        </w:rPr>
        <w:t>Investment</w:t>
      </w:r>
      <w:r>
        <w:rPr>
          <w:rFonts w:ascii="Arial" w:cs="Arial" w:eastAsia="Arial" w:hAnsi="Arial"/>
          <w:sz w:val="19"/>
          <w:szCs w:val="19"/>
          <w:color w:val="auto"/>
        </w:rPr>
        <w:t>”), and Aurora Convention Center Hotel Lessee Holdco, LLC (“</w:t>
      </w:r>
      <w:r>
        <w:rPr>
          <w:rFonts w:ascii="Arial" w:cs="Arial" w:eastAsia="Arial" w:hAnsi="Arial"/>
          <w:sz w:val="19"/>
          <w:szCs w:val="19"/>
          <w:u w:val="single" w:color="auto"/>
          <w:color w:val="auto"/>
        </w:rPr>
        <w:t>Opco Joint Venture</w:t>
      </w:r>
      <w:r>
        <w:rPr>
          <w:rFonts w:ascii="Arial" w:cs="Arial" w:eastAsia="Arial" w:hAnsi="Arial"/>
          <w:sz w:val="19"/>
          <w:szCs w:val="19"/>
          <w:color w:val="auto"/>
        </w:rPr>
        <w:t>”), a joint venture that leases, indirectly through a wholly owned subsidiary, the Investment (collectively with the Propco Joint Venture, the “</w:t>
      </w:r>
      <w:r>
        <w:rPr>
          <w:rFonts w:ascii="Arial" w:cs="Arial" w:eastAsia="Arial" w:hAnsi="Arial"/>
          <w:sz w:val="19"/>
          <w:szCs w:val="19"/>
          <w:u w:val="single" w:color="auto"/>
          <w:color w:val="auto"/>
        </w:rPr>
        <w:t>Joint Ventures</w:t>
      </w:r>
      <w:r>
        <w:rPr>
          <w:rFonts w:ascii="Arial" w:cs="Arial" w:eastAsia="Arial" w:hAnsi="Arial"/>
          <w:sz w:val="19"/>
          <w:szCs w:val="19"/>
          <w:color w:val="auto"/>
        </w:rPr>
        <w:t>” and each, a “</w:t>
      </w:r>
      <w:r>
        <w:rPr>
          <w:rFonts w:ascii="Arial" w:cs="Arial" w:eastAsia="Arial" w:hAnsi="Arial"/>
          <w:sz w:val="19"/>
          <w:szCs w:val="19"/>
          <w:u w:val="single" w:color="auto"/>
          <w:color w:val="auto"/>
        </w:rPr>
        <w:t>Joint Venture</w:t>
      </w:r>
      <w:r>
        <w:rPr>
          <w:rFonts w:ascii="Arial" w:cs="Arial" w:eastAsia="Arial" w:hAnsi="Arial"/>
          <w:sz w:val="19"/>
          <w:szCs w:val="19"/>
          <w:color w:val="auto"/>
        </w:rPr>
        <w:t>”), and Sellers own the respective membership interests in each of the Joint Ventures as set forth on Annex B (collectively, the “Purchased Interests”).</w:t>
      </w:r>
    </w:p>
    <w:p>
      <w:pPr>
        <w:spacing w:after="0" w:line="154" w:lineRule="exact"/>
        <w:rPr>
          <w:rFonts w:ascii="Arial" w:cs="Arial" w:eastAsia="Arial" w:hAnsi="Arial"/>
          <w:sz w:val="19"/>
          <w:szCs w:val="19"/>
          <w:color w:val="auto"/>
        </w:rPr>
      </w:pPr>
    </w:p>
    <w:p>
      <w:pPr>
        <w:ind w:left="200" w:right="459" w:firstLine="657"/>
        <w:spacing w:after="0" w:line="276" w:lineRule="auto"/>
        <w:tabs>
          <w:tab w:leader="none" w:pos="14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RHPAHP, LLC is a member of the Propco Joint Venture, and RHPAHO, LLC is a member of the Opco Joint Venture.</w:t>
      </w:r>
    </w:p>
    <w:p>
      <w:pPr>
        <w:spacing w:after="0" w:line="174" w:lineRule="exact"/>
        <w:rPr>
          <w:rFonts w:ascii="Arial" w:cs="Arial" w:eastAsia="Arial" w:hAnsi="Arial"/>
          <w:sz w:val="22"/>
          <w:szCs w:val="22"/>
          <w:color w:val="auto"/>
        </w:rPr>
      </w:pPr>
    </w:p>
    <w:p>
      <w:pPr>
        <w:ind w:left="200" w:right="399" w:firstLine="657"/>
        <w:spacing w:after="0" w:line="298" w:lineRule="auto"/>
        <w:tabs>
          <w:tab w:leader="none" w:pos="1496"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parties hereto desire to enter into this Agreement to set forth the timing, terms and conditions of the sale of all of Sellers’ ownership interest in the Propco Joint Venture to RHPAHP, LLC and the sale of all of the Sellers’ ownership interest in the Opco Joint Venture to</w:t>
      </w:r>
    </w:p>
    <w:p>
      <w:pPr>
        <w:ind w:left="200"/>
        <w:spacing w:after="0"/>
        <w:rPr>
          <w:rFonts w:ascii="Arial" w:cs="Arial" w:eastAsia="Arial" w:hAnsi="Arial"/>
          <w:sz w:val="19"/>
          <w:szCs w:val="19"/>
          <w:color w:val="auto"/>
        </w:rPr>
      </w:pPr>
      <w:r>
        <w:rPr>
          <w:rFonts w:ascii="Arial" w:cs="Arial" w:eastAsia="Arial" w:hAnsi="Arial"/>
          <w:sz w:val="22"/>
          <w:szCs w:val="22"/>
          <w:color w:val="auto"/>
        </w:rPr>
        <w:t>RHPAHO,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left="200" w:right="279" w:firstLine="648"/>
        <w:spacing w:after="0" w:line="358" w:lineRule="auto"/>
        <w:rPr>
          <w:sz w:val="20"/>
          <w:szCs w:val="20"/>
          <w:color w:val="auto"/>
        </w:rPr>
      </w:pPr>
      <w:r>
        <w:rPr>
          <w:rFonts w:ascii="Arial" w:cs="Arial" w:eastAsia="Arial" w:hAnsi="Arial"/>
          <w:sz w:val="19"/>
          <w:szCs w:val="19"/>
          <w:color w:val="auto"/>
        </w:rPr>
        <w:t>NOW, THEREFORE, in consideration of the foregoing and the mutual covenants and agreements hereinafter set forth, the parties, intended to be legally bound, hereby agree as follows: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left="200" w:right="299" w:firstLine="648"/>
        <w:spacing w:after="0" w:line="276" w:lineRule="auto"/>
        <w:rPr>
          <w:sz w:val="20"/>
          <w:szCs w:val="20"/>
          <w:color w:val="auto"/>
        </w:rPr>
      </w:pPr>
      <w:r>
        <w:rPr>
          <w:rFonts w:ascii="Arial" w:cs="Arial" w:eastAsia="Arial" w:hAnsi="Arial"/>
          <w:sz w:val="22"/>
          <w:szCs w:val="22"/>
          <w:color w:val="auto"/>
        </w:rPr>
        <w:t>For purposes of this Agreement, terms have the meanings specified or referred to in Annex A or as defined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SALE AND TRANSFER OF PURCHASED INTERESTS; CLOSING</w:t>
      </w:r>
    </w:p>
    <w:p>
      <w:pPr>
        <w:spacing w:after="0" w:line="202" w:lineRule="exact"/>
        <w:rPr>
          <w:sz w:val="20"/>
          <w:szCs w:val="20"/>
          <w:color w:val="auto"/>
        </w:rPr>
      </w:pPr>
    </w:p>
    <w:p>
      <w:pPr>
        <w:ind w:left="200" w:right="279" w:firstLine="648"/>
        <w:spacing w:after="0" w:line="343"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Sale and Transfer of Purchased Interests</w:t>
      </w:r>
      <w:r>
        <w:rPr>
          <w:rFonts w:ascii="Arial" w:cs="Arial" w:eastAsia="Arial" w:hAnsi="Arial"/>
          <w:sz w:val="19"/>
          <w:szCs w:val="19"/>
          <w:color w:val="auto"/>
        </w:rPr>
        <w:t>. Subject to the terms and conditions of this Agreement, at the Closing, Sellers shall sell and transfer the Purchased Interests to Purchasers.</w:t>
      </w:r>
    </w:p>
    <w:p>
      <w:pPr>
        <w:spacing w:after="0" w:line="104" w:lineRule="exact"/>
        <w:rPr>
          <w:sz w:val="20"/>
          <w:szCs w:val="20"/>
          <w:color w:val="auto"/>
        </w:rPr>
      </w:pPr>
    </w:p>
    <w:p>
      <w:pPr>
        <w:jc w:val="both"/>
        <w:ind w:left="200" w:right="319" w:firstLine="648"/>
        <w:spacing w:after="0" w:line="302"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Purchase Price</w:t>
      </w:r>
      <w:r>
        <w:rPr>
          <w:rFonts w:ascii="Arial" w:cs="Arial" w:eastAsia="Arial" w:hAnsi="Arial"/>
          <w:sz w:val="19"/>
          <w:szCs w:val="19"/>
          <w:color w:val="auto"/>
        </w:rPr>
        <w:t>. At the Closing, the Purchase Price for the Purchased Interests shall be paid by wire transfer to Sellers by Purchasers. Sellers may direct Purchasers to wire portions of the Purchase Price into two separate accounts maintained by each Seller, in amounts based on the relative percentages of Purchased Interests owned by each Seller as set forth on Annex B.</w:t>
      </w:r>
    </w:p>
    <w:p>
      <w:pPr>
        <w:spacing w:after="0" w:line="142"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Closing</w:t>
      </w:r>
      <w:r>
        <w:rPr>
          <w:rFonts w:ascii="Arial" w:cs="Arial" w:eastAsia="Arial" w:hAnsi="Arial"/>
          <w:sz w:val="19"/>
          <w:szCs w:val="19"/>
          <w:color w:val="auto"/>
        </w:rPr>
        <w:t>. The closing of the purchase and sale of the Purchased Interests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w:t>
      </w:r>
      <w:r>
        <w:rPr>
          <w:rFonts w:ascii="Arial" w:cs="Arial" w:eastAsia="Arial" w:hAnsi="Arial"/>
          <w:sz w:val="19"/>
          <w:szCs w:val="19"/>
          <w:color w:val="auto"/>
        </w:rPr>
        <w:t>”) contemplated by this Agreement will take place at 10:00 a.m. (Central Time) on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later of (i) May 7, 2021; or (ii) the third Business Day following the day on which the last of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21"/>
          <w:szCs w:val="21"/>
          <w:color w:val="auto"/>
        </w:rPr>
        <w:t>conditions to the obligations of the parties hereto set forth in Article VI is satisfied or waived</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(other than those conditions that, by their nature, may only be satisfied at the Closing, but subject</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to the satisfaction or waiver of those conditions) or at such other time and day as the parties may</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mutually agree (such date that the Closing is to occur,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202" w:lineRule="exact"/>
        <w:rPr>
          <w:sz w:val="20"/>
          <w:szCs w:val="20"/>
          <w:color w:val="auto"/>
        </w:rPr>
      </w:pPr>
    </w:p>
    <w:p>
      <w:pPr>
        <w:ind w:left="200" w:right="219" w:firstLine="648"/>
        <w:spacing w:after="0" w:line="284"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Closing Deliveries</w:t>
      </w:r>
      <w:r>
        <w:rPr>
          <w:rFonts w:ascii="Arial" w:cs="Arial" w:eastAsia="Arial" w:hAnsi="Arial"/>
          <w:sz w:val="19"/>
          <w:szCs w:val="19"/>
          <w:color w:val="auto"/>
        </w:rPr>
        <w:t>. In addition to any other documents to be delivered under other provisions of this Agreement, at the Closing, (a) Purchasers, as provided in Section 2.2, shall pay to the Sellers the Purchase Price by wire transfer of immediately available funds to an account designated by Sellers; (b) Sellers shall deliver to Purchasers one or more Assignments of Membership Interests executed by the applicable Seller in respect of the Purchased Interests; (c) the parties to the Ancillary Agreements shall execute and deliver the Ancillary Agreements (and each party hereto is responsible for delivering the applicable agreements properly executed by its Affiliates); (d) Sellers shall deliver to Purchasers resignations of personnel that are employed by or otherwise affiliated with Sellers or Affiliates from any and all positions as officers, board members or agents of the Joint Ventures and/or the Subsidiaries or any organizations, boards or districts or similar bodies related to the development, entitlements, financing, public incentives, or other entity related to the Investment (and shall assist the Purchasers in notifying any relevant third parties of such changes, removing signatories to bank accounts, and other similar matters, at Closing and thereafter); (e) Sellers shall each deliver to Purchasers (and any assignee) a duly executed IRS Form W-9; (f) Sellers shall deliver to Purchasers all records pertaining to the development and construction of the Investment in the possession or Sellers or any Affiliate, including those described on Annex C; (g) the parties or their Affiliates will deliver a letter agreement pertaining to the completion of certain offsite improvements in the form agreed by the parties on the date hereof, dated the Closing Date; and (h) Sellers and Purchasers shall each deliver such other documents, assignments and other instruments of assignment, transfer or conveyance, as the Purchasers or the Sellers, respectively, reasonably request in order to effect the transactions contemplated by this Agreement. With respect to the deliveries required by Section 2.4(f), Sellers will not be in breach for failure to deliver a document at Closing if Purchasers or any of their affiliates previously received a copy of the document, and Sellers will not be in breach unless a document that Sellers failed to deliver is material to the development or construction of the Investment or the proposed expansion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2" w:name="page63"/>
    <w:bookmarkEnd w:id="62"/>
    <w:p>
      <w:pPr>
        <w:ind w:left="200" w:right="439" w:firstLine="648"/>
        <w:spacing w:after="0" w:line="294"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Withholding</w:t>
      </w:r>
      <w:r>
        <w:rPr>
          <w:rFonts w:ascii="Arial" w:cs="Arial" w:eastAsia="Arial" w:hAnsi="Arial"/>
          <w:sz w:val="19"/>
          <w:szCs w:val="19"/>
          <w:color w:val="auto"/>
        </w:rPr>
        <w:t>. Purchasers shall be entitled to deduct and withhold from the consideration payable hereunder such amounts as they are required to deduct and withhold under applicable Legal Requirements, provided that prior to Closing, Purchasers shall notify Sellers if they have determined that such withholding is required and reasonably consult with Sellers regarding same. Any such amounts so withheld and paid over to the applicable Governmental Body shall be treated for all purposes of this Agreement as having been paid to the Sellers.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 OF SELLERS</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Sellers hereby make, jointly and severally, the representations and warranties set forth in</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Sections 3.1, 3.2, 3.3, 3.4 and 3.5 to Purchasers:</w:t>
      </w:r>
    </w:p>
    <w:p>
      <w:pPr>
        <w:spacing w:after="0" w:line="229" w:lineRule="exact"/>
        <w:rPr>
          <w:sz w:val="20"/>
          <w:szCs w:val="20"/>
          <w:color w:val="auto"/>
        </w:rPr>
      </w:pPr>
    </w:p>
    <w:p>
      <w:pPr>
        <w:ind w:left="200" w:right="259" w:firstLine="648"/>
        <w:spacing w:after="0" w:line="263"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Organization and Good Standing</w:t>
      </w:r>
      <w:r>
        <w:rPr>
          <w:rFonts w:ascii="Arial" w:cs="Arial" w:eastAsia="Arial" w:hAnsi="Arial"/>
          <w:sz w:val="21"/>
          <w:szCs w:val="21"/>
          <w:color w:val="auto"/>
        </w:rPr>
        <w:t>. Each Seller is a limited liability company duly organized, validly existing and in good standing under the laws of the state of Delaware and has the requisite corporate or other entity power and authority under the laws of the state of Delaware to carry on its business as it is now being conducted and to execute and deliver this Agreement and to consummate the transactions contemplated hereby.</w:t>
      </w:r>
    </w:p>
    <w:p>
      <w:pPr>
        <w:spacing w:after="0" w:line="175" w:lineRule="exact"/>
        <w:rPr>
          <w:sz w:val="20"/>
          <w:szCs w:val="20"/>
          <w:color w:val="auto"/>
        </w:rPr>
      </w:pPr>
    </w:p>
    <w:p>
      <w:pPr>
        <w:ind w:left="200" w:right="259" w:firstLine="648"/>
        <w:spacing w:after="0" w:line="290"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Authority</w:t>
      </w:r>
      <w:r>
        <w:rPr>
          <w:rFonts w:ascii="Arial" w:cs="Arial" w:eastAsia="Arial" w:hAnsi="Arial"/>
          <w:sz w:val="19"/>
          <w:szCs w:val="19"/>
          <w:color w:val="auto"/>
        </w:rPr>
        <w:t>. The execution, delivery and performance by Sellers of their respective obligations of this Agreement and the consummation of the transactions contemplated hereby have been duly and validly authorized by or on behalf of each Seller and no other corporate or entity proceedings on the part of Seller or any Affiliate are necessary to authorize this Agreement or to consummate the transactions contemplated hereby. This Agreement has been duly executed and delivered by Sellers and assuming due power and authority of, and due execution and delivery by, Purchasers, constitutes a valid and binding obligation of each Seller, enforceable against Sellers in accordance with its terms, subject to the Bankruptcy and Equity Exception.</w:t>
      </w:r>
    </w:p>
    <w:p>
      <w:pPr>
        <w:spacing w:after="0" w:line="156" w:lineRule="exact"/>
        <w:rPr>
          <w:sz w:val="20"/>
          <w:szCs w:val="20"/>
          <w:color w:val="auto"/>
        </w:rPr>
      </w:pPr>
    </w:p>
    <w:p>
      <w:pPr>
        <w:ind w:left="200" w:right="259" w:firstLine="648"/>
        <w:spacing w:after="0" w:line="28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No Conflict</w:t>
      </w:r>
      <w:r>
        <w:rPr>
          <w:rFonts w:ascii="Arial" w:cs="Arial" w:eastAsia="Arial" w:hAnsi="Arial"/>
          <w:sz w:val="19"/>
          <w:szCs w:val="19"/>
          <w:color w:val="auto"/>
        </w:rPr>
        <w:t>. The execution and delivery of this Agreement by Sellers do not and the consummation by Sellers of the transactions contemplated hereby will not (a) conflict with or violate any provision of the certificate of formation or limited liability company agreement (or comparable governance documents) of Seller or any Affiliate or (b) assuming that the Lender Documents (as hereinafter defined) are finalized and delivered in escrow and the Marriott Consent (as hereinafter defined) has been obtained, (i) violate, conflict with, result in the loss of any benefit under, constitute a default (or an event which, with notice or lapse of time, or both, would constitute a default) under, give rise to a right of termination under, or result in the creation of any Lien upon any of the respective properties or assets of a Seller or any Affiliate owner of a Seller under, any Contract to which a Seller or any Affiliate owner is a party, or by which it or any of its properties or assets are bound or affected or (ii) conflict with or violate any Legal Requirements applicable to a Seller or any Affiliate owner.</w:t>
      </w:r>
    </w:p>
    <w:p>
      <w:pPr>
        <w:spacing w:after="0" w:line="200" w:lineRule="exact"/>
        <w:rPr>
          <w:sz w:val="20"/>
          <w:szCs w:val="20"/>
          <w:color w:val="auto"/>
        </w:rPr>
      </w:pPr>
    </w:p>
    <w:p>
      <w:pPr>
        <w:spacing w:after="0" w:line="220" w:lineRule="exact"/>
        <w:rPr>
          <w:sz w:val="20"/>
          <w:szCs w:val="20"/>
          <w:color w:val="auto"/>
        </w:rPr>
      </w:pPr>
    </w:p>
    <w:p>
      <w:pPr>
        <w:ind w:left="200" w:right="359" w:firstLine="648"/>
        <w:spacing w:after="0" w:line="294"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Capitalization at Closing Date; No Liens, Etc.</w:t>
      </w:r>
      <w:r>
        <w:rPr>
          <w:rFonts w:ascii="Arial" w:cs="Arial" w:eastAsia="Arial" w:hAnsi="Arial"/>
          <w:sz w:val="19"/>
          <w:szCs w:val="19"/>
          <w:color w:val="auto"/>
        </w:rPr>
        <w:t xml:space="preserve"> As of the date hereof and the Closing Date, Sellers are the sole members and owners of record, respectively, of the Purchased Interests as set forth on Annex B and own such Purchased Interests free and clear of any Liens. Upon Sellers’ delivery to Purchasers of the Assignments of Membership Interests and payment of the Purchase Price, Purchasers shall acquire valid title to the Purchased Interests, free and clear of any Liens. Neither Seller nor any Affiliate of Sellers holds title to any assets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3" w:name="page64"/>
    <w:bookmarkEnd w:id="63"/>
    <w:p>
      <w:pPr>
        <w:ind w:left="200" w:right="239"/>
        <w:spacing w:after="0" w:line="263" w:lineRule="auto"/>
        <w:rPr>
          <w:sz w:val="20"/>
          <w:szCs w:val="20"/>
          <w:color w:val="auto"/>
        </w:rPr>
      </w:pPr>
      <w:r>
        <w:rPr>
          <w:rFonts w:ascii="Arial" w:cs="Arial" w:eastAsia="Arial" w:hAnsi="Arial"/>
          <w:sz w:val="22"/>
          <w:szCs w:val="22"/>
          <w:color w:val="auto"/>
        </w:rPr>
        <w:t>used in the Joint Ventures or Subsidiaries or is a party to any contract with the Joint Ventures or the Subsidiaries.</w:t>
      </w:r>
    </w:p>
    <w:p>
      <w:pPr>
        <w:spacing w:after="0" w:line="175" w:lineRule="exact"/>
        <w:rPr>
          <w:sz w:val="20"/>
          <w:szCs w:val="20"/>
          <w:color w:val="auto"/>
        </w:rPr>
      </w:pPr>
    </w:p>
    <w:p>
      <w:pPr>
        <w:ind w:left="200" w:right="399" w:firstLine="648"/>
        <w:spacing w:after="0" w:line="261"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Construction Close-out</w:t>
      </w:r>
      <w:r>
        <w:rPr>
          <w:rFonts w:ascii="Arial" w:cs="Arial" w:eastAsia="Arial" w:hAnsi="Arial"/>
          <w:sz w:val="21"/>
          <w:szCs w:val="21"/>
          <w:color w:val="auto"/>
        </w:rPr>
        <w:t>. Sellers or their Affiliates have provided services with respect to the development and construction of the Investment, including the close-out of the construction payments to third parties, and settlement of any disputes. To Sellers’ knowledge, no third party (affiliated or otherwise) has any claim to payment in connection with the development or construction (or proposed expansion) of the Investment, asserted or unasserted. To Sellers’ knowledge, no payment is in arrears or in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 OF PURCHASERS</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Purchasers jointly and severally represent and warrant to the Sellers as follows:</w:t>
      </w:r>
    </w:p>
    <w:p>
      <w:pPr>
        <w:spacing w:after="0" w:line="233" w:lineRule="exact"/>
        <w:rPr>
          <w:sz w:val="20"/>
          <w:szCs w:val="20"/>
          <w:color w:val="auto"/>
        </w:rPr>
      </w:pPr>
    </w:p>
    <w:p>
      <w:pPr>
        <w:ind w:left="200" w:right="379" w:firstLine="648"/>
        <w:spacing w:after="0" w:line="24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Each Purchaser is a limited liability company duly organized, validly existing and in good standing under the laws of the State of Delaware and has the requisite power and authority under the laws of Delaware to carry on its business as it is now being conducted and to execute and deliver this Agreement and to consummate the transactions contemplated hereby.</w:t>
      </w:r>
    </w:p>
    <w:p>
      <w:pPr>
        <w:spacing w:after="0" w:line="192" w:lineRule="exact"/>
        <w:rPr>
          <w:sz w:val="20"/>
          <w:szCs w:val="20"/>
          <w:color w:val="auto"/>
        </w:rPr>
      </w:pPr>
    </w:p>
    <w:p>
      <w:pPr>
        <w:ind w:left="200" w:right="259" w:firstLine="648"/>
        <w:spacing w:after="0" w:line="29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Authority</w:t>
      </w:r>
      <w:r>
        <w:rPr>
          <w:rFonts w:ascii="Arial" w:cs="Arial" w:eastAsia="Arial" w:hAnsi="Arial"/>
          <w:sz w:val="19"/>
          <w:szCs w:val="19"/>
          <w:color w:val="auto"/>
        </w:rPr>
        <w:t>. The execution, delivery and performance by such Purchaser of its obligations of this Agreement and the consummation of the transactions contemplated hereby have been duly and validly authorized by such Purchaser, and no other corporate or entity proceedings on the part of such Purchaser are necessary to authorize this Agreement or to consummate the transactions contemplated hereby. This Agreement has been duly executed and delivered by such Purchaser, and assuming due power and authority of, and due execution and delivery by, Sellers, constitutes a valid and binding obligation of such Purchaser, enforceable against the Purchaser in accordance with its terms, subject to the Bankruptcy and Equity Exception.</w:t>
      </w:r>
    </w:p>
    <w:p>
      <w:pPr>
        <w:spacing w:after="0" w:line="156" w:lineRule="exact"/>
        <w:rPr>
          <w:sz w:val="20"/>
          <w:szCs w:val="20"/>
          <w:color w:val="auto"/>
        </w:rPr>
      </w:pPr>
    </w:p>
    <w:p>
      <w:pPr>
        <w:ind w:left="200" w:right="339" w:firstLine="648"/>
        <w:spacing w:after="0" w:line="28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No Conflict</w:t>
      </w:r>
      <w:r>
        <w:rPr>
          <w:rFonts w:ascii="Arial" w:cs="Arial" w:eastAsia="Arial" w:hAnsi="Arial"/>
          <w:sz w:val="19"/>
          <w:szCs w:val="19"/>
          <w:color w:val="auto"/>
        </w:rPr>
        <w:t>. The execution and delivery of this Agreement by such Purchaser does not and the consummation such Purchaser of the transactions contemplated hereby will not (a) conflict with or violate any provision of the certificate of formation or limited liability company agreement (or comparable governance documents) of such Purchaser or (b) assuming that the Lender Documents (as hereinafter defined) are finalized and delivered in escrow and the Marriott Consent (as hereinafter defined) has been obtained, (i) violate, conflict with, result in the loss of any benefit under, constitute a default (or an event which, with notice or lapse of time, or both, would constitute a default) under, give rise to a right of termination under, or result in the creation of any Lien upon any of the respective properties or assets of either Purchaser under, any Contract to which such Purchaser is a party, or by which it or any of its properties or assets are bound or affected or (ii) conflict with or violate any Legal Requirements applicable to such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614680</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COVENANTS OF SELLERS AND PURCHASERS</w:t>
      </w:r>
    </w:p>
    <w:p>
      <w:pPr>
        <w:spacing w:after="0" w:line="202" w:lineRule="exact"/>
        <w:rPr>
          <w:sz w:val="20"/>
          <w:szCs w:val="20"/>
          <w:color w:val="auto"/>
        </w:rPr>
      </w:pPr>
    </w:p>
    <w:p>
      <w:pPr>
        <w:ind w:left="200" w:right="219" w:firstLine="648"/>
        <w:spacing w:after="0" w:line="28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Conduct of Business</w:t>
      </w:r>
      <w:r>
        <w:rPr>
          <w:rFonts w:ascii="Arial" w:cs="Arial" w:eastAsia="Arial" w:hAnsi="Arial"/>
          <w:sz w:val="19"/>
          <w:szCs w:val="19"/>
          <w:color w:val="auto"/>
        </w:rPr>
        <w:t>. Between the date of this Agreement and the Closing Date, except as consented to in writing in advance by the other party or as otherwise specifically required by this Agreement, each party shall, and shall cause each Joint Venture and each of their respective Subsidiaries to, carry on its business in the ordinary course consistent in all material respects with past practice and the Joint Venture Agreements. In addition to and without limiting the generality of the foregoing, between the date of this Agreement and the Closing Date, except as specifically required or contemplated by this Agreement (i) none of the Joint Ventures nor any party hereto shall, nor shall they permit any of their respective Subsidiaries to, without each other parties’ prior written consent, take any action that would constitute a Major Decision under either of the Joint Venture Agreements that has not been approved prior to the date hereof, (ii) neither Sellers nor any Subsidiary of Sellers shall suffer any Lien on the Purchased Interests and (iii) the Joint Ventures shall not make any capital calls on members.</w:t>
      </w:r>
    </w:p>
    <w:p>
      <w:pPr>
        <w:spacing w:after="0" w:line="159" w:lineRule="exact"/>
        <w:rPr>
          <w:sz w:val="20"/>
          <w:szCs w:val="20"/>
          <w:color w:val="auto"/>
        </w:rPr>
      </w:pPr>
    </w:p>
    <w:p>
      <w:pPr>
        <w:ind w:left="200" w:right="239" w:firstLine="648"/>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Governmental Filings</w:t>
      </w:r>
      <w:r>
        <w:rPr>
          <w:rFonts w:ascii="Arial" w:cs="Arial" w:eastAsia="Arial" w:hAnsi="Arial"/>
          <w:sz w:val="22"/>
          <w:szCs w:val="22"/>
          <w:color w:val="auto"/>
        </w:rPr>
        <w:t>. Between the date of this Agreement and the Closing Date, each party shall use its reasonable efforts to obtain all consents and approvals of any Governmental Body and other Persons required to be obtained in connection with the consummation of the transactions contemplated hereby prior to the Closing (if any).</w:t>
      </w:r>
    </w:p>
    <w:p>
      <w:pPr>
        <w:spacing w:after="0" w:line="188" w:lineRule="exact"/>
        <w:rPr>
          <w:sz w:val="20"/>
          <w:szCs w:val="20"/>
          <w:color w:val="auto"/>
        </w:rPr>
      </w:pPr>
    </w:p>
    <w:p>
      <w:pPr>
        <w:ind w:left="200" w:right="219" w:firstLine="648"/>
        <w:spacing w:after="0" w:line="31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Reasonable Efforts</w:t>
      </w:r>
      <w:r>
        <w:rPr>
          <w:rFonts w:ascii="Arial" w:cs="Arial" w:eastAsia="Arial" w:hAnsi="Arial"/>
          <w:sz w:val="19"/>
          <w:szCs w:val="19"/>
          <w:color w:val="auto"/>
        </w:rPr>
        <w:t>. Upon the terms and subject to the conditions set forth in this Agreement, between the date of this Agreement and the Closing, each party shall use its reasonable efforts to take, or cause to be taken, all actions to cause the conditions in Article VI to be satisfied.</w:t>
      </w:r>
    </w:p>
    <w:p>
      <w:pPr>
        <w:spacing w:after="0" w:line="133" w:lineRule="exact"/>
        <w:rPr>
          <w:sz w:val="20"/>
          <w:szCs w:val="20"/>
          <w:color w:val="auto"/>
        </w:rPr>
      </w:pPr>
    </w:p>
    <w:p>
      <w:pPr>
        <w:ind w:left="200" w:right="239" w:firstLine="648"/>
        <w:spacing w:after="0" w:line="285"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Public Announcements</w:t>
      </w:r>
      <w:r>
        <w:rPr>
          <w:rFonts w:ascii="Arial" w:cs="Arial" w:eastAsia="Arial" w:hAnsi="Arial"/>
          <w:sz w:val="19"/>
          <w:szCs w:val="19"/>
          <w:color w:val="auto"/>
        </w:rPr>
        <w:t xml:space="preserve">. Sellers and Purchasers may issue separate press releases announcing this Agreement and the transactions contemplated hereby, which press releases shall describe the Agreement and the transactions contemplated hereby in a manner reasonably satisfactory to the other parties. Following such initial press releases and prior to the Closing, the parties shall consult with each other before issuing, and give each other the opportunity to review and comment upon, any press release or other public statements or statements to employees or independent contractors of either party with respect to the transactions contemplated hereby and shall not issue any such press release or make any such public statement prior to such consultation, except as such party may reasonably conclude may be required by applicable Legal Requirements or by obligations pursuant to any listing agreement with any national securities exchange;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restrictions set forth in this Section 5.4 shall not apply to any release or public statement (a) that is generally consistent with prior statements or (b) in connection with any dispute between the parties regarding this Agreement or the transactions contemplated hereby. Sellers shall keep all information of the Joint Ventures, Purchasers and the Subsidiaries confidential, and, Purchasers shall keep all information of the Sellers confidential, except as required by law with respect to the public company disclosures of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5" w:name="page66"/>
    <w:bookmarkEnd w:id="65"/>
    <w:p>
      <w:pPr>
        <w:ind w:left="200" w:right="379"/>
        <w:spacing w:after="0" w:line="263" w:lineRule="auto"/>
        <w:rPr>
          <w:sz w:val="20"/>
          <w:szCs w:val="20"/>
          <w:color w:val="auto"/>
        </w:rPr>
      </w:pPr>
      <w:r>
        <w:rPr>
          <w:rFonts w:ascii="Arial" w:cs="Arial" w:eastAsia="Arial" w:hAnsi="Arial"/>
          <w:sz w:val="22"/>
          <w:szCs w:val="22"/>
          <w:color w:val="auto"/>
        </w:rPr>
        <w:t>Affiliates. Each of Sellers and Purchasers will cause their respective Affiliates to comply with the foregoing.</w:t>
      </w:r>
    </w:p>
    <w:p>
      <w:pPr>
        <w:spacing w:after="0" w:line="17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20" w:lineRule="exact"/>
        <w:rPr>
          <w:sz w:val="20"/>
          <w:szCs w:val="20"/>
          <w:color w:val="auto"/>
        </w:rPr>
      </w:pPr>
    </w:p>
    <w:p>
      <w:pPr>
        <w:ind w:left="200" w:right="359" w:firstLine="1305"/>
        <w:spacing w:after="0" w:line="290" w:lineRule="auto"/>
        <w:tabs>
          <w:tab w:leader="none" w:pos="2144"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sales, use, transfer, filing, recording, ad valorem, documentary, gains, gross receipts, registration, conveyance, excise, license, stamp, duties or similar taxes or fees, together with any interest, additions or penalties with respect thereto and any interest in respect of such additions or penalties (“</w:t>
      </w:r>
      <w:r>
        <w:rPr>
          <w:rFonts w:ascii="Arial" w:cs="Arial" w:eastAsia="Arial" w:hAnsi="Arial"/>
          <w:sz w:val="19"/>
          <w:szCs w:val="19"/>
          <w:u w:val="single" w:color="auto"/>
          <w:color w:val="auto"/>
        </w:rPr>
        <w:t>Transfer Taxes</w:t>
      </w:r>
      <w:r>
        <w:rPr>
          <w:rFonts w:ascii="Arial" w:cs="Arial" w:eastAsia="Arial" w:hAnsi="Arial"/>
          <w:sz w:val="19"/>
          <w:szCs w:val="19"/>
          <w:color w:val="auto"/>
        </w:rPr>
        <w:t>”) incurred in connection with the consummation of the transactions contemplated by this Agreement shall be borne by the Sellers. Any Tax Returns that must be filed with respect to any Transfer Taxes incurred in connection with the consummation of the transactions contemplated by this Agreement shall be prepared and filed when due by the Sellers unless otherwise required by applicable Legal Requirements.</w:t>
      </w:r>
    </w:p>
    <w:p>
      <w:pPr>
        <w:spacing w:after="0" w:line="155" w:lineRule="exact"/>
        <w:rPr>
          <w:rFonts w:ascii="Arial" w:cs="Arial" w:eastAsia="Arial" w:hAnsi="Arial"/>
          <w:sz w:val="19"/>
          <w:szCs w:val="19"/>
          <w:color w:val="auto"/>
        </w:rPr>
      </w:pPr>
    </w:p>
    <w:p>
      <w:pPr>
        <w:ind w:left="200" w:right="239" w:firstLine="1305"/>
        <w:spacing w:after="0" w:line="288" w:lineRule="auto"/>
        <w:tabs>
          <w:tab w:leader="none" w:pos="2198"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U.S. federal income tax purposes, the parties shall treat the purchase and sale of the Purchased Interests in accordance with IRS Revenue Ruling 99-6, 1999-1 C.B. 432 (Situation 1), pursuant to which, as to Sellers, Sellers are treated as selling partnership interests in the Joint Ventures to the applicable Purchaser in transactions described in Section 741 of the Code resulting in terminations of the Joint Ventures pursuant to Section 708(b)(1)(A) of the Code and, as to Purchasers, as deemed liquidating distributions of the assets of the Joint Ventures (subject to the applicable Joint Venture’s liabilities) to the applicable Purchasers and Sellers in liquidation of the Joint Ventures, followed immediately by the purchase by Purchasers from Sellers of the assets so deemed distributed to the Sellers and the assumption of any liabilities deemed assumed by Sellers in such deemed liquidations.</w:t>
      </w:r>
    </w:p>
    <w:p>
      <w:pPr>
        <w:spacing w:after="0" w:line="159" w:lineRule="exact"/>
        <w:rPr>
          <w:rFonts w:ascii="Arial" w:cs="Arial" w:eastAsia="Arial" w:hAnsi="Arial"/>
          <w:sz w:val="19"/>
          <w:szCs w:val="19"/>
          <w:color w:val="auto"/>
        </w:rPr>
      </w:pPr>
    </w:p>
    <w:p>
      <w:pPr>
        <w:ind w:left="200" w:right="239" w:firstLine="1305"/>
        <w:spacing w:after="0" w:line="285" w:lineRule="auto"/>
        <w:tabs>
          <w:tab w:leader="none" w:pos="2144" w:val="left"/>
        </w:tabs>
        <w:numPr>
          <w:ilvl w:val="0"/>
          <w:numId w:val="35"/>
        </w:numPr>
        <w:rPr>
          <w:rFonts w:ascii="Arial" w:cs="Arial" w:eastAsia="Arial" w:hAnsi="Arial"/>
          <w:sz w:val="19"/>
          <w:szCs w:val="19"/>
          <w:color w:val="auto"/>
        </w:rPr>
      </w:pPr>
      <w:r>
        <w:rPr>
          <w:rFonts w:ascii="Arial" w:cs="Arial" w:eastAsia="Arial" w:hAnsi="Arial"/>
          <w:sz w:val="19"/>
          <w:szCs w:val="19"/>
          <w:color w:val="auto"/>
        </w:rPr>
        <w:t>Purchasers shall deliver to Sellers within thirty (30) days following the Closing Date a schedule that allocates the Purchase Price (as determined for U.S. federal income tax purposes) between the Purchased Interests, and further among the classes of assets of each Joint Venture in accordance with the principles set forth in Section 1060 of the Code (the “</w:t>
      </w:r>
      <w:r>
        <w:rPr>
          <w:rFonts w:ascii="Arial" w:cs="Arial" w:eastAsia="Arial" w:hAnsi="Arial"/>
          <w:sz w:val="19"/>
          <w:szCs w:val="19"/>
          <w:u w:val="single" w:color="auto"/>
          <w:color w:val="auto"/>
        </w:rPr>
        <w:t>Proposed Purchase Price Allocation</w:t>
      </w:r>
      <w:r>
        <w:rPr>
          <w:rFonts w:ascii="Arial" w:cs="Arial" w:eastAsia="Arial" w:hAnsi="Arial"/>
          <w:sz w:val="19"/>
          <w:szCs w:val="19"/>
          <w:color w:val="auto"/>
        </w:rPr>
        <w:t>”). If, within thirty (30) days of Purchasers’ delivery of the Proposed Purchase Price Allocation to Sellers, Sellers notifies Purchasers that Sellers object to the Proposed Purchase Price Allocation (an “</w:t>
      </w:r>
      <w:r>
        <w:rPr>
          <w:rFonts w:ascii="Arial" w:cs="Arial" w:eastAsia="Arial" w:hAnsi="Arial"/>
          <w:sz w:val="19"/>
          <w:szCs w:val="19"/>
          <w:u w:val="single" w:color="auto"/>
          <w:color w:val="auto"/>
        </w:rPr>
        <w:t>Allocation Notice</w:t>
      </w:r>
      <w:r>
        <w:rPr>
          <w:rFonts w:ascii="Arial" w:cs="Arial" w:eastAsia="Arial" w:hAnsi="Arial"/>
          <w:sz w:val="19"/>
          <w:szCs w:val="19"/>
          <w:color w:val="auto"/>
        </w:rPr>
        <w:t>”), then Sellers and Purchasers shall negotiate in good faith to resolve such disputes within thirty (30) days of delivery of the Allocation Notice. If following good faith negotiation of such disputes, Sellers and Purchasers are unable to agree on the Proposed Purchase Price Allocation, then Purchasers and Sellers shall promptly cause a nationally recognized accounting firm mutually agreeable by the Parties (the “</w:t>
      </w:r>
      <w:r>
        <w:rPr>
          <w:rFonts w:ascii="Arial" w:cs="Arial" w:eastAsia="Arial" w:hAnsi="Arial"/>
          <w:sz w:val="19"/>
          <w:szCs w:val="19"/>
          <w:u w:val="single" w:color="auto"/>
          <w:color w:val="auto"/>
        </w:rPr>
        <w:t>Tax Referee</w:t>
      </w:r>
      <w:r>
        <w:rPr>
          <w:rFonts w:ascii="Arial" w:cs="Arial" w:eastAsia="Arial" w:hAnsi="Arial"/>
          <w:sz w:val="19"/>
          <w:szCs w:val="19"/>
          <w:color w:val="auto"/>
        </w:rPr>
        <w:t>”) to resolve any remaining disputes. All fees and expenses relating to any work to be performed by the Tax Referee pursuant to this Section 5.5(c) shall be borne equally by Sellers, on the one hand, and Purchasers, on the other hand. The Proposed Purchase Price Allocation, if no Allocation Notice has been delivered or as adjusted pursuant to any agreement between Sellers and Purchasers or determination by the Tax Referee (the “</w:t>
      </w:r>
      <w:r>
        <w:rPr>
          <w:rFonts w:ascii="Arial" w:cs="Arial" w:eastAsia="Arial" w:hAnsi="Arial"/>
          <w:sz w:val="19"/>
          <w:szCs w:val="19"/>
          <w:u w:val="single" w:color="auto"/>
          <w:color w:val="auto"/>
        </w:rPr>
        <w:t>Final Allocation</w:t>
      </w:r>
      <w:r>
        <w:rPr>
          <w:rFonts w:ascii="Arial" w:cs="Arial" w:eastAsia="Arial" w:hAnsi="Arial"/>
          <w:sz w:val="19"/>
          <w:szCs w:val="19"/>
          <w:color w:val="auto"/>
        </w:rPr>
        <w:t>”) shall be conclusive and binding on the Parties absent manifest error. Sellers shall not, and shall cause its Affiliates not to, and Purchasers shall not, and shall cause its Affiliates not to, take any position inconsistent with the Final Allocation on any Tax Return or in any Tax Proceeding, except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312420</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6" w:name="page67"/>
    <w:bookmarkEnd w:id="66"/>
    <w:p>
      <w:pPr>
        <w:ind w:left="200" w:right="559"/>
        <w:spacing w:after="0" w:line="343" w:lineRule="auto"/>
        <w:rPr>
          <w:sz w:val="20"/>
          <w:szCs w:val="20"/>
          <w:color w:val="auto"/>
        </w:rPr>
      </w:pPr>
      <w:r>
        <w:rPr>
          <w:rFonts w:ascii="Arial" w:cs="Arial" w:eastAsia="Arial" w:hAnsi="Arial"/>
          <w:sz w:val="19"/>
          <w:szCs w:val="19"/>
          <w:color w:val="auto"/>
        </w:rPr>
        <w:t xml:space="preserve">result of </w:t>
      </w:r>
      <w:r>
        <w:rPr>
          <w:rFonts w:ascii="Arial" w:cs="Arial" w:eastAsia="Arial" w:hAnsi="Arial"/>
          <w:sz w:val="19"/>
          <w:szCs w:val="19"/>
          <w:color w:val="060606"/>
        </w:rPr>
        <w:t>any audit adjustment by, or closing agreement with, the Internal Revenue Service</w:t>
      </w:r>
      <w:r>
        <w:rPr>
          <w:rFonts w:ascii="Arial" w:cs="Arial" w:eastAsia="Arial" w:hAnsi="Arial"/>
          <w:sz w:val="19"/>
          <w:szCs w:val="19"/>
          <w:color w:val="auto"/>
        </w:rPr>
        <w:t xml:space="preserve"> or as required by a decision, judgment, decree or other order by any court of competent jurisdiction.</w:t>
      </w:r>
    </w:p>
    <w:p>
      <w:pPr>
        <w:spacing w:after="0" w:line="104" w:lineRule="exact"/>
        <w:rPr>
          <w:sz w:val="20"/>
          <w:szCs w:val="20"/>
          <w:color w:val="auto"/>
        </w:rPr>
      </w:pPr>
    </w:p>
    <w:p>
      <w:pPr>
        <w:ind w:left="200" w:right="299" w:firstLine="1305"/>
        <w:spacing w:after="0" w:line="294" w:lineRule="auto"/>
        <w:tabs>
          <w:tab w:leader="none" w:pos="21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Purchasers and Sellers shall cooperate fully, as and to the extent reasonably requested by the other party, in connection with the preparation and filing of any Tax Return (or amendment thereto) and any audit, claim, investigation, examination, litigation or other proceeding with respect to Taxes (each a “</w:t>
      </w:r>
      <w:r>
        <w:rPr>
          <w:rFonts w:ascii="Arial" w:cs="Arial" w:eastAsia="Arial" w:hAnsi="Arial"/>
          <w:sz w:val="19"/>
          <w:szCs w:val="19"/>
          <w:u w:val="single" w:color="auto"/>
          <w:color w:val="auto"/>
        </w:rPr>
        <w:t>Tax Contest</w:t>
      </w:r>
      <w:r>
        <w:rPr>
          <w:rFonts w:ascii="Arial" w:cs="Arial" w:eastAsia="Arial" w:hAnsi="Arial"/>
          <w:sz w:val="19"/>
          <w:szCs w:val="19"/>
          <w:color w:val="auto"/>
        </w:rPr>
        <w:t>”). Such cooperation shall include the retention (and upon any other party’s request) the provision of records and information which are reasonably relevant to any such Tax Return or Tax Contest.</w:t>
      </w:r>
    </w:p>
    <w:p>
      <w:pPr>
        <w:spacing w:after="0" w:line="149" w:lineRule="exact"/>
        <w:rPr>
          <w:rFonts w:ascii="Arial" w:cs="Arial" w:eastAsia="Arial" w:hAnsi="Arial"/>
          <w:sz w:val="19"/>
          <w:szCs w:val="19"/>
          <w:color w:val="auto"/>
        </w:rPr>
      </w:pPr>
    </w:p>
    <w:p>
      <w:pPr>
        <w:ind w:left="200" w:right="239" w:firstLine="1305"/>
        <w:spacing w:after="0" w:line="286" w:lineRule="auto"/>
        <w:tabs>
          <w:tab w:leader="none" w:pos="21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Purchasers shall give prompt notice to the Sellers of any and all notices received from the IRS (or any other taxing authority) concerning the income Tax Returns of a Joint Venture for any tax period ending on or prior to the Closing Date, including any notice of audit or administrative proceeding, any notice of action with respect to a revenue agent’s report, any notice of a 30-day appeal letter and any notice of a deficiency in tax concerning such Tax Returns. The Purchasers shall furnish the Sellers with status reports regarding any negotiation between the IRS (or other taxing authority with respect to income taxes) and the Joint Ventures promptly after any material new development. To the extent any issues raised in any such Tax Contest could materially and adversely affect the Sellers disproportionately, the Purchasers shall (A) consult with the Sellers through the course of such Tax Contest and select counsel reasonably acceptable to the Sellers, (B) to the extent allowable by law, afford Sellers the opportunity to participate in such Tax Contest with counsel of its choosing at its own expense and (C) not settle or otherwise compromise any issue in any such Tax Contest without the prior approval of the Sellers (not to be unreasonably withheld, conditioned or delayed).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CONDITIONS TO CLOSING</w:t>
      </w:r>
    </w:p>
    <w:p>
      <w:pPr>
        <w:spacing w:after="0" w:line="202" w:lineRule="exact"/>
        <w:rPr>
          <w:sz w:val="20"/>
          <w:szCs w:val="20"/>
          <w:color w:val="auto"/>
        </w:rPr>
      </w:pPr>
    </w:p>
    <w:p>
      <w:pPr>
        <w:ind w:left="200" w:right="279" w:firstLine="648"/>
        <w:spacing w:after="0" w:line="25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Mutual Conditions to Closing</w:t>
      </w:r>
      <w:r>
        <w:rPr>
          <w:rFonts w:ascii="Arial" w:cs="Arial" w:eastAsia="Arial" w:hAnsi="Arial"/>
          <w:sz w:val="22"/>
          <w:szCs w:val="22"/>
          <w:color w:val="auto"/>
        </w:rPr>
        <w:t>. The respective obligations of the Sellers and Purchasers to consummate the transactions contemplated hereby shall be subject to the satisfaction or waiver at or prior to the Closing of each of the following conditions:</w:t>
      </w:r>
    </w:p>
    <w:p>
      <w:pPr>
        <w:spacing w:after="0" w:line="185" w:lineRule="exact"/>
        <w:rPr>
          <w:sz w:val="20"/>
          <w:szCs w:val="20"/>
          <w:color w:val="auto"/>
        </w:rPr>
      </w:pPr>
    </w:p>
    <w:p>
      <w:pPr>
        <w:ind w:left="200" w:right="239" w:firstLine="1305"/>
        <w:spacing w:after="0" w:line="302" w:lineRule="auto"/>
        <w:tabs>
          <w:tab w:leader="none" w:pos="2144"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 Restraints</w:t>
      </w:r>
      <w:r>
        <w:rPr>
          <w:rFonts w:ascii="Arial" w:cs="Arial" w:eastAsia="Arial" w:hAnsi="Arial"/>
          <w:sz w:val="19"/>
          <w:szCs w:val="19"/>
          <w:color w:val="auto"/>
        </w:rPr>
        <w:t>. No Legal Requirement shall have been enacted, promulgated, or enforced since the date of this Agreement, and no Order shall be outstanding against the Sellers and Purchasers, or any of their respective Affiliates, which enjoins, restrains, or prohibits this Agreement or the consummation of the transactions contemplated hereby.</w:t>
      </w:r>
    </w:p>
    <w:p>
      <w:pPr>
        <w:spacing w:after="0" w:line="142" w:lineRule="exact"/>
        <w:rPr>
          <w:rFonts w:ascii="Arial" w:cs="Arial" w:eastAsia="Arial" w:hAnsi="Arial"/>
          <w:sz w:val="19"/>
          <w:szCs w:val="19"/>
          <w:color w:val="auto"/>
        </w:rPr>
      </w:pPr>
    </w:p>
    <w:p>
      <w:pPr>
        <w:ind w:left="200" w:right="299" w:firstLine="1305"/>
        <w:spacing w:after="0" w:line="246" w:lineRule="auto"/>
        <w:tabs>
          <w:tab w:leader="none" w:pos="214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Guarantees</w:t>
      </w:r>
      <w:r>
        <w:rPr>
          <w:rFonts w:ascii="Arial" w:cs="Arial" w:eastAsia="Arial" w:hAnsi="Arial"/>
          <w:sz w:val="22"/>
          <w:szCs w:val="22"/>
          <w:color w:val="auto"/>
        </w:rPr>
        <w:t>. The Joint Ventures and the Subsidiaries shall not be in default under the Loan Agreement, the applicable affiliate of Sellers shall have received a release from Lenders of its guarantee as contemplated by Section 9.15(d) of the Loan Agreement and an Affiliate of Purchasers shall have entered into a new guarantee as contemplated by Section 9.15(d) of the Loan Agreement, effective no later than the Closing, in a form reasonably agreed to by the parties hereto, and approved by the agent lender under the Loan Agreement (the “</w:t>
      </w:r>
      <w:r>
        <w:rPr>
          <w:rFonts w:ascii="Arial" w:cs="Arial" w:eastAsia="Arial" w:hAnsi="Arial"/>
          <w:sz w:val="22"/>
          <w:szCs w:val="22"/>
          <w:u w:val="single" w:color="auto"/>
          <w:color w:val="auto"/>
        </w:rPr>
        <w:t>Lender</w:t>
      </w:r>
      <w:r>
        <w:rPr>
          <w:rFonts w:ascii="Arial" w:cs="Arial" w:eastAsia="Arial" w:hAnsi="Arial"/>
          <w:sz w:val="22"/>
          <w:szCs w:val="22"/>
          <w:color w:val="auto"/>
        </w:rPr>
        <w:t xml:space="preserve"> </w:t>
      </w:r>
      <w:r>
        <w:rPr>
          <w:rFonts w:ascii="Arial" w:cs="Arial" w:eastAsia="Arial" w:hAnsi="Arial"/>
          <w:sz w:val="22"/>
          <w:szCs w:val="22"/>
          <w:u w:val="single" w:color="auto"/>
          <w:color w:val="auto"/>
        </w:rPr>
        <w:t>Documents</w:t>
      </w:r>
      <w:r>
        <w:rPr>
          <w:rFonts w:ascii="Arial" w:cs="Arial" w:eastAsia="Arial" w:hAnsi="Arial"/>
          <w:sz w:val="22"/>
          <w:szCs w:val="22"/>
          <w:color w:val="auto"/>
        </w:rPr>
        <w:t>”).</w:t>
      </w:r>
    </w:p>
    <w:p>
      <w:pPr>
        <w:spacing w:after="0" w:line="196" w:lineRule="exact"/>
        <w:rPr>
          <w:rFonts w:ascii="Arial" w:cs="Arial" w:eastAsia="Arial" w:hAnsi="Arial"/>
          <w:sz w:val="22"/>
          <w:szCs w:val="22"/>
          <w:color w:val="auto"/>
        </w:rPr>
      </w:pPr>
    </w:p>
    <w:p>
      <w:pPr>
        <w:ind w:left="200" w:right="419" w:firstLine="1305"/>
        <w:spacing w:after="0" w:line="312" w:lineRule="auto"/>
        <w:tabs>
          <w:tab w:leader="none" w:pos="2144"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Compliance with Management Agreement; Consent</w:t>
      </w:r>
      <w:r>
        <w:rPr>
          <w:rFonts w:ascii="Arial" w:cs="Arial" w:eastAsia="Arial" w:hAnsi="Arial"/>
          <w:sz w:val="19"/>
          <w:szCs w:val="19"/>
          <w:color w:val="auto"/>
        </w:rPr>
        <w:t>. As of the Closing, no person shall be in default under the Management Agreement and Marriott Hotel Services, LLC shall have consented to the transactions contemplated hereby (the “</w:t>
      </w:r>
      <w:r>
        <w:rPr>
          <w:rFonts w:ascii="Arial" w:cs="Arial" w:eastAsia="Arial" w:hAnsi="Arial"/>
          <w:sz w:val="19"/>
          <w:szCs w:val="19"/>
          <w:u w:val="single" w:color="auto"/>
          <w:color w:val="auto"/>
        </w:rPr>
        <w:t>Marriott Consent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7" w:name="page68"/>
    <w:bookmarkEnd w:id="67"/>
    <w:p>
      <w:pPr>
        <w:ind w:left="200" w:right="279" w:firstLine="1305"/>
        <w:spacing w:after="0" w:line="286" w:lineRule="auto"/>
        <w:tabs>
          <w:tab w:leader="none" w:pos="2144"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Ancillary Agreements</w:t>
      </w:r>
      <w:r>
        <w:rPr>
          <w:rFonts w:ascii="Arial" w:cs="Arial" w:eastAsia="Arial" w:hAnsi="Arial"/>
          <w:sz w:val="19"/>
          <w:szCs w:val="19"/>
          <w:color w:val="auto"/>
        </w:rPr>
        <w:t>. Purchasers and Sellers (and any Affiliates) shall have executed and delivered the Ancillary Agreements, each of which shall be in form satisfactory to each party in their sole but reasonable discretion (subject, however, to Section 5.3), and each party thereto shall have delivered its and its Affiliates’ signatures thereto in escrow.</w:t>
      </w:r>
    </w:p>
    <w:p>
      <w:pPr>
        <w:spacing w:after="0" w:line="2" w:lineRule="exact"/>
        <w:rPr>
          <w:rFonts w:ascii="Arial" w:cs="Arial" w:eastAsia="Arial" w:hAnsi="Arial"/>
          <w:sz w:val="19"/>
          <w:szCs w:val="19"/>
          <w:color w:val="auto"/>
        </w:rPr>
      </w:pPr>
    </w:p>
    <w:p>
      <w:pPr>
        <w:ind w:left="200" w:right="779" w:firstLine="648"/>
        <w:spacing w:after="0" w:line="302" w:lineRule="auto"/>
        <w:rPr>
          <w:rFonts w:ascii="Arial" w:cs="Arial" w:eastAsia="Arial" w:hAnsi="Arial"/>
          <w:sz w:val="19"/>
          <w:szCs w:val="19"/>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Conditions to Obligations of Purchasers</w:t>
      </w:r>
      <w:r>
        <w:rPr>
          <w:rFonts w:ascii="Arial" w:cs="Arial" w:eastAsia="Arial" w:hAnsi="Arial"/>
          <w:sz w:val="19"/>
          <w:szCs w:val="19"/>
          <w:color w:val="auto"/>
        </w:rPr>
        <w:t>. The obligations of Purchasers to consummate the transactions contemplated hereby shall also be subject to the satisfaction (or waiver by Purchasers) at or prior to the Closing of each of the following conditions:</w:t>
      </w:r>
    </w:p>
    <w:p>
      <w:pPr>
        <w:spacing w:after="0" w:line="143" w:lineRule="exact"/>
        <w:rPr>
          <w:sz w:val="20"/>
          <w:szCs w:val="20"/>
          <w:color w:val="auto"/>
        </w:rPr>
      </w:pPr>
    </w:p>
    <w:p>
      <w:pPr>
        <w:ind w:left="200" w:right="259" w:firstLine="1305"/>
        <w:spacing w:after="0" w:line="302" w:lineRule="auto"/>
        <w:tabs>
          <w:tab w:leader="none" w:pos="2144"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of the representations and warranties of the Sellers shall be true and correct as of the date hereof and as of the Closing Date as though made on the Closing Date (except that representations and warranties that are made as of a specific date must be true and correct as though made on such date).</w:t>
      </w:r>
    </w:p>
    <w:p>
      <w:pPr>
        <w:spacing w:after="0" w:line="142" w:lineRule="exact"/>
        <w:rPr>
          <w:rFonts w:ascii="Arial" w:cs="Arial" w:eastAsia="Arial" w:hAnsi="Arial"/>
          <w:sz w:val="19"/>
          <w:szCs w:val="19"/>
          <w:color w:val="auto"/>
        </w:rPr>
      </w:pPr>
    </w:p>
    <w:p>
      <w:pPr>
        <w:ind w:left="200" w:right="339" w:firstLine="1305"/>
        <w:spacing w:after="0" w:line="247" w:lineRule="auto"/>
        <w:tabs>
          <w:tab w:leader="none" w:pos="2144"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xml:space="preserve">. The Sellers shall have performed and complied with all covenants, obligations and agreements required by this Agreement to be performed or complied with by the Sellers on or prior to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Sellers’ delivery of IRS Forms W-9 shall not be a condition to Closing and in the event Sellers fail to deliver such forms, Purchasers’ sole recourse shall be to withhold from the Purchase Price in accordance with Section 2.7.</w:t>
      </w:r>
    </w:p>
    <w:p>
      <w:pPr>
        <w:spacing w:after="0" w:line="192" w:lineRule="exact"/>
        <w:rPr>
          <w:rFonts w:ascii="Arial" w:cs="Arial" w:eastAsia="Arial" w:hAnsi="Arial"/>
          <w:sz w:val="22"/>
          <w:szCs w:val="22"/>
          <w:color w:val="auto"/>
        </w:rPr>
      </w:pPr>
    </w:p>
    <w:p>
      <w:pPr>
        <w:ind w:left="200" w:right="459" w:firstLine="1305"/>
        <w:spacing w:after="0" w:line="291" w:lineRule="auto"/>
        <w:tabs>
          <w:tab w:leader="none" w:pos="2144"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Seller Compliance Certificate</w:t>
      </w:r>
      <w:r>
        <w:rPr>
          <w:rFonts w:ascii="Arial" w:cs="Arial" w:eastAsia="Arial" w:hAnsi="Arial"/>
          <w:sz w:val="19"/>
          <w:szCs w:val="19"/>
          <w:color w:val="auto"/>
        </w:rPr>
        <w:t>. Purchasers shall have received, as of the Closing Date, a certificate executed by Sellers that the conditions set forth in Sections 6.2(a) and</w:t>
      </w:r>
    </w:p>
    <w:p>
      <w:pPr>
        <w:spacing w:after="0" w:line="1" w:lineRule="exact"/>
        <w:rPr>
          <w:rFonts w:ascii="Arial" w:cs="Arial" w:eastAsia="Arial" w:hAnsi="Arial"/>
          <w:sz w:val="19"/>
          <w:szCs w:val="19"/>
          <w:color w:val="auto"/>
        </w:rPr>
      </w:pPr>
    </w:p>
    <w:p>
      <w:pPr>
        <w:ind w:left="520" w:hanging="311"/>
        <w:spacing w:after="0"/>
        <w:tabs>
          <w:tab w:leader="none" w:pos="5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have been satisfied as of the Closing Date (“</w:t>
      </w:r>
      <w:r>
        <w:rPr>
          <w:rFonts w:ascii="Arial" w:cs="Arial" w:eastAsia="Arial" w:hAnsi="Arial"/>
          <w:sz w:val="22"/>
          <w:szCs w:val="22"/>
          <w:u w:val="single" w:color="auto"/>
          <w:color w:val="auto"/>
        </w:rPr>
        <w:t>Seller Compliance Certificate</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200" w:right="439" w:firstLine="1305"/>
        <w:spacing w:after="0" w:line="253" w:lineRule="auto"/>
        <w:tabs>
          <w:tab w:leader="none" w:pos="2144"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Condition of Investment</w:t>
      </w:r>
      <w:r>
        <w:rPr>
          <w:rFonts w:ascii="Arial" w:cs="Arial" w:eastAsia="Arial" w:hAnsi="Arial"/>
          <w:sz w:val="22"/>
          <w:szCs w:val="22"/>
          <w:color w:val="auto"/>
        </w:rPr>
        <w:t>. Since the date of this Agreement and prior to the LLC Closing, the Investment shall not have suffered a Material Casualty loss that adversely impacts the operation of the Investment (a “</w:t>
      </w:r>
      <w:r>
        <w:rPr>
          <w:rFonts w:ascii="Arial" w:cs="Arial" w:eastAsia="Arial" w:hAnsi="Arial"/>
          <w:sz w:val="22"/>
          <w:szCs w:val="22"/>
          <w:u w:val="single" w:color="auto"/>
          <w:color w:val="auto"/>
        </w:rPr>
        <w:t>Casualty</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200" w:right="379" w:firstLine="1305"/>
        <w:spacing w:after="0" w:line="312" w:lineRule="auto"/>
        <w:tabs>
          <w:tab w:leader="none" w:pos="2144"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w:t>
      </w:r>
      <w:r>
        <w:rPr>
          <w:rFonts w:ascii="Arial" w:cs="Arial" w:eastAsia="Arial" w:hAnsi="Arial"/>
          <w:sz w:val="19"/>
          <w:szCs w:val="19"/>
          <w:color w:val="auto"/>
        </w:rPr>
        <w:t>. Between the date of this Agreement and the Closing, no material adverse change in the financial condition, business, operations, assets or liabilities of and in respect of the Investment, shall have occurred and be continuing.</w:t>
      </w:r>
    </w:p>
    <w:p>
      <w:pPr>
        <w:spacing w:after="0" w:line="133" w:lineRule="exact"/>
        <w:rPr>
          <w:sz w:val="20"/>
          <w:szCs w:val="20"/>
          <w:color w:val="auto"/>
        </w:rPr>
      </w:pPr>
    </w:p>
    <w:p>
      <w:pPr>
        <w:ind w:left="200" w:right="779" w:firstLine="648"/>
        <w:spacing w:after="0" w:line="31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Conditions to Obligations of the Sellers</w:t>
      </w:r>
      <w:r>
        <w:rPr>
          <w:rFonts w:ascii="Arial" w:cs="Arial" w:eastAsia="Arial" w:hAnsi="Arial"/>
          <w:sz w:val="19"/>
          <w:szCs w:val="19"/>
          <w:color w:val="auto"/>
        </w:rPr>
        <w:t>. The obligations of the Sellers to consummate the transactions contemplated hereby shall also be subject to the satisfaction (or waiver by the Sellers) at or prior to the Closing of each of the following conditions:</w:t>
      </w:r>
    </w:p>
    <w:p>
      <w:pPr>
        <w:spacing w:after="0" w:line="133" w:lineRule="exact"/>
        <w:rPr>
          <w:sz w:val="20"/>
          <w:szCs w:val="20"/>
          <w:color w:val="auto"/>
        </w:rPr>
      </w:pPr>
    </w:p>
    <w:p>
      <w:pPr>
        <w:ind w:left="200" w:right="259" w:firstLine="1305"/>
        <w:spacing w:after="0" w:line="302" w:lineRule="auto"/>
        <w:tabs>
          <w:tab w:leader="none" w:pos="2144"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of the representations and warranties of Purchasers shall be true and correct as of the date hereof and as of the Closing Date as though made on the Closing Date (except that representations and warranties that are made as of a specific date must be true and correct as though made on such date).</w:t>
      </w:r>
    </w:p>
    <w:p>
      <w:pPr>
        <w:spacing w:after="0" w:line="142" w:lineRule="exact"/>
        <w:rPr>
          <w:rFonts w:ascii="Arial" w:cs="Arial" w:eastAsia="Arial" w:hAnsi="Arial"/>
          <w:sz w:val="19"/>
          <w:szCs w:val="19"/>
          <w:color w:val="auto"/>
        </w:rPr>
      </w:pPr>
    </w:p>
    <w:p>
      <w:pPr>
        <w:ind w:left="200" w:right="519" w:firstLine="1305"/>
        <w:spacing w:after="0" w:line="253" w:lineRule="auto"/>
        <w:tabs>
          <w:tab w:leader="none" w:pos="2144"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Purchasers shall have performed and complied with all covenants, obligations and agreements required by this Agreement to be performed or complied with by Purchasers on or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8" w:name="page69"/>
    <w:bookmarkEnd w:id="68"/>
    <w:p>
      <w:pPr>
        <w:ind w:left="200" w:right="479" w:firstLine="1305"/>
        <w:spacing w:after="0" w:line="312" w:lineRule="auto"/>
        <w:tabs>
          <w:tab w:leader="none" w:pos="214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Purchaser Compliance Certificate</w:t>
      </w:r>
      <w:r>
        <w:rPr>
          <w:rFonts w:ascii="Arial" w:cs="Arial" w:eastAsia="Arial" w:hAnsi="Arial"/>
          <w:sz w:val="19"/>
          <w:szCs w:val="19"/>
          <w:color w:val="auto"/>
        </w:rPr>
        <w:t>. Sellers shall have received, as of the Closing Date, a certificate executed by Purchasers that the conditions set forth in Sections 6.3(a) and (b) have been satisfied as of the Closing Date (the “</w:t>
      </w:r>
      <w:r>
        <w:rPr>
          <w:rFonts w:ascii="Arial" w:cs="Arial" w:eastAsia="Arial" w:hAnsi="Arial"/>
          <w:sz w:val="19"/>
          <w:szCs w:val="19"/>
          <w:u w:val="single" w:color="auto"/>
          <w:color w:val="auto"/>
        </w:rPr>
        <w:t>Purchaser Compliance Certificate</w:t>
      </w:r>
      <w:r>
        <w:rPr>
          <w:rFonts w:ascii="Arial" w:cs="Arial" w:eastAsia="Arial" w:hAnsi="Arial"/>
          <w:sz w:val="19"/>
          <w:szCs w:val="19"/>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SURVIVAL; CLAIMS</w:t>
      </w:r>
    </w:p>
    <w:p>
      <w:pPr>
        <w:spacing w:after="0" w:line="202"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Survival of Covenants, Representations and Warranties</w:t>
      </w:r>
      <w:r>
        <w:rPr>
          <w:rFonts w:ascii="Arial" w:cs="Arial" w:eastAsia="Arial" w:hAnsi="Arial"/>
          <w:sz w:val="19"/>
          <w:szCs w:val="19"/>
          <w:color w:val="auto"/>
        </w:rPr>
        <w:t>. The covenants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agreements of Sellers and Purchasers contained in this Agreement shall survive the Closing until</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the date that is nine months after the Closing Date, except for those covenants and agreements that</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by their terms contemplate performance in whole or in part after the Closing, which shall remain in</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full force and effect until the first anniversary of the date by which such covenant or agreement is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required to be performed.. The representations and warranties of Sellers and Purchasers contained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in this Agreement shall survive the Closing until the date that is nine months after the Closing</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Date. No party shall have any liability whatsoever with respect to any such representations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warranties unless a claim is made hereunder prior to the expiration of the survival period for such</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representation and warranty, in which case such representation and warranty shall survive as to</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such claim until such claim has been finally resolved. Sellers’ liability for a breach of any of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representations or warranties included in Section 3.5 hereof shall be limited to an aggregate of</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$7,500,000 for all breaches, and no claim shall be made for a breach of any of the representations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or warranties included in Section 3.5 hereof unless and until Purchaser’s liability, loss or damages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for such breaches exceed $75,000 in the aggregate, upon which Purchaser shall be entitled to</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indemnification and prompt reimbursement by Sellers for all amounts from the first dollar. In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event of a breach or failure to perform any representation, warranty or covenant in this Agreement</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or in the documents ancillary hereto and delivered upon the Closing hereunder, the breaching party</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(jointly and severally with its Affiliate signing below, which agrees to be responsible under this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Section 7.1 (the “</w:t>
      </w:r>
      <w:r>
        <w:rPr>
          <w:rFonts w:ascii="Arial" w:cs="Arial" w:eastAsia="Arial" w:hAnsi="Arial"/>
          <w:sz w:val="21"/>
          <w:szCs w:val="21"/>
          <w:u w:val="single" w:color="auto"/>
          <w:color w:val="auto"/>
        </w:rPr>
        <w:t>Affiliate Indemnitor</w:t>
      </w:r>
      <w:r>
        <w:rPr>
          <w:rFonts w:ascii="Arial" w:cs="Arial" w:eastAsia="Arial" w:hAnsi="Arial"/>
          <w:sz w:val="21"/>
          <w:szCs w:val="21"/>
          <w:color w:val="auto"/>
        </w:rPr>
        <w:t>”)) shall indemnify and defend and reimburse the non-</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breaching parties for any liability, loss or damages incurred by the non-breaching party(ies) arising</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from the breaching party’s (or its Affiliate’s) breach or failure to perform.</w:t>
      </w:r>
    </w:p>
    <w:p>
      <w:pPr>
        <w:spacing w:after="0" w:line="202" w:lineRule="exact"/>
        <w:rPr>
          <w:sz w:val="20"/>
          <w:szCs w:val="20"/>
          <w:color w:val="auto"/>
        </w:rPr>
      </w:pPr>
    </w:p>
    <w:p>
      <w:pPr>
        <w:ind w:left="200" w:right="439" w:firstLine="648"/>
        <w:spacing w:after="0" w:line="253"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Price Adjustment; Claims</w:t>
      </w:r>
      <w:r>
        <w:rPr>
          <w:rFonts w:ascii="Arial" w:cs="Arial" w:eastAsia="Arial" w:hAnsi="Arial"/>
          <w:sz w:val="22"/>
          <w:szCs w:val="22"/>
          <w:color w:val="auto"/>
        </w:rPr>
        <w:t>. Payments made with respect to claims hereunder shall be treated as an adjustment to the Purchase Price for applicable Tax purposes. Claims may be brought pursuant to the requirements of Section 9.4.</w:t>
      </w:r>
    </w:p>
    <w:p>
      <w:pPr>
        <w:spacing w:after="0" w:line="179"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ARTICLE VIII</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TERMINATION</w:t>
      </w:r>
    </w:p>
    <w:p>
      <w:pPr>
        <w:spacing w:after="0" w:line="202" w:lineRule="exact"/>
        <w:rPr>
          <w:sz w:val="20"/>
          <w:szCs w:val="20"/>
          <w:color w:val="auto"/>
        </w:rPr>
      </w:pPr>
    </w:p>
    <w:p>
      <w:pPr>
        <w:ind w:left="200" w:right="279" w:firstLine="648"/>
        <w:spacing w:after="0" w:line="25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and the transactions contemplated hereby may be abandoned at any time prior to the Closing, which termination shall be effective immediately upon the delivery of a valid written notice of the terminating party to the other parties hereto:</w:t>
      </w:r>
    </w:p>
    <w:p>
      <w:pPr>
        <w:spacing w:after="0" w:line="188" w:lineRule="exact"/>
        <w:rPr>
          <w:sz w:val="20"/>
          <w:szCs w:val="20"/>
          <w:color w:val="auto"/>
        </w:rPr>
      </w:pPr>
    </w:p>
    <w:p>
      <w:pPr>
        <w:ind w:left="2160" w:hanging="655"/>
        <w:spacing w:after="0"/>
        <w:tabs>
          <w:tab w:leader="none" w:pos="21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by mutual written consent of the Sellers and Purchasers;</w:t>
      </w:r>
    </w:p>
    <w:p>
      <w:pPr>
        <w:spacing w:after="0" w:line="219" w:lineRule="exact"/>
        <w:rPr>
          <w:rFonts w:ascii="Arial" w:cs="Arial" w:eastAsia="Arial" w:hAnsi="Arial"/>
          <w:sz w:val="22"/>
          <w:szCs w:val="22"/>
          <w:color w:val="auto"/>
        </w:rPr>
      </w:pPr>
    </w:p>
    <w:p>
      <w:pPr>
        <w:jc w:val="both"/>
        <w:ind w:left="200" w:right="219" w:firstLine="1305"/>
        <w:spacing w:after="0" w:line="253" w:lineRule="auto"/>
        <w:tabs>
          <w:tab w:leader="none" w:pos="21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by any of Sellers, or Purchasers, if the Closing has not occurred on or before May 17, 2021 or such later date as the Sellers and Purchasers may agree upon in writing, unless the terminating party is in material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9" w:name="page70"/>
    <w:bookmarkEnd w:id="69"/>
    <w:p>
      <w:pPr>
        <w:jc w:val="both"/>
        <w:ind w:left="200" w:right="399" w:firstLine="1305"/>
        <w:spacing w:after="0" w:line="312" w:lineRule="auto"/>
        <w:tabs>
          <w:tab w:leader="none" w:pos="21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by either Sellers or Purchasers, if any Order of any Governmental Body of competent jurisdiction permanently restraining, enjoining or otherwise preventing consummation of the transactions contemplated hereby has been issued and becomes final and non-appealable;</w:t>
      </w:r>
    </w:p>
    <w:p>
      <w:pPr>
        <w:spacing w:after="0" w:line="133" w:lineRule="exact"/>
        <w:rPr>
          <w:rFonts w:ascii="Arial" w:cs="Arial" w:eastAsia="Arial" w:hAnsi="Arial"/>
          <w:sz w:val="19"/>
          <w:szCs w:val="19"/>
          <w:color w:val="auto"/>
        </w:rPr>
      </w:pPr>
    </w:p>
    <w:p>
      <w:pPr>
        <w:ind w:left="200" w:right="259" w:firstLine="1305"/>
        <w:spacing w:after="0" w:line="247" w:lineRule="auto"/>
        <w:tabs>
          <w:tab w:leader="none" w:pos="2144" w:val="left"/>
        </w:tabs>
        <w:numPr>
          <w:ilvl w:val="0"/>
          <w:numId w:val="44"/>
        </w:numPr>
        <w:rPr>
          <w:rFonts w:ascii="Arial" w:cs="Arial" w:eastAsia="Arial" w:hAnsi="Arial"/>
          <w:sz w:val="22"/>
          <w:szCs w:val="22"/>
          <w:color w:val="auto"/>
        </w:rPr>
      </w:pPr>
      <w:r>
        <w:rPr>
          <w:rFonts w:ascii="Arial" w:cs="Arial" w:eastAsia="Arial" w:hAnsi="Arial"/>
          <w:sz w:val="22"/>
          <w:szCs w:val="22"/>
          <w:color w:val="auto"/>
        </w:rPr>
        <w:t>by Sellers if they are not in material breach of its obligations under this Agreement, and if there shall have been a material breach by Purchasers of any of their representations, warranties, covenants or agreements contained in this Agreement, which breach would result in the failure to satisfy one or more of the conditions set forth in Section 6.3, and such breach, if curable, has not been cured within thirty (30) days after notice thereof by the Sellers to Purchasers;</w:t>
      </w:r>
    </w:p>
    <w:p>
      <w:pPr>
        <w:spacing w:after="0" w:line="192" w:lineRule="exact"/>
        <w:rPr>
          <w:rFonts w:ascii="Arial" w:cs="Arial" w:eastAsia="Arial" w:hAnsi="Arial"/>
          <w:sz w:val="22"/>
          <w:szCs w:val="22"/>
          <w:color w:val="auto"/>
        </w:rPr>
      </w:pPr>
    </w:p>
    <w:p>
      <w:pPr>
        <w:ind w:left="200" w:right="259" w:firstLine="1305"/>
        <w:spacing w:after="0" w:line="247" w:lineRule="auto"/>
        <w:tabs>
          <w:tab w:leader="none" w:pos="2144" w:val="left"/>
        </w:tabs>
        <w:numPr>
          <w:ilvl w:val="0"/>
          <w:numId w:val="44"/>
        </w:numPr>
        <w:rPr>
          <w:rFonts w:ascii="Arial" w:cs="Arial" w:eastAsia="Arial" w:hAnsi="Arial"/>
          <w:sz w:val="22"/>
          <w:szCs w:val="22"/>
          <w:color w:val="auto"/>
        </w:rPr>
      </w:pPr>
      <w:r>
        <w:rPr>
          <w:rFonts w:ascii="Arial" w:cs="Arial" w:eastAsia="Arial" w:hAnsi="Arial"/>
          <w:sz w:val="22"/>
          <w:szCs w:val="22"/>
          <w:color w:val="auto"/>
        </w:rPr>
        <w:t>by Purchasers, if they are not in material breach of its obligations under this Agreement, and if there shall have been a material breach by Sellers of any of its respective representations, warranties, covenants or agreements contained in this Agreement, which breach would result in the failure to satisfy one or more of the conditions set forth in Section 6.2, and such breach, if curable, has not been cured within thirty (30) days after notice thereof by Purchasers to Sellers; or</w:t>
      </w:r>
    </w:p>
    <w:p>
      <w:pPr>
        <w:spacing w:after="0" w:line="192" w:lineRule="exact"/>
        <w:rPr>
          <w:rFonts w:ascii="Arial" w:cs="Arial" w:eastAsia="Arial" w:hAnsi="Arial"/>
          <w:sz w:val="22"/>
          <w:szCs w:val="22"/>
          <w:color w:val="auto"/>
        </w:rPr>
      </w:pPr>
    </w:p>
    <w:p>
      <w:pPr>
        <w:ind w:left="200" w:right="399" w:firstLine="1305"/>
        <w:spacing w:after="0" w:line="263" w:lineRule="auto"/>
        <w:tabs>
          <w:tab w:leader="none" w:pos="2144" w:val="left"/>
        </w:tabs>
        <w:numPr>
          <w:ilvl w:val="0"/>
          <w:numId w:val="44"/>
        </w:numPr>
        <w:rPr>
          <w:rFonts w:ascii="Arial" w:cs="Arial" w:eastAsia="Arial" w:hAnsi="Arial"/>
          <w:sz w:val="22"/>
          <w:szCs w:val="22"/>
          <w:color w:val="auto"/>
        </w:rPr>
      </w:pPr>
      <w:r>
        <w:rPr>
          <w:rFonts w:ascii="Arial" w:cs="Arial" w:eastAsia="Arial" w:hAnsi="Arial"/>
          <w:sz w:val="22"/>
          <w:szCs w:val="22"/>
          <w:color w:val="auto"/>
        </w:rPr>
        <w:t>by Purchasers if there is a Casualty, or if there is a material adverse change as described in Section 6.2(e) on or prior to the Closing Date.</w:t>
      </w:r>
    </w:p>
    <w:p>
      <w:pPr>
        <w:spacing w:after="0" w:line="175" w:lineRule="exact"/>
        <w:rPr>
          <w:sz w:val="20"/>
          <w:szCs w:val="20"/>
          <w:color w:val="auto"/>
        </w:rPr>
      </w:pPr>
    </w:p>
    <w:p>
      <w:pPr>
        <w:ind w:left="200" w:right="299" w:firstLine="648"/>
        <w:spacing w:after="0" w:line="259"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In the event of termination of this Agreement as provided in Section 8.1 hereof, (a) this Agreement shall become null and void and be of no further force or effect, except as set forth in Section 5.4, this Article VIII, and Article IX, each of which shall survive termination of this Agreement and remain in full force and effect, and (b) there shall be no liability on the part of the Sellers, Purchasers (or their respective Affiliates, directors, officers, employees, shareholders, members, agents or representatives);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herein shall relieve a party from liability (or limit such liability) for any failure to close when required hereunder or for any breach arising prior to the termination pursuant to the terms and conditions set forth herein.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 PROVISIONS</w:t>
      </w:r>
    </w:p>
    <w:p>
      <w:pPr>
        <w:spacing w:after="0" w:line="202" w:lineRule="exact"/>
        <w:rPr>
          <w:sz w:val="20"/>
          <w:szCs w:val="20"/>
          <w:color w:val="auto"/>
        </w:rPr>
      </w:pPr>
    </w:p>
    <w:p>
      <w:pPr>
        <w:ind w:left="200" w:right="519" w:firstLine="648"/>
        <w:spacing w:after="0" w:line="271"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Expenses</w:t>
      </w:r>
      <w:r>
        <w:rPr>
          <w:rFonts w:ascii="Arial" w:cs="Arial" w:eastAsia="Arial" w:hAnsi="Arial"/>
          <w:sz w:val="21"/>
          <w:szCs w:val="21"/>
          <w:color w:val="auto"/>
        </w:rPr>
        <w:t>. Except as provided in Section 5.5(a), all fees and expenses incurred in connection with this Agreement and the transactions contemplated hereby shall be paid by the party incurring such expenses, whether or not the Closing occurs.</w:t>
      </w:r>
    </w:p>
    <w:p>
      <w:pPr>
        <w:spacing w:after="0" w:line="167" w:lineRule="exact"/>
        <w:rPr>
          <w:sz w:val="20"/>
          <w:szCs w:val="20"/>
          <w:color w:val="auto"/>
        </w:rPr>
      </w:pPr>
    </w:p>
    <w:p>
      <w:pPr>
        <w:ind w:left="200" w:right="259" w:firstLine="648"/>
        <w:spacing w:after="0" w:line="263"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Waiver</w:t>
      </w:r>
      <w:r>
        <w:rPr>
          <w:rFonts w:ascii="Arial" w:cs="Arial" w:eastAsia="Arial" w:hAnsi="Arial"/>
          <w:sz w:val="21"/>
          <w:szCs w:val="21"/>
          <w:color w:val="auto"/>
        </w:rPr>
        <w:t>. Any party hereto may extend the time for the performance of obligations or other acts required hereunder, waive any inaccuracies in the representations and warranties contained herein or in any document delivered pursuant hereto and waive compliance with any of the agreements or conditions herein, such waiver to be in writing. No failure or delay by a party in exercising a right hereunder will impair or waive a right.</w:t>
      </w:r>
    </w:p>
    <w:p>
      <w:pPr>
        <w:spacing w:after="0" w:line="175" w:lineRule="exact"/>
        <w:rPr>
          <w:sz w:val="20"/>
          <w:szCs w:val="20"/>
          <w:color w:val="auto"/>
        </w:rPr>
      </w:pPr>
    </w:p>
    <w:p>
      <w:pPr>
        <w:jc w:val="both"/>
        <w:ind w:left="200" w:right="859" w:firstLine="648"/>
        <w:spacing w:after="0" w:line="312"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consents, waivers, and other communications under this Agreement shall be in writing and shall be deemed duly given (a) on the date of delivery if delivered personally by hand or by recognized next-day courier service, or (b) when sent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0" w:name="page71"/>
    <w:bookmarkEnd w:id="70"/>
    <w:p>
      <w:pPr>
        <w:jc w:val="both"/>
        <w:ind w:left="200" w:right="339"/>
        <w:spacing w:after="0" w:line="253" w:lineRule="auto"/>
        <w:rPr>
          <w:sz w:val="20"/>
          <w:szCs w:val="20"/>
          <w:color w:val="auto"/>
        </w:rPr>
      </w:pPr>
      <w:r>
        <w:rPr>
          <w:rFonts w:ascii="Arial" w:cs="Arial" w:eastAsia="Arial" w:hAnsi="Arial"/>
          <w:sz w:val="22"/>
          <w:szCs w:val="22"/>
          <w:color w:val="auto"/>
        </w:rPr>
        <w:t>email with confirmation of receipt, with a copy delivered as provided in clause (a), in each case to the appropriate addresses or email addresses set forth on Annex D (or to such other addresses as a party may designate by notice to the other parties).</w:t>
      </w:r>
    </w:p>
    <w:p>
      <w:pPr>
        <w:spacing w:after="0" w:line="18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Governing Law and Venue; Waiver of Jury Trial; Specific Performance</w:t>
      </w:r>
      <w:r>
        <w:rPr>
          <w:rFonts w:ascii="Arial" w:cs="Arial" w:eastAsia="Arial" w:hAnsi="Arial"/>
          <w:sz w:val="19"/>
          <w:szCs w:val="19"/>
          <w:color w:val="auto"/>
        </w:rPr>
        <w:t>.</w:t>
      </w:r>
    </w:p>
    <w:p>
      <w:pPr>
        <w:spacing w:after="0" w:line="220" w:lineRule="exact"/>
        <w:rPr>
          <w:sz w:val="20"/>
          <w:szCs w:val="20"/>
          <w:color w:val="auto"/>
        </w:rPr>
      </w:pPr>
    </w:p>
    <w:p>
      <w:pPr>
        <w:ind w:left="200" w:right="479" w:firstLine="1305"/>
        <w:spacing w:after="0" w:line="271" w:lineRule="auto"/>
        <w:tabs>
          <w:tab w:leader="none" w:pos="2144"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This Agreement shall be deemed to be made in and in all respects shall be interpreted, construed and governed by and enforced in accordance with the law of the State of Delaware without regard to the conflict of laws rules thereof.</w:t>
      </w:r>
    </w:p>
    <w:p>
      <w:pPr>
        <w:spacing w:after="0" w:line="167" w:lineRule="exact"/>
        <w:rPr>
          <w:rFonts w:ascii="Arial" w:cs="Arial" w:eastAsia="Arial" w:hAnsi="Arial"/>
          <w:sz w:val="21"/>
          <w:szCs w:val="21"/>
          <w:color w:val="auto"/>
        </w:rPr>
      </w:pPr>
    </w:p>
    <w:p>
      <w:pPr>
        <w:ind w:left="200" w:right="239" w:firstLine="1305"/>
        <w:spacing w:after="0" w:line="284" w:lineRule="auto"/>
        <w:tabs>
          <w:tab w:leader="none" w:pos="2144" w:val="left"/>
        </w:tabs>
        <w:numPr>
          <w:ilvl w:val="0"/>
          <w:numId w:val="45"/>
        </w:numPr>
        <w:rPr>
          <w:rFonts w:ascii="Arial" w:cs="Arial" w:eastAsia="Arial" w:hAnsi="Arial"/>
          <w:sz w:val="19"/>
          <w:szCs w:val="19"/>
          <w:color w:val="auto"/>
        </w:rPr>
      </w:pPr>
      <w:r>
        <w:rPr>
          <w:rFonts w:ascii="Arial" w:cs="Arial" w:eastAsia="Arial" w:hAnsi="Arial"/>
          <w:sz w:val="19"/>
          <w:szCs w:val="19"/>
          <w:color w:val="auto"/>
        </w:rPr>
        <w:t>Each of the parties hereto (i) irrevocably consents to the service of the summons and complaint and any other process in any action or proceeding relating to the transactions contemplated hereby, on behalf of itself or its property, in accordance with Section 9.3 or in such other manner as may be permitted by Legal Requirements, of copies of such process to such party, and nothing in this Section 9.4(b) shall affect the right of any party to serve legal process in any other manner permitted by Legal Requirements, (ii) irrevocably and unconditionally consents and submits itself and its property in any action or proceeding to the exclusive general jurisdiction of the Delaware Court of Chancery and any state appellate court therefrom within the State of Delaware (or, only if the Delaware Court of Chancery declines to accept jurisdiction over a particular matter, any state or federal court within the State of Delaware) in the event any dispute arises out of this Agreement or the transactions contemplated hereby, or for recognition and enforcement of any judgment in respect thereof, (iii) agrees that it shall not attempt to deny or defeat such personal jurisdiction by motion or other request for leave from any such court, (iv) agrees that any actions or proceedings arising in connection with this Agreement or the transactions contemplated hereby shall be brought, tried and determined only in the Delaware Court of Chancery (or, only if the Delaware Court of Chancery declines to accept jurisdiction over a particular matter, any state or federal court within the State of Delaware), (v) waives any objection that it may now or hereafter have to the venue of any such action or proceeding in any such court or that such action or proceeding was brought in an inconvenient court and agrees not to plead or claim the same and (vi) agrees that it shall not bring any action relating to this Agreement or the transactions contemplated hereby in any court other than the aforesaid courts. Each of the parties hereto agrees that a final judgment in any action or proceeding in such court as provided above shall be conclusive and may be enforced in other jurisdictions by suit on the judgment or in any other manner provided by Legal Requirements.</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200" w:right="279" w:firstLine="1305"/>
        <w:spacing w:after="0" w:line="258" w:lineRule="auto"/>
        <w:tabs>
          <w:tab w:leader="none" w:pos="2144"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HEREBY. EACH PARTY CERTIFIES AND ACKNOWLEDGES THAT SUCH PARTY UNDERSTANDS AND HAS CONSIDERED THE IMPLICATIONS OF THIS WAIVER, SUCH PARTY MAKES THIS WAIVER VOLUNTARILY, AND SUCH PARTY HAS BEEN INDUCED TO ENTER INTO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1" w:name="page72"/>
    <w:bookmarkEnd w:id="71"/>
    <w:p>
      <w:pPr>
        <w:ind w:left="200" w:right="1559"/>
        <w:spacing w:after="0" w:line="263" w:lineRule="auto"/>
        <w:rPr>
          <w:sz w:val="20"/>
          <w:szCs w:val="20"/>
          <w:color w:val="auto"/>
        </w:rPr>
      </w:pPr>
      <w:r>
        <w:rPr>
          <w:rFonts w:ascii="Arial" w:cs="Arial" w:eastAsia="Arial" w:hAnsi="Arial"/>
          <w:sz w:val="22"/>
          <w:szCs w:val="22"/>
          <w:color w:val="auto"/>
        </w:rPr>
        <w:t>AGREEMENT BY, AMONG OTHER THINGS, THE MUTUAL WAIVERS AND CERTIFICATIONS IN THIS SECTION 9.4(c).</w:t>
      </w:r>
    </w:p>
    <w:p>
      <w:pPr>
        <w:spacing w:after="0" w:line="175" w:lineRule="exact"/>
        <w:rPr>
          <w:sz w:val="20"/>
          <w:szCs w:val="20"/>
          <w:color w:val="auto"/>
        </w:rPr>
      </w:pPr>
    </w:p>
    <w:p>
      <w:pPr>
        <w:ind w:left="200" w:right="219" w:firstLine="1305"/>
        <w:spacing w:after="0" w:line="286" w:lineRule="auto"/>
        <w:tabs>
          <w:tab w:leader="none" w:pos="214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parties acknowledge and agree that irreparable harm would occur and that the parties would not have any adequate remedy at law (i) for any actual or threatened breach of the provisions of this Agreement or (ii) in the event that any of the provisions of this Agreement were not performed in accordance with their specific terms. It is accordingly agreed that, except where this Agreement is terminated in accordance with Section 8.1, the parties shall be entitled to an injunction or injunctions to prevent breaches or threatened breaches of this Agreement and to specifically enforce the terms and provisions of this Agreement, this being in addition to any other remedy to which any such party may be entitled pursuant to the terms of this Agreement, and each party further agrees to waive any requirement for the securing or posting of any bond in connection with such remedy. Any action or proceeding for any such remedy shall be brought exclusively in the Delaware Court of Chancery and any state appellate court therefrom within the State of Delaware (or, only if the Delaware Court of Chancery declines to accept jurisdiction over a particular matter, any state or federal court within the State of Delaware), and each party waives any requirement for the securing or posting of any bond in connection with any such remedy.</w:t>
      </w:r>
    </w:p>
    <w:p>
      <w:pPr>
        <w:spacing w:after="0" w:line="162" w:lineRule="exact"/>
        <w:rPr>
          <w:sz w:val="20"/>
          <w:szCs w:val="20"/>
          <w:color w:val="auto"/>
        </w:rPr>
      </w:pPr>
    </w:p>
    <w:p>
      <w:pPr>
        <w:ind w:left="200" w:right="239" w:firstLine="648"/>
        <w:spacing w:after="0" w:line="294"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parties shall cooperate reasonably with each other and with their respective representatives in connection with any steps required to be taken as part of their respective obligations under this Agreement, and the parties agree (a) to furnish upon request to each other such further information, (b) to execute and deliver to each other such other documents, and (c) to do such other acts and things, all as the other parties may reasonably request, for the purpose of carrying out the provisions of this Agreement and the transactions contemplated hereby.</w:t>
      </w:r>
    </w:p>
    <w:p>
      <w:pPr>
        <w:spacing w:after="0" w:line="149" w:lineRule="exact"/>
        <w:rPr>
          <w:sz w:val="20"/>
          <w:szCs w:val="20"/>
          <w:color w:val="auto"/>
        </w:rPr>
      </w:pPr>
    </w:p>
    <w:p>
      <w:pPr>
        <w:ind w:left="200" w:right="339" w:firstLine="648"/>
        <w:spacing w:after="0" w:line="263" w:lineRule="auto"/>
        <w:rPr>
          <w:sz w:val="20"/>
          <w:szCs w:val="20"/>
          <w:color w:val="auto"/>
        </w:rPr>
      </w:pPr>
      <w:r>
        <w:rPr>
          <w:rFonts w:ascii="Arial" w:cs="Arial" w:eastAsia="Arial" w:hAnsi="Arial"/>
          <w:sz w:val="21"/>
          <w:szCs w:val="21"/>
          <w:color w:val="auto"/>
        </w:rPr>
        <w:t xml:space="preserve">9.5 </w:t>
      </w:r>
      <w:r>
        <w:rPr>
          <w:rFonts w:ascii="Arial" w:cs="Arial" w:eastAsia="Arial" w:hAnsi="Arial"/>
          <w:sz w:val="21"/>
          <w:szCs w:val="21"/>
          <w:u w:val="single" w:color="auto"/>
          <w:color w:val="auto"/>
        </w:rPr>
        <w:t>Entire Agreement and Modification</w:t>
      </w:r>
      <w:r>
        <w:rPr>
          <w:rFonts w:ascii="Arial" w:cs="Arial" w:eastAsia="Arial" w:hAnsi="Arial"/>
          <w:sz w:val="21"/>
          <w:szCs w:val="21"/>
          <w:color w:val="auto"/>
        </w:rPr>
        <w:t>. This Agreement, the annexes and exhibit(s) attached hereto, constitute the entire and exclusive agreement, and supersede all prior agreements, understandings, representations and warranties, both written and oral, among the parties with respect to the subject matter hereof and thereof. This Agreement may not be amended except by a written agreement executed by the Sellers and Purchasers.</w:t>
      </w:r>
    </w:p>
    <w:p>
      <w:pPr>
        <w:spacing w:after="0" w:line="175" w:lineRule="exact"/>
        <w:rPr>
          <w:sz w:val="20"/>
          <w:szCs w:val="20"/>
          <w:color w:val="auto"/>
        </w:rPr>
      </w:pPr>
    </w:p>
    <w:p>
      <w:pPr>
        <w:ind w:left="200" w:right="259" w:firstLine="648"/>
        <w:spacing w:after="0" w:line="259"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invalid, illegal or incapable of being enforced by any Legal Requirement or public policy, all other provisions of this Agreement shall nevertheless remain in full force and effect so long as the economic or legal substance of the transactions contemplated hereby are not affected in any manner materially adverse to any party, and upon such determination that any provision is invalid, illegal or incapable of being enforced, the parties shall negotiate in good faith to modify this Agreement to effect the original intent of the parties so that the transactions contemplated hereby are consummated as originally contemplated to the greatest extent possible.</w:t>
      </w:r>
    </w:p>
    <w:p>
      <w:pPr>
        <w:spacing w:after="0" w:line="183" w:lineRule="exact"/>
        <w:rPr>
          <w:sz w:val="20"/>
          <w:szCs w:val="20"/>
          <w:color w:val="auto"/>
        </w:rPr>
      </w:pPr>
    </w:p>
    <w:p>
      <w:pPr>
        <w:ind w:left="200" w:right="399" w:firstLine="648"/>
        <w:spacing w:after="0" w:line="297"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Binding Effect; Assignment; Third-Party Beneficiaries</w:t>
      </w:r>
      <w:r>
        <w:rPr>
          <w:rFonts w:ascii="Arial" w:cs="Arial" w:eastAsia="Arial" w:hAnsi="Arial"/>
          <w:sz w:val="19"/>
          <w:szCs w:val="19"/>
          <w:color w:val="auto"/>
        </w:rPr>
        <w:t xml:space="preserve">. No assignment of this Agreement or of any rights or obligations hereunder may be without the prior written consent of the other party(ies) and any such attempted assignment is void;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Purchasers may assign all or any of its rights hereunder to one more Affiliates of Purchasers. No assignment of any obligations hereunder, shall relieve the assigning party of any such obligations or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304165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2" w:name="page73"/>
    <w:bookmarkEnd w:id="72"/>
    <w:p>
      <w:pPr>
        <w:ind w:left="200" w:right="319"/>
        <w:spacing w:after="0" w:line="261" w:lineRule="auto"/>
        <w:rPr>
          <w:sz w:val="20"/>
          <w:szCs w:val="20"/>
          <w:color w:val="auto"/>
        </w:rPr>
      </w:pPr>
      <w:r>
        <w:rPr>
          <w:rFonts w:ascii="Arial" w:cs="Arial" w:eastAsia="Arial" w:hAnsi="Arial"/>
          <w:sz w:val="21"/>
          <w:szCs w:val="21"/>
          <w:color w:val="auto"/>
        </w:rPr>
        <w:t>liability for any breach by such party or its assignee. Subject to the foregoing, this Agreement will be binding in all respects upon, and inure to the benefit of, the successors and permitted assigns of the parties. Nothing in this Agreement shall be deemed to create any third party beneficiary rights in any Person not a party to this Agreement. Purchasers will not assign rights hereunder to any Person prior to such Person’s authorization of the Transactions contemplated hereby (as and to the extent the same relate to such Person).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following page is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3" w:name="page74"/>
    <w:bookmarkEnd w:id="73"/>
    <w:p>
      <w:pPr>
        <w:ind w:left="200" w:right="499" w:firstLine="648"/>
        <w:spacing w:after="0" w:line="276" w:lineRule="auto"/>
        <w:rPr>
          <w:sz w:val="20"/>
          <w:szCs w:val="20"/>
          <w:color w:val="auto"/>
        </w:rPr>
      </w:pPr>
      <w:r>
        <w:rPr>
          <w:rFonts w:ascii="Arial" w:cs="Arial" w:eastAsia="Arial" w:hAnsi="Arial"/>
          <w:sz w:val="22"/>
          <w:szCs w:val="22"/>
          <w:color w:val="auto"/>
        </w:rPr>
        <w:t>IN WITNESS WHEREOF, the parties have executed and delivered this Agreement as of the date first written above.</w:t>
      </w: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SELLERS: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AURORA CONVENTION CENTER</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HOTEL PARTNERS LLC</w:t>
      </w:r>
    </w:p>
    <w:p>
      <w:pPr>
        <w:spacing w:after="0" w:line="200" w:lineRule="exact"/>
        <w:rPr>
          <w:sz w:val="20"/>
          <w:szCs w:val="20"/>
          <w:color w:val="auto"/>
        </w:rPr>
      </w:pPr>
    </w:p>
    <w:p>
      <w:pPr>
        <w:spacing w:after="0" w:line="35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Ira M. Mitzner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-17780</wp:posOffset>
            </wp:positionV>
            <wp:extent cx="2057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 Ira M. Mitzner</w:t>
      </w:r>
    </w:p>
    <w:p>
      <w:pPr>
        <w:spacing w:after="0" w:line="17"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RIDA AURORA 2018 ACQUISITION, LLC</w:t>
      </w:r>
    </w:p>
    <w:p>
      <w:pPr>
        <w:spacing w:after="0" w:line="27"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Ira M. Mitzner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-20320</wp:posOffset>
            </wp:positionV>
            <wp:extent cx="20574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color w:val="auto"/>
        </w:rPr>
        <w:t>Name: Ira M. Mitzner</w:t>
      </w:r>
    </w:p>
    <w:p>
      <w:pPr>
        <w:spacing w:after="0" w:line="17"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699135</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4" w:name="page75"/>
    <w:bookmarkEnd w:id="74"/>
    <w:p>
      <w:pPr>
        <w:ind w:left="200"/>
        <w:spacing w:after="0"/>
        <w:rPr>
          <w:sz w:val="20"/>
          <w:szCs w:val="20"/>
          <w:color w:val="auto"/>
        </w:rPr>
      </w:pPr>
      <w:r>
        <w:rPr>
          <w:rFonts w:ascii="Arial" w:cs="Arial" w:eastAsia="Arial" w:hAnsi="Arial"/>
          <w:sz w:val="22"/>
          <w:szCs w:val="22"/>
          <w:b w:val="1"/>
          <w:bCs w:val="1"/>
          <w:color w:val="auto"/>
        </w:rPr>
        <w:t>PURCHASERS: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RHPAHP, LLC:</w:t>
      </w:r>
    </w:p>
    <w:p>
      <w:pPr>
        <w:spacing w:after="0" w:line="200" w:lineRule="exact"/>
        <w:rPr>
          <w:sz w:val="20"/>
          <w:szCs w:val="20"/>
          <w:color w:val="auto"/>
        </w:rPr>
      </w:pPr>
    </w:p>
    <w:p>
      <w:pPr>
        <w:spacing w:after="0" w:line="35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-17780</wp:posOffset>
            </wp:positionV>
            <wp:extent cx="2039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039620" cy="889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 Colin V. Reed</w:t>
      </w:r>
    </w:p>
    <w:p>
      <w:pPr>
        <w:spacing w:after="0" w:line="17"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Chairman &amp; CEO</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RHPAHO, LLC:</w:t>
      </w:r>
    </w:p>
    <w:p>
      <w:pPr>
        <w:spacing w:after="0" w:line="28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-17780</wp:posOffset>
            </wp:positionV>
            <wp:extent cx="20396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 Colin V. Reed</w:t>
      </w:r>
    </w:p>
    <w:p>
      <w:pPr>
        <w:spacing w:after="0" w:line="17"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Chairman &amp; CEO</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AGREED TO AS THE AFFILIATE INDEMNITOR OF SELLERS PURSUANT TO</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7.1:</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IRA M. MITZNER:</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 Ira M. Mitzner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-20320</wp:posOffset>
            </wp:positionV>
            <wp:extent cx="16459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2"/>
          <w:szCs w:val="22"/>
          <w:color w:val="auto"/>
        </w:rPr>
        <w:t>Ira M. Mitzner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auto"/>
        </w:rPr>
        <w:t>ANNEX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ind w:left="200" w:right="279"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Person means another Person that directly or indirectly, through one or more intermediaries, controls, is controlled by, or is under common control with, such first Person.</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 of this Agreement.</w:t>
      </w:r>
    </w:p>
    <w:p>
      <w:pPr>
        <w:spacing w:after="0" w:line="233" w:lineRule="exact"/>
        <w:rPr>
          <w:sz w:val="20"/>
          <w:szCs w:val="20"/>
          <w:color w:val="auto"/>
        </w:rPr>
      </w:pPr>
    </w:p>
    <w:p>
      <w:pPr>
        <w:ind w:left="200" w:right="319" w:firstLine="702"/>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Agreements</w:t>
      </w:r>
      <w:r>
        <w:rPr>
          <w:rFonts w:ascii="Arial" w:cs="Arial" w:eastAsia="Arial" w:hAnsi="Arial"/>
          <w:sz w:val="19"/>
          <w:szCs w:val="19"/>
          <w:color w:val="auto"/>
        </w:rPr>
        <w:t>” means the following agreements that will be executed and delivered at Closing by Sellers and/or their Affiliate(s): assignments of contract rights for construction and materials warranties, designs, architect contracts, contractor agreements, and any construction-related contracts and rights related to the Investment and the intended expansion thereof, to the extent not already in the name of the Joint Ventures and their Subsidiaries, or the name of the Investment, including any necessary consents and endorsements of third parties, (including a general assignment of the foregoing by RIDA Development Corp.), and a mutual termination of the RIDA Development Agreement for the Investment and any expansion.</w:t>
      </w:r>
    </w:p>
    <w:p>
      <w:pPr>
        <w:spacing w:after="0" w:line="155" w:lineRule="exact"/>
        <w:rPr>
          <w:sz w:val="20"/>
          <w:szCs w:val="20"/>
          <w:color w:val="auto"/>
        </w:rPr>
      </w:pPr>
    </w:p>
    <w:p>
      <w:pPr>
        <w:ind w:left="200" w:right="359"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of Membership Interests</w:t>
      </w:r>
      <w:r>
        <w:rPr>
          <w:rFonts w:ascii="Arial" w:cs="Arial" w:eastAsia="Arial" w:hAnsi="Arial"/>
          <w:sz w:val="22"/>
          <w:szCs w:val="22"/>
          <w:color w:val="auto"/>
        </w:rPr>
        <w:t xml:space="preserve">” means the Assignment and Assumption of Membership Interests and Release in substantially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together with any changes approved by each of Sellers, and Purchasers.</w:t>
      </w:r>
    </w:p>
    <w:p>
      <w:pPr>
        <w:spacing w:after="0" w:line="185" w:lineRule="exact"/>
        <w:rPr>
          <w:sz w:val="20"/>
          <w:szCs w:val="20"/>
          <w:color w:val="auto"/>
        </w:rPr>
      </w:pPr>
    </w:p>
    <w:p>
      <w:pPr>
        <w:ind w:left="200" w:right="259"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and Equity Exception</w:t>
      </w:r>
      <w:r>
        <w:rPr>
          <w:rFonts w:ascii="Arial" w:cs="Arial" w:eastAsia="Arial" w:hAnsi="Arial"/>
          <w:sz w:val="22"/>
          <w:szCs w:val="22"/>
          <w:color w:val="auto"/>
        </w:rPr>
        <w:t>” means the effect of bankruptcy, insolvency, fraudulent transfer, moratorium, reorganization or similar Legal Requirements affecting the rights of creditors generally and the availability of equitable remedies (regardless of whether such enforceability is considered in a proceeding in equity or at law).</w:t>
      </w:r>
    </w:p>
    <w:p>
      <w:pPr>
        <w:spacing w:after="0" w:line="191" w:lineRule="exact"/>
        <w:rPr>
          <w:sz w:val="20"/>
          <w:szCs w:val="20"/>
          <w:color w:val="auto"/>
        </w:rPr>
      </w:pPr>
    </w:p>
    <w:p>
      <w:pPr>
        <w:ind w:left="200" w:right="279" w:firstLine="702"/>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except a Saturday, a Sunday or other day on which the SEC or commercial banks in the City of New York are authorized or required by Legal Requirements to be closed.</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Casualty</w:t>
      </w:r>
      <w:r>
        <w:rPr>
          <w:rFonts w:ascii="Arial" w:cs="Arial" w:eastAsia="Arial" w:hAnsi="Arial"/>
          <w:sz w:val="22"/>
          <w:szCs w:val="22"/>
          <w:color w:val="auto"/>
        </w:rPr>
        <w:t>” shall have the meaning set forth in Section 6.2(d) of this Agreement.</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shall have the meaning set forth in Section 2.3 of this Agreement.</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shall have the meaning set forth in Section 2.3 of this Agreement.</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from time to time.</w:t>
      </w:r>
    </w:p>
    <w:p>
      <w:pPr>
        <w:spacing w:after="0" w:line="245" w:lineRule="exact"/>
        <w:rPr>
          <w:sz w:val="20"/>
          <w:szCs w:val="20"/>
          <w:color w:val="auto"/>
        </w:rPr>
      </w:pPr>
    </w:p>
    <w:p>
      <w:pPr>
        <w:ind w:left="200" w:right="539"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note, bond, debenture, mortgage, indenture, deed of trust, license, lease, agreement or other contract.</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from time to</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6" w:name="page77"/>
    <w:bookmarkEnd w:id="76"/>
    <w:p>
      <w:pPr>
        <w:ind w:left="200" w:right="299" w:firstLine="702"/>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and practices as in effect on the date hereof.</w:t>
      </w:r>
    </w:p>
    <w:p>
      <w:pPr>
        <w:spacing w:after="0" w:line="174" w:lineRule="exact"/>
        <w:rPr>
          <w:sz w:val="20"/>
          <w:szCs w:val="20"/>
          <w:color w:val="auto"/>
        </w:rPr>
      </w:pPr>
    </w:p>
    <w:p>
      <w:pPr>
        <w:ind w:left="200" w:right="239"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Body</w:t>
      </w:r>
      <w:r>
        <w:rPr>
          <w:rFonts w:ascii="Arial" w:cs="Arial" w:eastAsia="Arial" w:hAnsi="Arial"/>
          <w:sz w:val="22"/>
          <w:szCs w:val="22"/>
          <w:color w:val="auto"/>
        </w:rPr>
        <w:t>” means any federal, state or local court, tribunal, administrative or regulatory agency or commission, arbitral or judicial body, or other governmental or administrative authority, domestic or foreign.</w:t>
      </w:r>
    </w:p>
    <w:p>
      <w:pPr>
        <w:spacing w:after="0" w:line="185" w:lineRule="exact"/>
        <w:rPr>
          <w:sz w:val="20"/>
          <w:szCs w:val="20"/>
          <w:color w:val="auto"/>
        </w:rPr>
      </w:pPr>
    </w:p>
    <w:p>
      <w:pPr>
        <w:ind w:left="200" w:right="319" w:firstLine="648"/>
        <w:spacing w:after="0" w:line="27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Joint Venture Agreement</w:t>
      </w:r>
      <w:r>
        <w:rPr>
          <w:rFonts w:ascii="Arial" w:cs="Arial" w:eastAsia="Arial" w:hAnsi="Arial"/>
          <w:sz w:val="22"/>
          <w:szCs w:val="22"/>
          <w:color w:val="auto"/>
        </w:rPr>
        <w:t>” means the Amended and Restated Joint Venture Agreement of Opco Joint Venture or Propco Joint Venture.</w:t>
      </w:r>
    </w:p>
    <w:p>
      <w:pPr>
        <w:spacing w:after="0" w:line="174" w:lineRule="exact"/>
        <w:rPr>
          <w:sz w:val="20"/>
          <w:szCs w:val="20"/>
          <w:color w:val="auto"/>
        </w:rPr>
      </w:pPr>
    </w:p>
    <w:p>
      <w:pPr>
        <w:ind w:left="200" w:right="379" w:firstLine="70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Legal Requirement</w:t>
      </w:r>
      <w:r>
        <w:rPr>
          <w:rFonts w:ascii="Arial" w:cs="Arial" w:eastAsia="Arial" w:hAnsi="Arial"/>
          <w:sz w:val="21"/>
          <w:szCs w:val="21"/>
          <w:color w:val="auto"/>
        </w:rPr>
        <w:t>” means any United States, federal, state or local or any foreign law (in each case, statutory, common or otherwise), constitution, treaty, convention, Order, ordinance, code, rule, statute, regulation (domestic or foreign) or other similar requirement enacted, issued, adopted, promulgated, entered into or applied by a Governmental Body.</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Documents</w:t>
      </w:r>
      <w:r>
        <w:rPr>
          <w:rFonts w:ascii="Arial" w:cs="Arial" w:eastAsia="Arial" w:hAnsi="Arial"/>
          <w:sz w:val="19"/>
          <w:szCs w:val="19"/>
          <w:color w:val="auto"/>
        </w:rPr>
        <w:t>” shall have the meaning set forth in Section 6.1(b) of this Agreement.</w:t>
      </w:r>
    </w:p>
    <w:p>
      <w:pPr>
        <w:spacing w:after="0" w:line="268" w:lineRule="exact"/>
        <w:rPr>
          <w:sz w:val="20"/>
          <w:szCs w:val="20"/>
          <w:color w:val="auto"/>
        </w:rPr>
      </w:pPr>
    </w:p>
    <w:p>
      <w:pPr>
        <w:ind w:left="200" w:right="359"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Liens</w:t>
      </w:r>
      <w:r>
        <w:rPr>
          <w:rFonts w:ascii="Arial" w:cs="Arial" w:eastAsia="Arial" w:hAnsi="Arial"/>
          <w:sz w:val="22"/>
          <w:szCs w:val="22"/>
          <w:color w:val="auto"/>
        </w:rPr>
        <w:t>” means any liens, charges, encumbrances, adverse rights or claims and security interests whatsoever (including any limitation on voting, sale, transfer or other disposition or exercise of any other attribute of ownership), excluding transfer restrictions imposed by securities laws.</w:t>
      </w:r>
    </w:p>
    <w:p>
      <w:pPr>
        <w:spacing w:after="0" w:line="191" w:lineRule="exact"/>
        <w:rPr>
          <w:sz w:val="20"/>
          <w:szCs w:val="20"/>
          <w:color w:val="auto"/>
        </w:rPr>
      </w:pPr>
    </w:p>
    <w:p>
      <w:pPr>
        <w:ind w:left="200" w:right="319"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Agreement</w:t>
      </w:r>
      <w:r>
        <w:rPr>
          <w:rFonts w:ascii="Arial" w:cs="Arial" w:eastAsia="Arial" w:hAnsi="Arial"/>
          <w:sz w:val="22"/>
          <w:szCs w:val="22"/>
          <w:color w:val="auto"/>
        </w:rPr>
        <w:t>” means that certain Second Amended and Restated Loan Agreement dated July 2, 2019 by and among Aurora Convention Center Hotel, LLC, as borrower thereunder, the lenders party thereto and Wells Fargo Bank, National Association, as Administrative Agent, as amended to date.</w:t>
      </w:r>
    </w:p>
    <w:p>
      <w:pPr>
        <w:spacing w:after="0" w:line="191" w:lineRule="exact"/>
        <w:rPr>
          <w:sz w:val="20"/>
          <w:szCs w:val="20"/>
          <w:color w:val="auto"/>
        </w:rPr>
      </w:pPr>
    </w:p>
    <w:p>
      <w:pPr>
        <w:ind w:left="200" w:right="379"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Casualty</w:t>
      </w:r>
      <w:r>
        <w:rPr>
          <w:rFonts w:ascii="Arial" w:cs="Arial" w:eastAsia="Arial" w:hAnsi="Arial"/>
          <w:sz w:val="22"/>
          <w:szCs w:val="22"/>
          <w:color w:val="auto"/>
        </w:rPr>
        <w:t>” shall mean casualty, for which the estimated cost to repair or restore the Property exceeds an amount equal to five percent (5%) of the aggregate construction costs for the Investment.</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NYSE</w:t>
      </w:r>
      <w:r>
        <w:rPr>
          <w:rFonts w:ascii="Arial" w:cs="Arial" w:eastAsia="Arial" w:hAnsi="Arial"/>
          <w:sz w:val="22"/>
          <w:szCs w:val="22"/>
          <w:color w:val="auto"/>
        </w:rPr>
        <w:t>” means the New York Stock Exchange.</w:t>
      </w:r>
    </w:p>
    <w:p>
      <w:pPr>
        <w:spacing w:after="0" w:line="233" w:lineRule="exact"/>
        <w:rPr>
          <w:sz w:val="20"/>
          <w:szCs w:val="20"/>
          <w:color w:val="auto"/>
        </w:rPr>
      </w:pPr>
    </w:p>
    <w:p>
      <w:pPr>
        <w:ind w:left="200" w:right="339" w:firstLine="648"/>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Order</w:t>
      </w:r>
      <w:r>
        <w:rPr>
          <w:rFonts w:ascii="Arial" w:cs="Arial" w:eastAsia="Arial" w:hAnsi="Arial"/>
          <w:sz w:val="21"/>
          <w:szCs w:val="21"/>
          <w:color w:val="auto"/>
        </w:rPr>
        <w:t>” means any order, writ, injunction, decree, judgment, award, injunction, settlement or stipulation issued, promulgated, made, rendered or entered into by or with any Governmental Body (in each case, whether temporary, preliminary or permanent).</w:t>
      </w:r>
    </w:p>
    <w:p>
      <w:pPr>
        <w:spacing w:after="0" w:line="169" w:lineRule="exact"/>
        <w:rPr>
          <w:sz w:val="20"/>
          <w:szCs w:val="20"/>
          <w:color w:val="auto"/>
        </w:rPr>
      </w:pPr>
    </w:p>
    <w:p>
      <w:pPr>
        <w:ind w:left="200" w:right="279" w:firstLine="648"/>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limited liability company, association, trust or other entity or organization, including a government or political subdivision or an agency or instrumentality thereof.</w:t>
      </w:r>
    </w:p>
    <w:p>
      <w:pPr>
        <w:spacing w:after="0" w:line="185" w:lineRule="exact"/>
        <w:rPr>
          <w:sz w:val="20"/>
          <w:szCs w:val="20"/>
          <w:color w:val="auto"/>
        </w:rPr>
      </w:pPr>
    </w:p>
    <w:p>
      <w:pPr>
        <w:ind w:left="200" w:right="739" w:firstLine="702"/>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means any claim, suit, action, proceeding, arbitration, mediation, audit, hearing, inquiry or, to the knowledge of the Person in question, investigation (in each case, whether civil, criminal, administrative, investigative, formal or informal)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7" w:name="page78"/>
    <w:bookmarkEnd w:id="77"/>
    <w:p>
      <w:pPr>
        <w:ind w:left="200" w:right="339"/>
        <w:spacing w:after="0" w:line="276" w:lineRule="auto"/>
        <w:rPr>
          <w:sz w:val="20"/>
          <w:szCs w:val="20"/>
          <w:color w:val="auto"/>
        </w:rPr>
      </w:pPr>
      <w:r>
        <w:rPr>
          <w:rFonts w:ascii="Arial" w:cs="Arial" w:eastAsia="Arial" w:hAnsi="Arial"/>
          <w:sz w:val="22"/>
          <w:szCs w:val="22"/>
          <w:color w:val="auto"/>
        </w:rPr>
        <w:t>commenced, brought, conducted or heard by or before, or otherwise involving, any Governmental Body or arbitrator.</w:t>
      </w:r>
    </w:p>
    <w:p>
      <w:pPr>
        <w:spacing w:after="0" w:line="174" w:lineRule="exact"/>
        <w:rPr>
          <w:sz w:val="20"/>
          <w:szCs w:val="20"/>
          <w:color w:val="auto"/>
        </w:rPr>
      </w:pPr>
    </w:p>
    <w:p>
      <w:pPr>
        <w:ind w:left="200" w:right="339"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Purchase Price Allocation</w:t>
      </w:r>
      <w:r>
        <w:rPr>
          <w:rFonts w:ascii="Arial" w:cs="Arial" w:eastAsia="Arial" w:hAnsi="Arial"/>
          <w:sz w:val="22"/>
          <w:szCs w:val="22"/>
          <w:color w:val="auto"/>
        </w:rPr>
        <w:t>” shall have the meaning set forth in Section 5.5(c) of this Agreement.</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means an amount equal to $188,000,000.00.</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Purchasers</w:t>
      </w:r>
      <w:r>
        <w:rPr>
          <w:rFonts w:ascii="Arial" w:cs="Arial" w:eastAsia="Arial" w:hAnsi="Arial"/>
          <w:sz w:val="22"/>
          <w:szCs w:val="22"/>
          <w:color w:val="auto"/>
        </w:rPr>
        <w:t>” shall have the meaning set forth in the preamble to this Agreement.</w:t>
      </w:r>
    </w:p>
    <w:p>
      <w:pPr>
        <w:spacing w:after="0" w:line="233" w:lineRule="exact"/>
        <w:rPr>
          <w:sz w:val="20"/>
          <w:szCs w:val="20"/>
          <w:color w:val="auto"/>
        </w:rPr>
      </w:pPr>
    </w:p>
    <w:p>
      <w:pPr>
        <w:ind w:left="200" w:right="519"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 Compliance Certificate</w:t>
      </w:r>
      <w:r>
        <w:rPr>
          <w:rFonts w:ascii="Arial" w:cs="Arial" w:eastAsia="Arial" w:hAnsi="Arial"/>
          <w:sz w:val="22"/>
          <w:szCs w:val="22"/>
          <w:color w:val="auto"/>
        </w:rPr>
        <w:t>” shall have the meaning set forth in Section 6.3(c) of this Agreement.</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w:t>
      </w:r>
      <w:r>
        <w:rPr>
          <w:rFonts w:ascii="Arial" w:cs="Arial" w:eastAsia="Arial" w:hAnsi="Arial"/>
          <w:sz w:val="22"/>
          <w:szCs w:val="22"/>
          <w:color w:val="auto"/>
        </w:rPr>
        <w:t>” shall have the meaning set forth in the preamble to this Agreement.</w:t>
      </w:r>
    </w:p>
    <w:p>
      <w:pPr>
        <w:spacing w:after="0" w:line="233" w:lineRule="exact"/>
        <w:rPr>
          <w:sz w:val="20"/>
          <w:szCs w:val="20"/>
          <w:color w:val="auto"/>
        </w:rPr>
      </w:pPr>
    </w:p>
    <w:p>
      <w:pPr>
        <w:ind w:left="200" w:right="459" w:firstLine="702"/>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Compliance Certificate</w:t>
      </w:r>
      <w:r>
        <w:rPr>
          <w:rFonts w:ascii="Arial" w:cs="Arial" w:eastAsia="Arial" w:hAnsi="Arial"/>
          <w:sz w:val="22"/>
          <w:szCs w:val="22"/>
          <w:color w:val="auto"/>
        </w:rPr>
        <w:t>” shall have the meaning set forth in Section 6.2(c) of this Agreement.</w:t>
      </w:r>
    </w:p>
    <w:p>
      <w:pPr>
        <w:spacing w:after="0" w:line="174" w:lineRule="exact"/>
        <w:rPr>
          <w:sz w:val="20"/>
          <w:szCs w:val="20"/>
          <w:color w:val="auto"/>
        </w:rPr>
      </w:pPr>
    </w:p>
    <w:p>
      <w:pPr>
        <w:ind w:left="200" w:right="219" w:firstLine="702"/>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when used with respect to any Person means any corporation, limited liability company, partnership or other organization, whether incorporated or unincorporated, (i) of which at least a majority of the securities or other interests having by their terms voting power to elect a majority of the board of directors or others performing similar functions with respect to such corporation or other organization is directly or indirectly beneficially owned or controlled by such party or by any one or more of its Subsidiaries or (ii) that would be required to be consolidated in such party’s financial statements under generally accepted accounting principles as adopted (whether or not yet effective) in the United States.</w:t>
      </w:r>
    </w:p>
    <w:p>
      <w:pPr>
        <w:spacing w:after="0" w:line="179" w:lineRule="exact"/>
        <w:rPr>
          <w:sz w:val="20"/>
          <w:szCs w:val="20"/>
          <w:color w:val="auto"/>
        </w:rPr>
      </w:pPr>
    </w:p>
    <w:p>
      <w:pPr>
        <w:ind w:left="200" w:right="239"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means any and all taxes of any kind, including, but not limited to, federal, state, local or foreign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95" w:lineRule="exact"/>
        <w:rPr>
          <w:sz w:val="20"/>
          <w:szCs w:val="20"/>
          <w:color w:val="auto"/>
        </w:rPr>
      </w:pPr>
    </w:p>
    <w:p>
      <w:pPr>
        <w:ind w:left="200" w:right="219" w:firstLine="702"/>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return, declaration, report, statement, information statement, and other documentation (including any related or supporting information or schedule) filed or required to be filed with respect to Taxes, including any supplement, amendment or claim for refund thereof.</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Taxes</w:t>
      </w:r>
      <w:r>
        <w:rPr>
          <w:rFonts w:ascii="Arial" w:cs="Arial" w:eastAsia="Arial" w:hAnsi="Arial"/>
          <w:sz w:val="19"/>
          <w:szCs w:val="19"/>
          <w:color w:val="auto"/>
        </w:rPr>
        <w:t>” shall have the meaning set forth in Section 5.5(a)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380365</wp:posOffset>
            </wp:positionV>
            <wp:extent cx="545211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8" w:name="page79"/>
    <w:bookmarkEnd w:id="78"/>
    <w:p>
      <w:pPr>
        <w:ind w:left="200" w:right="319" w:firstLine="648"/>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regulations (including temporary regulations) promulgated by the United States Department of the Treasury pursuant to and in respect of provisions of the Code. All references herein to sections of the Treasury Regulations shall include any corresponding provisions or provisions of succeeding, similar or substitute, temporary or final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ANNEX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PURCHASED INTERESTS</w:t>
      </w:r>
    </w:p>
    <w:p>
      <w:pPr>
        <w:spacing w:after="0" w:line="293" w:lineRule="exact"/>
        <w:rPr>
          <w:sz w:val="20"/>
          <w:szCs w:val="20"/>
          <w:color w:val="auto"/>
        </w:rPr>
      </w:pPr>
    </w:p>
    <w:p>
      <w:pPr>
        <w:ind w:left="200" w:right="559"/>
        <w:spacing w:after="0" w:line="276" w:lineRule="auto"/>
        <w:rPr>
          <w:sz w:val="20"/>
          <w:szCs w:val="20"/>
          <w:color w:val="auto"/>
        </w:rPr>
      </w:pPr>
      <w:r>
        <w:rPr>
          <w:rFonts w:ascii="Arial" w:cs="Arial" w:eastAsia="Arial" w:hAnsi="Arial"/>
          <w:sz w:val="22"/>
          <w:szCs w:val="22"/>
          <w:color w:val="auto"/>
        </w:rPr>
        <w:t>Aurora Convention Center Hotel Partners, LLC: 31.1025041% Membership Interest in each of Opco Joint Venture and Propco Joint Venture</w:t>
      </w:r>
    </w:p>
    <w:p>
      <w:pPr>
        <w:spacing w:after="0" w:line="228" w:lineRule="exact"/>
        <w:rPr>
          <w:sz w:val="20"/>
          <w:szCs w:val="20"/>
          <w:color w:val="auto"/>
        </w:rPr>
      </w:pPr>
    </w:p>
    <w:p>
      <w:pPr>
        <w:ind w:left="200" w:right="599"/>
        <w:spacing w:after="0" w:line="276" w:lineRule="auto"/>
        <w:rPr>
          <w:sz w:val="20"/>
          <w:szCs w:val="20"/>
          <w:color w:val="auto"/>
        </w:rPr>
      </w:pPr>
      <w:r>
        <w:rPr>
          <w:rFonts w:ascii="Arial" w:cs="Arial" w:eastAsia="Arial" w:hAnsi="Arial"/>
          <w:sz w:val="22"/>
          <w:szCs w:val="22"/>
          <w:color w:val="auto"/>
        </w:rPr>
        <w:t>RIDA Aurora 2018 Acquisition, LLC: 3.8974959% Membership Interest in each of Opco Joint Venture and Propco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758825</wp:posOffset>
            </wp:positionV>
            <wp:extent cx="545211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2"/>
          <w:szCs w:val="22"/>
          <w:b w:val="1"/>
          <w:bCs w:val="1"/>
          <w:color w:val="auto"/>
        </w:rPr>
        <w:t>ANNEX 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DEVELOPMENT/CONSTRUCTION DOCUMENTATION</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to the extent assignable without consent and in a Seller’s or its Affiliate’s possession or control,</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any records and documents relating to the construction and development of the Investment</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including (A) building permits and (B) plans and specifications, engineering drawings and prints</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with respect to the improvements on the Property, all operating manuals, and all books, data and</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records regarding the physical components systems of the improvements on the Property (the</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Plans and Specifications</w:t>
      </w:r>
      <w:r>
        <w:rPr>
          <w:rFonts w:ascii="Arial" w:cs="Arial" w:eastAsia="Arial" w:hAnsi="Arial"/>
          <w:sz w:val="19"/>
          <w:szCs w:val="19"/>
          <w:color w:val="auto"/>
        </w:rPr>
        <w:t>”) (and if not assignable, Sellers will and will cause any Affiliate party</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thereto to, cooperate for the benefit of the Joint Ventures in the future);</w:t>
      </w:r>
    </w:p>
    <w:p>
      <w:pPr>
        <w:spacing w:after="0" w:line="283" w:lineRule="exact"/>
        <w:rPr>
          <w:sz w:val="20"/>
          <w:szCs w:val="20"/>
          <w:color w:val="auto"/>
        </w:rPr>
      </w:pPr>
    </w:p>
    <w:p>
      <w:pPr>
        <w:ind w:left="200" w:right="399"/>
        <w:spacing w:after="0" w:line="276" w:lineRule="auto"/>
        <w:rPr>
          <w:sz w:val="20"/>
          <w:szCs w:val="20"/>
          <w:color w:val="auto"/>
        </w:rPr>
      </w:pPr>
      <w:r>
        <w:rPr>
          <w:rFonts w:ascii="Arial" w:cs="Arial" w:eastAsia="Arial" w:hAnsi="Arial"/>
          <w:sz w:val="22"/>
          <w:szCs w:val="22"/>
          <w:color w:val="auto"/>
        </w:rPr>
        <w:t>Financing information including backup documentation for construction draws and expenditures; all documentation of the construction closeout and payments of claims;</w:t>
      </w:r>
    </w:p>
    <w:p>
      <w:pPr>
        <w:spacing w:after="0" w:line="228" w:lineRule="exact"/>
        <w:rPr>
          <w:sz w:val="20"/>
          <w:szCs w:val="20"/>
          <w:color w:val="auto"/>
        </w:rPr>
      </w:pPr>
    </w:p>
    <w:p>
      <w:pPr>
        <w:ind w:left="200" w:right="1159"/>
        <w:spacing w:after="0" w:line="276" w:lineRule="auto"/>
        <w:rPr>
          <w:sz w:val="20"/>
          <w:szCs w:val="20"/>
          <w:color w:val="auto"/>
        </w:rPr>
      </w:pPr>
      <w:r>
        <w:rPr>
          <w:rFonts w:ascii="Arial" w:cs="Arial" w:eastAsia="Arial" w:hAnsi="Arial"/>
          <w:sz w:val="22"/>
          <w:szCs w:val="22"/>
          <w:color w:val="auto"/>
        </w:rPr>
        <w:t>All warranties and other evidence of rights related to the construction and improvements associated with the Investment;</w:t>
      </w:r>
    </w:p>
    <w:p>
      <w:pPr>
        <w:spacing w:after="0" w:line="228" w:lineRule="exact"/>
        <w:rPr>
          <w:sz w:val="20"/>
          <w:szCs w:val="20"/>
          <w:color w:val="auto"/>
        </w:rPr>
      </w:pPr>
    </w:p>
    <w:p>
      <w:pPr>
        <w:ind w:left="200" w:right="1179"/>
        <w:spacing w:after="0" w:line="276" w:lineRule="auto"/>
        <w:rPr>
          <w:sz w:val="20"/>
          <w:szCs w:val="20"/>
          <w:color w:val="auto"/>
        </w:rPr>
      </w:pPr>
      <w:r>
        <w:rPr>
          <w:rFonts w:ascii="Arial" w:cs="Arial" w:eastAsia="Arial" w:hAnsi="Arial"/>
          <w:sz w:val="22"/>
          <w:szCs w:val="22"/>
          <w:color w:val="auto"/>
        </w:rPr>
        <w:t>Incentive documents and records, including orders, contracts, notices, legal memoranda, correspondence, and other documents;</w:t>
      </w:r>
    </w:p>
    <w:p>
      <w:pPr>
        <w:spacing w:after="0" w:line="228" w:lineRule="exact"/>
        <w:rPr>
          <w:sz w:val="20"/>
          <w:szCs w:val="20"/>
          <w:color w:val="auto"/>
        </w:rPr>
      </w:pPr>
    </w:p>
    <w:p>
      <w:pPr>
        <w:ind w:left="200" w:right="239"/>
        <w:spacing w:after="0" w:line="262" w:lineRule="auto"/>
        <w:rPr>
          <w:sz w:val="20"/>
          <w:szCs w:val="20"/>
          <w:color w:val="auto"/>
        </w:rPr>
      </w:pPr>
      <w:r>
        <w:rPr>
          <w:rFonts w:ascii="Arial" w:cs="Arial" w:eastAsia="Arial" w:hAnsi="Arial"/>
          <w:sz w:val="22"/>
          <w:szCs w:val="22"/>
          <w:color w:val="auto"/>
        </w:rPr>
        <w:t>Any and all records and documents relating to the proposed expansion of the Investment, plans and specifications, engineering drawings and prints with respect to the improvements, architects contracts, other contracts and all books, data and records regarding the development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675005</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ANNEX 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ADDRESSES</w:t>
      </w: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If to the Purchasers:</w:t>
      </w:r>
    </w:p>
    <w:p>
      <w:pPr>
        <w:spacing w:after="0" w:line="26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c/o Ryman Hospitality Properties, Inc.</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One Gaylord Drive</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Nashville, TN 37214</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Attn: Chief Executive Officer</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Phone: (615) 316-6000</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Bass Berry &amp; Sims PLC</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150 Third Avenue South</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Nashville, TN 37201</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Attn: F. Mitchell Walker, Jr.</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Phone: (615) 742-6200</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If to the Sellers, to:</w:t>
      </w:r>
    </w:p>
    <w:p>
      <w:pPr>
        <w:spacing w:after="0" w:line="26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c/o RIDA Aurora, LLC</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1777 Walker Street</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Suite #501</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Houston, TX 77010</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Attn: Mr. Ira Mitzner and Mr. Luke Charlton</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Phone: (713) 961-3835</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Morrison &amp; Foerster LLP</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250 West 55th Street</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New York, NY 10019</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Attn: Jeffrey J. Temple, Esq.</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Phone: (212) 468-8031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869315</wp:posOffset>
            </wp:positionV>
            <wp:extent cx="54521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ind w:left="200" w:right="219"/>
        <w:spacing w:after="0" w:line="282" w:lineRule="auto"/>
        <w:rPr>
          <w:sz w:val="20"/>
          <w:szCs w:val="20"/>
          <w:color w:val="auto"/>
        </w:rPr>
      </w:pPr>
      <w:r>
        <w:rPr>
          <w:rFonts w:ascii="Arial" w:cs="Arial" w:eastAsia="Arial" w:hAnsi="Arial"/>
          <w:sz w:val="22"/>
          <w:szCs w:val="22"/>
          <w:b w:val="1"/>
          <w:bCs w:val="1"/>
          <w:color w:val="auto"/>
        </w:rPr>
        <w:t>ASSIGNMENT AND ASSUMPTION OF MEMBERSHIP INTERESTS AND RELEASE [Aurora Convention Center Hotel Investors, LLC/ Aurora Convention Center Hotel Lessee Holdco, LLC</w:t>
      </w:r>
      <w:r>
        <w:rPr>
          <w:rFonts w:ascii="Arial" w:cs="Arial" w:eastAsia="Arial" w:hAnsi="Arial"/>
          <w:sz w:val="22"/>
          <w:szCs w:val="22"/>
          <w:color w:val="auto"/>
        </w:rPr>
        <w:t>]</w:t>
      </w:r>
    </w:p>
    <w:p>
      <w:pPr>
        <w:spacing w:after="0" w:line="239" w:lineRule="exact"/>
        <w:rPr>
          <w:sz w:val="20"/>
          <w:szCs w:val="20"/>
          <w:color w:val="auto"/>
        </w:rPr>
      </w:pPr>
    </w:p>
    <w:p>
      <w:pPr>
        <w:jc w:val="both"/>
        <w:ind w:left="200" w:right="219" w:firstLine="648"/>
        <w:spacing w:after="0" w:line="305" w:lineRule="auto"/>
        <w:rPr>
          <w:sz w:val="20"/>
          <w:szCs w:val="20"/>
          <w:color w:val="auto"/>
        </w:rPr>
      </w:pPr>
      <w:r>
        <w:rPr>
          <w:rFonts w:ascii="Arial" w:cs="Arial" w:eastAsia="Arial" w:hAnsi="Arial"/>
          <w:sz w:val="19"/>
          <w:szCs w:val="19"/>
          <w:color w:val="auto"/>
        </w:rPr>
        <w:t>THIS ASSIGNMENT AND ASSUMPTION OF MEMBERSHIP INTERESTS AND RELEASE (this “</w:t>
      </w:r>
      <w:r>
        <w:rPr>
          <w:rFonts w:ascii="Arial" w:cs="Arial" w:eastAsia="Arial" w:hAnsi="Arial"/>
          <w:sz w:val="19"/>
          <w:szCs w:val="19"/>
          <w:u w:val="single" w:color="auto"/>
          <w:color w:val="auto"/>
        </w:rPr>
        <w:t>Assignment</w:t>
      </w:r>
      <w:r>
        <w:rPr>
          <w:rFonts w:ascii="Arial" w:cs="Arial" w:eastAsia="Arial" w:hAnsi="Arial"/>
          <w:sz w:val="19"/>
          <w:szCs w:val="19"/>
          <w:color w:val="auto"/>
        </w:rPr>
        <w:t>”) is made and entered into effective as of May __, 2021, by Aurora Convention Center Hotel Partners, LLC and RIDA Aurora 2018 Acquisition, LLC, each a Delaware limited liability company (each an “</w:t>
      </w:r>
      <w:r>
        <w:rPr>
          <w:rFonts w:ascii="Arial" w:cs="Arial" w:eastAsia="Arial" w:hAnsi="Arial"/>
          <w:sz w:val="19"/>
          <w:szCs w:val="19"/>
          <w:u w:val="single" w:color="auto"/>
          <w:color w:val="auto"/>
        </w:rPr>
        <w:t>Assignor</w:t>
      </w:r>
      <w:r>
        <w:rPr>
          <w:rFonts w:ascii="Arial" w:cs="Arial" w:eastAsia="Arial" w:hAnsi="Arial"/>
          <w:sz w:val="19"/>
          <w:szCs w:val="19"/>
          <w:color w:val="auto"/>
        </w:rPr>
        <w:t>” and collectively “</w:t>
      </w:r>
      <w:r>
        <w:rPr>
          <w:rFonts w:ascii="Arial" w:cs="Arial" w:eastAsia="Arial" w:hAnsi="Arial"/>
          <w:sz w:val="19"/>
          <w:szCs w:val="19"/>
          <w:u w:val="single" w:color="auto"/>
          <w:color w:val="auto"/>
        </w:rPr>
        <w:t>Assignors</w:t>
      </w:r>
      <w:r>
        <w:rPr>
          <w:rFonts w:ascii="Arial" w:cs="Arial" w:eastAsia="Arial" w:hAnsi="Arial"/>
          <w:sz w:val="19"/>
          <w:szCs w:val="19"/>
          <w:color w:val="auto"/>
        </w:rPr>
        <w:t>”), and [RHPAHO, LLC/RHPAHP, LLC,] a Delaware limited liability company (“Ryman Member” or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205" w:lineRule="exact"/>
        <w:rPr>
          <w:sz w:val="20"/>
          <w:szCs w:val="20"/>
          <w:color w:val="auto"/>
        </w:rPr>
      </w:pPr>
    </w:p>
    <w:p>
      <w:pPr>
        <w:jc w:val="both"/>
        <w:ind w:left="200" w:right="219" w:firstLine="657"/>
        <w:spacing w:after="0" w:line="288" w:lineRule="auto"/>
        <w:tabs>
          <w:tab w:leader="none" w:pos="1496" w:val="left"/>
        </w:tabs>
        <w:numPr>
          <w:ilvl w:val="0"/>
          <w:numId w:val="48"/>
        </w:numPr>
        <w:rPr>
          <w:rFonts w:ascii="Arial" w:cs="Arial" w:eastAsia="Arial" w:hAnsi="Arial"/>
          <w:sz w:val="20"/>
          <w:szCs w:val="20"/>
          <w:color w:val="auto"/>
        </w:rPr>
      </w:pPr>
      <w:r>
        <w:rPr>
          <w:rFonts w:ascii="Arial" w:cs="Arial" w:eastAsia="Arial" w:hAnsi="Arial"/>
          <w:sz w:val="20"/>
          <w:szCs w:val="20"/>
          <w:color w:val="auto"/>
        </w:rPr>
        <w:t>Assignors and Assignee are parties to that certain Purchase Agreement dated as of April 30, 2021 (as may be amended from time to time, the “</w:t>
      </w:r>
      <w:r>
        <w:rPr>
          <w:rFonts w:ascii="Arial" w:cs="Arial" w:eastAsia="Arial" w:hAnsi="Arial"/>
          <w:sz w:val="20"/>
          <w:szCs w:val="20"/>
          <w:u w:val="single" w:color="auto"/>
          <w:color w:val="auto"/>
        </w:rPr>
        <w:t>Purchase Agreement</w:t>
      </w:r>
      <w:r>
        <w:rPr>
          <w:rFonts w:ascii="Arial" w:cs="Arial" w:eastAsia="Arial" w:hAnsi="Arial"/>
          <w:sz w:val="20"/>
          <w:szCs w:val="20"/>
          <w:color w:val="auto"/>
        </w:rPr>
        <w:t>”). Except for terms specifically defined herein, the capitalized terms used in this Assignment shall have the same meanings as capitalized terms have when used in the Purchase Agreement.</w:t>
      </w:r>
    </w:p>
    <w:p>
      <w:pPr>
        <w:spacing w:after="0" w:line="219" w:lineRule="exact"/>
        <w:rPr>
          <w:rFonts w:ascii="Arial" w:cs="Arial" w:eastAsia="Arial" w:hAnsi="Arial"/>
          <w:sz w:val="20"/>
          <w:szCs w:val="20"/>
          <w:color w:val="auto"/>
        </w:rPr>
      </w:pPr>
    </w:p>
    <w:p>
      <w:pPr>
        <w:jc w:val="both"/>
        <w:ind w:left="200" w:right="219" w:firstLine="657"/>
        <w:spacing w:after="0" w:line="288" w:lineRule="auto"/>
        <w:tabs>
          <w:tab w:leader="none" w:pos="1496" w:val="left"/>
        </w:tabs>
        <w:numPr>
          <w:ilvl w:val="0"/>
          <w:numId w:val="48"/>
        </w:numPr>
        <w:rPr>
          <w:rFonts w:ascii="Arial" w:cs="Arial" w:eastAsia="Arial" w:hAnsi="Arial"/>
          <w:sz w:val="20"/>
          <w:szCs w:val="20"/>
          <w:color w:val="auto"/>
        </w:rPr>
      </w:pPr>
      <w:r>
        <w:rPr>
          <w:rFonts w:ascii="Arial" w:cs="Arial" w:eastAsia="Arial" w:hAnsi="Arial"/>
          <w:sz w:val="20"/>
          <w:szCs w:val="20"/>
          <w:color w:val="auto"/>
        </w:rPr>
        <w:t>Concurrently with the execution and delivery of this Assignment, the parties are consummating the transactions contemplated by the Purchase Agreement, which contemplates, among other things, Assignor’s sale and transfer to Assignee of the Assignor’s Purchased Interests set forth on Schedule A hereto, on the Closing Date.</w:t>
      </w:r>
    </w:p>
    <w:p>
      <w:pPr>
        <w:spacing w:after="0" w:line="213" w:lineRule="exact"/>
        <w:rPr>
          <w:sz w:val="20"/>
          <w:szCs w:val="20"/>
          <w:color w:val="auto"/>
        </w:rPr>
      </w:pPr>
    </w:p>
    <w:p>
      <w:pPr>
        <w:jc w:val="both"/>
        <w:ind w:left="200" w:right="219" w:firstLine="648"/>
        <w:spacing w:after="0" w:line="341"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including the consummation of the transactions pursuant to the Purchase Agreement, the receipt and adequacy of which is hereby acknowledged, Assignor and Assignee hereby agree as follows:</w:t>
      </w:r>
    </w:p>
    <w:p>
      <w:pPr>
        <w:spacing w:after="0" w:line="177" w:lineRule="exact"/>
        <w:rPr>
          <w:sz w:val="20"/>
          <w:szCs w:val="20"/>
          <w:color w:val="auto"/>
        </w:rPr>
      </w:pPr>
    </w:p>
    <w:p>
      <w:pPr>
        <w:jc w:val="both"/>
        <w:ind w:left="200" w:right="219" w:firstLine="657"/>
        <w:spacing w:after="0" w:line="292" w:lineRule="auto"/>
        <w:tabs>
          <w:tab w:leader="none" w:pos="1496"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Assignment of Purchased Interests</w:t>
      </w:r>
      <w:r>
        <w:rPr>
          <w:rFonts w:ascii="Arial" w:cs="Arial" w:eastAsia="Arial" w:hAnsi="Arial"/>
          <w:sz w:val="20"/>
          <w:szCs w:val="20"/>
          <w:color w:val="auto"/>
        </w:rPr>
        <w:t>. Assignor hereby transfers, conveys and assigns to Assignee all of Assignor’s right, title and interest in and to the Purchased Interests set forth on Schedule A hereto, free and clear of all Liens.</w:t>
      </w:r>
    </w:p>
    <w:p>
      <w:pPr>
        <w:spacing w:after="0" w:line="213" w:lineRule="exact"/>
        <w:rPr>
          <w:rFonts w:ascii="Arial" w:cs="Arial" w:eastAsia="Arial" w:hAnsi="Arial"/>
          <w:sz w:val="20"/>
          <w:szCs w:val="20"/>
          <w:color w:val="auto"/>
        </w:rPr>
      </w:pPr>
    </w:p>
    <w:p>
      <w:pPr>
        <w:ind w:left="200" w:right="219" w:firstLine="657"/>
        <w:spacing w:after="0" w:line="303" w:lineRule="auto"/>
        <w:tabs>
          <w:tab w:leader="none" w:pos="1496"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Assumption of Purchased Interests</w:t>
      </w:r>
      <w:r>
        <w:rPr>
          <w:rFonts w:ascii="Arial" w:cs="Arial" w:eastAsia="Arial" w:hAnsi="Arial"/>
          <w:sz w:val="20"/>
          <w:szCs w:val="20"/>
          <w:color w:val="auto"/>
        </w:rPr>
        <w:t>. Assignee hereby accepts the transfer, conveyance and assignment of the Purchased Interests set forth on Schedule A hereto.</w:t>
      </w:r>
    </w:p>
    <w:p>
      <w:pPr>
        <w:spacing w:after="0" w:line="188" w:lineRule="exact"/>
        <w:rPr>
          <w:rFonts w:ascii="Arial" w:cs="Arial" w:eastAsia="Arial" w:hAnsi="Arial"/>
          <w:sz w:val="20"/>
          <w:szCs w:val="20"/>
          <w:color w:val="auto"/>
        </w:rPr>
      </w:pPr>
    </w:p>
    <w:p>
      <w:pPr>
        <w:ind w:left="200" w:right="219" w:firstLine="657"/>
        <w:spacing w:after="0" w:line="303" w:lineRule="auto"/>
        <w:tabs>
          <w:tab w:leader="none" w:pos="1496"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As an inducement to Assignee and Assignors to close the purchase and sale of the Purchased Interests, effective upon receipt of the Purchase Price by Sellers:</w:t>
      </w:r>
    </w:p>
    <w:p>
      <w:pPr>
        <w:spacing w:after="0" w:line="189" w:lineRule="exact"/>
        <w:rPr>
          <w:sz w:val="20"/>
          <w:szCs w:val="20"/>
          <w:color w:val="auto"/>
        </w:rPr>
      </w:pPr>
    </w:p>
    <w:p>
      <w:pPr>
        <w:jc w:val="both"/>
        <w:ind w:left="200" w:right="219" w:firstLine="1944"/>
        <w:spacing w:after="0" w:line="270" w:lineRule="auto"/>
        <w:rPr>
          <w:sz w:val="20"/>
          <w:szCs w:val="20"/>
          <w:color w:val="auto"/>
        </w:rPr>
      </w:pPr>
      <w:r>
        <w:rPr>
          <w:rFonts w:ascii="Arial" w:cs="Arial" w:eastAsia="Arial" w:hAnsi="Arial"/>
          <w:sz w:val="19"/>
          <w:szCs w:val="19"/>
          <w:color w:val="auto"/>
        </w:rPr>
        <w:t>Each Assignor hereby agrees that the rights and obligations of the Assignors under the Propco Joint Venture Agreement and the Opco Joint Venture Agreement will terminate;</w:t>
      </w:r>
    </w:p>
    <w:p>
      <w:pPr>
        <w:spacing w:after="0" w:line="2" w:lineRule="exact"/>
        <w:rPr>
          <w:sz w:val="20"/>
          <w:szCs w:val="20"/>
          <w:color w:val="auto"/>
        </w:rPr>
      </w:pPr>
    </w:p>
    <w:p>
      <w:pPr>
        <w:jc w:val="both"/>
        <w:ind w:left="200" w:right="219" w:firstLine="1944"/>
        <w:spacing w:after="0" w:line="302" w:lineRule="auto"/>
        <w:rPr>
          <w:sz w:val="20"/>
          <w:szCs w:val="20"/>
          <w:color w:val="auto"/>
        </w:rPr>
      </w:pPr>
      <w:r>
        <w:rPr>
          <w:rFonts w:ascii="Arial" w:cs="Arial" w:eastAsia="Arial" w:hAnsi="Arial"/>
          <w:sz w:val="18"/>
          <w:szCs w:val="18"/>
          <w:color w:val="auto"/>
        </w:rPr>
        <w:t>Each Assignor, on its own behalf and on behalf of any person claiming through the Assignor, its respective heirs, representatives, present and former parents, owners, partners, subsidiaries, Affiliates, officers, directors, shareholders, members, managers, agents, attorneys,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307340</wp:posOffset>
            </wp:positionV>
            <wp:extent cx="545211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84" w:name="page85"/>
    <w:bookmarkEnd w:id="84"/>
    <w:p>
      <w:pPr>
        <w:jc w:val="both"/>
        <w:ind w:left="200" w:right="219"/>
        <w:spacing w:after="0" w:line="282" w:lineRule="auto"/>
        <w:rPr>
          <w:sz w:val="20"/>
          <w:szCs w:val="20"/>
          <w:color w:val="auto"/>
        </w:rPr>
      </w:pPr>
      <w:r>
        <w:rPr>
          <w:rFonts w:ascii="Arial" w:cs="Arial" w:eastAsia="Arial" w:hAnsi="Arial"/>
          <w:sz w:val="18"/>
          <w:szCs w:val="18"/>
          <w:color w:val="auto"/>
        </w:rPr>
        <w:t>whether direct or indirect, including without limitation, the Assignor Releasees (the “</w:t>
      </w:r>
      <w:r>
        <w:rPr>
          <w:rFonts w:ascii="Arial" w:cs="Arial" w:eastAsia="Arial" w:hAnsi="Arial"/>
          <w:sz w:val="18"/>
          <w:szCs w:val="18"/>
          <w:b w:val="1"/>
          <w:bCs w:val="1"/>
          <w:color w:val="auto"/>
        </w:rPr>
        <w:t>Assignor Associates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w:t>
      </w:r>
      <w:r>
        <w:rPr>
          <w:rFonts w:ascii="Arial" w:cs="Arial" w:eastAsia="Arial" w:hAnsi="Arial"/>
          <w:sz w:val="18"/>
          <w:szCs w:val="18"/>
          <w:color w:val="auto"/>
        </w:rPr>
        <w:t>, the Assignor, together with its respective Assignor Associates, the “</w:t>
      </w:r>
      <w:r>
        <w:rPr>
          <w:rFonts w:ascii="Arial" w:cs="Arial" w:eastAsia="Arial" w:hAnsi="Arial"/>
          <w:sz w:val="18"/>
          <w:szCs w:val="18"/>
          <w:b w:val="1"/>
          <w:bCs w:val="1"/>
          <w:color w:val="auto"/>
        </w:rPr>
        <w:t>Assignor Releasors</w:t>
      </w:r>
      <w:r>
        <w:rPr>
          <w:rFonts w:ascii="Arial" w:cs="Arial" w:eastAsia="Arial" w:hAnsi="Arial"/>
          <w:sz w:val="18"/>
          <w:szCs w:val="18"/>
          <w:color w:val="auto"/>
        </w:rPr>
        <w:t xml:space="preserve">”) hereby releases, waives and forever discharges Ryman Hospitality Properties, Inc., RHP Hotel Properties, LP, Ryman Member, Propco Joint Venture, Opco Joint Venture, their Subsidiaries and its and their respective Ryman Party Associates (for purposes of this </w:t>
      </w:r>
      <w:r>
        <w:rPr>
          <w:rFonts w:ascii="Arial" w:cs="Arial" w:eastAsia="Arial" w:hAnsi="Arial"/>
          <w:sz w:val="18"/>
          <w:szCs w:val="18"/>
          <w:u w:val="single" w:color="auto"/>
          <w:color w:val="auto"/>
        </w:rPr>
        <w:t>Section 3</w:t>
      </w:r>
      <w:r>
        <w:rPr>
          <w:rFonts w:ascii="Arial" w:cs="Arial" w:eastAsia="Arial" w:hAnsi="Arial"/>
          <w:sz w:val="18"/>
          <w:szCs w:val="18"/>
          <w:color w:val="auto"/>
        </w:rPr>
        <w:t>, collectively, “</w:t>
      </w:r>
      <w:r>
        <w:rPr>
          <w:rFonts w:ascii="Arial" w:cs="Arial" w:eastAsia="Arial" w:hAnsi="Arial"/>
          <w:sz w:val="18"/>
          <w:szCs w:val="18"/>
          <w:b w:val="1"/>
          <w:bCs w:val="1"/>
          <w:color w:val="auto"/>
        </w:rPr>
        <w:t>Ryman</w:t>
      </w:r>
      <w:r>
        <w:rPr>
          <w:rFonts w:ascii="Arial" w:cs="Arial" w:eastAsia="Arial" w:hAnsi="Arial"/>
          <w:sz w:val="18"/>
          <w:szCs w:val="18"/>
          <w:color w:val="auto"/>
        </w:rPr>
        <w:t xml:space="preserve"> </w:t>
      </w:r>
      <w:r>
        <w:rPr>
          <w:rFonts w:ascii="Arial" w:cs="Arial" w:eastAsia="Arial" w:hAnsi="Arial"/>
          <w:sz w:val="18"/>
          <w:szCs w:val="18"/>
          <w:b w:val="1"/>
          <w:bCs w:val="1"/>
          <w:color w:val="auto"/>
        </w:rPr>
        <w:t>Releasees</w:t>
      </w:r>
      <w:r>
        <w:rPr>
          <w:rFonts w:ascii="Arial" w:cs="Arial" w:eastAsia="Arial" w:hAnsi="Arial"/>
          <w:sz w:val="18"/>
          <w:szCs w:val="18"/>
          <w:color w:val="auto"/>
        </w:rPr>
        <w:t>”) of and from any and all actions, causes of action, claims, liabilities or obligations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known or unknown, in law, admiralty or equity (collectively, “</w:t>
      </w:r>
      <w:r>
        <w:rPr>
          <w:rFonts w:ascii="Arial" w:cs="Arial" w:eastAsia="Arial" w:hAnsi="Arial"/>
          <w:sz w:val="18"/>
          <w:szCs w:val="18"/>
          <w:b w:val="1"/>
          <w:bCs w:val="1"/>
          <w:color w:val="auto"/>
        </w:rPr>
        <w:t>Claims</w:t>
      </w:r>
      <w:r>
        <w:rPr>
          <w:rFonts w:ascii="Arial" w:cs="Arial" w:eastAsia="Arial" w:hAnsi="Arial"/>
          <w:sz w:val="18"/>
          <w:szCs w:val="18"/>
          <w:color w:val="auto"/>
        </w:rPr>
        <w:t xml:space="preserve">”), which any of such Assignor Releasors ever had, now has, or hereafter can, shall, or may have against any of such Ryman Releasees for, upon, or by reason of any matter, cause, or thing whatsoever from the beginning of time to the date of payment arising out of or relating to the ownership of Assignor’s Purchased Interests, the Propco Joint Venture Agreement, the Opco Joint Venture Agreement (and/or any predecessor agreements) or, but only as and to the extent relating to any of the foregoing, pursuant to the Delaware Limited Liability Company Act (Del. Code Ann. tit. 6, § 18-101 </w:t>
      </w:r>
      <w:r>
        <w:rPr>
          <w:rFonts w:ascii="Arial" w:cs="Arial" w:eastAsia="Arial" w:hAnsi="Arial"/>
          <w:sz w:val="18"/>
          <w:szCs w:val="18"/>
          <w:i w:val="1"/>
          <w:iCs w:val="1"/>
          <w:color w:val="auto"/>
        </w:rPr>
        <w:t>et seq.</w:t>
      </w:r>
      <w:r>
        <w:rPr>
          <w:rFonts w:ascii="Arial" w:cs="Arial" w:eastAsia="Arial" w:hAnsi="Arial"/>
          <w:sz w:val="18"/>
          <w:szCs w:val="18"/>
          <w:color w:val="auto"/>
        </w:rPr>
        <w:t>) with respect to the Opco Joint Venture and the Propco Joint Venture, including, but not limited to, claims that any of the Assignor Releasors may have against Ryman Member or their Affiliates as a member, manager, officer, or agent of Propco Joint Venture and/or Opco Joint Venture (collectively, “</w:t>
      </w:r>
      <w:r>
        <w:rPr>
          <w:rFonts w:ascii="Arial" w:cs="Arial" w:eastAsia="Arial" w:hAnsi="Arial"/>
          <w:sz w:val="18"/>
          <w:szCs w:val="18"/>
          <w:b w:val="1"/>
          <w:bCs w:val="1"/>
          <w:color w:val="auto"/>
        </w:rPr>
        <w:t>Assignor Released Claims</w:t>
      </w:r>
      <w:r>
        <w:rPr>
          <w:rFonts w:ascii="Arial" w:cs="Arial" w:eastAsia="Arial" w:hAnsi="Arial"/>
          <w:sz w:val="18"/>
          <w:szCs w:val="18"/>
          <w:color w:val="auto"/>
        </w:rPr>
        <w:t>”); provided that claims pursuant to the Purchase Agreement and the agreements delivered pursuant thereto are not released. The Assignor, on behalf of itself and the other Assignor Releasors, hereby irrevocably covenants to refrain from, directly or indirectly, asserting any claim or demand, or commencing, instituting or causing to be commenced, any action, proceeding or claim of any kind against any of the Ryman Releasees based upon the Assignor Released Claims; and</w:t>
      </w:r>
    </w:p>
    <w:p>
      <w:pPr>
        <w:spacing w:after="0" w:line="9" w:lineRule="exact"/>
        <w:rPr>
          <w:sz w:val="20"/>
          <w:szCs w:val="20"/>
          <w:color w:val="auto"/>
        </w:rPr>
      </w:pPr>
    </w:p>
    <w:p>
      <w:pPr>
        <w:jc w:val="both"/>
        <w:ind w:left="200" w:right="219" w:firstLine="1944"/>
        <w:spacing w:after="0" w:line="283" w:lineRule="auto"/>
        <w:rPr>
          <w:sz w:val="20"/>
          <w:szCs w:val="20"/>
          <w:color w:val="auto"/>
        </w:rPr>
      </w:pPr>
      <w:r>
        <w:rPr>
          <w:rFonts w:ascii="Arial" w:cs="Arial" w:eastAsia="Arial" w:hAnsi="Arial"/>
          <w:sz w:val="18"/>
          <w:szCs w:val="18"/>
          <w:color w:val="auto"/>
        </w:rPr>
        <w:t>Assignee (the “</w:t>
      </w:r>
      <w:r>
        <w:rPr>
          <w:rFonts w:ascii="Arial" w:cs="Arial" w:eastAsia="Arial" w:hAnsi="Arial"/>
          <w:sz w:val="18"/>
          <w:szCs w:val="18"/>
          <w:b w:val="1"/>
          <w:bCs w:val="1"/>
          <w:color w:val="auto"/>
        </w:rPr>
        <w:t>Ryman Party</w:t>
      </w:r>
      <w:r>
        <w:rPr>
          <w:rFonts w:ascii="Arial" w:cs="Arial" w:eastAsia="Arial" w:hAnsi="Arial"/>
          <w:sz w:val="18"/>
          <w:szCs w:val="18"/>
          <w:color w:val="auto"/>
        </w:rPr>
        <w:t>”), on its own behalf and on behalf of any person claiming through such Ryman Party, his or its respective heirs, representatives, present and former parents, owners, partners, subsidiaries, Affiliates, officers, directors, shareholders, members, managers, agents, attorneys, successors and assigns, whether direct or indirect, including without limitation, the Ryman Releasees (the “</w:t>
      </w:r>
      <w:r>
        <w:rPr>
          <w:rFonts w:ascii="Arial" w:cs="Arial" w:eastAsia="Arial" w:hAnsi="Arial"/>
          <w:sz w:val="18"/>
          <w:szCs w:val="18"/>
          <w:b w:val="1"/>
          <w:bCs w:val="1"/>
          <w:color w:val="auto"/>
        </w:rPr>
        <w:t>Ryman Party Associates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w:t>
      </w:r>
      <w:r>
        <w:rPr>
          <w:rFonts w:ascii="Arial" w:cs="Arial" w:eastAsia="Arial" w:hAnsi="Arial"/>
          <w:sz w:val="18"/>
          <w:szCs w:val="18"/>
          <w:color w:val="auto"/>
        </w:rPr>
        <w:t>, the “</w:t>
      </w:r>
      <w:r>
        <w:rPr>
          <w:rFonts w:ascii="Arial" w:cs="Arial" w:eastAsia="Arial" w:hAnsi="Arial"/>
          <w:sz w:val="18"/>
          <w:szCs w:val="18"/>
          <w:b w:val="1"/>
          <w:bCs w:val="1"/>
          <w:color w:val="auto"/>
        </w:rPr>
        <w:t>Ryman Party Releasors</w:t>
      </w:r>
      <w:r>
        <w:rPr>
          <w:rFonts w:ascii="Arial" w:cs="Arial" w:eastAsia="Arial" w:hAnsi="Arial"/>
          <w:sz w:val="18"/>
          <w:szCs w:val="18"/>
          <w:color w:val="auto"/>
        </w:rPr>
        <w:t xml:space="preserve">”) hereby releases, waives and forever discharges each Assignor and its, his or her respective Assignor Associates (for purposes of this </w:t>
      </w:r>
      <w:r>
        <w:rPr>
          <w:rFonts w:ascii="Arial" w:cs="Arial" w:eastAsia="Arial" w:hAnsi="Arial"/>
          <w:sz w:val="18"/>
          <w:szCs w:val="18"/>
          <w:u w:val="single" w:color="auto"/>
          <w:color w:val="auto"/>
        </w:rPr>
        <w:t>Section 3</w:t>
      </w:r>
      <w:r>
        <w:rPr>
          <w:rFonts w:ascii="Arial" w:cs="Arial" w:eastAsia="Arial" w:hAnsi="Arial"/>
          <w:sz w:val="18"/>
          <w:szCs w:val="18"/>
          <w:color w:val="auto"/>
        </w:rPr>
        <w:t>, collectively, “</w:t>
      </w:r>
      <w:r>
        <w:rPr>
          <w:rFonts w:ascii="Arial" w:cs="Arial" w:eastAsia="Arial" w:hAnsi="Arial"/>
          <w:sz w:val="18"/>
          <w:szCs w:val="18"/>
          <w:b w:val="1"/>
          <w:bCs w:val="1"/>
          <w:color w:val="auto"/>
        </w:rPr>
        <w:t>Assignor Releasees</w:t>
      </w:r>
      <w:r>
        <w:rPr>
          <w:rFonts w:ascii="Arial" w:cs="Arial" w:eastAsia="Arial" w:hAnsi="Arial"/>
          <w:sz w:val="18"/>
          <w:szCs w:val="18"/>
          <w:color w:val="auto"/>
        </w:rPr>
        <w:t xml:space="preserve">”) of and from any and all Claims which any of such Ryman Party Releasors ever had, now has, or hereafter can, shall, or may have against any of such Assignor Releasees for, upon, or by reason of any matter, cause, or thing whatsoever from the beginning of time to the date of payment arising out of or relating to the Assignor’s ownership of Purchased Interests, the Propco Joint Venture Agreement, the Opco Joint Venture Agreement (and/or any predecessor agreements) or, but only as and to the extent relating to any of the foregoing, pursuant to the Delaware Limited Liability Company Act (Del. Code Ann. tit. 6, § 18-101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with respect to the Opco Joint Venture and the Propco Joint Venture; including but not limited to, claims that any Ryman Party Releasors may have against Assignor as a member, manager, officer, or agent of Propco Joint Venture and/or Opco Joint Venture, without limitation, provided that claims pursuant to the Purchase Agreement and the agreements delivered pursuant thereto are not released, or Section 4.6 of the Opco Joint Venture Agreement or the Propco Joint Venture Agreement with respect to withholding obligations (the foregoing are collectively, for purposes of this </w:t>
      </w:r>
      <w:r>
        <w:rPr>
          <w:rFonts w:ascii="Arial" w:cs="Arial" w:eastAsia="Arial" w:hAnsi="Arial"/>
          <w:sz w:val="18"/>
          <w:szCs w:val="18"/>
          <w:u w:val="single" w:color="auto"/>
          <w:color w:val="auto"/>
        </w:rPr>
        <w:t>Section 3</w:t>
      </w:r>
      <w:r>
        <w:rPr>
          <w:rFonts w:ascii="Arial" w:cs="Arial" w:eastAsia="Arial" w:hAnsi="Arial"/>
          <w:sz w:val="18"/>
          <w:szCs w:val="18"/>
          <w:color w:val="auto"/>
        </w:rPr>
        <w:t>, the “</w:t>
      </w:r>
      <w:r>
        <w:rPr>
          <w:rFonts w:ascii="Arial" w:cs="Arial" w:eastAsia="Arial" w:hAnsi="Arial"/>
          <w:sz w:val="18"/>
          <w:szCs w:val="18"/>
          <w:b w:val="1"/>
          <w:bCs w:val="1"/>
          <w:color w:val="auto"/>
        </w:rPr>
        <w:t>Ryman Excluded Claims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w:t>
      </w:r>
      <w:r>
        <w:rPr>
          <w:rFonts w:ascii="Arial" w:cs="Arial" w:eastAsia="Arial" w:hAnsi="Arial"/>
          <w:sz w:val="18"/>
          <w:szCs w:val="18"/>
          <w:color w:val="auto"/>
        </w:rPr>
        <w:t>, all Claims other than the Ryman Excluded Claims are “</w:t>
      </w:r>
      <w:r>
        <w:rPr>
          <w:rFonts w:ascii="Arial" w:cs="Arial" w:eastAsia="Arial" w:hAnsi="Arial"/>
          <w:sz w:val="18"/>
          <w:szCs w:val="18"/>
          <w:b w:val="1"/>
          <w:bCs w:val="1"/>
          <w:color w:val="auto"/>
        </w:rPr>
        <w:t>Ryman Released Claims</w:t>
      </w:r>
      <w:r>
        <w:rPr>
          <w:rFonts w:ascii="Arial" w:cs="Arial" w:eastAsia="Arial" w:hAnsi="Arial"/>
          <w:sz w:val="18"/>
          <w:szCs w:val="18"/>
          <w:color w:val="auto"/>
        </w:rPr>
        <w:t>”). The Ryman Party, on behalf of itself and the Ryman Party Releasors, hereby irrevocably covenants to refrain from, directly or indirectly, asserting any claim or demand, or commencing, instituting or causing to be commenced, any action, proceeding or claim of any kind against any of the Assignor Releasees based upon the Ryman Released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85" w:name="page86"/>
    <w:bookmarkEnd w:id="85"/>
    <w:p>
      <w:pPr>
        <w:jc w:val="both"/>
        <w:ind w:left="200" w:right="219" w:firstLine="657"/>
        <w:spacing w:after="0" w:line="305" w:lineRule="auto"/>
        <w:tabs>
          <w:tab w:leader="none" w:pos="1496"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Relationship to Purchase Agreement</w:t>
      </w:r>
      <w:r>
        <w:rPr>
          <w:rFonts w:ascii="Arial" w:cs="Arial" w:eastAsia="Arial" w:hAnsi="Arial"/>
          <w:sz w:val="19"/>
          <w:szCs w:val="19"/>
          <w:color w:val="auto"/>
        </w:rPr>
        <w:t>. Notwithstanding anything to the contrary herein, Assignors and Assignee are executing and delivering this Assignment in accordance with and subject to all of the representations, warranties, covenants, terms, and provisions set forth in the Purchase Agreement. If there shall be any conflict between the terms of this Assignment and the Purchase Agreement, the terms and provisions of the Purchase Agreement shall govern and control.</w:t>
      </w:r>
    </w:p>
    <w:p>
      <w:pPr>
        <w:spacing w:after="0" w:line="204" w:lineRule="exact"/>
        <w:rPr>
          <w:rFonts w:ascii="Arial" w:cs="Arial" w:eastAsia="Arial" w:hAnsi="Arial"/>
          <w:sz w:val="19"/>
          <w:szCs w:val="19"/>
          <w:color w:val="auto"/>
        </w:rPr>
      </w:pPr>
    </w:p>
    <w:p>
      <w:pPr>
        <w:jc w:val="both"/>
        <w:ind w:left="200" w:right="219" w:firstLine="657"/>
        <w:spacing w:after="0" w:line="292" w:lineRule="auto"/>
        <w:tabs>
          <w:tab w:leader="none" w:pos="149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Assignment shall be governed by the laws of the State of Delaware, without giving effect to principles of conflict of laws of that state. This Assignment may be executed in counterparts and delivered by the delivery of facsimile signatures.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86" w:name="page87"/>
    <w:bookmarkEnd w:id="86"/>
    <w:p>
      <w:pPr>
        <w:ind w:left="200" w:right="419" w:firstLine="648"/>
        <w:spacing w:after="0" w:line="303" w:lineRule="auto"/>
        <w:rPr>
          <w:sz w:val="20"/>
          <w:szCs w:val="20"/>
          <w:color w:val="auto"/>
        </w:rPr>
      </w:pPr>
      <w:r>
        <w:rPr>
          <w:rFonts w:ascii="Arial" w:cs="Arial" w:eastAsia="Arial" w:hAnsi="Arial"/>
          <w:sz w:val="20"/>
          <w:szCs w:val="20"/>
          <w:color w:val="auto"/>
        </w:rPr>
        <w:t>IN WITNESS WHEREOF, the parties have executed and delivered this Assignment as of the date first written above.</w:t>
      </w:r>
    </w:p>
    <w:p>
      <w:pPr>
        <w:spacing w:after="0" w:line="200" w:lineRule="exact"/>
        <w:rPr>
          <w:sz w:val="20"/>
          <w:szCs w:val="20"/>
          <w:color w:val="auto"/>
        </w:rPr>
      </w:pPr>
    </w:p>
    <w:p>
      <w:pPr>
        <w:spacing w:after="0" w:line="239"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ASSIGNORS:</w:t>
      </w:r>
    </w:p>
    <w:p>
      <w:pPr>
        <w:spacing w:after="0" w:line="270"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AURORA CONVENTION CENTER</w:t>
      </w:r>
    </w:p>
    <w:p>
      <w:pPr>
        <w:spacing w:after="0" w:line="26"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HOTEL PARTNERS LLC</w:t>
      </w:r>
    </w:p>
    <w:p>
      <w:pPr>
        <w:spacing w:after="0" w:line="200" w:lineRule="exact"/>
        <w:rPr>
          <w:sz w:val="20"/>
          <w:szCs w:val="20"/>
          <w:color w:val="auto"/>
        </w:rPr>
      </w:pPr>
    </w:p>
    <w:p>
      <w:pPr>
        <w:spacing w:after="0" w:line="292"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-14605</wp:posOffset>
            </wp:positionV>
            <wp:extent cx="12312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Ira M. Mitzner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-19050</wp:posOffset>
            </wp:positionV>
            <wp:extent cx="12312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4740"/>
        <w:spacing w:after="0"/>
        <w:tabs>
          <w:tab w:leader="none" w:pos="5360" w:val="left"/>
        </w:tabs>
        <w:rPr>
          <w:sz w:val="20"/>
          <w:szCs w:val="20"/>
          <w:color w:val="auto"/>
        </w:rPr>
      </w:pPr>
      <w:r>
        <w:rPr>
          <w:rFonts w:ascii="Arial" w:cs="Arial" w:eastAsia="Arial" w:hAnsi="Arial"/>
          <w:sz w:val="20"/>
          <w:szCs w:val="20"/>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-19050</wp:posOffset>
            </wp:positionV>
            <wp:extent cx="20535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053590" cy="8890"/>
                    </a:xfrm>
                    <a:prstGeom prst="rect">
                      <a:avLst/>
                    </a:prstGeom>
                    <a:noFill/>
                  </pic:spPr>
                </pic:pic>
              </a:graphicData>
            </a:graphic>
          </wp:anchor>
        </w:drawing>
      </w:r>
    </w:p>
    <w:p>
      <w:pPr>
        <w:spacing w:after="0" w:line="223"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RIDA AURORA 2018 ACQUISITION, LLC</w:t>
      </w:r>
    </w:p>
    <w:p>
      <w:pPr>
        <w:spacing w:after="0" w:line="26"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-19050</wp:posOffset>
            </wp:positionV>
            <wp:extent cx="12312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Ira M. Mitzner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-19050</wp:posOffset>
            </wp:positionV>
            <wp:extent cx="12312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4740"/>
        <w:spacing w:after="0"/>
        <w:tabs>
          <w:tab w:leader="none" w:pos="5360" w:val="left"/>
        </w:tabs>
        <w:rPr>
          <w:sz w:val="20"/>
          <w:szCs w:val="20"/>
          <w:color w:val="auto"/>
        </w:rPr>
      </w:pPr>
      <w:r>
        <w:rPr>
          <w:rFonts w:ascii="Arial" w:cs="Arial" w:eastAsia="Arial" w:hAnsi="Arial"/>
          <w:sz w:val="20"/>
          <w:szCs w:val="20"/>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-19050</wp:posOffset>
            </wp:positionV>
            <wp:extent cx="20535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20535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ASSIGNEE:</w:t>
      </w:r>
    </w:p>
    <w:p>
      <w:pPr>
        <w:spacing w:after="0" w:line="283"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[RHPAHO, LLC/RHPAHP, LLC]</w:t>
      </w:r>
    </w:p>
    <w:p>
      <w:pPr>
        <w:spacing w:after="0" w:line="289"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-14605</wp:posOffset>
            </wp:positionV>
            <wp:extent cx="205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2054225" cy="8255"/>
                    </a:xfrm>
                    <a:prstGeom prst="rect">
                      <a:avLst/>
                    </a:prstGeom>
                    <a:noFill/>
                  </pic:spPr>
                </pic:pic>
              </a:graphicData>
            </a:graphic>
          </wp:anchor>
        </w:drawing>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Name: Scott Lynn</w:t>
      </w:r>
    </w:p>
    <w:p>
      <w:pPr>
        <w:spacing w:after="0" w:line="40" w:lineRule="exact"/>
        <w:rPr>
          <w:sz w:val="20"/>
          <w:szCs w:val="20"/>
          <w:color w:val="auto"/>
        </w:rPr>
      </w:pPr>
    </w:p>
    <w:p>
      <w:pPr>
        <w:ind w:left="4740"/>
        <w:spacing w:after="0"/>
        <w:tabs>
          <w:tab w:leader="none" w:pos="5360" w:val="left"/>
        </w:tabs>
        <w:rPr>
          <w:sz w:val="20"/>
          <w:szCs w:val="20"/>
          <w:color w:val="auto"/>
        </w:rPr>
      </w:pPr>
      <w:r>
        <w:rPr>
          <w:rFonts w:ascii="Arial" w:cs="Arial" w:eastAsia="Arial" w:hAnsi="Arial"/>
          <w:sz w:val="20"/>
          <w:szCs w:val="20"/>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2907665</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1657985</wp:posOffset>
            </wp:positionV>
            <wp:extent cx="54521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ind w:left="1500"/>
        <w:spacing w:after="0"/>
        <w:rPr>
          <w:sz w:val="20"/>
          <w:szCs w:val="20"/>
          <w:color w:val="auto"/>
        </w:rPr>
      </w:pPr>
      <w:r>
        <w:rPr>
          <w:rFonts w:ascii="Arial" w:cs="Arial" w:eastAsia="Arial" w:hAnsi="Arial"/>
          <w:sz w:val="20"/>
          <w:szCs w:val="20"/>
          <w:b w:val="1"/>
          <w:bCs w:val="1"/>
          <w:color w:val="auto"/>
        </w:rPr>
        <w:t>SCHEDULE A TO ASSIGNMENT OF MEMBERSHIP INTEREST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Purchased Interest owned by Assignor below and being conveyed hereunder:</w:t>
      </w:r>
    </w:p>
    <w:p>
      <w:pPr>
        <w:spacing w:after="0" w:line="256" w:lineRule="exact"/>
        <w:rPr>
          <w:sz w:val="20"/>
          <w:szCs w:val="20"/>
          <w:color w:val="auto"/>
        </w:rPr>
      </w:pPr>
    </w:p>
    <w:p>
      <w:pPr>
        <w:ind w:left="200" w:right="979"/>
        <w:spacing w:after="0" w:line="274" w:lineRule="auto"/>
        <w:rPr>
          <w:sz w:val="20"/>
          <w:szCs w:val="20"/>
          <w:color w:val="auto"/>
        </w:rPr>
      </w:pPr>
      <w:r>
        <w:rPr>
          <w:rFonts w:ascii="Arial" w:cs="Arial" w:eastAsia="Arial" w:hAnsi="Arial"/>
          <w:sz w:val="20"/>
          <w:szCs w:val="20"/>
          <w:color w:val="auto"/>
        </w:rPr>
        <w:t>Aurora Convention Center Hotel Partners, LLC: 31.1025041% Membership Interest in Opco Joint Venture/Propco Joint Venture</w:t>
      </w:r>
    </w:p>
    <w:p>
      <w:pPr>
        <w:spacing w:after="0" w:line="204" w:lineRule="exact"/>
        <w:rPr>
          <w:sz w:val="20"/>
          <w:szCs w:val="20"/>
          <w:color w:val="auto"/>
        </w:rPr>
      </w:pPr>
    </w:p>
    <w:p>
      <w:pPr>
        <w:ind w:left="200" w:right="619"/>
        <w:spacing w:after="0" w:line="274" w:lineRule="auto"/>
        <w:rPr>
          <w:sz w:val="20"/>
          <w:szCs w:val="20"/>
          <w:color w:val="auto"/>
        </w:rPr>
      </w:pPr>
      <w:r>
        <w:rPr>
          <w:rFonts w:ascii="Arial" w:cs="Arial" w:eastAsia="Arial" w:hAnsi="Arial"/>
          <w:sz w:val="20"/>
          <w:szCs w:val="20"/>
          <w:color w:val="auto"/>
        </w:rPr>
        <w:t>RIDA Aurora 2018 Acquisition, LLC: 3.8974959% Membership Interest in Opco Joint Venture/Propco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320040</wp:posOffset>
            </wp:positionV>
            <wp:extent cx="54521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89" w:name="page90"/>
    <w:bookmarkEnd w:id="89"/>
    <w:p>
      <w:pPr>
        <w:ind w:left="660"/>
        <w:spacing w:after="0"/>
        <w:rPr>
          <w:sz w:val="20"/>
          <w:szCs w:val="20"/>
          <w:color w:val="auto"/>
        </w:rPr>
      </w:pPr>
      <w:r>
        <w:rPr>
          <w:rFonts w:ascii="Arial" w:cs="Arial" w:eastAsia="Arial" w:hAnsi="Arial"/>
          <w:sz w:val="20"/>
          <w:szCs w:val="20"/>
          <w:b w:val="1"/>
          <w:bCs w:val="1"/>
          <w:color w:val="auto"/>
        </w:rPr>
        <w:t>AMENDMENT NO. 3 TO SIXTH AMENDED AND RESTATED CREDIT AGREEMENT</w:t>
      </w:r>
    </w:p>
    <w:p>
      <w:pPr>
        <w:spacing w:after="0" w:line="22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AMENDMENT NO. 3 TO SIXTH AMENDED AND RESTATED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30, 2021, relating to the Sixth Amended and Restated Credit Agreement, dated as of October 31, 2019, as amended by that certain Amendment No. 1 to Sixth Amended and Restated Credit Agreement, dated as of April 23, 2020, and as further amended by that certain Amendment No. 2 to Sixth Amended and Restated Credit Agreement, dated as of December 22, 2020 (together, and as otherwise amended, restated, modified, or supplemented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by and among RHP HOTEL PROPERTIES, LP, a Delaware limited partnership (together with any permitted successors and assigns, the “</w:t>
      </w:r>
      <w:r>
        <w:rPr>
          <w:rFonts w:ascii="Arial" w:cs="Arial" w:eastAsia="Arial" w:hAnsi="Arial"/>
          <w:sz w:val="18"/>
          <w:szCs w:val="18"/>
          <w:u w:val="single" w:color="auto"/>
          <w:color w:val="auto"/>
        </w:rPr>
        <w:t>Borrower</w:t>
      </w:r>
      <w:r>
        <w:rPr>
          <w:rFonts w:ascii="Arial" w:cs="Arial" w:eastAsia="Arial" w:hAnsi="Arial"/>
          <w:sz w:val="18"/>
          <w:szCs w:val="18"/>
          <w:color w:val="auto"/>
        </w:rPr>
        <w:t>”), RYMAN HOSPITALITY PROPERTIES, INC.,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the GUARANTORS from time to time party thereto (as defined in the Existing Credit Agreement)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the PLEDGORS from time to time party to the Pledge Agreement (as defined in the Existing Credit Agreement) (collectively, the “</w:t>
      </w:r>
      <w:r>
        <w:rPr>
          <w:rFonts w:ascii="Arial" w:cs="Arial" w:eastAsia="Arial" w:hAnsi="Arial"/>
          <w:sz w:val="18"/>
          <w:szCs w:val="18"/>
          <w:u w:val="single" w:color="auto"/>
          <w:color w:val="auto"/>
        </w:rPr>
        <w:t>Pledgors</w:t>
      </w:r>
      <w:r>
        <w:rPr>
          <w:rFonts w:ascii="Arial" w:cs="Arial" w:eastAsia="Arial" w:hAnsi="Arial"/>
          <w:sz w:val="18"/>
          <w:szCs w:val="18"/>
          <w:color w:val="auto"/>
        </w:rPr>
        <w:t>”), the LENDERS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WELLS FARGO BANK, NATIONAL ASSOCIATION, as Administrative Agent (in such capacity, collectively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9"/>
          <w:szCs w:val="19"/>
          <w:color w:val="auto"/>
        </w:rPr>
        <w:t>WHEREAS, the Parent and its Subsidiaries have notified Administrative Agent and the Lenders that one or more Subsidiaries of the Borrower has purchased or will purchase certain minority interests in the Gaylord Rockies Hotel for a purchase price of approximately One Hundred Eighty-Eight Million Dollars ($188,000,000) (the “</w:t>
      </w:r>
      <w:r>
        <w:rPr>
          <w:rFonts w:ascii="Arial" w:cs="Arial" w:eastAsia="Arial" w:hAnsi="Arial"/>
          <w:sz w:val="19"/>
          <w:szCs w:val="19"/>
          <w:u w:val="single" w:color="auto"/>
          <w:color w:val="auto"/>
        </w:rPr>
        <w:t>Rockies Restricted Payment</w:t>
      </w:r>
      <w:r>
        <w:rPr>
          <w:rFonts w:ascii="Arial" w:cs="Arial" w:eastAsia="Arial" w:hAnsi="Arial"/>
          <w:sz w:val="19"/>
          <w:szCs w:val="19"/>
          <w:color w:val="auto"/>
        </w:rPr>
        <w:t xml:space="preserve">”), which Rockies Restricted Payment is expressly permitted pursuant to </w:t>
      </w:r>
      <w:r>
        <w:rPr>
          <w:rFonts w:ascii="Arial" w:cs="Arial" w:eastAsia="Arial" w:hAnsi="Arial"/>
          <w:sz w:val="19"/>
          <w:szCs w:val="19"/>
          <w:u w:val="single" w:color="auto"/>
          <w:color w:val="auto"/>
        </w:rPr>
        <w:t>Section 8.22(c)</w:t>
      </w:r>
      <w:r>
        <w:rPr>
          <w:rFonts w:ascii="Arial" w:cs="Arial" w:eastAsia="Arial" w:hAnsi="Arial"/>
          <w:sz w:val="19"/>
          <w:szCs w:val="19"/>
          <w:color w:val="auto"/>
        </w:rPr>
        <w:t xml:space="preserve"> of the Existing Credit Agreement; and</w:t>
      </w:r>
    </w:p>
    <w:p>
      <w:pPr>
        <w:spacing w:after="0" w:line="18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WHEREAS, the Parent and its Subsidiaries have notified Administrative Agent and the Lenders that they intend to purchase approximately 130 acres of undeveloped real property adjacent to the Gaylord Rockies Hotel (either directly or by purchasing the equity of the entity or entities that own such real property) for a purchase price not to exceed Twenty-Two Million Dollars ($22,000,000) (the “</w:t>
      </w:r>
      <w:r>
        <w:rPr>
          <w:rFonts w:ascii="Arial" w:cs="Arial" w:eastAsia="Arial" w:hAnsi="Arial"/>
          <w:sz w:val="18"/>
          <w:szCs w:val="18"/>
          <w:u w:val="single" w:color="auto"/>
          <w:color w:val="auto"/>
        </w:rPr>
        <w:t>Rockies Outparcel Investment</w:t>
      </w:r>
      <w:r>
        <w:rPr>
          <w:rFonts w:ascii="Arial" w:cs="Arial" w:eastAsia="Arial" w:hAnsi="Arial"/>
          <w:sz w:val="18"/>
          <w:szCs w:val="18"/>
          <w:color w:val="auto"/>
        </w:rPr>
        <w:t xml:space="preserve">”), which, pursuant to </w:t>
      </w:r>
      <w:r>
        <w:rPr>
          <w:rFonts w:ascii="Arial" w:cs="Arial" w:eastAsia="Arial" w:hAnsi="Arial"/>
          <w:sz w:val="18"/>
          <w:szCs w:val="18"/>
          <w:u w:val="single" w:color="auto"/>
          <w:color w:val="auto"/>
        </w:rPr>
        <w:t>Section 8.22(d)</w:t>
      </w:r>
      <w:r>
        <w:rPr>
          <w:rFonts w:ascii="Arial" w:cs="Arial" w:eastAsia="Arial" w:hAnsi="Arial"/>
          <w:sz w:val="18"/>
          <w:szCs w:val="18"/>
          <w:color w:val="auto"/>
        </w:rPr>
        <w:t xml:space="preserve"> of the Existing Credit Agreement, during the Restricted Period constitutes a restricted Investment requiring the consent of the Requisite Lenders. In furtherance of the above, the Borrower, the Parent, and the other Loan Parties have requested, and the Administrative Agent and the Required Lenders (as defined below) have agreed, to approve the Rockies Outparcel Investment and to modify certain provisions of the Existing Credit Agreement in connection therewith; and</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of the Existing Credit Agreement, the Parent, the Borrower, the other Loan Parties, the Pledgors, the Administrative Agent and the Lenders party hereto (representing the Required Lenders required pursuant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of the Existing Credit Agreement) (collectively, the “</w:t>
      </w:r>
      <w:r>
        <w:rPr>
          <w:rFonts w:ascii="Arial" w:cs="Arial" w:eastAsia="Arial" w:hAnsi="Arial"/>
          <w:sz w:val="19"/>
          <w:szCs w:val="19"/>
          <w:u w:val="single" w:color="auto"/>
          <w:color w:val="auto"/>
        </w:rPr>
        <w:t>Required Lenders</w:t>
      </w:r>
      <w:r>
        <w:rPr>
          <w:rFonts w:ascii="Arial" w:cs="Arial" w:eastAsia="Arial" w:hAnsi="Arial"/>
          <w:sz w:val="19"/>
          <w:szCs w:val="19"/>
          <w:color w:val="auto"/>
        </w:rPr>
        <w:t>”), agree to amend the Existing Credit Agreement on the terms set forth herein.</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agreements herein contained and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sufficiency and receipt of which are hereby acknowledged, the parties hereto hereby agree as follows:</w:t>
      </w:r>
    </w:p>
    <w:p>
      <w:pPr>
        <w:spacing w:after="0" w:line="18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Defined Terms</w:t>
      </w:r>
      <w:r>
        <w:rPr>
          <w:rFonts w:ascii="Arial" w:cs="Arial" w:eastAsia="Arial" w:hAnsi="Arial"/>
          <w:sz w:val="19"/>
          <w:szCs w:val="19"/>
          <w:color w:val="auto"/>
        </w:rPr>
        <w:t xml:space="preserve">. Each capitalized term used but not otherwise defined herein shall have the meaning given to such term in the Existing Credit Agreement. The rules of interpretation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of the Existing Credit Agreement are hereby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Each reference to “hereof”, “hereunder”, “herein” and “hereby” and each other similar reference and each reference to “this Agreement” and each other similar reference contained in the Existing Credit Agreement shall, after this Agreement becomes effective, refer to the Existing Credit Agreement as amended hereby. For clarity, unless otherwise expressly limited to the Restricted Period each amendment set forth herein shall apply for the entire term of the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330835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0" w:name="page91"/>
    <w:bookmarkEnd w:id="90"/>
    <w:p>
      <w:pPr>
        <w:jc w:val="both"/>
        <w:ind w:left="60" w:right="59" w:firstLine="648"/>
        <w:spacing w:after="0" w:line="24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Consent to Rockies Outparcel Investment</w:t>
      </w:r>
      <w:r>
        <w:rPr>
          <w:rFonts w:ascii="Arial" w:cs="Arial" w:eastAsia="Arial" w:hAnsi="Arial"/>
          <w:sz w:val="20"/>
          <w:szCs w:val="20"/>
          <w:color w:val="auto"/>
        </w:rPr>
        <w:t>. Notwithstanding any provision of the Existing Credit Agreement to the contrary, the Required Lenders hereby consent to and approve the Rockies Outparcel Investment on or before the Outside Closing Date (as defined below), provided that the foregoing consent shall not be deemed or construed to amend, supplement, modify or alter any provision, condition, term or covenant contained in the Existing Credit Agreement or any other Loan Document except as set forth in this Agreement or otherwise affect or impair any rights, powers or remedies of the Administrative Agent or the Lenders.</w:t>
      </w:r>
    </w:p>
    <w:p>
      <w:pPr>
        <w:spacing w:after="0" w:line="194"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Drawdown of Restricted Payment Allowance</w:t>
      </w:r>
      <w:r>
        <w:rPr>
          <w:rFonts w:ascii="Arial" w:cs="Arial" w:eastAsia="Arial" w:hAnsi="Arial"/>
          <w:sz w:val="18"/>
          <w:szCs w:val="18"/>
          <w:color w:val="auto"/>
        </w:rPr>
        <w:t xml:space="preserve">. Upon the closing of the Rockies Outparcel Investment, and without further amendment to the Existing Credit Agreement or any other Loan Document, the $200,000,000 allowance provided in </w:t>
      </w:r>
      <w:r>
        <w:rPr>
          <w:rFonts w:ascii="Arial" w:cs="Arial" w:eastAsia="Arial" w:hAnsi="Arial"/>
          <w:sz w:val="18"/>
          <w:szCs w:val="18"/>
          <w:u w:val="single" w:color="auto"/>
          <w:color w:val="auto"/>
        </w:rPr>
        <w:t>Section 8.22(c)</w:t>
      </w:r>
      <w:r>
        <w:rPr>
          <w:rFonts w:ascii="Arial" w:cs="Arial" w:eastAsia="Arial" w:hAnsi="Arial"/>
          <w:sz w:val="18"/>
          <w:szCs w:val="18"/>
          <w:color w:val="auto"/>
        </w:rPr>
        <w:t xml:space="preserve"> of the Existing Credit Agreement (as reduced by the amount of the Rockies Restricted Payment) shall automatically extinguish. The Borrower acknowledges and agrees that, upon the closing of the Rockies Outparcel Investment, and so long as the Restricted Period is continuing, it shall not, make any Restricted Payments in connection with the purchase of the minority interests in any existing Subsidiary without the prior written consent of the Requisite Lenders.</w:t>
      </w:r>
    </w:p>
    <w:p>
      <w:pPr>
        <w:spacing w:after="0" w:line="168"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Reduction of Capital Expenditure Allowance</w:t>
      </w:r>
      <w:r>
        <w:rPr>
          <w:rFonts w:ascii="Arial" w:cs="Arial" w:eastAsia="Arial" w:hAnsi="Arial"/>
          <w:sz w:val="20"/>
          <w:szCs w:val="20"/>
          <w:color w:val="auto"/>
        </w:rPr>
        <w:t xml:space="preserve">. Upon the closing of the Rockies Outparcel Investment, and without further amendment to the Existing Credit Agreement or any other Loan Document, the $75,00,000 limitation on discretionary capital expenditures provided </w:t>
      </w:r>
      <w:r>
        <w:rPr>
          <w:rFonts w:ascii="Arial" w:cs="Arial" w:eastAsia="Arial" w:hAnsi="Arial"/>
          <w:sz w:val="20"/>
          <w:szCs w:val="20"/>
          <w:u w:val="single" w:color="auto"/>
          <w:color w:val="auto"/>
        </w:rPr>
        <w:t>Section 8.22(d)</w:t>
      </w:r>
      <w:r>
        <w:rPr>
          <w:rFonts w:ascii="Arial" w:cs="Arial" w:eastAsia="Arial" w:hAnsi="Arial"/>
          <w:sz w:val="20"/>
          <w:szCs w:val="20"/>
          <w:color w:val="auto"/>
        </w:rPr>
        <w:t xml:space="preserve"> of the Existing Credit Agreement shall automatically and irrevocably reduce to $65,000,000.</w:t>
      </w:r>
    </w:p>
    <w:p>
      <w:pPr>
        <w:spacing w:after="0" w:line="191"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Expiration</w:t>
      </w:r>
      <w:r>
        <w:rPr>
          <w:rFonts w:ascii="Arial" w:cs="Arial" w:eastAsia="Arial" w:hAnsi="Arial"/>
          <w:sz w:val="19"/>
          <w:szCs w:val="19"/>
          <w:color w:val="auto"/>
        </w:rPr>
        <w:t>. Notwithstanding anything above to the contrary, if Borrower does not consummate the Rockies Outparcel Investment on or before June 30, 2021 (the “</w:t>
      </w:r>
      <w:r>
        <w:rPr>
          <w:rFonts w:ascii="Arial" w:cs="Arial" w:eastAsia="Arial" w:hAnsi="Arial"/>
          <w:sz w:val="19"/>
          <w:szCs w:val="19"/>
          <w:u w:val="single" w:color="auto"/>
          <w:color w:val="auto"/>
        </w:rPr>
        <w:t>Outside Closing Date</w:t>
      </w:r>
      <w:r>
        <w:rPr>
          <w:rFonts w:ascii="Arial" w:cs="Arial" w:eastAsia="Arial" w:hAnsi="Arial"/>
          <w:sz w:val="19"/>
          <w:szCs w:val="19"/>
          <w:color w:val="auto"/>
        </w:rPr>
        <w:t xml:space="preserve">”) then the Required Lender consent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above shall automatically terminate as of such date and the automatic allowance reductions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(other than the reduction as a result of the Rockies Restricted Payment) and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above shall not be applicable.</w:t>
      </w:r>
    </w:p>
    <w:p>
      <w:pPr>
        <w:spacing w:after="0" w:line="180" w:lineRule="exact"/>
        <w:rPr>
          <w:sz w:val="20"/>
          <w:szCs w:val="20"/>
          <w:color w:val="auto"/>
        </w:rPr>
      </w:pPr>
    </w:p>
    <w:p>
      <w:pPr>
        <w:jc w:val="both"/>
        <w:ind w:left="60" w:right="79" w:firstLine="648"/>
        <w:spacing w:after="0" w:line="25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Conditions to the Close</w:t>
      </w:r>
      <w:r>
        <w:rPr>
          <w:rFonts w:ascii="Arial" w:cs="Arial" w:eastAsia="Arial" w:hAnsi="Arial"/>
          <w:sz w:val="20"/>
          <w:szCs w:val="20"/>
          <w:color w:val="auto"/>
        </w:rPr>
        <w:t>. This Agreement shall become effective as of the first date (the “</w:t>
      </w:r>
      <w:r>
        <w:rPr>
          <w:rFonts w:ascii="Arial" w:cs="Arial" w:eastAsia="Arial" w:hAnsi="Arial"/>
          <w:sz w:val="20"/>
          <w:szCs w:val="20"/>
          <w:u w:val="single" w:color="auto"/>
          <w:color w:val="auto"/>
        </w:rPr>
        <w:t>Amendment No. 3 Effective Date</w:t>
      </w:r>
      <w:r>
        <w:rPr>
          <w:rFonts w:ascii="Arial" w:cs="Arial" w:eastAsia="Arial" w:hAnsi="Arial"/>
          <w:sz w:val="20"/>
          <w:szCs w:val="20"/>
          <w:color w:val="auto"/>
        </w:rPr>
        <w:t>”) when each of the following conditions shall have been satisfied or waived in writing by the Administrative Agent:</w:t>
      </w:r>
    </w:p>
    <w:p>
      <w:pPr>
        <w:spacing w:after="0" w:line="181" w:lineRule="exact"/>
        <w:rPr>
          <w:sz w:val="20"/>
          <w:szCs w:val="20"/>
          <w:color w:val="auto"/>
        </w:rPr>
      </w:pPr>
    </w:p>
    <w:p>
      <w:pPr>
        <w:jc w:val="both"/>
        <w:ind w:left="700" w:right="59" w:firstLine="646"/>
        <w:spacing w:after="0" w:line="273" w:lineRule="auto"/>
        <w:tabs>
          <w:tab w:leader="none" w:pos="1996" w:val="left"/>
        </w:tabs>
        <w:numPr>
          <w:ilvl w:val="0"/>
          <w:numId w:val="51"/>
        </w:numPr>
        <w:rPr>
          <w:rFonts w:ascii="Arial" w:cs="Arial" w:eastAsia="Arial" w:hAnsi="Arial"/>
          <w:sz w:val="18"/>
          <w:szCs w:val="18"/>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the Borrower and each other Loan Party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of the Existing Credit Agreement or any other Loan Document, or which are contained in any document furnished at any time under or in connection herewith or therewith, shall be true and correct in all material respects (except that any representation and warranty that is qualified by materiality shall be true and correct in all respects) on and as of the Amendment No. 3 Effective Date, except to the extent that such representations and warranties specifically refer to an earlier date, in which case they shall be true and correct as of such earlier date, and except that for purposes of this Agreement, the representations and warranties contained in subsections (a) and (b) of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of the Existing Credit Agreement shall be deemed to refer to the most recent statements furnished pursuant to clauses (a) and (b), respectively, of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155" w:lineRule="exact"/>
        <w:rPr>
          <w:rFonts w:ascii="Arial" w:cs="Arial" w:eastAsia="Arial" w:hAnsi="Arial"/>
          <w:sz w:val="18"/>
          <w:szCs w:val="18"/>
          <w:color w:val="auto"/>
        </w:rPr>
      </w:pPr>
    </w:p>
    <w:p>
      <w:pPr>
        <w:ind w:left="700" w:right="79" w:firstLine="646"/>
        <w:spacing w:after="0" w:line="250" w:lineRule="auto"/>
        <w:tabs>
          <w:tab w:leader="none" w:pos="1996" w:val="left"/>
        </w:tabs>
        <w:numPr>
          <w:ilvl w:val="0"/>
          <w:numId w:val="51"/>
        </w:numPr>
        <w:rPr>
          <w:rFonts w:ascii="Arial" w:cs="Arial" w:eastAsia="Arial" w:hAnsi="Arial"/>
          <w:sz w:val="20"/>
          <w:szCs w:val="20"/>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Neither a Default nor Event of Default shall exist, or would result from, the effectiveness of this Agreement.</w:t>
      </w:r>
    </w:p>
    <w:p>
      <w:pPr>
        <w:spacing w:after="0" w:line="174" w:lineRule="exact"/>
        <w:rPr>
          <w:rFonts w:ascii="Arial" w:cs="Arial" w:eastAsia="Arial" w:hAnsi="Arial"/>
          <w:sz w:val="20"/>
          <w:szCs w:val="20"/>
          <w:color w:val="auto"/>
        </w:rPr>
      </w:pPr>
    </w:p>
    <w:p>
      <w:pPr>
        <w:jc w:val="both"/>
        <w:ind w:left="700" w:right="59" w:firstLine="646"/>
        <w:spacing w:after="0" w:line="257" w:lineRule="auto"/>
        <w:tabs>
          <w:tab w:leader="none" w:pos="1996" w:val="left"/>
        </w:tabs>
        <w:numPr>
          <w:ilvl w:val="0"/>
          <w:numId w:val="51"/>
        </w:numPr>
        <w:rPr>
          <w:rFonts w:ascii="Arial" w:cs="Arial" w:eastAsia="Arial" w:hAnsi="Arial"/>
          <w:sz w:val="19"/>
          <w:szCs w:val="19"/>
          <w:color w:val="auto"/>
        </w:rPr>
      </w:pPr>
      <w:r>
        <w:rPr>
          <w:rFonts w:ascii="Arial" w:cs="Arial" w:eastAsia="Arial" w:hAnsi="Arial"/>
          <w:sz w:val="21"/>
          <w:szCs w:val="21"/>
          <w:u w:val="single" w:color="auto"/>
          <w:color w:val="auto"/>
        </w:rPr>
        <w:t>This Agreement</w:t>
      </w:r>
      <w:r>
        <w:rPr>
          <w:rFonts w:ascii="Arial" w:cs="Arial" w:eastAsia="Arial" w:hAnsi="Arial"/>
          <w:sz w:val="21"/>
          <w:szCs w:val="21"/>
          <w:color w:val="auto"/>
        </w:rPr>
        <w:t>. The Administrative Agent shall have received executed counterparts hereof that, when taken together, bear the signatures of the Borrower, the Parent, the other Loan Parties, the Required Lenders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327025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1" w:name="page92"/>
    <w:bookmarkEnd w:id="91"/>
    <w:p>
      <w:pPr>
        <w:jc w:val="both"/>
        <w:ind w:left="700" w:right="59" w:firstLine="646"/>
        <w:spacing w:after="0" w:line="247" w:lineRule="auto"/>
        <w:tabs>
          <w:tab w:leader="none" w:pos="1996" w:val="left"/>
        </w:tabs>
        <w:numPr>
          <w:ilvl w:val="0"/>
          <w:numId w:val="52"/>
        </w:numPr>
        <w:rPr>
          <w:rFonts w:ascii="Arial" w:cs="Arial" w:eastAsia="Arial" w:hAnsi="Arial"/>
          <w:sz w:val="19"/>
          <w:szCs w:val="19"/>
          <w:color w:val="auto"/>
        </w:rPr>
      </w:pPr>
      <w:r>
        <w:rPr>
          <w:rFonts w:ascii="Arial" w:cs="Arial" w:eastAsia="Arial" w:hAnsi="Arial"/>
          <w:sz w:val="21"/>
          <w:szCs w:val="21"/>
          <w:u w:val="single" w:color="auto"/>
          <w:color w:val="auto"/>
        </w:rPr>
        <w:t>Fees and Expenses</w:t>
      </w:r>
      <w:r>
        <w:rPr>
          <w:rFonts w:ascii="Arial" w:cs="Arial" w:eastAsia="Arial" w:hAnsi="Arial"/>
          <w:sz w:val="21"/>
          <w:szCs w:val="21"/>
          <w:color w:val="auto"/>
        </w:rPr>
        <w:t xml:space="preserve">. The Borrower shall have paid all reasonable fees, charges and disbursements of counsel of the Administrative Agent to the extent invoiced prior to or on the Amendment No. 3 Effective Date,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177" w:lineRule="exact"/>
        <w:rPr>
          <w:rFonts w:ascii="Arial" w:cs="Arial" w:eastAsia="Arial" w:hAnsi="Arial"/>
          <w:sz w:val="19"/>
          <w:szCs w:val="19"/>
          <w:color w:val="auto"/>
        </w:rPr>
      </w:pPr>
    </w:p>
    <w:p>
      <w:pPr>
        <w:jc w:val="both"/>
        <w:ind w:left="700" w:right="59" w:firstLine="646"/>
        <w:spacing w:after="0" w:line="238" w:lineRule="auto"/>
        <w:tabs>
          <w:tab w:leader="none" w:pos="1996" w:val="left"/>
        </w:tabs>
        <w:numPr>
          <w:ilvl w:val="0"/>
          <w:numId w:val="52"/>
        </w:numPr>
        <w:rPr>
          <w:rFonts w:ascii="Arial" w:cs="Arial" w:eastAsia="Arial" w:hAnsi="Arial"/>
          <w:sz w:val="20"/>
          <w:szCs w:val="20"/>
          <w:color w:val="auto"/>
        </w:rPr>
      </w:pPr>
      <w:r>
        <w:rPr>
          <w:rFonts w:ascii="Arial" w:cs="Arial" w:eastAsia="Arial" w:hAnsi="Arial"/>
          <w:sz w:val="22"/>
          <w:szCs w:val="22"/>
          <w:u w:val="single" w:color="auto"/>
          <w:color w:val="auto"/>
        </w:rPr>
        <w:t>Other Deliverables</w:t>
      </w:r>
      <w:r>
        <w:rPr>
          <w:rFonts w:ascii="Arial" w:cs="Arial" w:eastAsia="Arial" w:hAnsi="Arial"/>
          <w:sz w:val="22"/>
          <w:szCs w:val="22"/>
          <w:color w:val="auto"/>
        </w:rPr>
        <w:t>. The Borrower shall have provided to the Administrative Agent, and the Administrative Agent shall have approved, all other materials, documents and submissions requested by the Administrative Agent in connection with the transactions contemplated by this Agreement.</w:t>
      </w:r>
    </w:p>
    <w:p>
      <w:pPr>
        <w:spacing w:after="0" w:line="18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Reaffirmation</w:t>
      </w:r>
      <w:r>
        <w:rPr>
          <w:rFonts w:ascii="Arial" w:cs="Arial" w:eastAsia="Arial" w:hAnsi="Arial"/>
          <w:sz w:val="16"/>
          <w:szCs w:val="16"/>
          <w:i w:val="1"/>
          <w:iCs w:val="1"/>
          <w:color w:val="auto"/>
        </w:rPr>
        <w:t>.</w:t>
      </w:r>
      <w:r>
        <w:rPr>
          <w:rFonts w:ascii="Arial" w:cs="Arial" w:eastAsia="Arial" w:hAnsi="Arial"/>
          <w:sz w:val="16"/>
          <w:szCs w:val="16"/>
          <w:color w:val="auto"/>
        </w:rPr>
        <w:t xml:space="preserve"> By signing this Agreement, each Loan Party hereby confirms that this Agreement shall not effect a novation of any of the obligations of the Loan Parties under the Existing Credit Agreement, which obligations continue in full force and effect as set forth in the Existing Credit Agreement as amended by this Agreement (the Existing Credit Agreement, as so amended, the “</w:t>
      </w:r>
      <w:r>
        <w:rPr>
          <w:rFonts w:ascii="Arial" w:cs="Arial" w:eastAsia="Arial" w:hAnsi="Arial"/>
          <w:sz w:val="16"/>
          <w:szCs w:val="16"/>
          <w:u w:val="single" w:color="auto"/>
          <w:color w:val="auto"/>
        </w:rPr>
        <w:t>Third Amended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each Loan Party and each Pledgor acknowledges and confirms that the obligations of the Loan Parties under the Existing Credit Agreement as modified or supplemented hereby and the Loan Parties and the Pledgors under the other Loan Documents (i) are entitled to the benefits of the guarantees, pledge of and/or grant of the security interests set forth or created in the Collateral Documents and the other Loan Documents,</w:t>
      </w:r>
    </w:p>
    <w:p>
      <w:pPr>
        <w:spacing w:after="0" w:line="6" w:lineRule="exact"/>
        <w:rPr>
          <w:sz w:val="20"/>
          <w:szCs w:val="20"/>
          <w:color w:val="auto"/>
        </w:rPr>
      </w:pPr>
    </w:p>
    <w:p>
      <w:pPr>
        <w:jc w:val="both"/>
        <w:ind w:left="60" w:right="59" w:hanging="10"/>
        <w:spacing w:after="0"/>
        <w:tabs>
          <w:tab w:leader="none" w:pos="351"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constitute “Obligations” and “Secured Obligations” or other similar term for purposes of the Third Amended Credit Agreement, the Collateral Documents and all other Loan Documents, (iii) notwithstanding the effectiveness of the terms hereof, the Collateral Documents and the other Loan Documents are, and shall continue to be, in full force and effect and are hereby ratified and confirmed in all respects. Each Loan Party and each Pledgor hereby ratifies and confirms that all Liens granted, conveyed, or assigned to the Administrative Agent by such Person pursuant to any Loan Document to which it is a party remain in full force and effect, are not released or reduced, and continue to secure full payment and performance of the Obligations as increased hereby.</w:t>
      </w:r>
    </w:p>
    <w:p>
      <w:pPr>
        <w:spacing w:after="0" w:line="196" w:lineRule="exact"/>
        <w:rPr>
          <w:sz w:val="20"/>
          <w:szCs w:val="20"/>
          <w:color w:val="auto"/>
        </w:rPr>
      </w:pPr>
    </w:p>
    <w:p>
      <w:pPr>
        <w:ind w:left="700"/>
        <w:spacing w:after="0"/>
        <w:tabs>
          <w:tab w:leader="none" w:pos="198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8"/>
          <w:szCs w:val="18"/>
          <w:u w:val="single" w:color="auto"/>
          <w:color w:val="auto"/>
        </w:rPr>
        <w:t>Applicable Law; Jurisdiction; Venue</w:t>
      </w:r>
      <w:r>
        <w:rPr>
          <w:rFonts w:ascii="Arial" w:cs="Arial" w:eastAsia="Arial" w:hAnsi="Arial"/>
          <w:sz w:val="18"/>
          <w:szCs w:val="18"/>
          <w:color w:val="auto"/>
        </w:rPr>
        <w:t>.</w:t>
      </w:r>
    </w:p>
    <w:p>
      <w:pPr>
        <w:spacing w:after="0" w:line="211" w:lineRule="exact"/>
        <w:rPr>
          <w:sz w:val="20"/>
          <w:szCs w:val="20"/>
          <w:color w:val="auto"/>
        </w:rPr>
      </w:pPr>
    </w:p>
    <w:p>
      <w:pPr>
        <w:jc w:val="both"/>
        <w:ind w:left="700" w:right="59" w:firstLine="646"/>
        <w:spacing w:after="0"/>
        <w:tabs>
          <w:tab w:leader="none" w:pos="1996" w:val="left"/>
        </w:tabs>
        <w:numPr>
          <w:ilvl w:val="0"/>
          <w:numId w:val="54"/>
        </w:numPr>
        <w:rPr>
          <w:rFonts w:ascii="Arial" w:cs="Arial" w:eastAsia="Arial" w:hAnsi="Arial"/>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IN ACCORDANCE WITH AND GOVERNED BY THE LAWS OF THE STATE OF NEW YORK.</w:t>
      </w:r>
    </w:p>
    <w:p>
      <w:pPr>
        <w:spacing w:after="0" w:line="186" w:lineRule="exact"/>
        <w:rPr>
          <w:rFonts w:ascii="Arial" w:cs="Arial" w:eastAsia="Arial" w:hAnsi="Arial"/>
          <w:sz w:val="20"/>
          <w:szCs w:val="20"/>
          <w:color w:val="auto"/>
        </w:rPr>
      </w:pPr>
    </w:p>
    <w:p>
      <w:pPr>
        <w:jc w:val="both"/>
        <w:ind w:left="700" w:right="59" w:firstLine="646"/>
        <w:spacing w:after="0" w:line="244" w:lineRule="auto"/>
        <w:tabs>
          <w:tab w:leader="none" w:pos="1996" w:val="left"/>
        </w:tabs>
        <w:numPr>
          <w:ilvl w:val="0"/>
          <w:numId w:val="54"/>
        </w:numPr>
        <w:rPr>
          <w:rFonts w:ascii="Arial" w:cs="Arial" w:eastAsia="Arial" w:hAnsi="Arial"/>
          <w:sz w:val="19"/>
          <w:szCs w:val="19"/>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THE BORROWER, EACH PLEDGOR AND EACH OTHER LOAN PARTY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2" w:name="page93"/>
    <w:bookmarkEnd w:id="92"/>
    <w:p>
      <w:pPr>
        <w:jc w:val="both"/>
        <w:ind w:left="700" w:right="59"/>
        <w:spacing w:after="0" w:line="246" w:lineRule="auto"/>
        <w:rPr>
          <w:sz w:val="20"/>
          <w:szCs w:val="20"/>
          <w:color w:val="auto"/>
        </w:rPr>
      </w:pPr>
      <w:r>
        <w:rPr>
          <w:rFonts w:ascii="Arial" w:cs="Arial" w:eastAsia="Arial" w:hAnsi="Arial"/>
          <w:sz w:val="21"/>
          <w:szCs w:val="21"/>
          <w:color w:val="auto"/>
        </w:rPr>
        <w:t>PROCEEDING SHALL BE CONCLUSIVE AND MAY BE ENFORCED IN OTHER JURISDICTIONS BY SUIT ON THE JUDGMENT OR IN ANY OTHER MANNER PROVIDED BY LAW. NOTHING IN THIS AGREEMENT OR IN ANY OTHER LOAN DOCUMENT SHALL AFFECT ANY RIGHT THAT THE ADMINISTRATIVE AGENT, ANY LENDER OR THE JOINT LEAD ARRANGERS MAY OTHERWISE HAVE TO BRING ANY ACTION OR PROCEEDING RELATING TO THIS AGREEMENT OR ANY OTHER LOAN DOCUMENT AGAINST THE BORROWER, ANY PLEDGOR OR ANY OTHER LOAN PARTY OR ITS PROPERTIES IN THE COURTS OF ANY JURISDICTION.</w:t>
      </w:r>
    </w:p>
    <w:p>
      <w:pPr>
        <w:spacing w:after="0" w:line="180" w:lineRule="exact"/>
        <w:rPr>
          <w:sz w:val="20"/>
          <w:szCs w:val="20"/>
          <w:color w:val="auto"/>
        </w:rPr>
      </w:pPr>
    </w:p>
    <w:p>
      <w:pPr>
        <w:jc w:val="both"/>
        <w:ind w:left="700" w:right="59" w:firstLine="646"/>
        <w:spacing w:after="0" w:line="245" w:lineRule="auto"/>
        <w:tabs>
          <w:tab w:leader="none" w:pos="1996" w:val="left"/>
        </w:tabs>
        <w:numPr>
          <w:ilvl w:val="0"/>
          <w:numId w:val="55"/>
        </w:numPr>
        <w:rPr>
          <w:rFonts w:ascii="Arial" w:cs="Arial" w:eastAsia="Arial" w:hAnsi="Arial"/>
          <w:sz w:val="19"/>
          <w:szCs w:val="19"/>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THE BORROWER, EACH PLEDGOR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(ii) OF THIS SECTION. EACH OF THE PARTIES HERETO HEREBY IRREVOCABLY WAIVES, TO THE FULLEST EXTENT PERMITTED BY APPLICABLE LAW, THE DEFENSE OF AN INCONVENIENT FORUM TO THE MAINTENANCE OF SUCH ACTION OR PROCEEDING IN ANY SUCH COURT.</w:t>
      </w:r>
    </w:p>
    <w:p>
      <w:pPr>
        <w:spacing w:after="0" w:line="180" w:lineRule="exact"/>
        <w:rPr>
          <w:rFonts w:ascii="Arial" w:cs="Arial" w:eastAsia="Arial" w:hAnsi="Arial"/>
          <w:sz w:val="19"/>
          <w:szCs w:val="19"/>
          <w:color w:val="auto"/>
        </w:rPr>
      </w:pPr>
    </w:p>
    <w:p>
      <w:pPr>
        <w:jc w:val="both"/>
        <w:ind w:left="700" w:right="59" w:firstLine="646"/>
        <w:spacing w:after="0" w:line="232" w:lineRule="auto"/>
        <w:tabs>
          <w:tab w:leader="none" w:pos="1996" w:val="left"/>
        </w:tabs>
        <w:numPr>
          <w:ilvl w:val="0"/>
          <w:numId w:val="55"/>
        </w:numPr>
        <w:rPr>
          <w:rFonts w:ascii="Arial" w:cs="Arial" w:eastAsia="Arial" w:hAnsi="Arial"/>
          <w:sz w:val="20"/>
          <w:szCs w:val="20"/>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Credit Agreement Governs</w:t>
      </w:r>
      <w:r>
        <w:rPr>
          <w:rFonts w:ascii="Arial" w:cs="Arial" w:eastAsia="Arial" w:hAnsi="Arial"/>
          <w:sz w:val="18"/>
          <w:szCs w:val="18"/>
          <w:color w:val="auto"/>
        </w:rPr>
        <w:t>. Except as expressly set forth herein, this Agreement shall not by implication or otherwise limit, impair, constitute a waiver of or otherwise affect the rights and remedies of any Lender or the Administrative Agent under the Existing Credit Agreement or any other Loan Document, and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Third Amended Credit Agreement or any other Loan Document in similar or different circumstances.</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291465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3" w:name="page94"/>
    <w:bookmarkEnd w:id="93"/>
    <w:p>
      <w:pPr>
        <w:jc w:val="both"/>
        <w:ind w:left="60" w:right="79"/>
        <w:spacing w:after="0" w:line="261" w:lineRule="auto"/>
        <w:rPr>
          <w:sz w:val="20"/>
          <w:szCs w:val="20"/>
          <w:color w:val="auto"/>
        </w:rPr>
      </w:pPr>
      <w:r>
        <w:rPr>
          <w:rFonts w:ascii="Arial" w:cs="Arial" w:eastAsia="Arial" w:hAnsi="Arial"/>
          <w:sz w:val="20"/>
          <w:szCs w:val="20"/>
          <w:color w:val="auto"/>
        </w:rPr>
        <w:t>executed counterpart of a signature page of this Agreement by facsimile or electronic transmission shall be as effective as delivery of a manually executed counterpart hereof.</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or obligation under this Agreement shall be determined by a court of competent jurisdiction to be invalid, illegal or unenforceable, that provision shall be deemed severed from this Agreement and the validity, legality and enforceability of the remaining provisions or obligations shall remain in full force as though the invalid, illegal, or unenforceable provision had never been a part of this Agreement.</w:t>
      </w:r>
    </w:p>
    <w:p>
      <w:pPr>
        <w:spacing w:after="0" w:line="19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This Agreement may be executed in one or more counterparts, each of which shall constitute an original and all of which when taken together shall constitute one agreement. The words “execution,” signed,” “signature,” and words of like import in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Each party hereto hereby waives any defenses to the enforcement of the terms of this Agreement based on the form of its signature, and hereby agrees that such electronically transmitted or signed signatures shall be conclusive proof, admissible in judicial proceedings, of such party’s execution of this Agreement. Even though the parties agree that electronic signatures are legally enforceable and intended to be effective for all purposes, the signing parties agree if requested by the Administrative Agent in its sole discretion to promptly deliver to the Administrative Agent the requested original document bearing an original manual signature, to the extent required or advisable to be delivered in connection with any program made available to the Administrative Agent or any of its affiliates by the Federal Reserve, U.S. Treasury Department or any other federal or state regulatory body.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915670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ind w:left="60" w:right="59" w:firstLine="648"/>
        <w:spacing w:after="0" w:line="266"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have caused this Agreement to be duly executed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as of the date first above written.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AND PLEDGOR</w:t>
      </w:r>
      <w:r>
        <w:rPr>
          <w:rFonts w:ascii="Arial" w:cs="Arial" w:eastAsia="Arial" w:hAnsi="Arial"/>
          <w:sz w:val="20"/>
          <w:szCs w:val="20"/>
          <w:color w:val="auto"/>
        </w:rPr>
        <w:t>”</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20"/>
          <w:szCs w:val="20"/>
          <w:color w:val="auto"/>
        </w:rPr>
        <w:t>RHP HOTEL PROPERTIES, LP,</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a Delaware limited partnership</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By:</w:t>
            </w:r>
          </w:p>
        </w:tc>
        <w:tc>
          <w:tcPr>
            <w:tcW w:w="3160" w:type="dxa"/>
            <w:vAlign w:val="bottom"/>
            <w:gridSpan w:val="4"/>
          </w:tcPr>
          <w:p>
            <w:pPr>
              <w:ind w:left="180"/>
              <w:spacing w:after="0"/>
              <w:rPr>
                <w:sz w:val="20"/>
                <w:szCs w:val="20"/>
                <w:color w:val="auto"/>
              </w:rPr>
            </w:pPr>
            <w:r>
              <w:rPr>
                <w:rFonts w:ascii="Arial" w:cs="Arial" w:eastAsia="Arial" w:hAnsi="Arial"/>
                <w:sz w:val="20"/>
                <w:szCs w:val="20"/>
                <w:color w:val="auto"/>
              </w:rPr>
              <w:t>RHP Partner, LLC,</w:t>
            </w:r>
          </w:p>
        </w:tc>
      </w:tr>
      <w:tr>
        <w:trPr>
          <w:trHeight w:val="229"/>
        </w:trPr>
        <w:tc>
          <w:tcPr>
            <w:tcW w:w="460" w:type="dxa"/>
            <w:vAlign w:val="bottom"/>
          </w:tcPr>
          <w:p>
            <w:pPr>
              <w:spacing w:after="0"/>
              <w:rPr>
                <w:sz w:val="19"/>
                <w:szCs w:val="19"/>
                <w:color w:val="auto"/>
              </w:rPr>
            </w:pPr>
          </w:p>
        </w:tc>
        <w:tc>
          <w:tcPr>
            <w:tcW w:w="3160" w:type="dxa"/>
            <w:vAlign w:val="bottom"/>
            <w:gridSpan w:val="4"/>
          </w:tcPr>
          <w:p>
            <w:pPr>
              <w:ind w:left="180"/>
              <w:spacing w:after="0"/>
              <w:rPr>
                <w:sz w:val="20"/>
                <w:szCs w:val="20"/>
                <w:color w:val="auto"/>
              </w:rPr>
            </w:pPr>
            <w:r>
              <w:rPr>
                <w:rFonts w:ascii="Arial" w:cs="Arial" w:eastAsia="Arial" w:hAnsi="Arial"/>
                <w:sz w:val="20"/>
                <w:szCs w:val="20"/>
                <w:color w:val="auto"/>
                <w:w w:val="91"/>
              </w:rPr>
              <w:t>a Delaware limited liability company,</w:t>
            </w:r>
          </w:p>
        </w:tc>
      </w:tr>
      <w:tr>
        <w:trPr>
          <w:trHeight w:val="250"/>
        </w:trPr>
        <w:tc>
          <w:tcPr>
            <w:tcW w:w="460" w:type="dxa"/>
            <w:vAlign w:val="bottom"/>
          </w:tcPr>
          <w:p>
            <w:pPr>
              <w:spacing w:after="0"/>
              <w:rPr>
                <w:sz w:val="21"/>
                <w:szCs w:val="21"/>
                <w:color w:val="auto"/>
              </w:rPr>
            </w:pPr>
          </w:p>
        </w:tc>
        <w:tc>
          <w:tcPr>
            <w:tcW w:w="3160" w:type="dxa"/>
            <w:vAlign w:val="bottom"/>
            <w:gridSpan w:val="4"/>
          </w:tcPr>
          <w:p>
            <w:pPr>
              <w:ind w:left="180"/>
              <w:spacing w:after="0"/>
              <w:rPr>
                <w:sz w:val="20"/>
                <w:szCs w:val="20"/>
                <w:color w:val="auto"/>
              </w:rPr>
            </w:pPr>
            <w:r>
              <w:rPr>
                <w:rFonts w:ascii="Arial" w:cs="Arial" w:eastAsia="Arial" w:hAnsi="Arial"/>
                <w:sz w:val="20"/>
                <w:szCs w:val="20"/>
                <w:color w:val="auto"/>
              </w:rPr>
              <w:t>its general partner</w:t>
            </w:r>
          </w:p>
        </w:tc>
      </w:tr>
      <w:tr>
        <w:trPr>
          <w:trHeight w:val="414"/>
        </w:trPr>
        <w:tc>
          <w:tcPr>
            <w:tcW w:w="4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0"/>
                <w:szCs w:val="20"/>
                <w:color w:val="auto"/>
              </w:rPr>
              <w:t>By:</w:t>
            </w:r>
          </w:p>
        </w:tc>
        <w:tc>
          <w:tcPr>
            <w:tcW w:w="6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2"/>
              </w:rPr>
              <w:t>/s/ Mark Fioravanti</w:t>
            </w:r>
          </w:p>
        </w:tc>
        <w:tc>
          <w:tcPr>
            <w:tcW w:w="800" w:type="dxa"/>
            <w:vAlign w:val="bottom"/>
          </w:tcPr>
          <w:p>
            <w:pPr>
              <w:spacing w:after="0"/>
              <w:rPr>
                <w:sz w:val="24"/>
                <w:szCs w:val="24"/>
                <w:color w:val="auto"/>
              </w:rPr>
            </w:pPr>
          </w:p>
        </w:tc>
      </w:tr>
      <w:tr>
        <w:trPr>
          <w:trHeight w:val="233"/>
        </w:trPr>
        <w:tc>
          <w:tcPr>
            <w:tcW w:w="46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Arial" w:cs="Arial" w:eastAsia="Arial" w:hAnsi="Arial"/>
                <w:sz w:val="20"/>
                <w:szCs w:val="20"/>
                <w:color w:val="auto"/>
                <w:w w:val="94"/>
              </w:rPr>
              <w:t>Name:</w:t>
            </w:r>
          </w:p>
        </w:tc>
        <w:tc>
          <w:tcPr>
            <w:tcW w:w="2400" w:type="dxa"/>
            <w:vAlign w:val="bottom"/>
            <w:gridSpan w:val="3"/>
          </w:tcPr>
          <w:p>
            <w:pPr>
              <w:ind w:left="60"/>
              <w:spacing w:after="0"/>
              <w:rPr>
                <w:sz w:val="20"/>
                <w:szCs w:val="20"/>
                <w:color w:val="auto"/>
              </w:rPr>
            </w:pPr>
            <w:r>
              <w:rPr>
                <w:rFonts w:ascii="Arial" w:cs="Arial" w:eastAsia="Arial" w:hAnsi="Arial"/>
                <w:sz w:val="20"/>
                <w:szCs w:val="20"/>
                <w:color w:val="auto"/>
              </w:rPr>
              <w:t>Mark Fioravanti</w:t>
            </w:r>
          </w:p>
        </w:tc>
      </w:tr>
      <w:tr>
        <w:trPr>
          <w:trHeight w:val="250"/>
        </w:trPr>
        <w:tc>
          <w:tcPr>
            <w:tcW w:w="46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20"/>
                <w:szCs w:val="20"/>
                <w:color w:val="auto"/>
              </w:rPr>
              <w:t>Title:</w:t>
            </w:r>
          </w:p>
        </w:tc>
        <w:tc>
          <w:tcPr>
            <w:tcW w:w="2400" w:type="dxa"/>
            <w:vAlign w:val="bottom"/>
            <w:gridSpan w:val="3"/>
          </w:tcPr>
          <w:p>
            <w:pPr>
              <w:ind w:left="60"/>
              <w:spacing w:after="0"/>
              <w:rPr>
                <w:sz w:val="20"/>
                <w:szCs w:val="20"/>
                <w:color w:val="auto"/>
              </w:rPr>
            </w:pPr>
            <w:r>
              <w:rPr>
                <w:rFonts w:ascii="Arial" w:cs="Arial" w:eastAsia="Arial" w:hAnsi="Arial"/>
                <w:sz w:val="20"/>
                <w:szCs w:val="20"/>
                <w:color w:val="auto"/>
              </w:rPr>
              <w:t>Vice President</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644525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5" w:name="page96"/>
    <w:bookmarkEnd w:id="95"/>
    <w:tbl>
      <w:tblPr>
        <w:tblLayout w:type="fixed"/>
        <w:tblInd w:w="60" w:type="dxa"/>
        <w:tblCellMar>
          <w:top w:w="0" w:type="dxa"/>
          <w:left w:w="0" w:type="dxa"/>
          <w:bottom w:w="0" w:type="dxa"/>
          <w:right w:w="0" w:type="dxa"/>
        </w:tblCellMar>
      </w:tblPr>
      <w:tr>
        <w:trPr>
          <w:trHeight w:val="256"/>
        </w:trPr>
        <w:tc>
          <w:tcPr>
            <w:tcW w:w="4080" w:type="dxa"/>
            <w:vAlign w:val="bottom"/>
            <w:gridSpan w:val="6"/>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GUARANTORS AND PLEDGORS</w:t>
            </w:r>
            <w:r>
              <w:rPr>
                <w:rFonts w:ascii="Arial" w:cs="Arial" w:eastAsia="Arial" w:hAnsi="Arial"/>
                <w:sz w:val="20"/>
                <w:szCs w:val="20"/>
                <w:color w:val="auto"/>
              </w:rPr>
              <w:t>”</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816"/>
        </w:trPr>
        <w:tc>
          <w:tcPr>
            <w:tcW w:w="4080" w:type="dxa"/>
            <w:vAlign w:val="bottom"/>
            <w:gridSpan w:val="6"/>
          </w:tcPr>
          <w:p>
            <w:pPr>
              <w:spacing w:after="0"/>
              <w:rPr>
                <w:sz w:val="20"/>
                <w:szCs w:val="20"/>
                <w:color w:val="auto"/>
              </w:rPr>
            </w:pPr>
            <w:r>
              <w:rPr>
                <w:rFonts w:ascii="Arial" w:cs="Arial" w:eastAsia="Arial" w:hAnsi="Arial"/>
                <w:sz w:val="20"/>
                <w:szCs w:val="20"/>
                <w:color w:val="auto"/>
              </w:rPr>
              <w:t>RYMAN HOSPITALITY PROPERTIES, INC.,</w:t>
            </w:r>
          </w:p>
        </w:tc>
        <w:tc>
          <w:tcPr>
            <w:tcW w:w="3960" w:type="dxa"/>
            <w:vAlign w:val="bottom"/>
            <w:gridSpan w:val="7"/>
          </w:tcPr>
          <w:p>
            <w:pPr>
              <w:ind w:left="300"/>
              <w:spacing w:after="0"/>
              <w:rPr>
                <w:sz w:val="20"/>
                <w:szCs w:val="20"/>
                <w:color w:val="auto"/>
              </w:rPr>
            </w:pPr>
            <w:r>
              <w:rPr>
                <w:rFonts w:ascii="Arial" w:cs="Arial" w:eastAsia="Arial" w:hAnsi="Arial"/>
                <w:sz w:val="20"/>
                <w:szCs w:val="20"/>
                <w:color w:val="auto"/>
              </w:rPr>
              <w:t>RHP PARTNER, LLC,</w:t>
            </w:r>
          </w:p>
        </w:tc>
      </w:tr>
      <w:tr>
        <w:trPr>
          <w:trHeight w:val="250"/>
        </w:trPr>
        <w:tc>
          <w:tcPr>
            <w:tcW w:w="4080" w:type="dxa"/>
            <w:vAlign w:val="bottom"/>
            <w:gridSpan w:val="6"/>
          </w:tcPr>
          <w:p>
            <w:pPr>
              <w:spacing w:after="0"/>
              <w:rPr>
                <w:sz w:val="20"/>
                <w:szCs w:val="20"/>
                <w:color w:val="auto"/>
              </w:rPr>
            </w:pPr>
            <w:r>
              <w:rPr>
                <w:rFonts w:ascii="Arial" w:cs="Arial" w:eastAsia="Arial" w:hAnsi="Arial"/>
                <w:sz w:val="20"/>
                <w:szCs w:val="20"/>
                <w:color w:val="auto"/>
              </w:rPr>
              <w:t>a Delaware corporation</w:t>
            </w:r>
          </w:p>
        </w:tc>
        <w:tc>
          <w:tcPr>
            <w:tcW w:w="3960" w:type="dxa"/>
            <w:vAlign w:val="bottom"/>
            <w:gridSpan w:val="7"/>
          </w:tcPr>
          <w:p>
            <w:pPr>
              <w:ind w:left="300"/>
              <w:spacing w:after="0"/>
              <w:rPr>
                <w:sz w:val="20"/>
                <w:szCs w:val="20"/>
                <w:color w:val="auto"/>
              </w:rPr>
            </w:pPr>
            <w:r>
              <w:rPr>
                <w:rFonts w:ascii="Arial" w:cs="Arial" w:eastAsia="Arial" w:hAnsi="Arial"/>
                <w:sz w:val="20"/>
                <w:szCs w:val="20"/>
                <w:color w:val="auto"/>
              </w:rPr>
              <w:t>a Delaware limited liability company</w:t>
            </w:r>
          </w:p>
        </w:tc>
      </w:tr>
      <w:tr>
        <w:trPr>
          <w:trHeight w:val="414"/>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540" w:type="dxa"/>
            <w:vAlign w:val="bottom"/>
            <w:gridSpan w:val="3"/>
          </w:tcPr>
          <w:p>
            <w:pPr>
              <w:spacing w:after="0"/>
              <w:rPr>
                <w:sz w:val="20"/>
                <w:szCs w:val="20"/>
                <w:color w:val="auto"/>
              </w:rPr>
            </w:pPr>
            <w:r>
              <w:rPr>
                <w:rFonts w:ascii="Arial" w:cs="Arial" w:eastAsia="Arial" w:hAnsi="Arial"/>
                <w:sz w:val="20"/>
                <w:szCs w:val="20"/>
                <w:color w:val="auto"/>
                <w:w w:val="92"/>
              </w:rPr>
              <w:t>/s/ Mark Fioravanti</w:t>
            </w:r>
          </w:p>
        </w:tc>
        <w:tc>
          <w:tcPr>
            <w:tcW w:w="1900" w:type="dxa"/>
            <w:vAlign w:val="bottom"/>
            <w:gridSpan w:val="2"/>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20"/>
                <w:szCs w:val="20"/>
                <w:color w:val="auto"/>
              </w:rPr>
              <w:t>By:</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/s/ Mark Fioravanti</w:t>
            </w:r>
          </w:p>
        </w:tc>
      </w:tr>
      <w:tr>
        <w:trPr>
          <w:trHeight w:val="20"/>
        </w:trPr>
        <w:tc>
          <w:tcPr>
            <w:tcW w:w="6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540" w:type="dxa"/>
            <w:vAlign w:val="bottom"/>
            <w:gridSpan w:val="3"/>
          </w:tcPr>
          <w:p>
            <w:pPr>
              <w:spacing w:after="0"/>
              <w:rPr>
                <w:sz w:val="20"/>
                <w:szCs w:val="20"/>
                <w:color w:val="auto"/>
              </w:rPr>
            </w:pPr>
            <w:r>
              <w:rPr>
                <w:rFonts w:ascii="Arial" w:cs="Arial" w:eastAsia="Arial" w:hAnsi="Arial"/>
                <w:sz w:val="20"/>
                <w:szCs w:val="20"/>
                <w:color w:val="auto"/>
              </w:rPr>
              <w:t>Mark Fioravanti</w:t>
            </w:r>
          </w:p>
        </w:tc>
        <w:tc>
          <w:tcPr>
            <w:tcW w:w="1900" w:type="dxa"/>
            <w:vAlign w:val="bottom"/>
            <w:gridSpan w:val="2"/>
          </w:tcPr>
          <w:p>
            <w:pPr>
              <w:spacing w:after="0"/>
              <w:rPr>
                <w:sz w:val="20"/>
                <w:szCs w:val="20"/>
                <w:color w:val="auto"/>
              </w:rPr>
            </w:pPr>
          </w:p>
        </w:tc>
        <w:tc>
          <w:tcPr>
            <w:tcW w:w="900" w:type="dxa"/>
            <w:vAlign w:val="bottom"/>
          </w:tcPr>
          <w:p>
            <w:pPr>
              <w:ind w:left="300"/>
              <w:spacing w:after="0"/>
              <w:rPr>
                <w:sz w:val="20"/>
                <w:szCs w:val="20"/>
                <w:color w:val="auto"/>
              </w:rPr>
            </w:pPr>
            <w:r>
              <w:rPr>
                <w:rFonts w:ascii="Arial" w:cs="Arial" w:eastAsia="Arial" w:hAnsi="Arial"/>
                <w:sz w:val="20"/>
                <w:szCs w:val="20"/>
                <w:color w:val="auto"/>
                <w:w w:val="98"/>
              </w:rPr>
              <w:t>Name:</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Mark Fioravanti</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3440" w:type="dxa"/>
            <w:vAlign w:val="bottom"/>
            <w:gridSpan w:val="5"/>
          </w:tcPr>
          <w:p>
            <w:pPr>
              <w:spacing w:after="0"/>
              <w:rPr>
                <w:sz w:val="20"/>
                <w:szCs w:val="20"/>
                <w:color w:val="auto"/>
              </w:rPr>
            </w:pPr>
            <w:r>
              <w:rPr>
                <w:rFonts w:ascii="Arial" w:cs="Arial" w:eastAsia="Arial" w:hAnsi="Arial"/>
                <w:sz w:val="20"/>
                <w:szCs w:val="20"/>
                <w:color w:val="auto"/>
              </w:rPr>
              <w:t>President &amp; Chief Financial Officer</w:t>
            </w:r>
          </w:p>
        </w:tc>
        <w:tc>
          <w:tcPr>
            <w:tcW w:w="900" w:type="dxa"/>
            <w:vAlign w:val="bottom"/>
          </w:tcPr>
          <w:p>
            <w:pPr>
              <w:ind w:left="300"/>
              <w:spacing w:after="0"/>
              <w:rPr>
                <w:sz w:val="20"/>
                <w:szCs w:val="20"/>
                <w:color w:val="auto"/>
              </w:rPr>
            </w:pPr>
            <w:r>
              <w:rPr>
                <w:rFonts w:ascii="Arial" w:cs="Arial" w:eastAsia="Arial" w:hAnsi="Arial"/>
                <w:sz w:val="20"/>
                <w:szCs w:val="20"/>
                <w:color w:val="auto"/>
              </w:rPr>
              <w:t>Title:</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Vice President</w:t>
            </w:r>
          </w:p>
        </w:tc>
      </w:tr>
      <w:tr>
        <w:trPr>
          <w:trHeight w:val="425"/>
        </w:trPr>
        <w:tc>
          <w:tcPr>
            <w:tcW w:w="4080" w:type="dxa"/>
            <w:vAlign w:val="bottom"/>
            <w:gridSpan w:val="6"/>
          </w:tcPr>
          <w:p>
            <w:pPr>
              <w:spacing w:after="0"/>
              <w:rPr>
                <w:sz w:val="20"/>
                <w:szCs w:val="20"/>
                <w:color w:val="auto"/>
              </w:rPr>
            </w:pPr>
            <w:r>
              <w:rPr>
                <w:rFonts w:ascii="Arial" w:cs="Arial" w:eastAsia="Arial" w:hAnsi="Arial"/>
                <w:sz w:val="20"/>
                <w:szCs w:val="20"/>
                <w:color w:val="auto"/>
              </w:rPr>
              <w:t>RHP PROPERTY GP, LP,</w:t>
            </w:r>
          </w:p>
        </w:tc>
        <w:tc>
          <w:tcPr>
            <w:tcW w:w="3960" w:type="dxa"/>
            <w:vAlign w:val="bottom"/>
            <w:gridSpan w:val="7"/>
          </w:tcPr>
          <w:p>
            <w:pPr>
              <w:ind w:left="300"/>
              <w:spacing w:after="0"/>
              <w:rPr>
                <w:sz w:val="20"/>
                <w:szCs w:val="20"/>
                <w:color w:val="auto"/>
              </w:rPr>
            </w:pPr>
            <w:r>
              <w:rPr>
                <w:rFonts w:ascii="Arial" w:cs="Arial" w:eastAsia="Arial" w:hAnsi="Arial"/>
                <w:sz w:val="20"/>
                <w:szCs w:val="20"/>
                <w:color w:val="auto"/>
              </w:rPr>
              <w:t>RHP PROPERTY GT, LP,</w:t>
            </w:r>
          </w:p>
        </w:tc>
      </w:tr>
      <w:tr>
        <w:trPr>
          <w:trHeight w:val="250"/>
        </w:trPr>
        <w:tc>
          <w:tcPr>
            <w:tcW w:w="4080" w:type="dxa"/>
            <w:vAlign w:val="bottom"/>
            <w:gridSpan w:val="6"/>
          </w:tcPr>
          <w:p>
            <w:pPr>
              <w:spacing w:after="0"/>
              <w:rPr>
                <w:sz w:val="20"/>
                <w:szCs w:val="20"/>
                <w:color w:val="auto"/>
              </w:rPr>
            </w:pPr>
            <w:r>
              <w:rPr>
                <w:rFonts w:ascii="Arial" w:cs="Arial" w:eastAsia="Arial" w:hAnsi="Arial"/>
                <w:sz w:val="20"/>
                <w:szCs w:val="20"/>
                <w:color w:val="auto"/>
              </w:rPr>
              <w:t>a Florida limited partnership</w:t>
            </w:r>
          </w:p>
        </w:tc>
        <w:tc>
          <w:tcPr>
            <w:tcW w:w="3960" w:type="dxa"/>
            <w:vAlign w:val="bottom"/>
            <w:gridSpan w:val="7"/>
          </w:tcPr>
          <w:p>
            <w:pPr>
              <w:ind w:left="300"/>
              <w:spacing w:after="0"/>
              <w:rPr>
                <w:sz w:val="20"/>
                <w:szCs w:val="20"/>
                <w:color w:val="auto"/>
              </w:rPr>
            </w:pPr>
            <w:r>
              <w:rPr>
                <w:rFonts w:ascii="Arial" w:cs="Arial" w:eastAsia="Arial" w:hAnsi="Arial"/>
                <w:sz w:val="20"/>
                <w:szCs w:val="20"/>
                <w:color w:val="auto"/>
              </w:rPr>
              <w:t>a Delaware limited partnership</w:t>
            </w:r>
          </w:p>
        </w:tc>
      </w:tr>
      <w:tr>
        <w:trPr>
          <w:trHeight w:val="438"/>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440" w:type="dxa"/>
            <w:vAlign w:val="bottom"/>
            <w:gridSpan w:val="5"/>
          </w:tcPr>
          <w:p>
            <w:pPr>
              <w:spacing w:after="0"/>
              <w:rPr>
                <w:sz w:val="20"/>
                <w:szCs w:val="20"/>
                <w:color w:val="auto"/>
              </w:rPr>
            </w:pPr>
            <w:r>
              <w:rPr>
                <w:rFonts w:ascii="Arial" w:cs="Arial" w:eastAsia="Arial" w:hAnsi="Arial"/>
                <w:sz w:val="20"/>
                <w:szCs w:val="20"/>
                <w:color w:val="auto"/>
              </w:rPr>
              <w:t>Opryland Hospitality, LLC,</w:t>
            </w:r>
          </w:p>
        </w:tc>
        <w:tc>
          <w:tcPr>
            <w:tcW w:w="900" w:type="dxa"/>
            <w:vAlign w:val="bottom"/>
          </w:tcPr>
          <w:p>
            <w:pPr>
              <w:ind w:left="300"/>
              <w:spacing w:after="0"/>
              <w:rPr>
                <w:sz w:val="20"/>
                <w:szCs w:val="20"/>
                <w:color w:val="auto"/>
              </w:rPr>
            </w:pPr>
            <w:r>
              <w:rPr>
                <w:rFonts w:ascii="Arial" w:cs="Arial" w:eastAsia="Arial" w:hAnsi="Arial"/>
                <w:sz w:val="20"/>
                <w:szCs w:val="20"/>
                <w:color w:val="auto"/>
              </w:rPr>
              <w:t>By:</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Opryland Hospitality, LLC,</w:t>
            </w:r>
          </w:p>
        </w:tc>
      </w:tr>
      <w:tr>
        <w:trPr>
          <w:trHeight w:val="229"/>
        </w:trPr>
        <w:tc>
          <w:tcPr>
            <w:tcW w:w="640" w:type="dxa"/>
            <w:vAlign w:val="bottom"/>
          </w:tcPr>
          <w:p>
            <w:pPr>
              <w:spacing w:after="0"/>
              <w:rPr>
                <w:sz w:val="19"/>
                <w:szCs w:val="19"/>
                <w:color w:val="auto"/>
              </w:rPr>
            </w:pPr>
          </w:p>
        </w:tc>
        <w:tc>
          <w:tcPr>
            <w:tcW w:w="3440" w:type="dxa"/>
            <w:vAlign w:val="bottom"/>
            <w:gridSpan w:val="5"/>
          </w:tcPr>
          <w:p>
            <w:pPr>
              <w:spacing w:after="0"/>
              <w:rPr>
                <w:sz w:val="20"/>
                <w:szCs w:val="20"/>
                <w:color w:val="auto"/>
              </w:rPr>
            </w:pPr>
            <w:r>
              <w:rPr>
                <w:rFonts w:ascii="Arial" w:cs="Arial" w:eastAsia="Arial" w:hAnsi="Arial"/>
                <w:sz w:val="20"/>
                <w:szCs w:val="20"/>
                <w:color w:val="auto"/>
              </w:rPr>
              <w:t>a Tennessee limited liability company</w:t>
            </w:r>
          </w:p>
        </w:tc>
        <w:tc>
          <w:tcPr>
            <w:tcW w:w="900" w:type="dxa"/>
            <w:vAlign w:val="bottom"/>
          </w:tcPr>
          <w:p>
            <w:pPr>
              <w:spacing w:after="0"/>
              <w:rPr>
                <w:sz w:val="19"/>
                <w:szCs w:val="19"/>
                <w:color w:val="auto"/>
              </w:rPr>
            </w:pPr>
          </w:p>
        </w:tc>
        <w:tc>
          <w:tcPr>
            <w:tcW w:w="3060" w:type="dxa"/>
            <w:vAlign w:val="bottom"/>
            <w:gridSpan w:val="6"/>
          </w:tcPr>
          <w:p>
            <w:pPr>
              <w:ind w:left="60"/>
              <w:spacing w:after="0"/>
              <w:rPr>
                <w:sz w:val="20"/>
                <w:szCs w:val="20"/>
                <w:color w:val="auto"/>
              </w:rPr>
            </w:pPr>
            <w:r>
              <w:rPr>
                <w:rFonts w:ascii="Arial" w:cs="Arial" w:eastAsia="Arial" w:hAnsi="Arial"/>
                <w:sz w:val="20"/>
                <w:szCs w:val="20"/>
                <w:color w:val="auto"/>
                <w:w w:val="89"/>
              </w:rPr>
              <w:t>a Tennessee limited liability company</w:t>
            </w:r>
          </w:p>
        </w:tc>
      </w:tr>
      <w:tr>
        <w:trPr>
          <w:trHeight w:val="250"/>
        </w:trPr>
        <w:tc>
          <w:tcPr>
            <w:tcW w:w="64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Arial" w:cs="Arial" w:eastAsia="Arial" w:hAnsi="Arial"/>
                <w:sz w:val="20"/>
                <w:szCs w:val="20"/>
                <w:color w:val="auto"/>
              </w:rPr>
              <w:t>its general partner</w:t>
            </w:r>
          </w:p>
        </w:tc>
        <w:tc>
          <w:tcPr>
            <w:tcW w:w="900" w:type="dxa"/>
            <w:vAlign w:val="bottom"/>
          </w:tcPr>
          <w:p>
            <w:pPr>
              <w:spacing w:after="0"/>
              <w:rPr>
                <w:sz w:val="21"/>
                <w:szCs w:val="21"/>
                <w:color w:val="auto"/>
              </w:rPr>
            </w:pP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its general partner</w:t>
            </w:r>
          </w:p>
        </w:tc>
      </w:tr>
      <w:tr>
        <w:trPr>
          <w:trHeight w:val="414"/>
        </w:trPr>
        <w:tc>
          <w:tcPr>
            <w:tcW w:w="6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20"/>
                <w:szCs w:val="20"/>
                <w:color w:val="auto"/>
              </w:rPr>
              <w:t>By:</w:t>
            </w:r>
          </w:p>
        </w:tc>
        <w:tc>
          <w:tcPr>
            <w:tcW w:w="6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20"/>
                <w:szCs w:val="20"/>
                <w:color w:val="auto"/>
              </w:rPr>
              <w:t>/s/ Mark Fioravanti</w:t>
            </w:r>
          </w:p>
        </w:tc>
        <w:tc>
          <w:tcPr>
            <w:tcW w:w="90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20"/>
                <w:szCs w:val="20"/>
                <w:color w:val="auto"/>
              </w:rPr>
              <w:t>By:</w:t>
            </w:r>
          </w:p>
        </w:tc>
        <w:tc>
          <w:tcPr>
            <w:tcW w:w="2420" w:type="dxa"/>
            <w:vAlign w:val="bottom"/>
            <w:gridSpan w:val="4"/>
          </w:tcPr>
          <w:p>
            <w:pPr>
              <w:ind w:left="60"/>
              <w:spacing w:after="0"/>
              <w:rPr>
                <w:sz w:val="20"/>
                <w:szCs w:val="20"/>
                <w:color w:val="auto"/>
              </w:rPr>
            </w:pPr>
            <w:r>
              <w:rPr>
                <w:rFonts w:ascii="Arial" w:cs="Arial" w:eastAsia="Arial" w:hAnsi="Arial"/>
                <w:sz w:val="20"/>
                <w:szCs w:val="20"/>
                <w:color w:val="auto"/>
              </w:rPr>
              <w:t>/s/ Mark Fioravanti</w:t>
            </w:r>
          </w:p>
        </w:tc>
      </w:tr>
      <w:tr>
        <w:trPr>
          <w:trHeight w:val="20"/>
        </w:trPr>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3"/>
        </w:trPr>
        <w:tc>
          <w:tcPr>
            <w:tcW w:w="6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2840" w:type="dxa"/>
            <w:vAlign w:val="bottom"/>
            <w:gridSpan w:val="4"/>
          </w:tcPr>
          <w:p>
            <w:pPr>
              <w:ind w:left="60"/>
              <w:spacing w:after="0"/>
              <w:rPr>
                <w:sz w:val="20"/>
                <w:szCs w:val="20"/>
                <w:color w:val="auto"/>
              </w:rPr>
            </w:pPr>
            <w:r>
              <w:rPr>
                <w:rFonts w:ascii="Arial" w:cs="Arial" w:eastAsia="Arial" w:hAnsi="Arial"/>
                <w:sz w:val="20"/>
                <w:szCs w:val="20"/>
                <w:color w:val="auto"/>
              </w:rPr>
              <w:t>Mark Fioravanti</w:t>
            </w:r>
          </w:p>
        </w:tc>
        <w:tc>
          <w:tcPr>
            <w:tcW w:w="900" w:type="dxa"/>
            <w:vAlign w:val="bottom"/>
          </w:tcPr>
          <w:p>
            <w:pPr>
              <w:spacing w:after="0"/>
              <w:rPr>
                <w:sz w:val="20"/>
                <w:szCs w:val="20"/>
                <w:color w:val="auto"/>
              </w:rPr>
            </w:pPr>
          </w:p>
        </w:tc>
        <w:tc>
          <w:tcPr>
            <w:tcW w:w="640" w:type="dxa"/>
            <w:vAlign w:val="bottom"/>
            <w:gridSpan w:val="2"/>
          </w:tcPr>
          <w:p>
            <w:pPr>
              <w:ind w:left="60"/>
              <w:spacing w:after="0"/>
              <w:rPr>
                <w:sz w:val="20"/>
                <w:szCs w:val="20"/>
                <w:color w:val="auto"/>
              </w:rPr>
            </w:pPr>
            <w:r>
              <w:rPr>
                <w:rFonts w:ascii="Arial" w:cs="Arial" w:eastAsia="Arial" w:hAnsi="Arial"/>
                <w:sz w:val="20"/>
                <w:szCs w:val="20"/>
                <w:color w:val="auto"/>
                <w:w w:val="94"/>
              </w:rPr>
              <w:t>Name:</w:t>
            </w:r>
          </w:p>
        </w:tc>
        <w:tc>
          <w:tcPr>
            <w:tcW w:w="2420" w:type="dxa"/>
            <w:vAlign w:val="bottom"/>
            <w:gridSpan w:val="4"/>
          </w:tcPr>
          <w:p>
            <w:pPr>
              <w:ind w:left="60"/>
              <w:spacing w:after="0"/>
              <w:rPr>
                <w:sz w:val="20"/>
                <w:szCs w:val="20"/>
                <w:color w:val="auto"/>
              </w:rPr>
            </w:pPr>
            <w:r>
              <w:rPr>
                <w:rFonts w:ascii="Arial" w:cs="Arial" w:eastAsia="Arial" w:hAnsi="Arial"/>
                <w:sz w:val="20"/>
                <w:szCs w:val="20"/>
                <w:color w:val="auto"/>
              </w:rPr>
              <w:t>Mark Fioravanti</w:t>
            </w:r>
          </w:p>
        </w:tc>
      </w:tr>
      <w:tr>
        <w:trPr>
          <w:trHeight w:val="250"/>
        </w:trPr>
        <w:tc>
          <w:tcPr>
            <w:tcW w:w="6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2840" w:type="dxa"/>
            <w:vAlign w:val="bottom"/>
            <w:gridSpan w:val="4"/>
          </w:tcPr>
          <w:p>
            <w:pPr>
              <w:ind w:left="40"/>
              <w:spacing w:after="0"/>
              <w:rPr>
                <w:sz w:val="20"/>
                <w:szCs w:val="20"/>
                <w:color w:val="auto"/>
              </w:rPr>
            </w:pPr>
            <w:r>
              <w:rPr>
                <w:rFonts w:ascii="Arial" w:cs="Arial" w:eastAsia="Arial" w:hAnsi="Arial"/>
                <w:sz w:val="20"/>
                <w:szCs w:val="20"/>
                <w:color w:val="auto"/>
              </w:rPr>
              <w:t>Vice President</w:t>
            </w:r>
          </w:p>
        </w:tc>
        <w:tc>
          <w:tcPr>
            <w:tcW w:w="90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20"/>
                <w:szCs w:val="20"/>
                <w:color w:val="auto"/>
              </w:rPr>
              <w:t>Title:</w:t>
            </w:r>
          </w:p>
        </w:tc>
        <w:tc>
          <w:tcPr>
            <w:tcW w:w="2420" w:type="dxa"/>
            <w:vAlign w:val="bottom"/>
            <w:gridSpan w:val="4"/>
          </w:tcPr>
          <w:p>
            <w:pPr>
              <w:ind w:left="60"/>
              <w:spacing w:after="0"/>
              <w:rPr>
                <w:sz w:val="20"/>
                <w:szCs w:val="20"/>
                <w:color w:val="auto"/>
              </w:rPr>
            </w:pPr>
            <w:r>
              <w:rPr>
                <w:rFonts w:ascii="Arial" w:cs="Arial" w:eastAsia="Arial" w:hAnsi="Arial"/>
                <w:sz w:val="20"/>
                <w:szCs w:val="20"/>
                <w:color w:val="auto"/>
              </w:rPr>
              <w:t>Vice President</w:t>
            </w:r>
          </w:p>
        </w:tc>
      </w:tr>
      <w:tr>
        <w:trPr>
          <w:trHeight w:val="425"/>
        </w:trPr>
        <w:tc>
          <w:tcPr>
            <w:tcW w:w="4080" w:type="dxa"/>
            <w:vAlign w:val="bottom"/>
            <w:gridSpan w:val="6"/>
          </w:tcPr>
          <w:p>
            <w:pPr>
              <w:spacing w:after="0"/>
              <w:rPr>
                <w:sz w:val="20"/>
                <w:szCs w:val="20"/>
                <w:color w:val="auto"/>
              </w:rPr>
            </w:pPr>
            <w:r>
              <w:rPr>
                <w:rFonts w:ascii="Arial" w:cs="Arial" w:eastAsia="Arial" w:hAnsi="Arial"/>
                <w:sz w:val="20"/>
                <w:szCs w:val="20"/>
                <w:color w:val="auto"/>
              </w:rPr>
              <w:t>RHP HOTELS, LLC,</w:t>
            </w:r>
          </w:p>
        </w:tc>
        <w:tc>
          <w:tcPr>
            <w:tcW w:w="3960" w:type="dxa"/>
            <w:vAlign w:val="bottom"/>
            <w:gridSpan w:val="7"/>
          </w:tcPr>
          <w:p>
            <w:pPr>
              <w:ind w:left="300"/>
              <w:spacing w:after="0"/>
              <w:rPr>
                <w:sz w:val="20"/>
                <w:szCs w:val="20"/>
                <w:color w:val="auto"/>
              </w:rPr>
            </w:pPr>
            <w:r>
              <w:rPr>
                <w:rFonts w:ascii="Arial" w:cs="Arial" w:eastAsia="Arial" w:hAnsi="Arial"/>
                <w:sz w:val="20"/>
                <w:szCs w:val="20"/>
                <w:color w:val="auto"/>
              </w:rPr>
              <w:t>RHP PROPERTY GT, LLC,</w:t>
            </w:r>
          </w:p>
        </w:tc>
      </w:tr>
      <w:tr>
        <w:trPr>
          <w:trHeight w:val="250"/>
        </w:trPr>
        <w:tc>
          <w:tcPr>
            <w:tcW w:w="4080" w:type="dxa"/>
            <w:vAlign w:val="bottom"/>
            <w:gridSpan w:val="6"/>
          </w:tcPr>
          <w:p>
            <w:pPr>
              <w:spacing w:after="0"/>
              <w:rPr>
                <w:sz w:val="20"/>
                <w:szCs w:val="20"/>
                <w:color w:val="auto"/>
              </w:rPr>
            </w:pPr>
            <w:r>
              <w:rPr>
                <w:rFonts w:ascii="Arial" w:cs="Arial" w:eastAsia="Arial" w:hAnsi="Arial"/>
                <w:sz w:val="20"/>
                <w:szCs w:val="20"/>
                <w:color w:val="auto"/>
              </w:rPr>
              <w:t>a Delaware limited liability company</w:t>
            </w:r>
          </w:p>
        </w:tc>
        <w:tc>
          <w:tcPr>
            <w:tcW w:w="3960" w:type="dxa"/>
            <w:vAlign w:val="bottom"/>
            <w:gridSpan w:val="7"/>
          </w:tcPr>
          <w:p>
            <w:pPr>
              <w:ind w:left="300"/>
              <w:spacing w:after="0"/>
              <w:rPr>
                <w:sz w:val="20"/>
                <w:szCs w:val="20"/>
                <w:color w:val="auto"/>
              </w:rPr>
            </w:pPr>
            <w:r>
              <w:rPr>
                <w:rFonts w:ascii="Arial" w:cs="Arial" w:eastAsia="Arial" w:hAnsi="Arial"/>
                <w:sz w:val="20"/>
                <w:szCs w:val="20"/>
                <w:color w:val="auto"/>
              </w:rPr>
              <w:t>a Delaware limited liability company</w:t>
            </w:r>
          </w:p>
        </w:tc>
      </w:tr>
      <w:tr>
        <w:trPr>
          <w:trHeight w:val="414"/>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540" w:type="dxa"/>
            <w:vAlign w:val="bottom"/>
            <w:gridSpan w:val="3"/>
          </w:tcPr>
          <w:p>
            <w:pPr>
              <w:spacing w:after="0"/>
              <w:rPr>
                <w:sz w:val="20"/>
                <w:szCs w:val="20"/>
                <w:color w:val="auto"/>
              </w:rPr>
            </w:pPr>
            <w:r>
              <w:rPr>
                <w:rFonts w:ascii="Arial" w:cs="Arial" w:eastAsia="Arial" w:hAnsi="Arial"/>
                <w:sz w:val="20"/>
                <w:szCs w:val="20"/>
                <w:color w:val="auto"/>
                <w:w w:val="92"/>
              </w:rPr>
              <w:t>/s/ Mark Fioravanti</w:t>
            </w:r>
          </w:p>
        </w:tc>
        <w:tc>
          <w:tcPr>
            <w:tcW w:w="1900" w:type="dxa"/>
            <w:vAlign w:val="bottom"/>
            <w:gridSpan w:val="2"/>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20"/>
                <w:szCs w:val="20"/>
                <w:color w:val="auto"/>
              </w:rPr>
              <w:t>By:</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/s/ Mark Fioravanti</w:t>
            </w:r>
          </w:p>
        </w:tc>
      </w:tr>
      <w:tr>
        <w:trPr>
          <w:trHeight w:val="20"/>
        </w:trPr>
        <w:tc>
          <w:tcPr>
            <w:tcW w:w="640" w:type="dxa"/>
            <w:vAlign w:val="bottom"/>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540" w:type="dxa"/>
            <w:vAlign w:val="bottom"/>
            <w:gridSpan w:val="3"/>
          </w:tcPr>
          <w:p>
            <w:pPr>
              <w:spacing w:after="0"/>
              <w:rPr>
                <w:sz w:val="20"/>
                <w:szCs w:val="20"/>
                <w:color w:val="auto"/>
              </w:rPr>
            </w:pPr>
            <w:r>
              <w:rPr>
                <w:rFonts w:ascii="Arial" w:cs="Arial" w:eastAsia="Arial" w:hAnsi="Arial"/>
                <w:sz w:val="20"/>
                <w:szCs w:val="20"/>
                <w:color w:val="auto"/>
              </w:rPr>
              <w:t>Mark Fioravanti</w:t>
            </w:r>
          </w:p>
        </w:tc>
        <w:tc>
          <w:tcPr>
            <w:tcW w:w="1900" w:type="dxa"/>
            <w:vAlign w:val="bottom"/>
            <w:gridSpan w:val="2"/>
          </w:tcPr>
          <w:p>
            <w:pPr>
              <w:spacing w:after="0"/>
              <w:rPr>
                <w:sz w:val="20"/>
                <w:szCs w:val="20"/>
                <w:color w:val="auto"/>
              </w:rPr>
            </w:pPr>
          </w:p>
        </w:tc>
        <w:tc>
          <w:tcPr>
            <w:tcW w:w="900" w:type="dxa"/>
            <w:vAlign w:val="bottom"/>
          </w:tcPr>
          <w:p>
            <w:pPr>
              <w:ind w:left="300"/>
              <w:spacing w:after="0"/>
              <w:rPr>
                <w:sz w:val="20"/>
                <w:szCs w:val="20"/>
                <w:color w:val="auto"/>
              </w:rPr>
            </w:pPr>
            <w:r>
              <w:rPr>
                <w:rFonts w:ascii="Arial" w:cs="Arial" w:eastAsia="Arial" w:hAnsi="Arial"/>
                <w:sz w:val="20"/>
                <w:szCs w:val="20"/>
                <w:color w:val="auto"/>
                <w:w w:val="98"/>
              </w:rPr>
              <w:t>Name:</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Mark Fioravanti</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3440" w:type="dxa"/>
            <w:vAlign w:val="bottom"/>
            <w:gridSpan w:val="5"/>
          </w:tcPr>
          <w:p>
            <w:pPr>
              <w:spacing w:after="0"/>
              <w:rPr>
                <w:sz w:val="20"/>
                <w:szCs w:val="20"/>
                <w:color w:val="auto"/>
              </w:rPr>
            </w:pPr>
            <w:r>
              <w:rPr>
                <w:rFonts w:ascii="Arial" w:cs="Arial" w:eastAsia="Arial" w:hAnsi="Arial"/>
                <w:sz w:val="20"/>
                <w:szCs w:val="20"/>
                <w:color w:val="auto"/>
              </w:rPr>
              <w:t>Vice President</w:t>
            </w:r>
          </w:p>
        </w:tc>
        <w:tc>
          <w:tcPr>
            <w:tcW w:w="900" w:type="dxa"/>
            <w:vAlign w:val="bottom"/>
          </w:tcPr>
          <w:p>
            <w:pPr>
              <w:ind w:left="300"/>
              <w:spacing w:after="0"/>
              <w:rPr>
                <w:sz w:val="20"/>
                <w:szCs w:val="20"/>
                <w:color w:val="auto"/>
              </w:rPr>
            </w:pPr>
            <w:r>
              <w:rPr>
                <w:rFonts w:ascii="Arial" w:cs="Arial" w:eastAsia="Arial" w:hAnsi="Arial"/>
                <w:sz w:val="20"/>
                <w:szCs w:val="20"/>
                <w:color w:val="auto"/>
              </w:rPr>
              <w:t>Title:</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Vice President</w:t>
            </w:r>
          </w:p>
        </w:tc>
      </w:tr>
      <w:tr>
        <w:trPr>
          <w:trHeight w:val="425"/>
        </w:trPr>
        <w:tc>
          <w:tcPr>
            <w:tcW w:w="4080" w:type="dxa"/>
            <w:vAlign w:val="bottom"/>
            <w:gridSpan w:val="6"/>
          </w:tcPr>
          <w:p>
            <w:pPr>
              <w:spacing w:after="0"/>
              <w:rPr>
                <w:sz w:val="20"/>
                <w:szCs w:val="20"/>
                <w:color w:val="auto"/>
              </w:rPr>
            </w:pPr>
            <w:r>
              <w:rPr>
                <w:rFonts w:ascii="Arial" w:cs="Arial" w:eastAsia="Arial" w:hAnsi="Arial"/>
                <w:sz w:val="20"/>
                <w:szCs w:val="20"/>
                <w:color w:val="auto"/>
              </w:rPr>
              <w:t>OPRYLAND HOSPITALITY, LLC,</w:t>
            </w:r>
          </w:p>
        </w:tc>
        <w:tc>
          <w:tcPr>
            <w:tcW w:w="3960" w:type="dxa"/>
            <w:vAlign w:val="bottom"/>
            <w:gridSpan w:val="7"/>
          </w:tcPr>
          <w:p>
            <w:pPr>
              <w:ind w:left="300"/>
              <w:spacing w:after="0"/>
              <w:rPr>
                <w:sz w:val="20"/>
                <w:szCs w:val="20"/>
                <w:color w:val="auto"/>
              </w:rPr>
            </w:pPr>
            <w:r>
              <w:rPr>
                <w:rFonts w:ascii="Arial" w:cs="Arial" w:eastAsia="Arial" w:hAnsi="Arial"/>
                <w:sz w:val="20"/>
                <w:szCs w:val="20"/>
                <w:color w:val="auto"/>
              </w:rPr>
              <w:t>RHP PROPERTY NH, LLC,</w:t>
            </w:r>
          </w:p>
        </w:tc>
      </w:tr>
      <w:tr>
        <w:trPr>
          <w:trHeight w:val="250"/>
        </w:trPr>
        <w:tc>
          <w:tcPr>
            <w:tcW w:w="4080" w:type="dxa"/>
            <w:vAlign w:val="bottom"/>
            <w:gridSpan w:val="6"/>
          </w:tcPr>
          <w:p>
            <w:pPr>
              <w:spacing w:after="0"/>
              <w:rPr>
                <w:sz w:val="20"/>
                <w:szCs w:val="20"/>
                <w:color w:val="auto"/>
              </w:rPr>
            </w:pPr>
            <w:r>
              <w:rPr>
                <w:rFonts w:ascii="Arial" w:cs="Arial" w:eastAsia="Arial" w:hAnsi="Arial"/>
                <w:sz w:val="20"/>
                <w:szCs w:val="20"/>
                <w:color w:val="auto"/>
              </w:rPr>
              <w:t>a Tennessee limited liability company</w:t>
            </w:r>
          </w:p>
        </w:tc>
        <w:tc>
          <w:tcPr>
            <w:tcW w:w="3960" w:type="dxa"/>
            <w:vAlign w:val="bottom"/>
            <w:gridSpan w:val="7"/>
          </w:tcPr>
          <w:p>
            <w:pPr>
              <w:ind w:left="300"/>
              <w:spacing w:after="0"/>
              <w:rPr>
                <w:sz w:val="20"/>
                <w:szCs w:val="20"/>
                <w:color w:val="auto"/>
              </w:rPr>
            </w:pPr>
            <w:r>
              <w:rPr>
                <w:rFonts w:ascii="Arial" w:cs="Arial" w:eastAsia="Arial" w:hAnsi="Arial"/>
                <w:sz w:val="20"/>
                <w:szCs w:val="20"/>
                <w:color w:val="auto"/>
              </w:rPr>
              <w:t>a Maryland limited liability company</w:t>
            </w:r>
          </w:p>
        </w:tc>
      </w:tr>
      <w:tr>
        <w:trPr>
          <w:trHeight w:val="415"/>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540" w:type="dxa"/>
            <w:vAlign w:val="bottom"/>
            <w:gridSpan w:val="3"/>
          </w:tcPr>
          <w:p>
            <w:pPr>
              <w:spacing w:after="0"/>
              <w:rPr>
                <w:sz w:val="20"/>
                <w:szCs w:val="20"/>
                <w:color w:val="auto"/>
              </w:rPr>
            </w:pPr>
            <w:r>
              <w:rPr>
                <w:rFonts w:ascii="Arial" w:cs="Arial" w:eastAsia="Arial" w:hAnsi="Arial"/>
                <w:sz w:val="20"/>
                <w:szCs w:val="20"/>
                <w:color w:val="auto"/>
                <w:w w:val="92"/>
              </w:rPr>
              <w:t>/s/ Mark Fioravanti</w:t>
            </w:r>
          </w:p>
        </w:tc>
        <w:tc>
          <w:tcPr>
            <w:tcW w:w="1900" w:type="dxa"/>
            <w:vAlign w:val="bottom"/>
            <w:gridSpan w:val="2"/>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20"/>
                <w:szCs w:val="20"/>
                <w:color w:val="auto"/>
              </w:rPr>
              <w:t>By:</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/s/ Mark Fioravanti</w:t>
            </w:r>
          </w:p>
        </w:tc>
      </w:tr>
      <w:tr>
        <w:trPr>
          <w:trHeight w:val="20"/>
        </w:trPr>
        <w:tc>
          <w:tcPr>
            <w:tcW w:w="640" w:type="dxa"/>
            <w:vAlign w:val="bottom"/>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540" w:type="dxa"/>
            <w:vAlign w:val="bottom"/>
            <w:gridSpan w:val="3"/>
          </w:tcPr>
          <w:p>
            <w:pPr>
              <w:spacing w:after="0"/>
              <w:rPr>
                <w:sz w:val="20"/>
                <w:szCs w:val="20"/>
                <w:color w:val="auto"/>
              </w:rPr>
            </w:pPr>
            <w:r>
              <w:rPr>
                <w:rFonts w:ascii="Arial" w:cs="Arial" w:eastAsia="Arial" w:hAnsi="Arial"/>
                <w:sz w:val="20"/>
                <w:szCs w:val="20"/>
                <w:color w:val="auto"/>
              </w:rPr>
              <w:t>Mark Fioravanti</w:t>
            </w:r>
          </w:p>
        </w:tc>
        <w:tc>
          <w:tcPr>
            <w:tcW w:w="1900" w:type="dxa"/>
            <w:vAlign w:val="bottom"/>
            <w:gridSpan w:val="2"/>
          </w:tcPr>
          <w:p>
            <w:pPr>
              <w:spacing w:after="0"/>
              <w:rPr>
                <w:sz w:val="20"/>
                <w:szCs w:val="20"/>
                <w:color w:val="auto"/>
              </w:rPr>
            </w:pPr>
          </w:p>
        </w:tc>
        <w:tc>
          <w:tcPr>
            <w:tcW w:w="900" w:type="dxa"/>
            <w:vAlign w:val="bottom"/>
          </w:tcPr>
          <w:p>
            <w:pPr>
              <w:ind w:left="300"/>
              <w:spacing w:after="0"/>
              <w:rPr>
                <w:sz w:val="20"/>
                <w:szCs w:val="20"/>
                <w:color w:val="auto"/>
              </w:rPr>
            </w:pPr>
            <w:r>
              <w:rPr>
                <w:rFonts w:ascii="Arial" w:cs="Arial" w:eastAsia="Arial" w:hAnsi="Arial"/>
                <w:sz w:val="20"/>
                <w:szCs w:val="20"/>
                <w:color w:val="auto"/>
                <w:w w:val="98"/>
              </w:rPr>
              <w:t>Name:</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Mark Fioravanti</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3440" w:type="dxa"/>
            <w:vAlign w:val="bottom"/>
            <w:gridSpan w:val="5"/>
          </w:tcPr>
          <w:p>
            <w:pPr>
              <w:spacing w:after="0"/>
              <w:rPr>
                <w:sz w:val="20"/>
                <w:szCs w:val="20"/>
                <w:color w:val="auto"/>
              </w:rPr>
            </w:pPr>
            <w:r>
              <w:rPr>
                <w:rFonts w:ascii="Arial" w:cs="Arial" w:eastAsia="Arial" w:hAnsi="Arial"/>
                <w:sz w:val="20"/>
                <w:szCs w:val="20"/>
                <w:color w:val="auto"/>
              </w:rPr>
              <w:t>Vice President</w:t>
            </w:r>
          </w:p>
        </w:tc>
        <w:tc>
          <w:tcPr>
            <w:tcW w:w="900" w:type="dxa"/>
            <w:vAlign w:val="bottom"/>
          </w:tcPr>
          <w:p>
            <w:pPr>
              <w:ind w:left="300"/>
              <w:spacing w:after="0"/>
              <w:rPr>
                <w:sz w:val="20"/>
                <w:szCs w:val="20"/>
                <w:color w:val="auto"/>
              </w:rPr>
            </w:pPr>
            <w:r>
              <w:rPr>
                <w:rFonts w:ascii="Arial" w:cs="Arial" w:eastAsia="Arial" w:hAnsi="Arial"/>
                <w:sz w:val="20"/>
                <w:szCs w:val="20"/>
                <w:color w:val="auto"/>
              </w:rPr>
              <w:t>Title:</w:t>
            </w:r>
          </w:p>
        </w:tc>
        <w:tc>
          <w:tcPr>
            <w:tcW w:w="3060" w:type="dxa"/>
            <w:vAlign w:val="bottom"/>
            <w:gridSpan w:val="6"/>
          </w:tcPr>
          <w:p>
            <w:pPr>
              <w:ind w:left="6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644525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 AND LENDERS</w:t>
      </w:r>
      <w:r>
        <w:rPr>
          <w:rFonts w:ascii="Arial" w:cs="Arial" w:eastAsia="Arial" w:hAnsi="Arial"/>
          <w:sz w:val="20"/>
          <w:szCs w:val="20"/>
          <w:color w:val="auto"/>
        </w:rPr>
        <w:t>”</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 and as Administrative Agent</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8"/>
              </w:rPr>
              <w:t>/s/ Dan Dyer</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000" w:type="dxa"/>
            <w:vAlign w:val="bottom"/>
          </w:tcPr>
          <w:p>
            <w:pPr>
              <w:spacing w:after="0"/>
              <w:rPr>
                <w:sz w:val="20"/>
                <w:szCs w:val="20"/>
                <w:color w:val="auto"/>
              </w:rPr>
            </w:pPr>
            <w:r>
              <w:rPr>
                <w:rFonts w:ascii="Arial" w:cs="Arial" w:eastAsia="Arial" w:hAnsi="Arial"/>
                <w:sz w:val="20"/>
                <w:szCs w:val="20"/>
                <w:color w:val="auto"/>
              </w:rPr>
              <w:t>Dan Dyer</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000" w:type="dxa"/>
            <w:vAlign w:val="bottom"/>
          </w:tcPr>
          <w:p>
            <w:pPr>
              <w:spacing w:after="0"/>
              <w:rPr>
                <w:sz w:val="20"/>
                <w:szCs w:val="20"/>
                <w:color w:val="auto"/>
              </w:rPr>
            </w:pPr>
            <w:r>
              <w:rPr>
                <w:rFonts w:ascii="Arial" w:cs="Arial" w:eastAsia="Arial" w:hAnsi="Arial"/>
                <w:sz w:val="20"/>
                <w:szCs w:val="20"/>
                <w:color w:val="auto"/>
              </w:rPr>
              <w:t>Director</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20"/>
          <w:szCs w:val="20"/>
          <w:color w:val="auto"/>
        </w:rPr>
        <w:t>DEUTSCHE BANK AG NEW YORK BRANCH,</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780" w:type="dxa"/>
            <w:vAlign w:val="bottom"/>
            <w:gridSpan w:val="2"/>
          </w:tcPr>
          <w:p>
            <w:pPr>
              <w:spacing w:after="0"/>
              <w:rPr>
                <w:sz w:val="20"/>
                <w:szCs w:val="20"/>
                <w:color w:val="auto"/>
              </w:rPr>
            </w:pPr>
            <w:r>
              <w:rPr>
                <w:rFonts w:ascii="Arial" w:cs="Arial" w:eastAsia="Arial" w:hAnsi="Arial"/>
                <w:sz w:val="20"/>
                <w:szCs w:val="20"/>
                <w:color w:val="auto"/>
                <w:w w:val="96"/>
              </w:rPr>
              <w:t>/s/ Darrell Gustafson</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6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Darrell Gustafson</w:t>
            </w:r>
          </w:p>
        </w:tc>
        <w:tc>
          <w:tcPr>
            <w:tcW w:w="140" w:type="dxa"/>
            <w:vAlign w:val="bottom"/>
          </w:tcPr>
          <w:p>
            <w:pPr>
              <w:spacing w:after="0"/>
              <w:rPr>
                <w:sz w:val="20"/>
                <w:szCs w:val="20"/>
                <w:color w:val="auto"/>
              </w:rPr>
            </w:pP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780" w:type="dxa"/>
            <w:vAlign w:val="bottom"/>
            <w:gridSpan w:val="2"/>
          </w:tcPr>
          <w:p>
            <w:pPr>
              <w:spacing w:after="0"/>
              <w:rPr>
                <w:sz w:val="20"/>
                <w:szCs w:val="20"/>
                <w:color w:val="auto"/>
              </w:rPr>
            </w:pPr>
            <w:r>
              <w:rPr>
                <w:rFonts w:ascii="Arial" w:cs="Arial" w:eastAsia="Arial" w:hAnsi="Arial"/>
                <w:sz w:val="20"/>
                <w:szCs w:val="20"/>
                <w:color w:val="auto"/>
              </w:rPr>
              <w:t>Managing Director</w:t>
            </w:r>
          </w:p>
        </w:tc>
      </w:tr>
      <w:tr>
        <w:trPr>
          <w:trHeight w:val="414"/>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2"/>
              </w:rPr>
              <w:t>/s/ Murray Mackinnon</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780" w:type="dxa"/>
            <w:vAlign w:val="bottom"/>
            <w:gridSpan w:val="2"/>
          </w:tcPr>
          <w:p>
            <w:pPr>
              <w:spacing w:after="0"/>
              <w:rPr>
                <w:sz w:val="20"/>
                <w:szCs w:val="20"/>
                <w:color w:val="auto"/>
              </w:rPr>
            </w:pPr>
            <w:r>
              <w:rPr>
                <w:rFonts w:ascii="Arial" w:cs="Arial" w:eastAsia="Arial" w:hAnsi="Arial"/>
                <w:sz w:val="20"/>
                <w:szCs w:val="20"/>
                <w:color w:val="auto"/>
              </w:rPr>
              <w:t>Murray Mackinnon</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780" w:type="dxa"/>
            <w:vAlign w:val="bottom"/>
            <w:gridSpan w:val="2"/>
          </w:tcPr>
          <w:p>
            <w:pPr>
              <w:spacing w:after="0"/>
              <w:rPr>
                <w:sz w:val="20"/>
                <w:szCs w:val="20"/>
                <w:color w:val="auto"/>
              </w:rPr>
            </w:pPr>
            <w:r>
              <w:rPr>
                <w:rFonts w:ascii="Arial" w:cs="Arial" w:eastAsia="Arial" w:hAnsi="Arial"/>
                <w:sz w:val="20"/>
                <w:szCs w:val="20"/>
                <w:color w:val="auto"/>
              </w:rPr>
              <w:t>Director</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20"/>
          <w:szCs w:val="20"/>
          <w:color w:val="auto"/>
        </w:rPr>
        <w:t>BANK OF AMERICA, N.A.,</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720" w:type="dxa"/>
            <w:vAlign w:val="bottom"/>
            <w:gridSpan w:val="2"/>
          </w:tcPr>
          <w:p>
            <w:pPr>
              <w:spacing w:after="0"/>
              <w:rPr>
                <w:sz w:val="20"/>
                <w:szCs w:val="20"/>
                <w:color w:val="auto"/>
              </w:rPr>
            </w:pPr>
            <w:r>
              <w:rPr>
                <w:rFonts w:ascii="Arial" w:cs="Arial" w:eastAsia="Arial" w:hAnsi="Arial"/>
                <w:sz w:val="20"/>
                <w:szCs w:val="20"/>
                <w:color w:val="auto"/>
              </w:rPr>
              <w:t>/s/ Roger C. Davis</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4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Roger C. Davis</w:t>
            </w:r>
          </w:p>
        </w:tc>
        <w:tc>
          <w:tcPr>
            <w:tcW w:w="260" w:type="dxa"/>
            <w:vAlign w:val="bottom"/>
          </w:tcPr>
          <w:p>
            <w:pPr>
              <w:spacing w:after="0"/>
              <w:rPr>
                <w:sz w:val="20"/>
                <w:szCs w:val="20"/>
                <w:color w:val="auto"/>
              </w:rPr>
            </w:pP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720" w:type="dxa"/>
            <w:vAlign w:val="bottom"/>
            <w:gridSpan w:val="2"/>
          </w:tcPr>
          <w:p>
            <w:pPr>
              <w:spacing w:after="0"/>
              <w:rPr>
                <w:sz w:val="20"/>
                <w:szCs w:val="20"/>
                <w:color w:val="auto"/>
              </w:rPr>
            </w:pPr>
            <w:r>
              <w:rPr>
                <w:rFonts w:ascii="Arial" w:cs="Arial" w:eastAsia="Arial" w:hAnsi="Arial"/>
                <w:sz w:val="20"/>
                <w:szCs w:val="20"/>
                <w:color w:val="auto"/>
                <w:w w:val="88"/>
              </w:rPr>
              <w:t>Senior Vice President</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20"/>
          <w:szCs w:val="20"/>
          <w:color w:val="auto"/>
        </w:rPr>
        <w:t>JP MORGAN CHASE BANK, N.A.,</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/s/ Cody A. Canafax</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620" w:type="dxa"/>
            <w:vAlign w:val="bottom"/>
          </w:tcPr>
          <w:p>
            <w:pPr>
              <w:spacing w:after="0"/>
              <w:rPr>
                <w:sz w:val="20"/>
                <w:szCs w:val="20"/>
                <w:color w:val="auto"/>
              </w:rPr>
            </w:pPr>
            <w:r>
              <w:rPr>
                <w:rFonts w:ascii="Arial" w:cs="Arial" w:eastAsia="Arial" w:hAnsi="Arial"/>
                <w:sz w:val="20"/>
                <w:szCs w:val="20"/>
                <w:color w:val="auto"/>
              </w:rPr>
              <w:t>Cody A. Canafax</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62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20"/>
          <w:szCs w:val="20"/>
          <w:color w:val="auto"/>
        </w:rPr>
        <w:t>U.S. BANK NATIONAL ASSOCIATION,</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720" w:type="dxa"/>
            <w:vAlign w:val="bottom"/>
            <w:gridSpan w:val="2"/>
          </w:tcPr>
          <w:p>
            <w:pPr>
              <w:spacing w:after="0"/>
              <w:rPr>
                <w:sz w:val="20"/>
                <w:szCs w:val="20"/>
                <w:color w:val="auto"/>
              </w:rPr>
            </w:pPr>
            <w:r>
              <w:rPr>
                <w:rFonts w:ascii="Arial" w:cs="Arial" w:eastAsia="Arial" w:hAnsi="Arial"/>
                <w:sz w:val="20"/>
                <w:szCs w:val="20"/>
                <w:color w:val="auto"/>
              </w:rPr>
              <w:t>/s/ Lori Y. Jensen</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3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Lori Y. Jensen</w:t>
            </w:r>
          </w:p>
        </w:tc>
        <w:tc>
          <w:tcPr>
            <w:tcW w:w="360" w:type="dxa"/>
            <w:vAlign w:val="bottom"/>
          </w:tcPr>
          <w:p>
            <w:pPr>
              <w:spacing w:after="0"/>
              <w:rPr>
                <w:sz w:val="20"/>
                <w:szCs w:val="20"/>
                <w:color w:val="auto"/>
              </w:rPr>
            </w:pP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720" w:type="dxa"/>
            <w:vAlign w:val="bottom"/>
            <w:gridSpan w:val="2"/>
          </w:tcPr>
          <w:p>
            <w:pPr>
              <w:spacing w:after="0"/>
              <w:rPr>
                <w:sz w:val="20"/>
                <w:szCs w:val="20"/>
                <w:color w:val="auto"/>
              </w:rPr>
            </w:pPr>
            <w:r>
              <w:rPr>
                <w:rFonts w:ascii="Arial" w:cs="Arial" w:eastAsia="Arial" w:hAnsi="Arial"/>
                <w:sz w:val="20"/>
                <w:szCs w:val="20"/>
                <w:color w:val="auto"/>
                <w:w w:val="88"/>
              </w:rPr>
              <w:t>Senior Vice President</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1" w:name="page102"/>
    <w:bookmarkEnd w:id="101"/>
    <w:p>
      <w:pPr>
        <w:ind w:left="60" w:right="3559"/>
        <w:spacing w:after="0" w:line="261" w:lineRule="auto"/>
        <w:rPr>
          <w:sz w:val="20"/>
          <w:szCs w:val="20"/>
          <w:color w:val="auto"/>
        </w:rPr>
      </w:pPr>
      <w:r>
        <w:rPr>
          <w:rFonts w:ascii="Arial" w:cs="Arial" w:eastAsia="Arial" w:hAnsi="Arial"/>
          <w:sz w:val="20"/>
          <w:szCs w:val="20"/>
          <w:color w:val="auto"/>
        </w:rPr>
        <w:t>CREDIT AGRICOLE CORPORATE AND INVESTMENT BANK, in its capacity as Lender</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3"/>
              </w:rPr>
              <w:t>/s/ Steven Jonassen</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520" w:type="dxa"/>
            <w:vAlign w:val="bottom"/>
            <w:gridSpan w:val="2"/>
          </w:tcPr>
          <w:p>
            <w:pPr>
              <w:spacing w:after="0"/>
              <w:rPr>
                <w:sz w:val="20"/>
                <w:szCs w:val="20"/>
                <w:color w:val="auto"/>
              </w:rPr>
            </w:pPr>
            <w:r>
              <w:rPr>
                <w:rFonts w:ascii="Arial" w:cs="Arial" w:eastAsia="Arial" w:hAnsi="Arial"/>
                <w:sz w:val="20"/>
                <w:szCs w:val="20"/>
                <w:color w:val="auto"/>
                <w:w w:val="97"/>
              </w:rPr>
              <w:t>Steven Jonassen</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520" w:type="dxa"/>
            <w:vAlign w:val="bottom"/>
            <w:gridSpan w:val="2"/>
          </w:tcPr>
          <w:p>
            <w:pPr>
              <w:spacing w:after="0"/>
              <w:rPr>
                <w:sz w:val="20"/>
                <w:szCs w:val="20"/>
                <w:color w:val="auto"/>
              </w:rPr>
            </w:pPr>
            <w:r>
              <w:rPr>
                <w:rFonts w:ascii="Arial" w:cs="Arial" w:eastAsia="Arial" w:hAnsi="Arial"/>
                <w:sz w:val="20"/>
                <w:szCs w:val="20"/>
                <w:color w:val="auto"/>
                <w:w w:val="91"/>
              </w:rPr>
              <w:t>Managing Director</w:t>
            </w:r>
          </w:p>
        </w:tc>
      </w:tr>
      <w:tr>
        <w:trPr>
          <w:trHeight w:val="414"/>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520" w:type="dxa"/>
            <w:vAlign w:val="bottom"/>
            <w:gridSpan w:val="2"/>
          </w:tcPr>
          <w:p>
            <w:pPr>
              <w:spacing w:after="0"/>
              <w:rPr>
                <w:sz w:val="20"/>
                <w:szCs w:val="20"/>
                <w:color w:val="auto"/>
              </w:rPr>
            </w:pPr>
            <w:r>
              <w:rPr>
                <w:rFonts w:ascii="Arial" w:cs="Arial" w:eastAsia="Arial" w:hAnsi="Arial"/>
                <w:sz w:val="20"/>
                <w:szCs w:val="20"/>
                <w:color w:val="auto"/>
              </w:rPr>
              <w:t>/s/ Adam Jenner</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2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Adam Jenner</w:t>
            </w:r>
          </w:p>
        </w:tc>
        <w:tc>
          <w:tcPr>
            <w:tcW w:w="240" w:type="dxa"/>
            <w:vAlign w:val="bottom"/>
          </w:tcPr>
          <w:p>
            <w:pPr>
              <w:spacing w:after="0"/>
              <w:rPr>
                <w:sz w:val="20"/>
                <w:szCs w:val="20"/>
                <w:color w:val="auto"/>
              </w:rPr>
            </w:pP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520" w:type="dxa"/>
            <w:vAlign w:val="bottom"/>
            <w:gridSpan w:val="2"/>
          </w:tcPr>
          <w:p>
            <w:pPr>
              <w:spacing w:after="0"/>
              <w:rPr>
                <w:sz w:val="20"/>
                <w:szCs w:val="20"/>
                <w:color w:val="auto"/>
              </w:rPr>
            </w:pPr>
            <w:r>
              <w:rPr>
                <w:rFonts w:ascii="Arial" w:cs="Arial" w:eastAsia="Arial" w:hAnsi="Arial"/>
                <w:sz w:val="20"/>
                <w:szCs w:val="20"/>
                <w:color w:val="auto"/>
              </w:rPr>
              <w:t>Director</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20"/>
          <w:szCs w:val="20"/>
          <w:color w:val="auto"/>
        </w:rPr>
        <w:t>THE BANK OF NOVA SCOTIA,</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ind w:left="20"/>
              <w:spacing w:after="0"/>
              <w:rPr>
                <w:sz w:val="20"/>
                <w:szCs w:val="20"/>
                <w:color w:val="auto"/>
              </w:rPr>
            </w:pPr>
            <w:r>
              <w:rPr>
                <w:rFonts w:ascii="Arial" w:cs="Arial" w:eastAsia="Arial" w:hAnsi="Arial"/>
                <w:sz w:val="20"/>
                <w:szCs w:val="20"/>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/s/ Ajit Goswami</w:t>
            </w:r>
          </w:p>
        </w:tc>
        <w:tc>
          <w:tcPr>
            <w:tcW w:w="6900" w:type="dxa"/>
            <w:vAlign w:val="bottom"/>
          </w:tcPr>
          <w:p>
            <w:pPr>
              <w:spacing w:after="0"/>
              <w:rPr>
                <w:sz w:val="19"/>
                <w:szCs w:val="19"/>
                <w:color w:val="auto"/>
              </w:rPr>
            </w:pPr>
          </w:p>
        </w:tc>
      </w:tr>
      <w:tr>
        <w:trPr>
          <w:trHeight w:val="233"/>
        </w:trPr>
        <w:tc>
          <w:tcPr>
            <w:tcW w:w="660" w:type="dxa"/>
            <w:vAlign w:val="bottom"/>
          </w:tcPr>
          <w:p>
            <w:pPr>
              <w:ind w:left="20"/>
              <w:spacing w:after="0"/>
              <w:rPr>
                <w:sz w:val="20"/>
                <w:szCs w:val="20"/>
                <w:color w:val="auto"/>
              </w:rPr>
            </w:pPr>
            <w:r>
              <w:rPr>
                <w:rFonts w:ascii="Arial" w:cs="Arial" w:eastAsia="Arial" w:hAnsi="Arial"/>
                <w:sz w:val="20"/>
                <w:szCs w:val="20"/>
                <w:color w:val="auto"/>
              </w:rPr>
              <w:t>Name:</w:t>
            </w:r>
          </w:p>
        </w:tc>
        <w:tc>
          <w:tcPr>
            <w:tcW w:w="8260" w:type="dxa"/>
            <w:vAlign w:val="bottom"/>
            <w:gridSpan w:val="2"/>
          </w:tcPr>
          <w:p>
            <w:pPr>
              <w:spacing w:after="0"/>
              <w:rPr>
                <w:sz w:val="20"/>
                <w:szCs w:val="20"/>
                <w:color w:val="auto"/>
              </w:rPr>
            </w:pPr>
            <w:r>
              <w:rPr>
                <w:rFonts w:ascii="Arial" w:cs="Arial" w:eastAsia="Arial" w:hAnsi="Arial"/>
                <w:sz w:val="20"/>
                <w:szCs w:val="20"/>
                <w:color w:val="auto"/>
              </w:rPr>
              <w:t>Ajit Goswami</w:t>
            </w:r>
          </w:p>
        </w:tc>
      </w:tr>
      <w:tr>
        <w:trPr>
          <w:trHeight w:val="229"/>
        </w:trPr>
        <w:tc>
          <w:tcPr>
            <w:tcW w:w="660" w:type="dxa"/>
            <w:vAlign w:val="bottom"/>
          </w:tcPr>
          <w:p>
            <w:pPr>
              <w:ind w:left="20"/>
              <w:spacing w:after="0"/>
              <w:rPr>
                <w:sz w:val="20"/>
                <w:szCs w:val="20"/>
                <w:color w:val="auto"/>
              </w:rPr>
            </w:pPr>
            <w:r>
              <w:rPr>
                <w:rFonts w:ascii="Arial" w:cs="Arial" w:eastAsia="Arial" w:hAnsi="Arial"/>
                <w:sz w:val="20"/>
                <w:szCs w:val="20"/>
                <w:color w:val="auto"/>
              </w:rPr>
              <w:t>Title:</w:t>
            </w:r>
          </w:p>
        </w:tc>
        <w:tc>
          <w:tcPr>
            <w:tcW w:w="8260" w:type="dxa"/>
            <w:vAlign w:val="bottom"/>
            <w:gridSpan w:val="2"/>
          </w:tcPr>
          <w:p>
            <w:pPr>
              <w:spacing w:after="0"/>
              <w:rPr>
                <w:sz w:val="20"/>
                <w:szCs w:val="20"/>
                <w:color w:val="auto"/>
              </w:rPr>
            </w:pPr>
            <w:r>
              <w:rPr>
                <w:rFonts w:ascii="Arial" w:cs="Arial" w:eastAsia="Arial" w:hAnsi="Arial"/>
                <w:sz w:val="20"/>
                <w:szCs w:val="20"/>
                <w:color w:val="auto"/>
              </w:rPr>
              <w:t>Managing Director &amp; Industry Head</w:t>
            </w:r>
          </w:p>
        </w:tc>
      </w:tr>
      <w:tr>
        <w:trPr>
          <w:trHeight w:val="250"/>
        </w:trPr>
        <w:tc>
          <w:tcPr>
            <w:tcW w:w="66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20"/>
                <w:szCs w:val="20"/>
                <w:color w:val="auto"/>
              </w:rPr>
              <w:t>U.S. Real Estate, Gaming &amp; Leisure</w:t>
            </w:r>
          </w:p>
        </w:tc>
      </w:tr>
      <w:tr>
        <w:trPr>
          <w:trHeight w:val="459"/>
        </w:trPr>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900" w:type="dxa"/>
            <w:vAlign w:val="bottom"/>
          </w:tcPr>
          <w:p>
            <w:pPr>
              <w:ind w:left="760"/>
              <w:spacing w:after="0"/>
              <w:rPr>
                <w:sz w:val="20"/>
                <w:szCs w:val="20"/>
                <w:color w:val="auto"/>
              </w:rPr>
            </w:pPr>
            <w:r>
              <w:rPr>
                <w:rFonts w:ascii="Arial" w:cs="Arial" w:eastAsia="Arial" w:hAnsi="Arial"/>
                <w:sz w:val="20"/>
                <w:szCs w:val="20"/>
                <w:b w:val="1"/>
                <w:bCs w:val="1"/>
                <w:i w:val="1"/>
                <w:iCs w:val="1"/>
                <w:color w:val="auto"/>
              </w:rPr>
              <w:t>[Signatures Continue on Following Page]</w:t>
            </w:r>
          </w:p>
        </w:tc>
      </w:tr>
      <w:tr>
        <w:trPr>
          <w:trHeight w:val="1015"/>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20"/>
          <w:szCs w:val="20"/>
          <w:color w:val="auto"/>
        </w:rPr>
        <w:t>CAPITAL ONE, N.A.,</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/s/ Jessica W. Phillips</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700" w:type="dxa"/>
            <w:vAlign w:val="bottom"/>
          </w:tcPr>
          <w:p>
            <w:pPr>
              <w:spacing w:after="0"/>
              <w:rPr>
                <w:sz w:val="20"/>
                <w:szCs w:val="20"/>
                <w:color w:val="auto"/>
              </w:rPr>
            </w:pPr>
            <w:r>
              <w:rPr>
                <w:rFonts w:ascii="Arial" w:cs="Arial" w:eastAsia="Arial" w:hAnsi="Arial"/>
                <w:sz w:val="20"/>
                <w:szCs w:val="20"/>
                <w:color w:val="auto"/>
              </w:rPr>
              <w:t>Jessica W. Phillips</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700" w:type="dxa"/>
            <w:vAlign w:val="bottom"/>
          </w:tcPr>
          <w:p>
            <w:pPr>
              <w:spacing w:after="0"/>
              <w:rPr>
                <w:sz w:val="20"/>
                <w:szCs w:val="20"/>
                <w:color w:val="auto"/>
              </w:rPr>
            </w:pPr>
            <w:r>
              <w:rPr>
                <w:rFonts w:ascii="Arial" w:cs="Arial" w:eastAsia="Arial" w:hAnsi="Arial"/>
                <w:sz w:val="20"/>
                <w:szCs w:val="20"/>
                <w:color w:val="auto"/>
                <w:w w:val="90"/>
              </w:rPr>
              <w:t>Authorized Signatory</w:t>
            </w:r>
          </w:p>
        </w:tc>
      </w:tr>
    </w:tbl>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20"/>
          <w:szCs w:val="20"/>
          <w:color w:val="auto"/>
        </w:rPr>
        <w:t>MIDFIRST BANK,</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a federally chartered savings association,</w:t>
      </w: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720" w:type="dxa"/>
            <w:vAlign w:val="bottom"/>
            <w:gridSpan w:val="2"/>
          </w:tcPr>
          <w:p>
            <w:pPr>
              <w:spacing w:after="0"/>
              <w:rPr>
                <w:sz w:val="20"/>
                <w:szCs w:val="20"/>
                <w:color w:val="auto"/>
              </w:rPr>
            </w:pPr>
            <w:r>
              <w:rPr>
                <w:rFonts w:ascii="Arial" w:cs="Arial" w:eastAsia="Arial" w:hAnsi="Arial"/>
                <w:sz w:val="20"/>
                <w:szCs w:val="20"/>
                <w:color w:val="auto"/>
              </w:rPr>
              <w:t>/s/ Todd Wright</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2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Todd Wright</w:t>
            </w:r>
          </w:p>
        </w:tc>
        <w:tc>
          <w:tcPr>
            <w:tcW w:w="480" w:type="dxa"/>
            <w:vAlign w:val="bottom"/>
          </w:tcPr>
          <w:p>
            <w:pPr>
              <w:spacing w:after="0"/>
              <w:rPr>
                <w:sz w:val="20"/>
                <w:szCs w:val="20"/>
                <w:color w:val="auto"/>
              </w:rPr>
            </w:pP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720" w:type="dxa"/>
            <w:vAlign w:val="bottom"/>
            <w:gridSpan w:val="2"/>
          </w:tcPr>
          <w:p>
            <w:pPr>
              <w:spacing w:after="0"/>
              <w:rPr>
                <w:sz w:val="20"/>
                <w:szCs w:val="20"/>
                <w:color w:val="auto"/>
              </w:rPr>
            </w:pPr>
            <w:r>
              <w:rPr>
                <w:rFonts w:ascii="Arial" w:cs="Arial" w:eastAsia="Arial" w:hAnsi="Arial"/>
                <w:sz w:val="20"/>
                <w:szCs w:val="20"/>
                <w:color w:val="auto"/>
                <w:w w:val="88"/>
              </w:rPr>
              <w:t>Senior Vice President</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20"/>
          <w:szCs w:val="20"/>
          <w:color w:val="auto"/>
        </w:rPr>
        <w:t>RAYMOND JAMES BANK, N.A.,</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720" w:type="dxa"/>
            <w:vAlign w:val="bottom"/>
            <w:gridSpan w:val="2"/>
          </w:tcPr>
          <w:p>
            <w:pPr>
              <w:spacing w:after="0"/>
              <w:rPr>
                <w:sz w:val="20"/>
                <w:szCs w:val="20"/>
                <w:color w:val="auto"/>
              </w:rPr>
            </w:pPr>
            <w:r>
              <w:rPr>
                <w:rFonts w:ascii="Arial" w:cs="Arial" w:eastAsia="Arial" w:hAnsi="Arial"/>
                <w:sz w:val="20"/>
                <w:szCs w:val="20"/>
                <w:color w:val="auto"/>
              </w:rPr>
              <w:t>/s/ Matt Stein</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0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Matt Stein</w:t>
            </w:r>
          </w:p>
        </w:tc>
        <w:tc>
          <w:tcPr>
            <w:tcW w:w="660" w:type="dxa"/>
            <w:vAlign w:val="bottom"/>
          </w:tcPr>
          <w:p>
            <w:pPr>
              <w:spacing w:after="0"/>
              <w:rPr>
                <w:sz w:val="20"/>
                <w:szCs w:val="20"/>
                <w:color w:val="auto"/>
              </w:rPr>
            </w:pP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720" w:type="dxa"/>
            <w:vAlign w:val="bottom"/>
            <w:gridSpan w:val="2"/>
          </w:tcPr>
          <w:p>
            <w:pPr>
              <w:spacing w:after="0"/>
              <w:rPr>
                <w:sz w:val="20"/>
                <w:szCs w:val="20"/>
                <w:color w:val="auto"/>
              </w:rPr>
            </w:pPr>
            <w:r>
              <w:rPr>
                <w:rFonts w:ascii="Arial" w:cs="Arial" w:eastAsia="Arial" w:hAnsi="Arial"/>
                <w:sz w:val="20"/>
                <w:szCs w:val="20"/>
                <w:color w:val="auto"/>
                <w:w w:val="88"/>
              </w:rPr>
              <w:t>Senior Vice President</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20"/>
          <w:szCs w:val="20"/>
          <w:color w:val="auto"/>
        </w:rPr>
        <w:t>TD BANK, N.A.,</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5"/>
              </w:rPr>
              <w:t>/s/ Sean C. Dunne</w:t>
            </w:r>
          </w:p>
        </w:tc>
      </w:tr>
      <w:tr>
        <w:trPr>
          <w:trHeight w:val="233"/>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1420" w:type="dxa"/>
            <w:vAlign w:val="bottom"/>
          </w:tcPr>
          <w:p>
            <w:pPr>
              <w:spacing w:after="0"/>
              <w:rPr>
                <w:sz w:val="20"/>
                <w:szCs w:val="20"/>
                <w:color w:val="auto"/>
              </w:rPr>
            </w:pPr>
            <w:r>
              <w:rPr>
                <w:rFonts w:ascii="Arial" w:cs="Arial" w:eastAsia="Arial" w:hAnsi="Arial"/>
                <w:sz w:val="20"/>
                <w:szCs w:val="20"/>
                <w:color w:val="auto"/>
              </w:rPr>
              <w:t>Sean C. Dunne</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142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20"/>
          <w:szCs w:val="20"/>
          <w:color w:val="auto"/>
        </w:rPr>
        <w:t>SUMITOMO MITSUI BANKING CORPORATION,</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 its capacity as Lender</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ind w:left="20"/>
              <w:spacing w:after="0"/>
              <w:rPr>
                <w:sz w:val="20"/>
                <w:szCs w:val="20"/>
                <w:color w:val="auto"/>
              </w:rPr>
            </w:pPr>
            <w:r>
              <w:rPr>
                <w:rFonts w:ascii="Arial" w:cs="Arial" w:eastAsia="Arial" w:hAnsi="Arial"/>
                <w:sz w:val="20"/>
                <w:szCs w:val="20"/>
                <w:color w:val="auto"/>
              </w:rPr>
              <w:t>By:</w:t>
            </w:r>
          </w:p>
        </w:tc>
        <w:tc>
          <w:tcPr>
            <w:tcW w:w="1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/s/ Eugene Nirenberg</w:t>
            </w:r>
          </w:p>
        </w:tc>
        <w:tc>
          <w:tcPr>
            <w:tcW w:w="6580" w:type="dxa"/>
            <w:vAlign w:val="bottom"/>
          </w:tcPr>
          <w:p>
            <w:pPr>
              <w:spacing w:after="0"/>
              <w:rPr>
                <w:sz w:val="19"/>
                <w:szCs w:val="19"/>
                <w:color w:val="auto"/>
              </w:rPr>
            </w:pPr>
          </w:p>
        </w:tc>
      </w:tr>
      <w:tr>
        <w:trPr>
          <w:trHeight w:val="233"/>
        </w:trPr>
        <w:tc>
          <w:tcPr>
            <w:tcW w:w="660" w:type="dxa"/>
            <w:vAlign w:val="bottom"/>
          </w:tcPr>
          <w:p>
            <w:pPr>
              <w:ind w:left="20"/>
              <w:spacing w:after="0"/>
              <w:rPr>
                <w:sz w:val="20"/>
                <w:szCs w:val="20"/>
                <w:color w:val="auto"/>
              </w:rPr>
            </w:pPr>
            <w:r>
              <w:rPr>
                <w:rFonts w:ascii="Arial" w:cs="Arial" w:eastAsia="Arial" w:hAnsi="Arial"/>
                <w:sz w:val="20"/>
                <w:szCs w:val="20"/>
                <w:color w:val="auto"/>
              </w:rPr>
              <w:t>Name:</w:t>
            </w:r>
          </w:p>
        </w:tc>
        <w:tc>
          <w:tcPr>
            <w:tcW w:w="8260" w:type="dxa"/>
            <w:vAlign w:val="bottom"/>
            <w:gridSpan w:val="2"/>
          </w:tcPr>
          <w:p>
            <w:pPr>
              <w:spacing w:after="0"/>
              <w:rPr>
                <w:sz w:val="20"/>
                <w:szCs w:val="20"/>
                <w:color w:val="auto"/>
              </w:rPr>
            </w:pPr>
            <w:r>
              <w:rPr>
                <w:rFonts w:ascii="Arial" w:cs="Arial" w:eastAsia="Arial" w:hAnsi="Arial"/>
                <w:sz w:val="20"/>
                <w:szCs w:val="20"/>
                <w:color w:val="auto"/>
              </w:rPr>
              <w:t>Eugene Nirenberg</w:t>
            </w:r>
          </w:p>
        </w:tc>
      </w:tr>
      <w:tr>
        <w:trPr>
          <w:trHeight w:val="250"/>
        </w:trPr>
        <w:tc>
          <w:tcPr>
            <w:tcW w:w="660" w:type="dxa"/>
            <w:vAlign w:val="bottom"/>
          </w:tcPr>
          <w:p>
            <w:pPr>
              <w:ind w:left="20"/>
              <w:spacing w:after="0"/>
              <w:rPr>
                <w:sz w:val="20"/>
                <w:szCs w:val="20"/>
                <w:color w:val="auto"/>
              </w:rPr>
            </w:pPr>
            <w:r>
              <w:rPr>
                <w:rFonts w:ascii="Arial" w:cs="Arial" w:eastAsia="Arial" w:hAnsi="Arial"/>
                <w:sz w:val="20"/>
                <w:szCs w:val="20"/>
                <w:color w:val="auto"/>
              </w:rPr>
              <w:t>Title:</w:t>
            </w:r>
          </w:p>
        </w:tc>
        <w:tc>
          <w:tcPr>
            <w:tcW w:w="8260" w:type="dxa"/>
            <w:vAlign w:val="bottom"/>
            <w:gridSpan w:val="2"/>
          </w:tcPr>
          <w:p>
            <w:pPr>
              <w:spacing w:after="0"/>
              <w:rPr>
                <w:sz w:val="20"/>
                <w:szCs w:val="20"/>
                <w:color w:val="auto"/>
              </w:rPr>
            </w:pPr>
            <w:r>
              <w:rPr>
                <w:rFonts w:ascii="Arial" w:cs="Arial" w:eastAsia="Arial" w:hAnsi="Arial"/>
                <w:sz w:val="20"/>
                <w:szCs w:val="20"/>
                <w:color w:val="auto"/>
              </w:rPr>
              <w:t>Executive Director</w:t>
            </w:r>
          </w:p>
        </w:tc>
      </w:tr>
      <w:tr>
        <w:trPr>
          <w:trHeight w:val="556"/>
        </w:trPr>
        <w:tc>
          <w:tcPr>
            <w:tcW w:w="6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20" w:firstLine="656"/>
        <w:spacing w:after="0" w:line="286" w:lineRule="auto"/>
        <w:tabs>
          <w:tab w:leader="none" w:pos="1296"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6"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38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80" w:firstLine="656"/>
        <w:spacing w:after="0" w:line="263"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9832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Colin V. Reed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80" w:hanging="672"/>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right="400" w:firstLine="8"/>
        <w:spacing w:after="0" w:line="263" w:lineRule="auto"/>
        <w:tabs>
          <w:tab w:leader="none" w:pos="6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20" w:firstLine="656"/>
        <w:spacing w:after="0" w:line="311" w:lineRule="auto"/>
        <w:tabs>
          <w:tab w:leader="none" w:pos="1328"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40" w:firstLine="656"/>
        <w:spacing w:after="0" w:line="286" w:lineRule="auto"/>
        <w:tabs>
          <w:tab w:leader="none" w:pos="1293"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3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3"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80" w:firstLine="8"/>
        <w:spacing w:after="0" w:line="263" w:lineRule="auto"/>
        <w:tabs>
          <w:tab w:leader="none" w:pos="6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60" w:firstLine="656"/>
        <w:spacing w:after="0" w:line="263" w:lineRule="auto"/>
        <w:tabs>
          <w:tab w:leader="none" w:pos="13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80" w:firstLine="656"/>
        <w:spacing w:after="0" w:line="277" w:lineRule="auto"/>
        <w:tabs>
          <w:tab w:leader="none" w:pos="128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2459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June 30, 2021, as filed with the Securities and Exchange Commission on the date hereof (the "Report"), each of the undersigned certifies, pursuant to 18 U.S.C. § 1350, as adopted pursuant to §906 of the Sarbanes-Oxley Act of 2002, that:</w:t>
      </w:r>
    </w:p>
    <w:p>
      <w:pPr>
        <w:spacing w:after="0" w:line="165" w:lineRule="exact"/>
        <w:rPr>
          <w:sz w:val="20"/>
          <w:szCs w:val="20"/>
          <w:color w:val="auto"/>
        </w:rPr>
      </w:pPr>
    </w:p>
    <w:p>
      <w:pPr>
        <w:ind w:left="1260" w:hanging="604"/>
        <w:spacing w:after="0"/>
        <w:tabs>
          <w:tab w:leader="none" w:pos="1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240" w:firstLine="656"/>
        <w:spacing w:after="0" w:line="277" w:lineRule="auto"/>
        <w:tabs>
          <w:tab w:leader="none" w:pos="12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Colin V. Reed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August 3, 2021</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August 3, 2021</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lowerRoman"/>
      <w:start w:val="5"/>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upperLetter"/>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2"/>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22"/>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2"/>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Letter"/>
      <w:start w:val="1"/>
    </w:lvl>
    <w:lvl w:ilvl="1">
      <w:lvlJc w:val="left"/>
      <w:lvlText w:val="(%2)"/>
      <w:numFmt w:val="lowerRoman"/>
      <w:start w:val="1"/>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4"/>
    </w:lvl>
  </w:abstractNum>
  <w:abstractNum w:abstractNumId="33">
    <w:nsid w:val="4B588F54"/>
    <w:multiLevelType w:val="hybridMultilevel"/>
    <w:lvl w:ilvl="0">
      <w:lvlJc w:val="left"/>
      <w:lvlText w:val="%1."/>
      <w:numFmt w:val="upperLetter"/>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4"/>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1)"/>
      <w:numFmt w:val="lowerLetter"/>
      <w:start w:val="4"/>
    </w:lvl>
  </w:abstractNum>
  <w:abstractNum w:abstractNumId="38">
    <w:nsid w:val="32FFF902"/>
    <w:multiLevelType w:val="hybridMultilevel"/>
    <w:lvl w:ilvl="0">
      <w:lvlJc w:val="left"/>
      <w:lvlText w:val="%1"/>
      <w:numFmt w:val="lowerLetter"/>
      <w:start w:val="1"/>
    </w:lvl>
    <w:lvl w:ilvl="1">
      <w:lvlJc w:val="left"/>
      <w:lvlText w:val="(%2)"/>
      <w:numFmt w:val="lowerLetter"/>
      <w:start w:val="1"/>
    </w:lvl>
  </w:abstractNum>
  <w:abstractNum w:abstractNumId="39">
    <w:nsid w:val="684A481A"/>
    <w:multiLevelType w:val="hybridMultilevel"/>
    <w:lvl w:ilvl="0">
      <w:lvlJc w:val="left"/>
      <w:lvlText w:val="(%1)"/>
      <w:numFmt w:val="lowerLetter"/>
      <w:start w:val="2"/>
    </w:lvl>
    <w:lvl w:ilvl="1">
      <w:lvlJc w:val="left"/>
      <w:lvlText w:val="(%2)"/>
      <w:numFmt w:val="lowerLetter"/>
      <w:start w:val="4"/>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3"/>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3"/>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4"/>
    </w:lvl>
  </w:abstractNum>
  <w:abstractNum w:abstractNumId="46">
    <w:nsid w:val="12E685FB"/>
    <w:multiLevelType w:val="hybridMultilevel"/>
    <w:lvl w:ilvl="0">
      <w:lvlJc w:val="left"/>
      <w:lvlText w:val="\ldblquote"/>
      <w:numFmt w:val="bullet"/>
      <w:start w:val="1"/>
    </w:lvl>
  </w:abstractNum>
  <w:abstractNum w:abstractNumId="47">
    <w:nsid w:val="70C6A529"/>
    <w:multiLevelType w:val="hybridMultilevel"/>
    <w:lvl w:ilvl="0">
      <w:lvlJc w:val="left"/>
      <w:lvlText w:val="%1."/>
      <w:numFmt w:val="upperLetter"/>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4"/>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4"/>
    </w:lvl>
  </w:abstractNum>
  <w:abstractNum w:abstractNumId="52">
    <w:nsid w:val="649BB77C"/>
    <w:multiLevelType w:val="hybridMultilevel"/>
    <w:lvl w:ilvl="0">
      <w:lvlJc w:val="left"/>
      <w:lvlText w:val="(%1)"/>
      <w:numFmt w:val="lowerRoman"/>
      <w:start w:val="2"/>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lowerLetter"/>
      <w:start w:val="3"/>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56" Type="http://schemas.openxmlformats.org/officeDocument/2006/relationships/hyperlink" Target="http://www.sec.gov/Archives/edgar/data/1040829/000119312512410191/d419132dex31.htm" TargetMode="External"/><Relationship Id="rId57" Type="http://schemas.openxmlformats.org/officeDocument/2006/relationships/hyperlink" Target="http://www.sec.gov/Archives/edgar/data/1040829/000119312512410191/d419132dex32.htm" TargetMode="External"/><Relationship Id="rId58" Type="http://schemas.openxmlformats.org/officeDocument/2006/relationships/hyperlink" Target="https://www.sec.gov/Archives/edgar/data/1040829/000114036121019096/nt10025017x2_ex1-1.htm" TargetMode="External"/><Relationship Id="rId59" Type="http://schemas.openxmlformats.org/officeDocument/2006/relationships/hyperlink" Target="https://www.sec.gov/Archives/edgar/data/1040829/000155837021005653/rhp-202103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2021-08-03T12:05:39Z</dcterms:created>
  <dcterms:modified xsi:type="dcterms:W3CDTF">2021-08-03T12:05:39Z</dcterms:modified>
</cp:coreProperties>
</file>