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8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8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29" w:lineRule="exact"/>
        <w:rPr>
          <w:sz w:val="24"/>
          <w:szCs w:val="24"/>
          <w:color w:val="auto"/>
        </w:rPr>
      </w:pPr>
    </w:p>
    <w:p>
      <w:pPr>
        <w:ind w:left="346" w:right="1520" w:hanging="346"/>
        <w:spacing w:after="0" w:line="302" w:lineRule="auto"/>
        <w:tabs>
          <w:tab w:leader="none" w:pos="34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35"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346"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210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to</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26"/>
        </w:trPr>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100" w:type="dxa"/>
            <w:vAlign w:val="bottom"/>
            <w:gridSpan w:val="5"/>
          </w:tcPr>
          <w:p>
            <w:pPr>
              <w:jc w:val="center"/>
              <w:ind w:left="777"/>
              <w:spacing w:after="0"/>
              <w:rPr>
                <w:sz w:val="20"/>
                <w:szCs w:val="20"/>
                <w:color w:val="auto"/>
              </w:rPr>
            </w:pPr>
            <w:r>
              <w:rPr>
                <w:rFonts w:ascii="Times New Roman" w:cs="Times New Roman" w:eastAsia="Times New Roman" w:hAnsi="Times New Roman"/>
                <w:sz w:val="17"/>
                <w:szCs w:val="17"/>
                <w:b w:val="1"/>
                <w:bCs w:val="1"/>
                <w:color w:val="auto"/>
              </w:rPr>
              <w:t>Commission File No. 1-13079</w:t>
            </w:r>
          </w:p>
        </w:tc>
        <w:tc>
          <w:tcPr>
            <w:tcW w:w="2440" w:type="dxa"/>
            <w:vAlign w:val="bottom"/>
          </w:tcPr>
          <w:p>
            <w:pPr>
              <w:spacing w:after="0"/>
              <w:rPr>
                <w:sz w:val="19"/>
                <w:szCs w:val="19"/>
                <w:color w:val="auto"/>
              </w:rPr>
            </w:pPr>
          </w:p>
        </w:tc>
      </w:tr>
      <w:tr>
        <w:trPr>
          <w:trHeight w:val="283"/>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40" w:type="dxa"/>
            <w:vAlign w:val="bottom"/>
            <w:gridSpan w:val="6"/>
          </w:tcPr>
          <w:p>
            <w:pPr>
              <w:jc w:val="center"/>
              <w:ind w:right="1497"/>
              <w:spacing w:after="0"/>
              <w:rPr>
                <w:sz w:val="20"/>
                <w:szCs w:val="20"/>
                <w:color w:val="auto"/>
              </w:rPr>
            </w:pPr>
            <w:r>
              <w:rPr>
                <w:rFonts w:ascii="Times New Roman" w:cs="Times New Roman" w:eastAsia="Times New Roman" w:hAnsi="Times New Roman"/>
                <w:sz w:val="17"/>
                <w:szCs w:val="17"/>
                <w:b w:val="1"/>
                <w:bCs w:val="1"/>
                <w:color w:val="auto"/>
                <w:w w:val="99"/>
              </w:rPr>
              <w:t>RYMAN HOSPITALITY PROPERTIES, INC.</w:t>
            </w:r>
          </w:p>
        </w:tc>
      </w:tr>
      <w:tr>
        <w:trPr>
          <w:trHeight w:val="212"/>
        </w:trPr>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540" w:type="dxa"/>
            <w:vAlign w:val="bottom"/>
            <w:gridSpan w:val="6"/>
          </w:tcPr>
          <w:p>
            <w:pPr>
              <w:jc w:val="center"/>
              <w:ind w:right="1497"/>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tc>
      </w:tr>
      <w:tr>
        <w:trPr>
          <w:trHeight w:val="287"/>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537"/>
              <w:spacing w:after="0"/>
              <w:rPr>
                <w:sz w:val="20"/>
                <w:szCs w:val="20"/>
                <w:color w:val="auto"/>
              </w:rPr>
            </w:pPr>
            <w:r>
              <w:rPr>
                <w:rFonts w:ascii="Times New Roman" w:cs="Times New Roman" w:eastAsia="Times New Roman" w:hAnsi="Times New Roman"/>
                <w:sz w:val="16"/>
                <w:szCs w:val="16"/>
                <w:b w:val="1"/>
                <w:bCs w:val="1"/>
                <w:color w:val="auto"/>
              </w:rPr>
              <w:t>73-0664379</w:t>
            </w:r>
          </w:p>
        </w:tc>
      </w:tr>
      <w:tr>
        <w:trPr>
          <w:trHeight w:val="212"/>
        </w:trPr>
        <w:tc>
          <w:tcPr>
            <w:tcW w:w="4880" w:type="dxa"/>
            <w:vAlign w:val="bottom"/>
            <w:gridSpan w:val="5"/>
          </w:tcPr>
          <w:p>
            <w:pPr>
              <w:jc w:val="center"/>
              <w:ind w:left="477"/>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287"/>
        </w:trPr>
        <w:tc>
          <w:tcPr>
            <w:tcW w:w="720" w:type="dxa"/>
            <w:vAlign w:val="bottom"/>
          </w:tcPr>
          <w:p>
            <w:pPr>
              <w:spacing w:after="0"/>
              <w:rPr>
                <w:sz w:val="24"/>
                <w:szCs w:val="24"/>
                <w:color w:val="auto"/>
              </w:rPr>
            </w:pPr>
          </w:p>
        </w:tc>
        <w:tc>
          <w:tcPr>
            <w:tcW w:w="3660" w:type="dxa"/>
            <w:vAlign w:val="bottom"/>
            <w:gridSpan w:val="3"/>
          </w:tcPr>
          <w:p>
            <w:pPr>
              <w:jc w:val="center"/>
              <w:ind w:left="277"/>
              <w:spacing w:after="0"/>
              <w:rPr>
                <w:sz w:val="20"/>
                <w:szCs w:val="20"/>
                <w:color w:val="auto"/>
              </w:rPr>
            </w:pPr>
            <w:r>
              <w:rPr>
                <w:rFonts w:ascii="Times New Roman" w:cs="Times New Roman" w:eastAsia="Times New Roman" w:hAnsi="Times New Roman"/>
                <w:sz w:val="16"/>
                <w:szCs w:val="16"/>
                <w:b w:val="1"/>
                <w:bCs w:val="1"/>
                <w:color w:val="auto"/>
              </w:rPr>
              <w:t>One Gaylord Drive, Nashville, Tennessee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717"/>
              <w:spacing w:after="0"/>
              <w:rPr>
                <w:sz w:val="20"/>
                <w:szCs w:val="20"/>
                <w:color w:val="auto"/>
              </w:rPr>
            </w:pPr>
            <w:r>
              <w:rPr>
                <w:rFonts w:ascii="Times New Roman" w:cs="Times New Roman" w:eastAsia="Times New Roman" w:hAnsi="Times New Roman"/>
                <w:sz w:val="16"/>
                <w:szCs w:val="16"/>
                <w:b w:val="1"/>
                <w:bCs w:val="1"/>
                <w:color w:val="auto"/>
              </w:rPr>
              <w:t>37214</w:t>
            </w:r>
          </w:p>
        </w:tc>
      </w:tr>
      <w:tr>
        <w:trPr>
          <w:trHeight w:val="212"/>
        </w:trPr>
        <w:tc>
          <w:tcPr>
            <w:tcW w:w="720" w:type="dxa"/>
            <w:vAlign w:val="bottom"/>
          </w:tcPr>
          <w:p>
            <w:pPr>
              <w:spacing w:after="0"/>
              <w:rPr>
                <w:sz w:val="18"/>
                <w:szCs w:val="18"/>
                <w:color w:val="auto"/>
              </w:rPr>
            </w:pPr>
          </w:p>
        </w:tc>
        <w:tc>
          <w:tcPr>
            <w:tcW w:w="3660" w:type="dxa"/>
            <w:vAlign w:val="bottom"/>
            <w:gridSpan w:val="3"/>
          </w:tcPr>
          <w:p>
            <w:pPr>
              <w:jc w:val="center"/>
              <w:ind w:left="277"/>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jc w:val="center"/>
              <w:ind w:right="1497"/>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97"/>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40" w:type="dxa"/>
            <w:vAlign w:val="bottom"/>
            <w:gridSpan w:val="6"/>
          </w:tcPr>
          <w:p>
            <w:pPr>
              <w:jc w:val="center"/>
              <w:ind w:right="147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(615) 316-6000</w:t>
            </w:r>
          </w:p>
        </w:tc>
      </w:tr>
      <w:tr>
        <w:trPr>
          <w:trHeight w:val="297"/>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40" w:type="dxa"/>
            <w:vAlign w:val="bottom"/>
            <w:gridSpan w:val="6"/>
          </w:tcPr>
          <w:p>
            <w:pPr>
              <w:jc w:val="center"/>
              <w:ind w:right="1477"/>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08"/>
        </w:trPr>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Each Exchange on</w:t>
            </w:r>
          </w:p>
        </w:tc>
      </w:tr>
      <w:tr>
        <w:trPr>
          <w:trHeight w:val="222"/>
        </w:trPr>
        <w:tc>
          <w:tcPr>
            <w:tcW w:w="720" w:type="dxa"/>
            <w:vAlign w:val="bottom"/>
          </w:tcPr>
          <w:p>
            <w:pPr>
              <w:spacing w:after="0"/>
              <w:rPr>
                <w:sz w:val="19"/>
                <w:szCs w:val="19"/>
                <w:color w:val="auto"/>
              </w:rPr>
            </w:pPr>
          </w:p>
        </w:tc>
        <w:tc>
          <w:tcPr>
            <w:tcW w:w="36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color w:val="auto"/>
              </w:rPr>
              <w:t>Title of Each Class</w:t>
            </w:r>
          </w:p>
        </w:tc>
        <w:tc>
          <w:tcPr>
            <w:tcW w:w="200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2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Which Registered</w:t>
            </w:r>
          </w:p>
        </w:tc>
      </w:tr>
      <w:tr>
        <w:trPr>
          <w:trHeight w:val="218"/>
        </w:trPr>
        <w:tc>
          <w:tcPr>
            <w:tcW w:w="720" w:type="dxa"/>
            <w:vAlign w:val="bottom"/>
          </w:tcPr>
          <w:p>
            <w:pPr>
              <w:spacing w:after="0"/>
              <w:rPr>
                <w:sz w:val="18"/>
                <w:szCs w:val="18"/>
                <w:color w:val="auto"/>
              </w:rPr>
            </w:pPr>
          </w:p>
        </w:tc>
        <w:tc>
          <w:tcPr>
            <w:tcW w:w="32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Common stock, par value $.01</w:t>
            </w:r>
          </w:p>
        </w:tc>
        <w:tc>
          <w:tcPr>
            <w:tcW w:w="4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457"/>
              <w:spacing w:after="0"/>
              <w:rPr>
                <w:sz w:val="20"/>
                <w:szCs w:val="20"/>
                <w:color w:val="auto"/>
              </w:rPr>
            </w:pPr>
            <w:r>
              <w:rPr>
                <w:rFonts w:ascii="Times New Roman" w:cs="Times New Roman" w:eastAsia="Times New Roman" w:hAnsi="Times New Roman"/>
                <w:sz w:val="17"/>
                <w:szCs w:val="17"/>
                <w:color w:val="auto"/>
              </w:rPr>
              <w:t>RHP</w:t>
            </w:r>
          </w:p>
        </w:tc>
        <w:tc>
          <w:tcPr>
            <w:tcW w:w="34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New York Stock Exchange</w:t>
            </w:r>
          </w:p>
        </w:tc>
      </w:tr>
    </w:tbl>
    <w:p>
      <w:pPr>
        <w:spacing w:after="0" w:line="16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(Title of Class)</w:t>
      </w:r>
    </w:p>
    <w:p>
      <w:pPr>
        <w:spacing w:after="0" w:line="75" w:lineRule="exact"/>
        <w:rPr>
          <w:sz w:val="24"/>
          <w:szCs w:val="24"/>
          <w:color w:val="auto"/>
        </w:rPr>
      </w:pPr>
    </w:p>
    <w:p>
      <w:pPr>
        <w:ind w:left="6" w:right="3000"/>
        <w:spacing w:after="0" w:line="23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Indicate by check mark if the registrant is not required to file reports pursuant to Section 13 or Section 15(d) of the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35" w:lineRule="exact"/>
        <w:rPr>
          <w:sz w:val="24"/>
          <w:szCs w:val="24"/>
          <w:color w:val="auto"/>
        </w:rPr>
      </w:pPr>
    </w:p>
    <w:p>
      <w:pPr>
        <w:ind w:left="6"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48" w:lineRule="exact"/>
        <w:rPr>
          <w:sz w:val="24"/>
          <w:szCs w:val="24"/>
          <w:color w:val="auto"/>
        </w:rPr>
      </w:pPr>
    </w:p>
    <w:p>
      <w:pPr>
        <w:ind w:left="6"/>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48" w:lineRule="exact"/>
        <w:rPr>
          <w:sz w:val="24"/>
          <w:szCs w:val="24"/>
          <w:color w:val="auto"/>
        </w:rPr>
      </w:pPr>
    </w:p>
    <w:p>
      <w:pPr>
        <w:ind w:left="6"/>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226"/>
          </w:cols>
          <w:pgMar w:left="834" w:top="661" w:right="839" w:bottom="1440" w:gutter="0" w:footer="0" w:header="0"/>
        </w:sectPr>
      </w:pPr>
    </w:p>
    <w:p>
      <w:pPr>
        <w:spacing w:after="0" w:line="1" w:lineRule="exact"/>
        <w:rPr>
          <w:sz w:val="24"/>
          <w:szCs w:val="24"/>
          <w:color w:val="auto"/>
        </w:rPr>
      </w:pPr>
    </w:p>
    <w:p>
      <w:pPr>
        <w:ind w:left="906"/>
        <w:spacing w:after="0" w:line="175"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906"/>
        <w:spacing w:after="0" w:line="175"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168"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2">
            <w:col w:w="3466" w:space="720"/>
            <w:col w:w="6040"/>
          </w:cols>
          <w:pgMar w:left="834" w:top="661" w:right="839" w:bottom="1440" w:gutter="0" w:footer="0" w:header="0"/>
          <w:type w:val="continuous"/>
        </w:sectPr>
      </w:pPr>
    </w:p>
    <w:p>
      <w:pPr>
        <w:jc w:val="both"/>
        <w:ind w:left="6"/>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8" w:lineRule="exact"/>
        <w:rPr>
          <w:sz w:val="24"/>
          <w:szCs w:val="24"/>
          <w:color w:val="auto"/>
        </w:rPr>
      </w:pPr>
    </w:p>
    <w:p>
      <w:pPr>
        <w:jc w:val="both"/>
        <w:ind w:left="6"/>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48" w:lineRule="exact"/>
        <w:rPr>
          <w:sz w:val="24"/>
          <w:szCs w:val="24"/>
          <w:color w:val="auto"/>
        </w:rPr>
      </w:pPr>
    </w:p>
    <w:p>
      <w:pPr>
        <w:jc w:val="both"/>
        <w:ind w:left="6" w:right="2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4" w:lineRule="exact"/>
        <w:rPr>
          <w:sz w:val="24"/>
          <w:szCs w:val="24"/>
          <w:color w:val="auto"/>
        </w:rPr>
      </w:pPr>
    </w:p>
    <w:p>
      <w:pPr>
        <w:jc w:val="both"/>
        <w:ind w:left="6"/>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left="6"/>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p>
      <w:pPr>
        <w:spacing w:after="0" w:line="86" w:lineRule="exact"/>
        <w:rPr>
          <w:sz w:val="24"/>
          <w:szCs w:val="24"/>
          <w:color w:val="auto"/>
        </w:rPr>
      </w:pPr>
    </w:p>
    <w:p>
      <w:pPr>
        <w:jc w:val="both"/>
        <w:ind w:left="6"/>
        <w:spacing w:after="0" w:line="258" w:lineRule="auto"/>
        <w:rPr>
          <w:sz w:val="20"/>
          <w:szCs w:val="20"/>
          <w:color w:val="auto"/>
        </w:rPr>
      </w:pPr>
      <w:r>
        <w:rPr>
          <w:rFonts w:ascii="Times New Roman" w:cs="Times New Roman" w:eastAsia="Times New Roman" w:hAnsi="Times New Roman"/>
          <w:sz w:val="13"/>
          <w:szCs w:val="13"/>
          <w:color w:val="auto"/>
        </w:rPr>
        <w:t>The aggregate market value of the shares of Common Stock held by non-affiliates of the registrant based on the closing price of the Common Stock on the New York Stock Exchange on June 30, 2025 of $98.67 per share was approximately $6,029,634,108 (assuming for this purpose that shares beneficially owned by persons other than officers or directors of the registrant, and their affiliates, are held by non-affiliates).</w:t>
      </w:r>
    </w:p>
    <w:p>
      <w:pPr>
        <w:spacing w:after="0" w:line="5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As of January 30, 2026 there were 63,006,031 shares of Common Stock outstanding.</w:t>
      </w:r>
    </w:p>
    <w:p>
      <w:pPr>
        <w:spacing w:after="0" w:line="9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3" w:lineRule="exact"/>
        <w:rPr>
          <w:sz w:val="24"/>
          <w:szCs w:val="24"/>
          <w:color w:val="auto"/>
        </w:rPr>
      </w:pPr>
    </w:p>
    <w:p>
      <w:pPr>
        <w:jc w:val="both"/>
        <w:ind w:left="6"/>
        <w:spacing w:after="0" w:line="264"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2026 Annual Meeting of Stockholders to be filed with the Securities and Exchange Commission are incorporated by reference into Part III of this Form 10-K</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40005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ANNUAL REPORT ON FORM 10-K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20" w:type="dxa"/>
            <w:vAlign w:val="bottom"/>
            <w:gridSpan w:val="29"/>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14"/>
          </w:tcPr>
          <w:p>
            <w:pPr>
              <w:jc w:val="center"/>
              <w:ind w:right="338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34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tcPr>
          <w:p>
            <w:pPr>
              <w:spacing w:after="0"/>
              <w:rPr>
                <w:sz w:val="24"/>
                <w:szCs w:val="24"/>
                <w:color w:val="auto"/>
              </w:rPr>
            </w:pPr>
          </w:p>
        </w:tc>
        <w:tc>
          <w:tcPr>
            <w:tcW w:w="342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1A.Risk Factors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1B.Unresolved Staff Comments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0" w:type="dxa"/>
            <w:vAlign w:val="bottom"/>
          </w:tcPr>
          <w:p>
            <w:pPr>
              <w:spacing w:after="0"/>
              <w:rPr>
                <w:sz w:val="17"/>
                <w:szCs w:val="17"/>
                <w:color w:val="auto"/>
              </w:rPr>
            </w:pPr>
          </w:p>
        </w:tc>
        <w:tc>
          <w:tcPr>
            <w:tcW w:w="26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Item 1C.Cybersecurity</w:t>
            </w:r>
          </w:p>
        </w:tc>
        <w:tc>
          <w:tcPr>
            <w:tcW w:w="538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20" w:type="dxa"/>
            <w:vAlign w:val="bottom"/>
          </w:tcPr>
          <w:p>
            <w:pPr>
              <w:spacing w:after="0"/>
              <w:rPr>
                <w:sz w:val="17"/>
                <w:szCs w:val="17"/>
                <w:color w:val="auto"/>
              </w:rPr>
            </w:pPr>
          </w:p>
        </w:tc>
        <w:tc>
          <w:tcPr>
            <w:tcW w:w="10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400" w:type="dxa"/>
            <w:vAlign w:val="bottom"/>
            <w:gridSpan w:val="2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38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74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8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7A.Quantitative and Qualitative Disclosures About Market Risk</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43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06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9A.Controls and Procedures</w:t>
            </w:r>
          </w:p>
        </w:tc>
        <w:tc>
          <w:tcPr>
            <w:tcW w:w="5640" w:type="dxa"/>
            <w:vAlign w:val="bottom"/>
            <w:gridSpan w:val="2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20" w:type="dxa"/>
            <w:vAlign w:val="bottom"/>
          </w:tcPr>
          <w:p>
            <w:pPr>
              <w:spacing w:after="0"/>
              <w:rPr>
                <w:sz w:val="17"/>
                <w:szCs w:val="17"/>
                <w:color w:val="auto"/>
              </w:rPr>
            </w:pPr>
          </w:p>
        </w:tc>
        <w:tc>
          <w:tcPr>
            <w:tcW w:w="19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9B.Other Information</w:t>
            </w:r>
          </w:p>
        </w:tc>
        <w:tc>
          <w:tcPr>
            <w:tcW w:w="6080" w:type="dxa"/>
            <w:vAlign w:val="bottom"/>
            <w:gridSpan w:val="2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9C.Disclosure Regarding Foreign Jurisdictions that Prevent Inspections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820" w:type="dxa"/>
            <w:vAlign w:val="bottom"/>
            <w:tcBorders>
              <w:top w:val="single" w:sz="8" w:color="0000EE"/>
            </w:tcBorders>
            <w:gridSpan w:val="3"/>
          </w:tcPr>
          <w:p>
            <w:pPr>
              <w:spacing w:after="0"/>
              <w:rPr>
                <w:sz w:val="24"/>
                <w:szCs w:val="24"/>
                <w:color w:val="auto"/>
              </w:rPr>
            </w:pPr>
          </w:p>
        </w:tc>
        <w:tc>
          <w:tcPr>
            <w:tcW w:w="252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10.</w:t>
            </w:r>
          </w:p>
        </w:tc>
        <w:tc>
          <w:tcPr>
            <w:tcW w:w="40" w:type="dxa"/>
            <w:vAlign w:val="bottom"/>
            <w:gridSpan w:val="2"/>
          </w:tcPr>
          <w:p>
            <w:pPr>
              <w:spacing w:after="0"/>
              <w:rPr>
                <w:sz w:val="24"/>
                <w:szCs w:val="24"/>
                <w:color w:val="auto"/>
              </w:rPr>
            </w:pPr>
          </w:p>
        </w:tc>
        <w:tc>
          <w:tcPr>
            <w:tcW w:w="41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32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40" w:type="dxa"/>
            <w:vAlign w:val="bottom"/>
            <w:gridSpan w:val="2"/>
          </w:tcPr>
          <w:p>
            <w:pPr>
              <w:spacing w:after="0"/>
              <w:rPr>
                <w:sz w:val="17"/>
                <w:szCs w:val="17"/>
                <w:color w:val="auto"/>
              </w:rPr>
            </w:pPr>
          </w:p>
        </w:tc>
        <w:tc>
          <w:tcPr>
            <w:tcW w:w="73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2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40" w:type="dxa"/>
            <w:vAlign w:val="bottom"/>
            <w:gridSpan w:val="2"/>
          </w:tcPr>
          <w:p>
            <w:pPr>
              <w:spacing w:after="0"/>
              <w:rPr>
                <w:sz w:val="17"/>
                <w:szCs w:val="17"/>
                <w:color w:val="auto"/>
              </w:rPr>
            </w:pPr>
          </w:p>
        </w:tc>
        <w:tc>
          <w:tcPr>
            <w:tcW w:w="54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9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16"/>
          </w:tcPr>
          <w:p>
            <w:pPr>
              <w:jc w:val="center"/>
              <w:ind w:right="334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15.</w:t>
            </w:r>
          </w:p>
        </w:tc>
        <w:tc>
          <w:tcPr>
            <w:tcW w:w="40" w:type="dxa"/>
            <w:vAlign w:val="bottom"/>
            <w:gridSpan w:val="2"/>
          </w:tcPr>
          <w:p>
            <w:pPr>
              <w:spacing w:after="0"/>
              <w:rPr>
                <w:sz w:val="24"/>
                <w:szCs w:val="24"/>
                <w:color w:val="auto"/>
              </w:rPr>
            </w:pPr>
          </w:p>
        </w:tc>
        <w:tc>
          <w:tcPr>
            <w:tcW w:w="33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700" w:type="dxa"/>
            <w:vAlign w:val="bottom"/>
            <w:tcBorders>
              <w:top w:val="single" w:sz="8" w:color="0000EE"/>
            </w:tcBorders>
            <w:gridSpan w:val="5"/>
          </w:tcPr>
          <w:p>
            <w:pPr>
              <w:spacing w:after="0"/>
              <w:rPr>
                <w:sz w:val="24"/>
                <w:szCs w:val="24"/>
                <w:color w:val="auto"/>
              </w:rPr>
            </w:pPr>
          </w:p>
        </w:tc>
        <w:tc>
          <w:tcPr>
            <w:tcW w:w="336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426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242"/>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Throughout this report, we refer to Ryman Hospitality Properties, Inc., a Delaware corporation (“Ryman”), together with its subsidiaries, as “we,” “us,” “our,” or the “Company.” For each year discussed, our fiscal year ends on December 31. All of the discussion and analysis in this report should be read with, and is qualified in its entirety by, the Consolidated Financial Statements and related notes included in this Annual Report on Form 10-K.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future performance of our business, anticipated business levels and our anticipated financial results during future periods; (ii) the effect of our election to be taxed as a real estate investment trust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the ability of Marriott International, Inc. (“Marriott”) to effectively manage our hotels and other properties;</w:t>
      </w:r>
    </w:p>
    <w:p>
      <w:pPr>
        <w:spacing w:after="0" w:line="11" w:lineRule="exact"/>
        <w:rPr>
          <w:sz w:val="20"/>
          <w:szCs w:val="20"/>
          <w:color w:val="auto"/>
        </w:rPr>
      </w:pPr>
    </w:p>
    <w:p>
      <w:pPr>
        <w:ind w:left="60" w:right="79" w:hanging="10"/>
        <w:spacing w:after="0" w:line="252"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other macroeconomic conditions and increased costs on our business and on our customers, including group customers at our hotels; (xii) risks associated with the integration of JW Marriott Desert Ridge into our existing asset base; and (xiii) any other business or operational matters.</w:t>
      </w:r>
    </w:p>
    <w:p>
      <w:pPr>
        <w:spacing w:after="0" w:line="188"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Although we believe that the expectations reflected in such forward-looking statements are based upon reasonable assumptions, beliefs and expectations, our actual results could differ materially from the results anticipated by the forward-looking statements as a result of many known and unknown factors including, but not limited to, those discussed in</w:t>
      </w:r>
    </w:p>
    <w:p>
      <w:pPr>
        <w:spacing w:after="0" w:line="2" w:lineRule="exact"/>
        <w:rPr>
          <w:sz w:val="20"/>
          <w:szCs w:val="20"/>
          <w:color w:val="auto"/>
        </w:rPr>
      </w:pPr>
    </w:p>
    <w:p>
      <w:pPr>
        <w:ind w:left="60" w:right="139"/>
        <w:spacing w:after="0" w:line="271" w:lineRule="auto"/>
        <w:rPr>
          <w:sz w:val="20"/>
          <w:szCs w:val="20"/>
          <w:color w:val="auto"/>
        </w:rPr>
      </w:pPr>
      <w:r>
        <w:rPr>
          <w:rFonts w:ascii="Times New Roman" w:cs="Times New Roman" w:eastAsia="Times New Roman" w:hAnsi="Times New Roman"/>
          <w:sz w:val="17"/>
          <w:szCs w:val="17"/>
          <w:color w:val="auto"/>
        </w:rPr>
        <w:t>Item 1A, “Risk Factors,” Item 7, “Management’s Discussion and Analysis of Financial Condition and Results of Operations,” and elsewhere in this Annual Report on Form 10-K. Any forward-looking statement made in this Annual Report on Form 10-K speaks only as of the date on which the statement is made. New risks and uncertainties may arise from time to time, and it is impossible for us to predict these events or how they may affect us. We have no duty to, and do not intend to, update or revise the forward-looking statements we make in this report,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on Form 10-K. Set forth below is a summary list of the principal risk factors as of the date of the filing of this Annual Report on Form 10-K:</w:t>
      </w:r>
    </w:p>
    <w:p>
      <w:pPr>
        <w:spacing w:after="0" w:line="183" w:lineRule="exact"/>
        <w:rPr>
          <w:sz w:val="20"/>
          <w:szCs w:val="20"/>
          <w:color w:val="auto"/>
        </w:rPr>
      </w:pPr>
    </w:p>
    <w:p>
      <w:pPr>
        <w:ind w:left="720" w:right="9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 Further, the operation and management of our current hotel properties, the operation of which generates substantially all of our Hospitality segment revenue, is concentrated in Marriott.</w:t>
      </w:r>
    </w:p>
    <w:p>
      <w:pPr>
        <w:spacing w:after="0" w:line="75" w:lineRule="exact"/>
        <w:rPr>
          <w:rFonts w:ascii="Times New Roman" w:cs="Times New Roman" w:eastAsia="Times New Roman" w:hAnsi="Times New Roman"/>
          <w:sz w:val="18"/>
          <w:szCs w:val="18"/>
          <w:color w:val="auto"/>
        </w:rPr>
      </w:pPr>
    </w:p>
    <w:p>
      <w:pPr>
        <w:jc w:val="both"/>
        <w:ind w:left="720" w:right="1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and other provisions in our hotel management agreements with third-party hotel managers could limit our ability to sell or lease our hotel properties or refinance our existing debt. In addition, Marriott and any future third-party hotel manager may own or operate hotels that compete with our hotel properties.</w:t>
      </w:r>
    </w:p>
    <w:p>
      <w:pPr>
        <w:spacing w:after="0" w:line="6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in the hospitality industry, and in particular the group-oriented meetings sector of the hospitality industry, exposes us to certain risks outside of our and Marriott’s control. In addition, the geographic concentration of our current hotel properties subjects us to a greater degree of risk to certain factors.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may adversely affect our financial condition and results of operations.</w:t>
      </w:r>
    </w:p>
    <w:p>
      <w:pPr>
        <w:spacing w:after="0" w:line="117"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hotel business is capital-intensive, and our inability to obtain financing or successfully complete acquisitions or capital improvements, or mitigate the disruption associated with them, could limit our growth or impact our performance.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TRS lessee structure subjects us to the risk of increased hotel operating expenses and the inability of our TRS lessees to make lease payments to us.</w:t>
      </w:r>
    </w:p>
    <w:p>
      <w:pPr>
        <w:spacing w:after="0" w:line="53"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hotel manager rely on information technology in our operations, and any material failure, inadequacy, interruption, or security failure could harm our business. In addition, changes in privacy and data security laws could increase our operating costs and increase our exposure to fines and litigation, and cyber security incidents could have a disruptive effect on our business.</w:t>
      </w:r>
    </w:p>
    <w:p>
      <w:pPr>
        <w:spacing w:after="0" w:line="71" w:lineRule="exact"/>
        <w:rPr>
          <w:rFonts w:ascii="Times New Roman" w:cs="Times New Roman" w:eastAsia="Times New Roman" w:hAnsi="Times New Roman"/>
          <w:sz w:val="18"/>
          <w:szCs w:val="18"/>
          <w:color w:val="auto"/>
        </w:rPr>
      </w:pPr>
    </w:p>
    <w:p>
      <w:pPr>
        <w:jc w:val="both"/>
        <w:ind w:left="720" w:right="5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are subject to numerous risks, including environmental regulations that could impose significant financial liability on us and illiquidity of real estate investments. Moreover, compliance with the Americans with Disabilities Act could require us to incur substantial costs.</w:t>
      </w:r>
    </w:p>
    <w:p>
      <w:pPr>
        <w:spacing w:after="0" w:line="67"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owner of hotel properties and operator of leisure businesses, we are subject to risks relating to acts of God, outbreaks of pandemic disease, terrorist activity, geopolitical uncertainty and war. Our operating results and ability to service debt and make distributions to stockholders may be adversely affected by operating risks common to the lodging industry.</w:t>
      </w:r>
    </w:p>
    <w:p>
      <w:pPr>
        <w:spacing w:after="0" w:line="71" w:lineRule="exact"/>
        <w:rPr>
          <w:rFonts w:ascii="Times New Roman" w:cs="Times New Roman" w:eastAsia="Times New Roman" w:hAnsi="Times New Roman"/>
          <w:sz w:val="18"/>
          <w:szCs w:val="18"/>
          <w:color w:val="auto"/>
        </w:rPr>
      </w:pPr>
    </w:p>
    <w:p>
      <w:pPr>
        <w:ind w:left="720" w:right="219" w:hanging="319"/>
        <w:spacing w:after="0" w:line="277"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associated with our hotel managers’ employment of hotel personnel, particularly with hotels whose managers employ unionized labor, which could increase our hotels’ operating costs, including, but not limited to, an increase in wages and benefit costs, reduce the flexibility of our third-party hotel managers to adjust the size of the workforce at our hotel properties and impair our ability to make distributions to our stockholders. Our business could suffer if our hotel managers cannot attract and retain qualified hotel personnel.</w:t>
      </w:r>
    </w:p>
    <w:p>
      <w:pPr>
        <w:spacing w:after="0" w:line="59" w:lineRule="exact"/>
        <w:rPr>
          <w:rFonts w:ascii="Times New Roman" w:cs="Times New Roman" w:eastAsia="Times New Roman" w:hAnsi="Times New Roman"/>
          <w:sz w:val="17"/>
          <w:szCs w:val="17"/>
          <w:color w:val="auto"/>
        </w:rPr>
      </w:pPr>
    </w:p>
    <w:p>
      <w:pPr>
        <w:ind w:left="720" w:right="1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the trademarks and intellectual property used in our business could reduce the value of our brand names and harm our business.</w:t>
      </w:r>
    </w:p>
    <w:p>
      <w:pPr>
        <w:spacing w:after="0" w:line="53" w:lineRule="exact"/>
        <w:rPr>
          <w:rFonts w:ascii="Times New Roman" w:cs="Times New Roman" w:eastAsia="Times New Roman" w:hAnsi="Times New Roman"/>
          <w:sz w:val="18"/>
          <w:szCs w:val="18"/>
          <w:color w:val="auto"/>
        </w:rPr>
      </w:pPr>
    </w:p>
    <w:p>
      <w:pPr>
        <w:ind w:left="720" w:right="4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operating results may suffer if we are unsuccessful in integrating JW Marriott Desert Ridge with our existing assets, and integrating JW Marriott Desert Ridge may be more difficult, costly or time consuming than expected.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the operations of our Entertainment segment through OEG, and our ownership is subject to the terms of agreements with A-OEG Holdings, LLC, an affiliate of Atairos (as defined below in Part I, Item 1). Any disagreement with Atairos or its affiliate may adversely affect our interest in OEG.</w:t>
      </w:r>
    </w:p>
    <w:p>
      <w:pPr>
        <w:spacing w:after="0" w:line="67"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companies have been the target of class actions and other lawsuits alleging violations of federal and state law and other claims, and we may be subject to legal claims.</w:t>
      </w:r>
    </w:p>
    <w:p>
      <w:pPr>
        <w:spacing w:after="0" w:line="53" w:lineRule="exact"/>
        <w:rPr>
          <w:rFonts w:ascii="Times New Roman" w:cs="Times New Roman" w:eastAsia="Times New Roman" w:hAnsi="Times New Roman"/>
          <w:sz w:val="18"/>
          <w:szCs w:val="18"/>
          <w:color w:val="auto"/>
        </w:rPr>
      </w:pPr>
    </w:p>
    <w:p>
      <w:pPr>
        <w:jc w:val="both"/>
        <w:ind w:left="720" w:right="2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remain qualified as a REIT, we would be subject to tax at corporate income tax rates and would not be able to deduct distributions to stockholders when computing our taxable income. As a REIT, failure to make required distributions to our stockholders would subject us to federal and state corporate income tax.</w:t>
      </w:r>
    </w:p>
    <w:p>
      <w:pPr>
        <w:spacing w:after="0" w:line="67"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67" w:lineRule="exact"/>
        <w:rPr>
          <w:rFonts w:ascii="Times New Roman" w:cs="Times New Roman" w:eastAsia="Times New Roman" w:hAnsi="Times New Roman"/>
          <w:sz w:val="18"/>
          <w:szCs w:val="18"/>
          <w:color w:val="auto"/>
        </w:rPr>
      </w:pPr>
    </w:p>
    <w:p>
      <w:pPr>
        <w:ind w:left="720" w:right="3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REIT requirements may limit our ability to hedge effectively and increase the costs of our hedging, may cause us to incur tax liabilities, and may limit our flexibility or cause us to forego otherwise attractive opportunities. Further, we may be required to borrow funds, sell assets, or issue equity to satisfy our REIT distribution requirements or maintain the asset ownership tests.</w:t>
      </w:r>
    </w:p>
    <w:p>
      <w:pPr>
        <w:spacing w:after="0" w:line="7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of dividend income could make our stock less attractive to certain investors and reduce the market price of our stock.</w:t>
      </w:r>
    </w:p>
    <w:p>
      <w:pPr>
        <w:spacing w:after="0" w:line="53"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other actions affecting REITs could have a negative effect on us or our stockholders, and even as a REIT, changes in federal, state, or local tax law, interpretations of existing tax law or agreements with tax authorities could affect our profitability and financial condition by increasing our tax costs or reduce the market price of our stock by making an investment in us less attractive to certain investors.</w:t>
      </w:r>
    </w:p>
    <w:p>
      <w:pPr>
        <w:spacing w:after="0" w:line="7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revoke our REIT qualification, without stockholder approval, may cause adverse consequences to our stockholders.</w:t>
      </w:r>
    </w:p>
    <w:p>
      <w:pPr>
        <w:spacing w:after="0" w:line="53"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use of TRSs may cause us to fail to qualify as a REIT, and if our leases of our hotel properties to TRS lessees are not true leases for federal income tax purposes, we may fail to qualify as a REIT.</w:t>
      </w:r>
    </w:p>
    <w:p>
      <w:pPr>
        <w:spacing w:after="0" w:line="53"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Marriott or any future third-party hotel manager fails to qualify as an “eligible independent contractor,” or if our hotels are not “qualified lodging facilities” (as each such term is defined in the U.S. Internal Revenue Code), we may fail to qualify as a REIT.</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distributions are not guaranteed and may fluctuate.</w:t>
      </w:r>
    </w:p>
    <w:p>
      <w:pPr>
        <w:spacing w:after="0" w:line="117"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invested in, and in the future may invest in, joint ventures, certain minority equity interests, mortgage loans or mezzanine debt over which we may not have significant control, to or for which we may owe significant funding or obligations and for which there is no readily available market, and these investments may not be profitable.</w:t>
      </w:r>
    </w:p>
    <w:p>
      <w:pPr>
        <w:spacing w:after="0" w:line="7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could reduce our cash flow and limit our business activities, and our indebtedness is secured by a substantial portion of our assets. In addition, we could be required to refinance our debt before it matures and there is no assurance that we will be able to refinance our debt on acceptable terms.</w:t>
      </w:r>
    </w:p>
    <w:p>
      <w:pPr>
        <w:spacing w:after="0" w:line="67" w:lineRule="exact"/>
        <w:rPr>
          <w:rFonts w:ascii="Times New Roman" w:cs="Times New Roman" w:eastAsia="Times New Roman" w:hAnsi="Times New Roman"/>
          <w:sz w:val="18"/>
          <w:szCs w:val="18"/>
          <w:color w:val="auto"/>
        </w:rPr>
      </w:pPr>
    </w:p>
    <w:p>
      <w:pPr>
        <w:ind w:left="720" w:right="39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depend on our subsidiaries’ cash flow to meet our debt service obligations. To service our debt and pay other obligations, we will require a significant amount of cash, which may not be available to us.</w:t>
      </w:r>
    </w:p>
    <w:p>
      <w:pPr>
        <w:spacing w:after="0" w:line="67"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various covenants that may limit our ability to operate our business and impair our ability to make distributions to our stockholders in accordance with our announced intended dividend policy or otherwise.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limitations in our charter may restrict or prevent stockholders from engaging in certain transfers of our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Ryman is the successor to Gaylord Entertainment Company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As a REIT, we generally will not be subject to federal corporate income taxes on that portion of our capital gain or ordinary income from our REIT operations that is distributed to our stockholders. This treatment substantially eliminates the federal “double taxation” on earnings from our REIT operations, or taxation once at the corporate level and again at the stockholder level, that generally results from investment in a regular C corporation. Our non-REIT operations, which consist of the activities of our TRSs that lease or sublease our hotels from our Operating Partnership (as defined below) and its subsidiaries, as well as businesses within our Entertainment segment, continue to be subject, as applicable, to federal and state corporate income taxes.</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we refer to as the JW Marriott properties, consist of the JW Marriott San Antonio Hill Country Resort &amp; Spa (“JW Marriott Hill Country”) (effective June 30, 2023) and the JW Marriott Phoenix Desert Ridge Resort &amp; Spa (“JW Marriott Desert Ridge”) (effective June 10, 2025). Our other hotel assets managed by Marriott include the Inn at Opryland, an overflow hotel adjacent to Gaylord Opryland, and the AC Hotel at National Harbor, Washington D.C. (“AC Hotel”), an overflow hotel adjacent to Gaylord National.</w:t>
      </w:r>
    </w:p>
    <w:p>
      <w:pPr>
        <w:spacing w:after="0" w:line="19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also own an approximate 70% controlling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100 years; the Ryman Auditorium, the storied live music venue and former home of the Grand Ole Opry located in downtown Nashville; WSM-AM, the Opry’s radio home; Ole Red, a brand of six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late 2027; Block 21, a mixed-use entertainment, lodging, office, and retail complex located in Austin, Texas (“Block 21”); as of January 3, 2025, a majority and controlling equity interest in Southern Entertainment, a Charlotte, North Carolina-based national music festival and events production company; in January 2026, OEG began managing the Ascend Amphitheater in downtown Nashville, Tennessee; and we expect OEG to begin managing the CCNB Amphitheatre outside of Greenville, South Carolina in February 2026.</w:t>
      </w:r>
    </w:p>
    <w:p>
      <w:pPr>
        <w:spacing w:after="0" w:line="19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Our operations are organized into three principal business segments: (i) Hospitality, which includes our Gaylord Hotels properties, our JW Marriott properties, the Inn at Opryland and the AC Hotel; (ii) Entertainment, which includes the entertainment and media assets comprising OEG; and (iii) Corporate and Other, which includes corporate expenses. These three business segments — Hospitality, Entertainment, and Corporate and Other — represented approximately 83%, 17% and 0%, respectively, of our total revenues for the fiscal year ended December 31, 2025.</w:t>
      </w:r>
    </w:p>
    <w:p>
      <w:pPr>
        <w:spacing w:after="0" w:line="183"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Financial information by business segment and for each of our Gaylord Hotels properties as of December 31, 2025 and for each of the three years then ended appears in Item 7, “Management’s Discussion and Analysis of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and Results of Operations,” and in “Note 13 – Financial Reporting by Business Segments” to our consolidated financial statements included in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Long-Term Strategic Plan</w:t>
      </w:r>
    </w:p>
    <w:p>
      <w:pPr>
        <w:spacing w:after="0" w:line="22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destination hotel assets in urban and resort markets.</w:t>
      </w:r>
    </w:p>
    <w:p>
      <w:pPr>
        <w:spacing w:after="0" w:line="160" w:lineRule="exact"/>
        <w:rPr>
          <w:sz w:val="20"/>
          <w:szCs w:val="20"/>
          <w:color w:val="auto"/>
        </w:rPr>
      </w:pPr>
    </w:p>
    <w:p>
      <w:pPr>
        <w:ind w:left="720" w:right="79" w:hanging="319"/>
        <w:spacing w:after="0" w:line="25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Existing Hotel Property Design. </w:t>
      </w:r>
      <w:r>
        <w:rPr>
          <w:rFonts w:ascii="Times New Roman" w:cs="Times New Roman" w:eastAsia="Times New Roman" w:hAnsi="Times New Roman"/>
          <w:sz w:val="18"/>
          <w:szCs w:val="18"/>
          <w:color w:val="auto"/>
        </w:rPr>
        <w:t>Our Gaylord Hotels and JW Marriott properties focus on the large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and regional leisure transient markets in the United 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Gaylord Hotels properties and JW Marriott properties claiming a place among the leading convention hotels in the country.</w:t>
      </w:r>
    </w:p>
    <w:p>
      <w:pPr>
        <w:spacing w:after="0" w:line="182" w:lineRule="exact"/>
        <w:rPr>
          <w:rFonts w:ascii="Times New Roman" w:cs="Times New Roman" w:eastAsia="Times New Roman" w:hAnsi="Times New Roman"/>
          <w:sz w:val="18"/>
          <w:szCs w:val="18"/>
          <w:color w:val="auto"/>
        </w:rPr>
      </w:pPr>
    </w:p>
    <w:p>
      <w:pPr>
        <w:ind w:left="720" w:right="79" w:hanging="319"/>
        <w:spacing w:after="0" w:line="25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of Hotel Asset Portfolio. </w:t>
      </w:r>
      <w:r>
        <w:rPr>
          <w:rFonts w:ascii="Times New Roman" w:cs="Times New Roman" w:eastAsia="Times New Roman" w:hAnsi="Times New Roman"/>
          <w:sz w:val="18"/>
          <w:szCs w:val="18"/>
          <w:color w:val="auto"/>
        </w:rPr>
        <w:t>Part of our long-term growth strategy includes acquisitions or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other 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 and JW Marriott Desert Ridge in June 2025.</w:t>
      </w:r>
    </w:p>
    <w:p>
      <w:pPr>
        <w:spacing w:after="0" w:line="185" w:lineRule="exact"/>
        <w:rPr>
          <w:rFonts w:ascii="Times New Roman" w:cs="Times New Roman" w:eastAsia="Times New Roman" w:hAnsi="Times New Roman"/>
          <w:sz w:val="18"/>
          <w:szCs w:val="18"/>
          <w:color w:val="auto"/>
        </w:rPr>
      </w:pPr>
    </w:p>
    <w:p>
      <w:pPr>
        <w:ind w:left="720" w:right="119" w:hanging="319"/>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Investment in Our Existing Properties. </w:t>
      </w:r>
      <w:r>
        <w:rPr>
          <w:rFonts w:ascii="Times New Roman" w:cs="Times New Roman" w:eastAsia="Times New Roman" w:hAnsi="Times New Roman"/>
          <w:sz w:val="18"/>
          <w:szCs w:val="18"/>
          <w:color w:val="auto"/>
        </w:rPr>
        <w:t>We continuously evaluate and invest in our current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consider enhancements or expansions as part of our long-term strategic plan. In early 2024, we identified over $1 billion in capital investment opportunities across our entire hotel portfolio, comprised of projects that we anticipate completing in phases through 2027. In 2024, we completed a $98 million multi-year interior and exterior enhancement project at Gaylord Rockies to better position the property for our group customers. Our ongoing plans for a nearly $225 million multi-phase capital improvement plan at Gaylord Opryland include the expansion of approximately 108,000 square feet of premium, carpeted meeting space; the construction of a sports bar, event lawn and pavilion; and the renovation of multiple ballrooms and pre-function space.</w:t>
      </w:r>
    </w:p>
    <w:p>
      <w:pPr>
        <w:spacing w:after="0" w:line="184" w:lineRule="exact"/>
        <w:rPr>
          <w:rFonts w:ascii="Times New Roman" w:cs="Times New Roman" w:eastAsia="Times New Roman" w:hAnsi="Times New Roman"/>
          <w:sz w:val="18"/>
          <w:szCs w:val="18"/>
          <w:color w:val="auto"/>
        </w:rPr>
      </w:pPr>
    </w:p>
    <w:p>
      <w:pPr>
        <w:ind w:left="720" w:right="9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Brand Name Awareness. </w:t>
      </w:r>
      <w:r>
        <w:rPr>
          <w:rFonts w:ascii="Times New Roman" w:cs="Times New Roman" w:eastAsia="Times New Roman" w:hAnsi="Times New Roman"/>
          <w:sz w:val="18"/>
          <w:szCs w:val="18"/>
          <w:color w:val="auto"/>
        </w:rPr>
        <w:t>We believe the Grand Ole Opry is one of the most recognized entertainment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in 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purchased Block 21, opened our first Category 10 in November 2024, purchased a majority interest in Southern Entertainment in January 2025, began managing the Ascend Amphitheater in January 2026 and expect to begin managing the CCNB Amphitheatre in February 2026. In September 2025, the Grand Ole Opry traveled to the Royal Albert Hall in London for the first international performance in its history. Further, in 2022, we completed a strategic transaction to sell a minority interest in OEG to an affiliate of Atairos Group, Inc. (“Atairos”) and its strategic partner NBCUniversal Media, LLC, who we believe will continue to help us expand the distribution of our OEG brands.</w:t>
      </w:r>
    </w:p>
    <w:p>
      <w:pPr>
        <w:spacing w:after="0" w:line="195" w:lineRule="exact"/>
        <w:rPr>
          <w:rFonts w:ascii="Times New Roman" w:cs="Times New Roman" w:eastAsia="Times New Roman" w:hAnsi="Times New Roman"/>
          <w:sz w:val="18"/>
          <w:szCs w:val="18"/>
          <w:color w:val="auto"/>
        </w:rPr>
      </w:pPr>
    </w:p>
    <w:p>
      <w:pPr>
        <w:ind w:left="720" w:right="79" w:hanging="319"/>
        <w:spacing w:after="0" w:line="26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through the payment of dividends, in addition to investing in our assets and operations. Our dividend policy provides that we will make minimum dividends of 100% of REIT taxable income annually,</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79"/>
        <w:spacing w:after="0" w:line="282" w:lineRule="auto"/>
        <w:rPr>
          <w:sz w:val="20"/>
          <w:szCs w:val="20"/>
          <w:color w:val="auto"/>
        </w:rPr>
      </w:pPr>
      <w:r>
        <w:rPr>
          <w:rFonts w:ascii="Times New Roman" w:cs="Times New Roman" w:eastAsia="Times New Roman" w:hAnsi="Times New Roman"/>
          <w:sz w:val="18"/>
          <w:szCs w:val="18"/>
          <w:color w:val="auto"/>
        </w:rPr>
        <w:t>subject to our board of directors’ future determinations as to the amount of any distributions and the timing thereof.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our Hotel Portfolio</w:t>
      </w:r>
    </w:p>
    <w:p>
      <w:pPr>
        <w:spacing w:after="0" w:line="229" w:lineRule="exact"/>
        <w:rPr>
          <w:sz w:val="20"/>
          <w:szCs w:val="20"/>
          <w:color w:val="auto"/>
        </w:rPr>
      </w:pPr>
    </w:p>
    <w:p>
      <w:pPr>
        <w:ind w:left="60" w:right="339"/>
        <w:spacing w:after="0" w:line="256" w:lineRule="auto"/>
        <w:rPr>
          <w:sz w:val="20"/>
          <w:szCs w:val="20"/>
          <w:color w:val="auto"/>
        </w:rPr>
      </w:pPr>
      <w:r>
        <w:rPr>
          <w:rFonts w:ascii="Times New Roman" w:cs="Times New Roman" w:eastAsia="Times New Roman" w:hAnsi="Times New Roman"/>
          <w:sz w:val="18"/>
          <w:szCs w:val="18"/>
          <w:color w:val="auto"/>
        </w:rPr>
        <w:t>Our Gaylord Hotels properties and JW Marriott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and our JW Marriott properties among the leading convention hotels in the country. Our Gaylord Hotels properties are routinely recognized by many industry and commercial publications, including Gaylord Hotels being named the 2023 and 2024 STELLA Award Gold Winner for best hotel chain by Northstar Meetings Group.</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Marriott is responsible for the day-to-day management of our Gaylord Hotels properties, our JW Marriott properties, the Inn at Opryland, and the AC Hotel. We believe that our Gaylord Hotels properties and our JW Marriott properties have benefitted and will continue to benefit from Marriott’s expansive sales force and popular frequent traveler program, as well as its ability to manage group business.</w:t>
      </w:r>
    </w:p>
    <w:p>
      <w:pPr>
        <w:spacing w:after="0" w:line="180"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Based on our information and publicly available information, the top 10 non-gaming hotels within the United States with the highest square footage of self-contained exhibit and meeting space as of January 2026 are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9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Exhibit and</w:t>
            </w:r>
          </w:p>
        </w:tc>
        <w:tc>
          <w:tcPr>
            <w:tcW w:w="0" w:type="dxa"/>
            <w:vAlign w:val="bottom"/>
          </w:tcPr>
          <w:p>
            <w:pPr>
              <w:spacing w:after="0"/>
              <w:rPr>
                <w:sz w:val="1"/>
                <w:szCs w:val="1"/>
                <w:color w:val="auto"/>
              </w:rPr>
            </w:pPr>
          </w:p>
        </w:tc>
      </w:tr>
      <w:tr>
        <w:trPr>
          <w:trHeight w:val="148"/>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 (1)</w:t>
            </w:r>
          </w:p>
        </w:tc>
        <w:tc>
          <w:tcPr>
            <w:tcW w:w="160" w:type="dxa"/>
            <w:vAlign w:val="bottom"/>
          </w:tcPr>
          <w:p>
            <w:pPr>
              <w:spacing w:after="0"/>
              <w:rPr>
                <w:sz w:val="12"/>
                <w:szCs w:val="12"/>
                <w:color w:val="auto"/>
              </w:rPr>
            </w:pPr>
          </w:p>
        </w:tc>
        <w:tc>
          <w:tcPr>
            <w:tcW w:w="17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Hotel Rooms</w:t>
            </w:r>
          </w:p>
        </w:tc>
        <w:tc>
          <w:tcPr>
            <w:tcW w:w="160" w:type="dxa"/>
            <w:vAlign w:val="bottom"/>
          </w:tcPr>
          <w:p>
            <w:pPr>
              <w:spacing w:after="0"/>
              <w:rPr>
                <w:sz w:val="12"/>
                <w:szCs w:val="12"/>
                <w:color w:val="auto"/>
              </w:rPr>
            </w:pPr>
          </w:p>
        </w:tc>
        <w:tc>
          <w:tcPr>
            <w:tcW w:w="1120" w:type="dxa"/>
            <w:vAlign w:val="bottom"/>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Meeting Space</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(sq. ft.)</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Opryland Resort &amp; Convention Center</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Nashville, TN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National Resort &amp; Convention Center</w:t>
            </w: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National Harbor, MD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501,000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Texan Resort &amp; Convention Center</w:t>
            </w:r>
          </w:p>
        </w:tc>
        <w:tc>
          <w:tcPr>
            <w:tcW w:w="1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Grapevine, TX</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Palms Resort &amp; Convention Center</w:t>
            </w: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Kissimmee, FL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467,000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Rosen Shingle Creek</w:t>
            </w:r>
          </w:p>
        </w:tc>
        <w:tc>
          <w:tcPr>
            <w:tcW w:w="1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Rockies Resort &amp; Convention Center</w:t>
            </w: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Aurora, CO</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409,000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Orlando World Center Marriott</w:t>
            </w:r>
          </w:p>
        </w:tc>
        <w:tc>
          <w:tcPr>
            <w:tcW w:w="1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Hilton Anatole</w:t>
            </w: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Dallas, TX</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Pacific Resort &amp; Convention Center</w:t>
            </w:r>
          </w:p>
        </w:tc>
        <w:tc>
          <w:tcPr>
            <w:tcW w:w="1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Chula Vista, CA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Walt Disney World Dolphin</w:t>
            </w: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Orlando, FL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Bolded facilities are owned by the Company.</w:t>
      </w:r>
    </w:p>
    <w:p>
      <w:pPr>
        <w:spacing w:after="0" w:line="22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Opryland Resort &amp; Convention Center — Nashville, Tennessee. </w:t>
      </w:r>
      <w:r>
        <w:rPr>
          <w:rFonts w:ascii="Times New Roman" w:cs="Times New Roman" w:eastAsia="Times New Roman" w:hAnsi="Times New Roman"/>
          <w:sz w:val="18"/>
          <w:szCs w:val="18"/>
          <w:color w:val="auto"/>
        </w:rPr>
        <w:t>Gaylord Opryland is one of the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convention destinations in the United States based upon number of rooms, exhibit space and conventions held. Designed with lavish gardens and expansive atrium areas, the resort is situated on approximately 172 acres in the Opryland complex. Gaylord Opryland has a number of themed restaurants, retail outlets, and a full-service spa with 27,000 square feet of dedicated space. It also serves as a destination resort for vacationers due to its proximity to the Grand Ole Opry, the Ryman Auditorium, the General Jackson Showboat, Gaylord Springs Golf Links (“Gaylord Springs”) – our 18-hole championship golf course with a 40,000 square-foot clubhouse offering meeting space for up to 500 guests – and other attractions in the Nashville area. Gaylord Opryland has 2,888 signature guest rooms, six ballrooms with approximately 127,000 square feet, 106 banquet/meeting rooms, and total meeting, exhibit and pre-function space of approximately 640,000 square feet. Our ongoing plans for a nearly $225 million multi-phase capital improvement plan include the expansion of approximately 108,000 square feet of premium, carpeted meeting space; the construction of a sports bar, event lawn and pavilion; and the renovation of multiple ballrooms and pre-function space. Gaylord Opryland was named a 2024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and has been recognized as a member of </w:t>
      </w:r>
      <w:r>
        <w:rPr>
          <w:rFonts w:ascii="Times New Roman" w:cs="Times New Roman" w:eastAsia="Times New Roman" w:hAnsi="Times New Roman"/>
          <w:sz w:val="18"/>
          <w:szCs w:val="18"/>
          <w:i w:val="1"/>
          <w:iCs w:val="1"/>
          <w:color w:val="auto"/>
        </w:rPr>
        <w:t>Meeting &amp; Conventions</w:t>
      </w:r>
      <w:r>
        <w:rPr>
          <w:rFonts w:ascii="Times New Roman" w:cs="Times New Roman" w:eastAsia="Times New Roman" w:hAnsi="Times New Roman"/>
          <w:sz w:val="18"/>
          <w:szCs w:val="18"/>
          <w:color w:val="auto"/>
        </w:rPr>
        <w:t>’ Hall of Fame.</w:t>
      </w:r>
    </w:p>
    <w:p>
      <w:pPr>
        <w:spacing w:after="0" w:line="185" w:lineRule="exact"/>
        <w:rPr>
          <w:sz w:val="20"/>
          <w:szCs w:val="20"/>
          <w:color w:val="auto"/>
        </w:rPr>
      </w:pPr>
    </w:p>
    <w:p>
      <w:pPr>
        <w:jc w:val="both"/>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Palms Resort &amp; Convention Center — Kissimmee, Florida. </w:t>
      </w:r>
      <w:r>
        <w:rPr>
          <w:rFonts w:ascii="Times New Roman" w:cs="Times New Roman" w:eastAsia="Times New Roman" w:hAnsi="Times New Roman"/>
          <w:sz w:val="18"/>
          <w:szCs w:val="18"/>
          <w:color w:val="auto"/>
        </w:rPr>
        <w:t>Gaylord Palms has 1,718 signature guest rooms, five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ballrooms with approximately 115,000 square feet, 111 banquet/meeting rooms, and total meeting, exhibit and pre-function space of approximately 467,000 square feet. The resort is situated on a 65-acre site in Osceola County, Florida,</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which we have leased pursuant to a 75-year ground lease with a 24-year renewal option. The resort is approximately a five-minute drive from the main gate of the Walt Disney World® Resort complex. Gaylord Palms has a number of themed restaurants, retail outlets, a water experience, including a rapid river, and a full-service spa with 20,000 square feet of dedicated space. Hotel guests also have golf privileges at Celebration Golf Club, located approximately two miles from the property. Gaylord Palms is rated as a AAA Four-Diamond Hotel and has been recognized as a member of </w:t>
      </w:r>
      <w:r>
        <w:rPr>
          <w:rFonts w:ascii="Times New Roman" w:cs="Times New Roman" w:eastAsia="Times New Roman" w:hAnsi="Times New Roman"/>
          <w:sz w:val="18"/>
          <w:szCs w:val="18"/>
          <w:i w:val="1"/>
          <w:iCs w:val="1"/>
          <w:color w:val="auto"/>
        </w:rPr>
        <w:t>Meeting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Conventions </w:t>
      </w:r>
      <w:r>
        <w:rPr>
          <w:rFonts w:ascii="Times New Roman" w:cs="Times New Roman" w:eastAsia="Times New Roman" w:hAnsi="Times New Roman"/>
          <w:sz w:val="18"/>
          <w:szCs w:val="18"/>
          <w:color w:val="auto"/>
        </w:rPr>
        <w:t>Hall of Fame.</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Texan Resort &amp; Convention Center — Grapevine, Texas. </w:t>
      </w:r>
      <w:r>
        <w:rPr>
          <w:rFonts w:ascii="Times New Roman" w:cs="Times New Roman" w:eastAsia="Times New Roman" w:hAnsi="Times New Roman"/>
          <w:sz w:val="18"/>
          <w:szCs w:val="18"/>
          <w:color w:val="auto"/>
        </w:rPr>
        <w:t>Gaylord Texan is situated on approximately 85 acres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located approximately six minutes from the Dallas/Fort Worth International Airport. Of the 85 acres, we own 75 acres and lease approximately 10 acres pursuant to a ground lease. The hotel features a lavish and expansive atrium, 1,814 signature guest rooms, four ballrooms with approximately 115,000 square feet, 100 banquet/meeting rooms, and total meeting, exhibit and pre-function space of approximately 488,000 square feet. The property also includes a number of themed restaurants, retail outlets, a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Gaylord Texan is rated as a AAA Four-Diamond Hotel.</w:t>
      </w:r>
    </w:p>
    <w:p>
      <w:pPr>
        <w:spacing w:after="0" w:line="188"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National Resort &amp; Convention Center — National Harbor, Maryland. </w:t>
      </w:r>
      <w:r>
        <w:rPr>
          <w:rFonts w:ascii="Times New Roman" w:cs="Times New Roman" w:eastAsia="Times New Roman" w:hAnsi="Times New Roman"/>
          <w:sz w:val="18"/>
          <w:szCs w:val="18"/>
          <w:color w:val="auto"/>
        </w:rPr>
        <w:t>Gaylord National is situated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42 acres of land located on the Potomac River in Prince George’s County, Maryland, eight miles south of Washington, D.C. The hotel has 1,996 signature guest rooms, four ballrooms with approximately 103,000 square feet, 82 conference and breakout rooms, and total meeting, exhibit and pre-function space of approximately 501,000 square feet. The hotel complex includes an 18-story glass atrium, a 20,000 square foot spa and fitness center, a freestanding 29,000-square foot ballroom building offering 16,000 square feet of meeting space on the banks of the Potomac River, and entertainment options such as restaurants, shops, and a two-story rooftop nightclub. Gaylord National is rated as a AAA Four-Diamond Hotel.</w:t>
      </w:r>
    </w:p>
    <w:p>
      <w:pPr>
        <w:spacing w:after="0" w:line="185"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Gaylord Rockies Resort &amp; Convention Center — Aurora, Colorado. </w:t>
      </w:r>
      <w:r>
        <w:rPr>
          <w:rFonts w:ascii="Times New Roman" w:cs="Times New Roman" w:eastAsia="Times New Roman" w:hAnsi="Times New Roman"/>
          <w:sz w:val="17"/>
          <w:szCs w:val="17"/>
          <w:color w:val="auto"/>
        </w:rPr>
        <w:t>Gaylord Rockies is situated on approximately 85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acres and is located approximately 10 minutes from Denver International Airport. The hotel features a lavish and expansive atrium, 1,501 signature guest rooms, including 114 suites, four ballrooms with up to approximately 60,000 square feet, up to 78 breakout rooms, indoor meeting, exhibit and pre-function space of approximately 409,000 square feet, and additional outdoor meeting space of approximately 75,000 square feet. The property also includes a number of themed restaurants, retail outlets, a full-service spa, six outdoor event spaces and an indoor/outdoor pool complex. Gaylord Rockies is rated as a AAA Four-Diamond Hotel. In 2024, we completed a $98 million multi-year interior and exterior enhancement project at Gaylord Rockies to better position the property for our group customers, being recognized by Northstar Meetings Group as a 2025 STELLA Award Silver Winner for best hotel/resort renovation and a Gold Winner for best décor/design.</w:t>
      </w:r>
    </w:p>
    <w:p>
      <w:pPr>
        <w:spacing w:after="0" w:line="173"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JW Marriott San Antonio Hill Country Resort &amp; Spa — San Antonio, Texas. </w:t>
      </w:r>
      <w:r>
        <w:rPr>
          <w:rFonts w:ascii="Times New Roman" w:cs="Times New Roman" w:eastAsia="Times New Roman" w:hAnsi="Times New Roman"/>
          <w:sz w:val="18"/>
          <w:szCs w:val="18"/>
          <w:color w:val="auto"/>
        </w:rPr>
        <w:t>We purchased JW Marriott Hill Country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2023. The property is situated on approximately 600 acres in the Texan Hill Country region outside of San Antonio. The hotel features 1,002 guest rooms and indoor and outdoor meeting and event space of approximately 268,000 square feet. The property also includes eight food and beverage outlets, a full-service spa with 26,000 square feet of dedicated space, a nine-acre water experience, and TPC San Antonio, which features two 18-hole golf courses. JW Marriott Hill Country is rated as a AAA Four-Diamond Hotel and was named a 2025 STELLA Award Gold Winner for each of best hotel/resort, best hotel/resort event space, best food and beverage, and best golf resort by Northstar Meetings Group.</w:t>
      </w:r>
    </w:p>
    <w:p>
      <w:pPr>
        <w:spacing w:after="0" w:line="185"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JW Marriott Phoenix Desert Ridge Resort &amp; Spa — Phoenix, Arizona. </w:t>
      </w:r>
      <w:r>
        <w:rPr>
          <w:rFonts w:ascii="Times New Roman" w:cs="Times New Roman" w:eastAsia="Times New Roman" w:hAnsi="Times New Roman"/>
          <w:sz w:val="18"/>
          <w:szCs w:val="18"/>
          <w:color w:val="auto"/>
        </w:rPr>
        <w:t>We purchased JW Marriott Desert Ridge June 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The property is situated on approximately 402 acres of Arizona’s Sonoran Desert. The hotel features 950 guest rooms and indoor and outdoor meeting and event space of approximately 243,000 square feet. The property also includes seven food and beverage outlets, a full-service spa with 28,000 square feet of dedicated space, a 140,000 square-foot water experience, and two 18-hole golf courses. JW Marriott Desert Ridge is rated as a AAA Four-Diamond Hotel and was named a 2025 STELLA Award Bronze Winner for best golf resort by Northstar Meetings Group.</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 at Opryland. </w:t>
      </w:r>
      <w:r>
        <w:rPr>
          <w:rFonts w:ascii="Times New Roman" w:cs="Times New Roman" w:eastAsia="Times New Roman" w:hAnsi="Times New Roman"/>
          <w:sz w:val="18"/>
          <w:szCs w:val="18"/>
          <w:color w:val="auto"/>
        </w:rPr>
        <w:t>The Inn at Opryland is located across the street from Gaylord Opryland. The hotel has 303 rooms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14,000 square feet of meeting space.</w:t>
      </w:r>
    </w:p>
    <w:p>
      <w:pPr>
        <w:spacing w:after="0" w:line="15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The AC Hotel is located near Gaylord National. The hotel has 192 rooms and approximately 3,700 square feet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meeting space.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our Entertainment Portfolio</w:t>
      </w:r>
    </w:p>
    <w:p>
      <w:pPr>
        <w:spacing w:after="0" w:line="221" w:lineRule="exact"/>
        <w:rPr>
          <w:sz w:val="20"/>
          <w:szCs w:val="20"/>
          <w:color w:val="auto"/>
        </w:rPr>
      </w:pPr>
    </w:p>
    <w:p>
      <w:pPr>
        <w:ind w:left="60" w:right="13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Grand Ole Opry. </w:t>
      </w:r>
      <w:r>
        <w:rPr>
          <w:rFonts w:ascii="Times New Roman" w:cs="Times New Roman" w:eastAsia="Times New Roman" w:hAnsi="Times New Roman"/>
          <w:sz w:val="18"/>
          <w:szCs w:val="18"/>
          <w:color w:val="auto"/>
        </w:rPr>
        <w:t>The Grand Ole Opry, which celebrated its 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anniversary in 2025, is one of the most widely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known platforms for country music in the world. The Opry features a live country music show with performances every Friday and Saturday night, as well as additional weekly performances on a seasonal basis. The Grand Ole Opry House, home of the Grand Ole Opry, seats approximately 4,400 and is located in the Opryland complex. The Grand Ole Opry moved to the Opry House in 1974 from its most famous home in the Ryman Auditorium in downtown Nashville. Each week, the Grand Ole Opry is broadcast live to millions of country lifestyle consumers on radio via WSM-AM and Sirius/XM Radio and streamed on the Internet. The show has been broadcast since 1925 on WSM-AM, making it the longest running live radio program in the United States. In September 2025, the Grand Ole Opry traveled to the Royal Albert Hall in London for the first international performance in its history. In addition to performances by its members, the Grand Ole Opry presents performances by many other country music artists and other acts.</w:t>
      </w:r>
    </w:p>
    <w:p>
      <w:pPr>
        <w:spacing w:after="0" w:line="19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Ryman Auditorium. </w:t>
      </w:r>
      <w:r>
        <w:rPr>
          <w:rFonts w:ascii="Times New Roman" w:cs="Times New Roman" w:eastAsia="Times New Roman" w:hAnsi="Times New Roman"/>
          <w:sz w:val="18"/>
          <w:szCs w:val="18"/>
          <w:color w:val="auto"/>
        </w:rPr>
        <w:t>The Ryman Auditorium, which was built in 1892 and seats approximately 2,300, is designated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Historic Landmark. The former home of the Grand Ole Opry, the Ryman Auditorium was renovated and re-opened in 1994 for concerts and musical productions. The Grand Ole Opry returns to the Ryman Auditorium periodically, most recently in January 2026. Ryman Auditorium has won numerous awards, including “Theatre of the Year” by Pollstar Concert Industry Awards, “Venue of the Year” by the Country Music Association, and “Venue of the Year – Small Capacity” by the Academy of Country Music, winning each on several occasions, and was the first venue inducted into the Pollstar Live Hall of Fame.</w:t>
      </w:r>
    </w:p>
    <w:p>
      <w:pPr>
        <w:spacing w:after="0" w:line="183"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Block 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Block 21, which we purchased in 2022, is a mixed-use entertainment, lodging, office, and retail complex located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Austin, Texas. Block 21 is the home of the Austin City Limits Live at the Moody Theater (“ACL Live”), a 2,750-seat entertainment venue that serves as the filming location for the Austin City Limits television series. The Block 21 complex also includes the 251-room W Austin, which Marriott manages, the 3TEN at ACL Live club and approximately 53,000 square feet of other Class A commercial space.</w:t>
      </w:r>
    </w:p>
    <w:p>
      <w:pPr>
        <w:spacing w:after="0" w:line="179"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 Red. </w:t>
      </w:r>
      <w:r>
        <w:rPr>
          <w:rFonts w:ascii="Times New Roman" w:cs="Times New Roman" w:eastAsia="Times New Roman" w:hAnsi="Times New Roman"/>
          <w:sz w:val="18"/>
          <w:szCs w:val="18"/>
          <w:color w:val="auto"/>
        </w:rPr>
        <w:t>Since 2018, we have opened six Ole Red venues, with locations in downtown Nashville, Tennessee; Gatlinburg,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Tennessee; Orlando, Florida; Tishomingo, Oklahoma; at the Nashville International Airport; and Las Vegas, Nevada (which opened in January 2024). Each of these restaurant, bar and live music venues showcase curated country music talent alongside concert-quality production and sound capabilities.</w:t>
      </w:r>
    </w:p>
    <w:p>
      <w:pPr>
        <w:spacing w:after="0" w:line="1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Category 10. </w:t>
      </w:r>
      <w:r>
        <w:rPr>
          <w:rFonts w:ascii="Times New Roman" w:cs="Times New Roman" w:eastAsia="Times New Roman" w:hAnsi="Times New Roman"/>
          <w:sz w:val="18"/>
          <w:szCs w:val="18"/>
          <w:color w:val="auto"/>
        </w:rPr>
        <w:t>In November 2024, we opened Category 10 Nashville after renovating and repositioning the Wildhorse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Saloon, our country music performance venue in downtown Nashville. This 67,000 square foot, three-story venue includes a concert hall available for ticketed events, a honky-tonk, a sports bar, an upscale lounge, the largest rooftop venue in downtown Nashville, and numerous food and beverage options. We are currently renovating a location in Las Vegas, Nevada for an additional Category 10 on the Las Vegas strip that we anticipate to open in late 2026, and we recently announced the development of a third location located at Universal Orlando Resort’s CityWalk anticipated to open in late 2027.</w:t>
      </w:r>
    </w:p>
    <w:p>
      <w:pPr>
        <w:spacing w:after="0" w:line="183" w:lineRule="exact"/>
        <w:rPr>
          <w:sz w:val="20"/>
          <w:szCs w:val="20"/>
          <w:color w:val="auto"/>
        </w:rPr>
      </w:pPr>
    </w:p>
    <w:p>
      <w:pPr>
        <w:ind w:left="60" w:right="9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Southern Entertainment. </w:t>
      </w:r>
      <w:r>
        <w:rPr>
          <w:rFonts w:ascii="Times New Roman" w:cs="Times New Roman" w:eastAsia="Times New Roman" w:hAnsi="Times New Roman"/>
          <w:sz w:val="17"/>
          <w:szCs w:val="17"/>
          <w:color w:val="auto"/>
        </w:rPr>
        <w:t>In January 2025, we purchased a majority and controlling equity interest in Southern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Entertainment, a Charlotte, North Carolina-based national music festival and events production company.</w:t>
      </w:r>
    </w:p>
    <w:p>
      <w:pPr>
        <w:spacing w:after="0" w:line="13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Ascend Amphitheater. </w:t>
      </w:r>
      <w:r>
        <w:rPr>
          <w:rFonts w:ascii="Times New Roman" w:cs="Times New Roman" w:eastAsia="Times New Roman" w:hAnsi="Times New Roman"/>
          <w:sz w:val="18"/>
          <w:szCs w:val="18"/>
          <w:color w:val="auto"/>
        </w:rPr>
        <w:t>In January 2026, we began managing the Ascend Amphitheater, a 6,800-seat amphitheater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downtown Nashville, under an initial ten-year management agreement. As part of the agreement, we committed to invest a minimum of $12 million in capital expenditures to enhance all aspects of the amphitheater as well as an adjacent public greenway.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CCNB Amphitheatre. </w:t>
      </w:r>
      <w:r>
        <w:rPr>
          <w:rFonts w:ascii="Times New Roman" w:cs="Times New Roman" w:eastAsia="Times New Roman" w:hAnsi="Times New Roman"/>
          <w:sz w:val="18"/>
          <w:szCs w:val="18"/>
          <w:color w:val="auto"/>
        </w:rPr>
        <w:t>In February 2026, the City of Simpsonville, South Carolina selected our bid to operate the CCNB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Amphitheatre, a 14,000-seat venue outside Greenville, South Carolina. We expect to enter into an initial eleven-year management agreement with the City of Simpsonville to manage the venue. As part of the agreement, we anticipate that we will commit to invest a minimum of $6 million in capital expenditures to enhance all aspects of the venue.</w:t>
      </w:r>
    </w:p>
    <w:p>
      <w:pPr>
        <w:spacing w:after="0" w:line="176"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WSM-AM. </w:t>
      </w:r>
      <w:r>
        <w:rPr>
          <w:rFonts w:ascii="Times New Roman" w:cs="Times New Roman" w:eastAsia="Times New Roman" w:hAnsi="Times New Roman"/>
          <w:sz w:val="18"/>
          <w:szCs w:val="18"/>
          <w:color w:val="auto"/>
        </w:rPr>
        <w:t>WSM-AM commenced broadcasting in 1925. The involvement of Ryman’s predecessors with country music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dates back to the creation of the radio program that became The Grand Ole Opry, which has been broadcast live on WSM-AM since 1925. WSM-AM is broadcast from the Grand Ole Opry House plaza in Nashville and has a country music format. WSM-AM is one of the nation’s “clear channel” stations, meaning that no other station in a 750-mile radius uses the same frequency for night time broadcasts. As a result, the station’s signal, transmitted by a 50,000-watt transmitter, can be heard at night in much of the United States and parts of Canada.</w:t>
      </w:r>
    </w:p>
    <w:p>
      <w:pPr>
        <w:spacing w:after="0" w:line="182"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General Jackson Showboat. </w:t>
      </w:r>
      <w:r>
        <w:rPr>
          <w:rFonts w:ascii="Times New Roman" w:cs="Times New Roman" w:eastAsia="Times New Roman" w:hAnsi="Times New Roman"/>
          <w:sz w:val="18"/>
          <w:szCs w:val="18"/>
          <w:color w:val="auto"/>
        </w:rPr>
        <w:t>OEG owns the General Jackson Showboat, a 300-foot, four-deck paddle wheel showboat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Cumberland River, which flows past the Gaylord Opryland complex in Nashville. Its Victorian Theatre can seat 600 people for banquets and 1,000 people for theater-style presentations. The showboat stages Broadway-style shows and other theatrical productions. The General Jackson is one of many sources of entertainment that is available to conventions held at Gaylord Opryland. During the day, it operates cruises, primarily serving tourists visiting the Gaylord Opryland complex and the Nashville area. Marriott manages the day-to-day operations of the General Jackson.</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left="60" w:right="519"/>
        <w:spacing w:after="0" w:line="261" w:lineRule="auto"/>
        <w:rPr>
          <w:sz w:val="20"/>
          <w:szCs w:val="20"/>
          <w:color w:val="auto"/>
        </w:rPr>
      </w:pPr>
      <w:r>
        <w:rPr>
          <w:rFonts w:ascii="Times New Roman" w:cs="Times New Roman" w:eastAsia="Times New Roman" w:hAnsi="Times New Roman"/>
          <w:sz w:val="18"/>
          <w:szCs w:val="18"/>
          <w:color w:val="auto"/>
        </w:rPr>
        <w:t>Our Corporate and Other segment includes operating and general and administrative expenses related to the overall management of the Company which are not allocated to the other reportable segments, including certain costs for our retirement plans, equity-based compensation plans, information technology, human resources, accounting, and other administrative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were originally incorporated in 1956 and were reorganized in connection with a 1997 corporate restructuring. Prior to our REIT conversion, we operated as a C corporation. In 2012, we completed restructuring transactions intended to facilitate our qualification as a REIT for federal income tax purposes, which included the merger, effective on October 1, 2012, of our predecessor, Gaylord, with and into its wholly-owned subsidiary, Ryman, with Ryman surviving the merger, at which time Ryman succeeded to and began conducting, directly or indirectly, all of the business conducted by Gaylord immediately prior to the merger. Prior to Marriott’s assumption of the day-to-day management of our hotels and certain of our Nashville attractions, we managed such assets. We elected REIT status effective January 1, 2013.</w:t>
      </w:r>
    </w:p>
    <w:p>
      <w:pPr>
        <w:spacing w:after="0" w:line="18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All of our assets are held by, and all of our operations are conducted through, RHP Hotel Properties, LP, a Delaware limited partnership (the “Operating Partnership”), of which we own, directly or indirectly, 99.4% of the partnership interests (collectively, the “OP Units”), including all of the general partnership interests. The Operating Partnership’s limited partnership agreement provides that the OP Units held by other persons may be exchanged on a one-for-one basis for shares of our common stock. Under certain circumstances, we may issue such OP Units as consideration to acquire hotel properties. By offering OP Units, the seller of such hotel property could defer federal income tax on any of the seller’s gains on sale, and this tax advantage may enable us to acquire hotel properties in the future which otherwise may not be available for sale.</w:t>
      </w:r>
    </w:p>
    <w:p>
      <w:pPr>
        <w:spacing w:after="0" w:line="19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a REIT, at least 75% of our gross income for each taxable year must generally be derived from “rents from real property” or other income permitted by the Internal Revenue Code of 1986, as amended (the “Code”). To meet this requirement, our hotel properties are owned or leased by certain subsidiaries of the Operating Partnership, which are disregarded entities for federal income tax purposes, and these subsidiaries lease or sublease our hotels to our TRS lessees pursuant to leases that contain economic terms which are similar to leases between unrelated parties. The rent that we receive from our TRS lessees qualifies as “rents from real property” as long as the property is operated on behalf of our TRS lessees by a person who qualifies as an “independent contractor” (as defined in the Code) and who is, or is related to a person who is, actively engaged in the trade or business of operating “qualified lodging facilities” (as defined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in the Code) for any person unrelated to us and our TRS lessees (an “eligible independent contractor”). Our TRS lessees have engaged Marriott to manage the day-to-day operations of our hotels as an eligible independent contractor.</w:t>
      </w:r>
    </w:p>
    <w:p>
      <w:pPr>
        <w:spacing w:after="0" w:line="16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In addition, we own our Entertainment businesses in TRSs, and certain of those TRSs have engaged Marriott to manage their assets, as described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Status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a REIT, we generally are not subject to corporate federal income tax on that portion of our REIT taxable income that we distribute to our stockholders. In addition to the requirement that 75% of our gross income for each taxable year be derived from “rents from real property” discussed above, we are subject to other organizational and operational requirements including the requirement that we distribute at least 90% of our REIT taxable income each year and the requirement that no more than 50% in value of our outstanding shares may be owned, directly or indirectly, by five or fewer individuals (as defined in the Code to include various kinds of entities). We will be subject to federal and state income tax on our taxable income at regular corporate rates to the extent we distribute less than 100% of our REIT taxable income in any taxable year or if we fail to qualify as a REIT for federal income tax purposes in any taxable year. In that latter event, we will also not be permitted to qualify for treatment as a REIT for federal income tax purposes until the fifth year following any year in which qualification is lost. Our non-REIT operations, which consist of the activities of our TRSs that lease or sublease our hotels from the Operating Partnership, as well as businesses within our Entertainment segment, will continue to be subject, as applicable, to federal and state corporate income taxes.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create unique destination and entertainment experiences for our customers. To serve our customers, we have built a strong, people-centric corporate culture that provides opportunities for growth and improves our local communities. Providing competitive compensation and benefits to our employees is fundamental to the success of our organization. We believe that caring for the people who work in our businesses and communities leads to a more positive experience for our guests and gives us a competitive advantage in the industries in which we operate.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employ a highly engaged, high-performing and satisfied workforce.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Workforce</w:t>
      </w:r>
    </w:p>
    <w:p>
      <w:pPr>
        <w:spacing w:after="0" w:line="22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As of December 31, 2025, we employed 1,819 people, including 1,012 full-time and 807 part-time and on-call employees in our Entertainment and Corporate segments. We do not have any employees in our direct employment represented by collective bargaining agreements.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Hotels and Managed Attractions</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hotel operator, Marriott, is responsible for hiring and managing the workforce at our Gaylord Hotels properties and JW Marriott properties, as well as the Inn at Opryland, the AC Hotel, Gaylord Springs, the General Jackson and the W Austin. We receive periodic updates from Marriott concerning Marriott’s policies, and we believe they reflect our people-first approach.</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Philosophy and Culture</w:t>
      </w:r>
    </w:p>
    <w:p>
      <w:pPr>
        <w:spacing w:after="0" w:line="22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Our people-first philosophy is designed to create a workplace culture where all employees feel respected, valued and inspired. We prioritize communication to ensure our employees feel connected to our company’s goals and engaged in the communities we serve. Our commitment to an inclusive work environment is a top priority. Additionally, our benefits philosophy includes resources to help employees live happier, healthier lives, while rewarding performance and encouraging retention. In the last three years, despite rising healthcare costs, we have kept employee healthcare premium increases at or below 5%. Our people-first culture and our benefits offerings contribute to our ability to remain an employer of choice in each of our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Programs in place to reinforce our people-centric culture include, among others:</w:t>
      </w:r>
    </w:p>
    <w:p>
      <w:pPr>
        <w:spacing w:after="0" w:line="223" w:lineRule="exact"/>
        <w:rPr>
          <w:sz w:val="20"/>
          <w:szCs w:val="20"/>
          <w:color w:val="auto"/>
        </w:rPr>
      </w:pPr>
    </w:p>
    <w:p>
      <w:pPr>
        <w:ind w:left="720" w:right="119" w:hanging="319"/>
        <w:spacing w:after="0" w:line="25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Inclusion</w:t>
      </w:r>
      <w:r>
        <w:rPr>
          <w:rFonts w:ascii="Times New Roman" w:cs="Times New Roman" w:eastAsia="Times New Roman" w:hAnsi="Times New Roman"/>
          <w:sz w:val="18"/>
          <w:szCs w:val="18"/>
          <w:color w:val="auto"/>
        </w:rPr>
        <w:t>: We are committed to building an inclusive workforce through recruitment initiatives to attract, employ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 candidates from all backgrounds. We continue to focus on engaging our existing workforce through policies and programs promoting workplace inclusion, and we have also implemented online and in-person learning programs that promote the importance of this work within our organization. We have created additional opportunities for employees to be involved in this important work in our communities through our Volunteer Paid Time Off Policy where full-time employees can receive up to 8 hours of paid time off to volunteer outside the organization.</w:t>
      </w:r>
    </w:p>
    <w:p>
      <w:pPr>
        <w:spacing w:after="0" w:line="182" w:lineRule="exact"/>
        <w:rPr>
          <w:rFonts w:ascii="Times New Roman" w:cs="Times New Roman" w:eastAsia="Times New Roman" w:hAnsi="Times New Roman"/>
          <w:sz w:val="18"/>
          <w:szCs w:val="18"/>
          <w:color w:val="auto"/>
        </w:rPr>
      </w:pPr>
    </w:p>
    <w:p>
      <w:pPr>
        <w:ind w:left="720" w:right="99" w:hanging="319"/>
        <w:spacing w:after="0" w:line="28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 Equity</w:t>
      </w:r>
      <w:r>
        <w:rPr>
          <w:rFonts w:ascii="Times New Roman" w:cs="Times New Roman" w:eastAsia="Times New Roman" w:hAnsi="Times New Roman"/>
          <w:sz w:val="18"/>
          <w:szCs w:val="18"/>
          <w:color w:val="auto"/>
        </w:rPr>
        <w:t>: We conduct regular compensation studies with a third-party to make our positions competitive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 which we operate.</w:t>
      </w:r>
    </w:p>
    <w:p>
      <w:pPr>
        <w:spacing w:after="0" w:line="158" w:lineRule="exact"/>
        <w:rPr>
          <w:rFonts w:ascii="Times New Roman" w:cs="Times New Roman" w:eastAsia="Times New Roman" w:hAnsi="Times New Roman"/>
          <w:sz w:val="18"/>
          <w:szCs w:val="18"/>
          <w:color w:val="auto"/>
        </w:rPr>
      </w:pPr>
    </w:p>
    <w:p>
      <w:pPr>
        <w:ind w:left="720" w:right="79" w:hanging="319"/>
        <w:spacing w:after="0" w:line="25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Succession Planning and Performance Management</w:t>
      </w:r>
      <w:r>
        <w:rPr>
          <w:rFonts w:ascii="Times New Roman" w:cs="Times New Roman" w:eastAsia="Times New Roman" w:hAnsi="Times New Roman"/>
          <w:sz w:val="18"/>
          <w:szCs w:val="18"/>
          <w:color w:val="auto"/>
        </w:rPr>
        <w:t>: Our employees receive annual performance 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full-time, exempt and non-exempt employees set annual goals and are evaluated on these goals and core competencies. We also conduct periodic talent review processes with all departments to identify high-potential individuals and create individualized development plans. Our Performance Management tool allows employees to comment on their progress toward their goals and also allows leaders to track this progress and provide coaching and mentoring in response to their individual needs.</w:t>
      </w:r>
    </w:p>
    <w:p>
      <w:pPr>
        <w:spacing w:after="0" w:line="182" w:lineRule="exact"/>
        <w:rPr>
          <w:rFonts w:ascii="Times New Roman" w:cs="Times New Roman" w:eastAsia="Times New Roman" w:hAnsi="Times New Roman"/>
          <w:sz w:val="18"/>
          <w:szCs w:val="18"/>
          <w:color w:val="auto"/>
        </w:rPr>
      </w:pPr>
    </w:p>
    <w:p>
      <w:pPr>
        <w:ind w:left="720" w:right="179" w:hanging="319"/>
        <w:spacing w:after="0" w:line="25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Training and Development</w:t>
      </w:r>
      <w:r>
        <w:rPr>
          <w:rFonts w:ascii="Times New Roman" w:cs="Times New Roman" w:eastAsia="Times New Roman" w:hAnsi="Times New Roman"/>
          <w:sz w:val="18"/>
          <w:szCs w:val="18"/>
          <w:color w:val="auto"/>
        </w:rPr>
        <w:t>: We conduct robust onboarding, training and development for all levels of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focused on our guiding principles (Passion, Respect, Winning Attitude, Integrity, Service, Teamwork, Pride, Creativity and Fun). Through Ryman Hospitality University, we have a physical training space and an online learning portal open to all employees. Courses offered include mandatory annual workplace harassment and safety training for all levels, leadership development programs for various levels of leaders, and numerous professional skills and personal development courses for all employees. Our Spotlight leadership development program provides opportunities for managers to continue developing their skills as they grow their careers with us. We also offer opportunities for employees to network with and learn from our leaders about their unique perspectives and expertise.</w:t>
      </w:r>
    </w:p>
    <w:p>
      <w:pPr>
        <w:spacing w:after="0" w:line="188" w:lineRule="exact"/>
        <w:rPr>
          <w:rFonts w:ascii="Times New Roman" w:cs="Times New Roman" w:eastAsia="Times New Roman" w:hAnsi="Times New Roman"/>
          <w:sz w:val="18"/>
          <w:szCs w:val="18"/>
          <w:color w:val="auto"/>
        </w:rPr>
      </w:pPr>
    </w:p>
    <w:p>
      <w:pPr>
        <w:ind w:left="720" w:right="7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Engagement</w:t>
      </w:r>
      <w:r>
        <w:rPr>
          <w:rFonts w:ascii="Times New Roman" w:cs="Times New Roman" w:eastAsia="Times New Roman" w:hAnsi="Times New Roman"/>
          <w:sz w:val="18"/>
          <w:szCs w:val="18"/>
          <w:color w:val="auto"/>
        </w:rPr>
        <w:t>: The Company provides regular opportunities for employee engagement, including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where employees can hear directly from senior leadership about business performance and vision for the future. The meetings also celebrate employees demonstrating our workplace values. Weekly and monthly newsletter communications reinforce our people-centric culture, while regular communications from senior leaders ensure all employees have first-hand access to company updates between meetings. Two-way communication is encouraged through employee satisfaction surveys, senior leader-led Think Tanks and focus groups designed to solicit candid feedback from employees. In addition to our current peer-to-peer recognition program that is celebrated quarterly, we offer employee appreciation which includes the Chairman’s Award and Leadership Excellence Award. Both awards recognize exemplary performance throughout different levels of the organization. Finalists for both awards are selected by our Executive Chairman and are recognized at an annual reception.</w:t>
      </w:r>
    </w:p>
    <w:p>
      <w:pPr>
        <w:spacing w:after="0" w:line="191" w:lineRule="exact"/>
        <w:rPr>
          <w:rFonts w:ascii="Times New Roman" w:cs="Times New Roman" w:eastAsia="Times New Roman" w:hAnsi="Times New Roman"/>
          <w:sz w:val="18"/>
          <w:szCs w:val="18"/>
          <w:color w:val="auto"/>
        </w:rPr>
      </w:pPr>
    </w:p>
    <w:p>
      <w:pPr>
        <w:ind w:left="720" w:right="17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Wellbeing/Total Rewards</w:t>
      </w:r>
      <w:r>
        <w:rPr>
          <w:rFonts w:ascii="Times New Roman" w:cs="Times New Roman" w:eastAsia="Times New Roman" w:hAnsi="Times New Roman"/>
          <w:sz w:val="18"/>
          <w:szCs w:val="18"/>
          <w:color w:val="auto"/>
        </w:rPr>
        <w:t>: We offer a competitive and comprehensive pay and benefits package that meets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various needs of our employees. We continually review our programs to ensure they are cost-effective and continue to offer our employees high-quality benefit options that support their physical, emotional and financial health and promote a healthy work-life balance. Offerings include health and welfare plans for full-time employees. We offer all employees a competitive 401(k) plan with employer match, employee assistance programs offering counseling services and financial literacy, on-site wellness events and many other discounts and perks. Additionally, all employees are also eligible for annual performance-based financial bonuses. To support work/life balance, we offer a paid parental leave policy that allows eligible full-time employees who welcome a child four weeks of leave at full pay, including adoption assistance and family planning assistance for eligible employees. To support our employee development strategy, we offer tuition reimbursement for full-time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29" w:lineRule="exact"/>
        <w:rPr>
          <w:sz w:val="20"/>
          <w:szCs w:val="20"/>
          <w:color w:val="auto"/>
        </w:rPr>
      </w:pPr>
    </w:p>
    <w:p>
      <w:pPr>
        <w:ind w:left="60" w:right="99"/>
        <w:spacing w:after="0" w:line="273" w:lineRule="auto"/>
        <w:rPr>
          <w:sz w:val="20"/>
          <w:szCs w:val="20"/>
          <w:color w:val="auto"/>
        </w:rPr>
      </w:pPr>
      <w:r>
        <w:rPr>
          <w:rFonts w:ascii="Times New Roman" w:cs="Times New Roman" w:eastAsia="Times New Roman" w:hAnsi="Times New Roman"/>
          <w:sz w:val="17"/>
          <w:szCs w:val="17"/>
          <w:color w:val="auto"/>
        </w:rPr>
        <w:t>We have made sustainability a priority throughout our organization and the communities in which we operate. As our portfolio evolves over time, sustainability will continue to increase in significance as we adapt and develop existing assets. We seek to execute any future changes to our portfolio, including with respect to new development, major renovation and ongoing operations, in a socially and environmentally responsible manner. Our asset management team works directly with Marriott for the Marriott-managed properties to develop a short-term and long-term sustainability strategy. In addition, we have made firm commitments to strengthening the local communities in which we operate. The RHP Foundation was established in 2005 to formalize our charitable commitments and to help elevate our impact in these communities.</w:t>
      </w:r>
    </w:p>
    <w:p>
      <w:pPr>
        <w:spacing w:after="0" w:line="171"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 October 2025, we published our Sustainability Report, which highlights the environmental and social performance of the Company and includes ongoing initiatives and historical performance in alignment with the Global Reporting Initiative Index and the Sustainability Accounting Standards Board Real Estate Infrastructure Segment Standard. This report is available on our corporate website. The information included in, referenced to, or otherwise accessible through our website, is not incorporated by reference in, or considered to be part of, this Report on Form 10-K or any document unless expressly incorporated by reference therein.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current hotel properties compete with numerous other hotels throughout the United States and abroad, particularly the approximately 100 convention hotels that, on average, have over 1,000 rooms and a significant amount of meeting and exhibit space. We believe that competition among convention hotels is based on, among other things: (i) the hotel’s reputation, (ii) the quality of the hotel’s facility, (iii) the quality and scope of a hotel’s meeting and convention facilities and services, (iv) the desirability of a hotel’s location, (v) travel distance to a hotel for meeting attendees, (vi) a hotel facility’s accessibility to a recognized airport, (vii) the amount of entertainment and recreational options available in and in the vicinity of the hotel, (viii) service levels at the hotel, and (ix) price. Our hotels also compete against large municipal convention centers, including those in Orlando, Las Vegas, Chicago, Atlanta, Dallas, Nashville, Washington, D.C., Denver, Phoenix and San Antonio. We believe that our hotels’ expansive spaces and quality meeting and convention facilities and services provide a competitive advantage over other hotels and convention centers.</w:t>
      </w:r>
    </w:p>
    <w:p>
      <w:pPr>
        <w:spacing w:after="0" w:line="19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hotel business is management and marketing intensive. Our current hotel properties compete with other hotels throughout the United States for high-quality management and marketing personnel. We believe that Marriott’s international brand, marketing scale and ability to manage group business have improved our hotels’ competitive position. However, there can be no assurance that Marriott will be able to continue to attract and retain employees with the requisite managerial and marketing skills.</w:t>
      </w:r>
    </w:p>
    <w:p>
      <w:pPr>
        <w:spacing w:after="0" w:line="18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Additionally, as a REIT, we compete for investment opportunities in the hospitality industry, particularly the group-oriented meetings sector of the hospitality industry, with entities that may have substantially greater financial and other resources than we have. These entities generally may be able to accept more risk than we can prudently manage. Our focus on acquiring hotels in the large group meetings sector of the hospitality industry and the competition in this sector may generally limit the number of hotel properties that we are able to acquire. This competition may also increase the bargaining power of property owners seeking to sell to us, making it more difficult for us to acquire new properties on attractive terms.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OEG and its entertainment and media assets compete with all other forms of entertainment and recreational activities. The success of the Entertainment group is dependent upon certain factors beyond our control, including economic conditions, the amount of available leisure time, transportation cost, public taste, customer demand for live music and entertainment, and weather conditions.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22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Hotels. </w:t>
      </w:r>
      <w:r>
        <w:rPr>
          <w:rFonts w:ascii="Times New Roman" w:cs="Times New Roman" w:eastAsia="Times New Roman" w:hAnsi="Times New Roman"/>
          <w:sz w:val="18"/>
          <w:szCs w:val="18"/>
          <w:color w:val="auto"/>
        </w:rPr>
        <w:t>We are a party to a management agreement with Marriott for each of our Gaylord Hotels properties,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a pooling agreement with Marriott with respect to our Gaylord Hotels properties other than Gaylord Rockies, on an aggregate basis. Each of the management agreements other than Gaylord Rockies has a term expiring in 2047, with three automatic 10-year renewal periods (provided the applicable hotel has met certain performance thresholds). Each of these management agreements requires us to pay Marriott a base management fee of approximately 2% of gross revenues from the applicable property for each fiscal year or portion thereof. Additionally, the pooling agreement requires us to pay to Marriott an incentive fee of 10% of the first $15.0 million of pooled available cash flow (which is generally operating profit for the pooled hotels less an owner’s priority) plus 20% of any additional pooled available cash flow over such threshold. The owner’s priority is collectively $240 million, plus certain additional amounts, including at least 10% of certain non-routine capital expenditures and conversion work, and at least 10% of replacements of furniture, fixtures, and equipment and routine capital expenditures in excess of a reserve. If one or more of our Gaylord Hotels properties other than Gaylord Rockies were not a “pooled hotel” (i.e., if we cease to own the hotel or we lease the hotel to a third party), the thresholds used to calculate the incentive fee in the pooling agreement will be adjusted, and the incentive fee for the non-pooled hotel will be based on such hotel’s performance. The management agreements and pooling agreement also contain certain restrictions on our incurring indebtedness that encumber our Gaylord Hotels properties other than Gaylord Rockies on an individual or aggregate basis. The management agreements may be terminated earlier than the stated term if certain events occur, including the failure of Marriott to satisfy certain performance standards. The management agreements prohibit us from selling the Gaylord Hotels properties other than Gaylord Rockies to certain persons, including any person who does not, in Marriott’s reasonable judgment, have sufficient financial resources and liquidity to fulfill our obligations under the management agreements, or any person who owns a controlling interest in a hotel brand (e.g., Hilton or Hyatt) totaling at least ten full-service hotels that are not affiliated with a brand but that are marketed and operated as a collective group, if such brand or group of hotels compete with Marriott. In addition, we may not sell a Gaylord Hotels property other than Gaylord Rockies if we are then in breach of the applicable management agreement.</w:t>
      </w:r>
    </w:p>
    <w:p>
      <w:pPr>
        <w:spacing w:after="0" w:line="185"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Gaylord Rockies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manages the day-to-day operations of Gaylord Rockies pursuant to a management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requires us to pay Marriott a base management fee of approximately 3% of gross revenues of Gaylord Rockies for each fiscal year or portion thereof. This management agreement expires in 2053, with two automatic 20-year renewal periods (provided the hotel has met certain performance thresholds). Additionally, this management agreement requires us to pay Marriott an incentive fee of 20% of available cash flow (as defined in the management agreement). The owner’s priority is $81.4 million, plus certain additional amounts, including 10.75% of certain non-routine capital expenditures.</w:t>
      </w:r>
    </w:p>
    <w:p>
      <w:pPr>
        <w:spacing w:after="0" w:line="182"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JW Marriott Hill Country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manages the day-to-day operations of JW Marriott Hill Country pursuant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agreement that requires us to pay Marriott a base management fee of approximately 3.5% of gross revenues for each fiscal year or portion thereof. This management agreement expires in 2060, with three automatic 10-year renewal periods (provided the hotel has met certain performance thresholds). Additionally, this management agreement requires us to pay Marriott an incentive fee of 20% of available cash flow (as defined in the management agreement). The owner’s priority is $52.9 million, plus certain additional amounts, including 10.5% of certain non-routine capital expenditures.</w:t>
      </w:r>
    </w:p>
    <w:p>
      <w:pPr>
        <w:spacing w:after="0" w:line="182"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JW Marriott Desert Ridge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manages the day-to-day operations of JW Marriott Desert Ridge pursuant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agreement that requires us to pay Marriott a base management fee of approximately 3% of gross revenues for each fiscal year or portion thereof. This management agreement expires in 2027, with five automatic 10-year renewal periods (provided the hotel has met certain performance thresholds). Additionally, this management agreement requires us to pay Marriott an incentive fee of 20% of available cash flow (as defined in the management agreement). The owner’s priority is $34.1 million, plus certain additional amounts, including 11.5% of certain non-routine capital expenditures.</w:t>
      </w:r>
    </w:p>
    <w:p>
      <w:pPr>
        <w:spacing w:after="0" w:line="182"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 at Opryland. </w:t>
      </w:r>
      <w:r>
        <w:rPr>
          <w:rFonts w:ascii="Times New Roman" w:cs="Times New Roman" w:eastAsia="Times New Roman" w:hAnsi="Times New Roman"/>
          <w:sz w:val="18"/>
          <w:szCs w:val="18"/>
          <w:color w:val="auto"/>
        </w:rPr>
        <w:t>Marriott manages the day-to-day operations of the Inn at Opryland pursuant to a management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requires us to pay Marriott a base management fee of approximately 2% of gross revenues for each fiscal year or portion thereof. This management agreement expires in 2034, with five five-year renewal options, so long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as neither party terminates the agreement. Additionally, this management agreement requires us to pay to Marriott an incentive fee of 20% of the excess of available cash flow (as defined in the management agreement) over a certain threshold.</w:t>
      </w:r>
    </w:p>
    <w:p>
      <w:pPr>
        <w:spacing w:after="0" w:line="172"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Marriott manages the day-to-day operations of the AC Hotel pursuant to a management agreement that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pay Marriott a base management fee of 7% of gross revenues. This management agreement expires in 2040, with two ten-year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7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Nashville Attractions. </w:t>
      </w:r>
      <w:r>
        <w:rPr>
          <w:rFonts w:ascii="Times New Roman" w:cs="Times New Roman" w:eastAsia="Times New Roman" w:hAnsi="Times New Roman"/>
          <w:sz w:val="18"/>
          <w:szCs w:val="18"/>
          <w:color w:val="auto"/>
        </w:rPr>
        <w:t>Marriott manages the General Jackson and Gaylord Springs pursuant to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Each of these management agreements requires us to pay Marriott a base management fee of approximately 2% of total revenues. Additionally, the management agreements require us to pay to Marriott an incentive fee of 20% of the excess of available cash flow (as defined in the management agreements) over a certain threshold. The original term of the management agreement for the General Jackson concluded during 2023 but the management agreement includes indefinite one-year renewal options so long as neither party terminates the agreement. The management agreement for Gaylord Springs expires in 2028.</w:t>
      </w:r>
    </w:p>
    <w:p>
      <w:pPr>
        <w:spacing w:after="0" w:line="183"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 Austin. </w:t>
      </w:r>
      <w:r>
        <w:rPr>
          <w:rFonts w:ascii="Times New Roman" w:cs="Times New Roman" w:eastAsia="Times New Roman" w:hAnsi="Times New Roman"/>
          <w:sz w:val="18"/>
          <w:szCs w:val="18"/>
          <w:color w:val="auto"/>
        </w:rPr>
        <w:t>Marriott manages the day-to-day operations of the W Austin pursuant to a management agreement that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pay Marriott a base management fee of 4.0% of gross revenues. This management agreement expires in 2030, with two five-year renewal options so long as neither party terminates the agreement. Additionally, this management agreement requires us to pay to Marriott an incentive fee of 15% of incentive income (as defined in the management agreement) over a certain threshold.</w:t>
      </w:r>
    </w:p>
    <w:p>
      <w:pPr>
        <w:spacing w:after="0" w:line="183" w:lineRule="exact"/>
        <w:rPr>
          <w:sz w:val="20"/>
          <w:szCs w:val="20"/>
          <w:color w:val="auto"/>
        </w:rPr>
      </w:pPr>
    </w:p>
    <w:p>
      <w:pPr>
        <w:ind w:left="60" w:right="319"/>
        <w:spacing w:after="0" w:line="277" w:lineRule="auto"/>
        <w:rPr>
          <w:sz w:val="20"/>
          <w:szCs w:val="20"/>
          <w:color w:val="auto"/>
        </w:rPr>
      </w:pPr>
      <w:r>
        <w:rPr>
          <w:rFonts w:ascii="Times New Roman" w:cs="Times New Roman" w:eastAsia="Times New Roman" w:hAnsi="Times New Roman"/>
          <w:sz w:val="17"/>
          <w:szCs w:val="17"/>
          <w:color w:val="auto"/>
        </w:rPr>
        <w:t>Total Marriott base management fees incurred for our applicable assets during 2025, 2024 and 2023 were $52.4 million, $48.0 million and $42.8 million, respectively. Total incentive fees incurred during 2025, 2024 and 2023 were $27.4 million, $30.0 million, and $28.5 million, respectively. Management fees are presented in the accompanying financial information net of the amortization of the deferred management rights proceeds discussed further in “Note 5 – Deferred Management Rights Proceeds” to our consolidated financial statements included in this Annual Report on Form 10-K.</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Portions of our business are seasonal in nature. The group convention business at our Gaylord Hotels properties is subject to reduced levels of demand during the year-end holiday periods.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current hotel properties are subject to certain federal, state, and local governmental laws and regulations including, without limitation, capacity restrictions, labor regulations, health and safety laws and environmental regulations applicable to hotel and restaurant operations. Additionally, various federal and state laws, payment card industry security standards, and other information privacy and security standards are applicable to our hotel business. The hotels are also subject to the requirements of the Americans with Disabilities Act and similar state laws, as well as regulations pursuant thereto. We believe that our hotel properties and our attractions are in substantial compliance with such regulations. In addition, the sale of alcoholic beverages by a hotel requires a license and is subject to regulation by the applicable state and local authorities. The agencies involved have the power to limit, condition, suspend or revoke any such license, and any disciplinary action or revocation could have an adverse effect upon the results of operations of our Hospitality segment. Pursuant to management agreements with Marriott, we do not control many of these activities at our hotel properties, and we rely on Marriott to comply with all such federal, state and local governmental laws and regulations with respect to such properties. However, under the terms of our management agreements with Marriott, we may be required to bear the cost of any capital expenditures necessary to comply with a legal requirement.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WSM-AM is subject to regulation under the Communications Act of 1934, as amended. Under the Communications Act, the Federal Communications Commission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 Licenses issued for radio stations have terms of eight years. Radio broadcast licenses are renewable upon application to the FCC and in the past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FCC regulations or other violations which constitute a pattern of abuse. WSM-AM’s current radio station license will expire in August 2028; however, we are not aware of any reason why WSM-AM’s radio station license should not be renewed.</w:t>
      </w:r>
    </w:p>
    <w:p>
      <w:pPr>
        <w:spacing w:after="0" w:line="19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entertainment attractions are also subject to the requirements of the Americans with Disabilities Act and similar state laws, as well as the laws and regulatory activities and standards associated with information privacy and security and the sale of alcoholic beverages, in each case as described above. Pursuant to management agreements with Marriott, we do not control many of these activities with respect to the W Austin and the General Jackson, and we rely on Marriott to comply with all such federal, state and local governmental laws and regulations with respect to such businesses. However, under the terms of our management agreements with Marriott, we may be required to bear the cost of any capital expenditures necessary to comply with a legal requirement.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Our website address is www.rymanhp.com. We make available free of charge through our website our Annual Reports on Form 10-K, Quarterly Reports on Form 10-Q, Current Reports on Form 8-K, definitive proxy statements, and all amendments to those reports as soon as reasonably practicable after such material is electronically filed with or furnished to the Securities and Exchange Commission (the “SEC”). The information provided on our website is not part of this report, and is therefore not incorporated by reference unless such information is otherwise specifically referenced elsewhere in this report. The public may also read and copy any materials that we file with the SEC on its website at www.sec.gov.</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executive officers of the Company at January 1, 2026. All officers serve at the discretion of the Board of Directors (subject to, in the case of officers who have entered into employment agreements with the Company, the terms of such employment agreements).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AGE  ​​​</w:t>
            </w:r>
          </w:p>
        </w:tc>
        <w:tc>
          <w:tcPr>
            <w:tcW w:w="20" w:type="dxa"/>
            <w:vAlign w:val="bottom"/>
          </w:tcPr>
          <w:p>
            <w:pPr>
              <w:spacing w:after="0"/>
              <w:rPr>
                <w:sz w:val="15"/>
                <w:szCs w:val="15"/>
                <w:color w:val="auto"/>
              </w:rPr>
            </w:pPr>
          </w:p>
        </w:tc>
        <w:tc>
          <w:tcPr>
            <w:tcW w:w="62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V. Reed</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Mark Fioravanti</w:t>
            </w:r>
          </w:p>
        </w:tc>
        <w:tc>
          <w:tcPr>
            <w:tcW w:w="66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Chaffin</w:t>
            </w:r>
          </w:p>
        </w:tc>
        <w:tc>
          <w:tcPr>
            <w:tcW w:w="66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 – Hotels</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Scott J. Lynn</w:t>
            </w:r>
          </w:p>
        </w:tc>
        <w:tc>
          <w:tcPr>
            <w:tcW w:w="66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Hutcheson</w:t>
            </w:r>
          </w:p>
        </w:tc>
        <w:tc>
          <w:tcPr>
            <w:tcW w:w="66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additional information with respect to the above-named executive officers.</w:t>
      </w:r>
    </w:p>
    <w:p>
      <w:pPr>
        <w:spacing w:after="0" w:line="223"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Colin V. Reed </w:t>
      </w:r>
      <w:r>
        <w:rPr>
          <w:rFonts w:ascii="Times New Roman" w:cs="Times New Roman" w:eastAsia="Times New Roman" w:hAnsi="Times New Roman"/>
          <w:sz w:val="18"/>
          <w:szCs w:val="18"/>
          <w:color w:val="auto"/>
        </w:rPr>
        <w:t>has served as Executive Chairman of the Board of Directors since January 1, 2023 and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since April 2001. Mr. Reed previously served as the Company’s Chief Executive Officer from April 2001 through December 2022, and was first elected Chairman of the Board of Directors in May 2005. Until November 2008, and again from November 2012 to March 2015, Mr. Reed also served as President of the Company. Prior to joining the Company, Mr. Reed had served as a member of the three-executive Office of the President of Harrah’s Entertainment, Inc. (now Caesar’s Entertainment) since May 1999, and he had served as Harrah’s Chief Financial Officer since April 1997. Mr. Reed also was a director of Harrah’s from 1998 to May 2001. Mr. Reed served in a variety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of other management positions with Harrah’s and its predecessor, Holiday Corp., since 1977. Mr. Reed is a director of First Horizon National Corporation.</w:t>
      </w:r>
    </w:p>
    <w:p>
      <w:pPr>
        <w:spacing w:after="0" w:line="1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Mark Fioravanti </w:t>
      </w:r>
      <w:r>
        <w:rPr>
          <w:rFonts w:ascii="Times New Roman" w:cs="Times New Roman" w:eastAsia="Times New Roman" w:hAnsi="Times New Roman"/>
          <w:sz w:val="18"/>
          <w:szCs w:val="18"/>
          <w:color w:val="auto"/>
        </w:rPr>
        <w:t>is President and Chief Executive Officer of the Company. Mr. Fioravanti has served as President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2015, was appointed Chief Executive Officer as of January 1, 2023, and has served as a director of the Company since February 2022. Mr. Fioravanti previously served as Executive Vice President and Chief Financial Officer of the Company from August 2011 to March 2015 and as Senior Vice President and Chief Financial Officer from June 2009 to August 2011. Until June 2009, Mr. Fioravanti served as Senior Vice President of Finance and Treasurer of the Company, a position he had held since June 2007. Prior to such time, Mr. Fioravanti had served as Executive Vice President of the Company and President of ResortQuest International since March 2004. From August 2002 to March 2004, Mr. Fioravanti was the Company’s Senior Vice President of Marketing. Prior to joining the Company in August 2002, Mr. Fioravanti spent nine years in a variety of roles with casino operator Harrah’s Entertainment, Inc., where he was most recently Vice President of Finance and Administration of Harrah’s New Orleans. Mr. Fioravanti graduated from The Ohio State University, where he earned his B.S. degree. He also holds an MBA from the University of Tennessee. Mr. Fioravanti is a director of Brookdale Senior Living, Inc.</w:t>
      </w:r>
    </w:p>
    <w:p>
      <w:pPr>
        <w:spacing w:after="0" w:line="190"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Patrick Chaffin </w:t>
      </w:r>
      <w:r>
        <w:rPr>
          <w:rFonts w:ascii="Times New Roman" w:cs="Times New Roman" w:eastAsia="Times New Roman" w:hAnsi="Times New Roman"/>
          <w:sz w:val="17"/>
          <w:szCs w:val="17"/>
          <w:color w:val="auto"/>
        </w:rPr>
        <w:t>is Executive Vice President and Chief Operating Officer – Hotels of the Company, a position he has held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since May 2019. In this role, Mr. Chaffin leads our asset management function, state and local government relations, product enhancement and site selection for our hotel portfolio’s growth. From April 2018 to May 2019, he was Executive Vice President of Asset Management for the Company. From January 2013 to March 2018, he was the Senior Vice President of Asset Management. From January 2007 to December 2012, he led the strategic planning, operations analysis and investor relations functions for the Company. Prior to its sale in June 2007, Mr. Chaffin served as the head of finance for ResortQuest International, formerly a division of the Company. Prior to joining the Company in January 2005,</w:t>
      </w:r>
    </w:p>
    <w:p>
      <w:pPr>
        <w:spacing w:after="0" w:line="4" w:lineRule="exact"/>
        <w:rPr>
          <w:sz w:val="20"/>
          <w:szCs w:val="20"/>
          <w:color w:val="auto"/>
        </w:rPr>
      </w:pPr>
    </w:p>
    <w:p>
      <w:pPr>
        <w:ind w:left="60" w:right="339"/>
        <w:spacing w:after="0" w:line="255" w:lineRule="auto"/>
        <w:rPr>
          <w:sz w:val="20"/>
          <w:szCs w:val="20"/>
          <w:color w:val="auto"/>
        </w:rPr>
      </w:pPr>
      <w:r>
        <w:rPr>
          <w:rFonts w:ascii="Times New Roman" w:cs="Times New Roman" w:eastAsia="Times New Roman" w:hAnsi="Times New Roman"/>
          <w:sz w:val="18"/>
          <w:szCs w:val="18"/>
          <w:color w:val="auto"/>
        </w:rPr>
        <w:t>Mr. Chaffin worked for General Motors Corporation for 9 years serving in a variety of corporate and manufacturing positions. Mr. Chaffin earned a B.S. degree from Lipscomb University and an MBA from the Owen Graduate School of Management at Vanderbilt University.</w:t>
      </w:r>
    </w:p>
    <w:p>
      <w:pPr>
        <w:spacing w:after="0" w:line="184"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Scott J. Lynn </w:t>
      </w:r>
      <w:r>
        <w:rPr>
          <w:rFonts w:ascii="Times New Roman" w:cs="Times New Roman" w:eastAsia="Times New Roman" w:hAnsi="Times New Roman"/>
          <w:sz w:val="18"/>
          <w:szCs w:val="18"/>
          <w:color w:val="auto"/>
        </w:rPr>
        <w:t>is Executive Vice President, General Counsel and Secretary of the Company, a position he has held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From January 2013 to April 2018, he was the Company’s Senior Vice President, General Counsel and Secretary. From August 2003 to January 2013, he served as the Company’s Associate General Counsel. From May 2002 to</w:t>
      </w:r>
    </w:p>
    <w:p>
      <w:pPr>
        <w:spacing w:after="0" w:line="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August 2003, Mr. Lynn was Senior Counsel at Progeny Marketing Innovations, a subsidiary of Cendant Corporation. From August 1998 to May 2002, Mr. Lynn was an associate at the law firm of Stokes &amp; Bartholomew, P.A. Mr. Lynn is a graduate of the Vanderbilt University School of Law and Tennessee Technological University.</w:t>
      </w:r>
    </w:p>
    <w:p>
      <w:pPr>
        <w:spacing w:after="0" w:line="184"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Jennifer Hutcheson </w:t>
      </w:r>
      <w:r>
        <w:rPr>
          <w:rFonts w:ascii="Times New Roman" w:cs="Times New Roman" w:eastAsia="Times New Roman" w:hAnsi="Times New Roman"/>
          <w:sz w:val="18"/>
          <w:szCs w:val="18"/>
          <w:color w:val="auto"/>
        </w:rPr>
        <w:t>is Executive Vice President, Chief Financial Officer and Chief Accounting Officer. Ms. Hutcheson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Company’s Chief Financial Officer since March 2022. Prior to such time, she served as Executive Vice President, Corporate Controller and Chief Accounting Officer of the Company, a position she held since March 2020. From May 2018 to February 2020, she was Senior Vice President, Corporate Controller and Chief Accounting Officer. From January 2013 to April 2018, she was the Senior Vice President and Corporate Controller of the Company. From</w:t>
      </w:r>
    </w:p>
    <w:p>
      <w:pPr>
        <w:spacing w:after="0" w:line="1"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March 2006 to December 2012, she served as the Company’s Vice President of Accounting and Tax. From May 2004 to March 2006, she served as the Company’s Director of Corporate Accounting. From August 2002 to April 2004, she was the Corporate Accounting Manager at Private Business Inc. Prior to that time, she was an auditor with Ernst &amp; Young LLP and Arthur Andersen. Ms. Hutcheson, who is a certified public accountant, has a B.S. degree in accounting from Tennessee Technological University and an MBA from the Owen Graduate School of Management at Vanderbilt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ind w:left="60" w:right="139"/>
        <w:spacing w:after="0" w:line="272" w:lineRule="auto"/>
        <w:rPr>
          <w:sz w:val="20"/>
          <w:szCs w:val="20"/>
          <w:color w:val="auto"/>
        </w:rPr>
      </w:pPr>
      <w:r>
        <w:rPr>
          <w:rFonts w:ascii="Times New Roman" w:cs="Times New Roman" w:eastAsia="Times New Roman" w:hAnsi="Times New Roman"/>
          <w:sz w:val="17"/>
          <w:szCs w:val="17"/>
          <w:color w:val="auto"/>
        </w:rPr>
        <w:t>You should carefully consider the following specific risk factors as well as the other information contained or incorporated by reference in this Annual Report on Form 10-K as these are important factors, among others, that could cause our actual results to differ from our expected or historical results. It is not possible to predict or identify all such factors.</w:t>
      </w:r>
    </w:p>
    <w:p>
      <w:pPr>
        <w:spacing w:after="0" w:line="2" w:lineRule="exact"/>
        <w:rPr>
          <w:sz w:val="20"/>
          <w:szCs w:val="20"/>
          <w:color w:val="auto"/>
        </w:rPr>
      </w:pPr>
    </w:p>
    <w:p>
      <w:pPr>
        <w:ind w:left="60" w:right="299"/>
        <w:spacing w:after="0" w:line="253" w:lineRule="auto"/>
        <w:rPr>
          <w:sz w:val="20"/>
          <w:szCs w:val="20"/>
          <w:color w:val="auto"/>
        </w:rPr>
      </w:pPr>
      <w:r>
        <w:rPr>
          <w:rFonts w:ascii="Times New Roman" w:cs="Times New Roman" w:eastAsia="Times New Roman" w:hAnsi="Times New Roman"/>
          <w:sz w:val="18"/>
          <w:szCs w:val="18"/>
          <w:color w:val="auto"/>
        </w:rPr>
        <w:t>Consequently, you should not consider any such list to be a complete statement of all our potential risks or uncertainties. Some statements in the “Business” section and elsewhere in this Annual Report on Form 10-K are “forward-looking statements” and are qualified by the cautionary language regarding such statements. See “Forward-Looking Statements” above.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w:t>
      </w:r>
    </w:p>
    <w:p>
      <w:pPr>
        <w:spacing w:after="0" w:line="17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Due to federal income tax laws that restrict REITs from operating and managing hotels, we do not operate or manage the day-to-day functions of any of our hotel properties as a REIT. We lease or sublease our hotel properties to our TRS lessees, and such TRS lessees have engaged Marriott as a third-party hotel manager pursuant to hotel management agreements. Marriott manages the day-to-day operations of our Gaylord Hotels properties and JW Marriott properties, as well as the Inn at Opryland, the AC Hotel, Gaylord Springs, the W Austin and the General Jackson. We will identify third-party hotel managers to operate and manage any hotels that we acquire in the future. Our third-party hotel managers are responsible for the day-to-day management of our hotel properties, including, but not limited to, implementing significant operating decisions, setting rates for rooms and meeting space, controlling revenue and expenditures, collecting accounts receivable, and recruiting, employing and supervising employees at our hotel properties. We do not have the authority to require our third-party hotel managers to operate our hotel properties in a particular manner, although we have consent and approval rights for certain matters under our hotel management agreements with Marriott, subject to the limitations described therein. As a result, our financial condition, results of operations and our ability to service debt and make distributions to our stockholders are largely dependent on the ability of our third-party hotel managers to operate our hotel properties successfully. Any failure by our third-party hotel managers to provide quality services and amenities or to maintain and protect a quality brand name and reputation could have a negative impact on their ability to operate and manage our hotel properties successfully and could negatively impact our financial condition, results of operations and our ability to service debt and make distributions to our stockholders.</w:t>
      </w:r>
    </w:p>
    <w:p>
      <w:pPr>
        <w:spacing w:after="0" w:line="193" w:lineRule="exact"/>
        <w:rPr>
          <w:sz w:val="20"/>
          <w:szCs w:val="20"/>
          <w:color w:val="auto"/>
        </w:rPr>
      </w:pPr>
    </w:p>
    <w:p>
      <w:pPr>
        <w:jc w:val="both"/>
        <w:ind w:left="60" w:right="219"/>
        <w:spacing w:after="0" w:line="261" w:lineRule="auto"/>
        <w:rPr>
          <w:sz w:val="20"/>
          <w:szCs w:val="20"/>
          <w:color w:val="auto"/>
        </w:rPr>
      </w:pPr>
      <w:r>
        <w:rPr>
          <w:rFonts w:ascii="Times New Roman" w:cs="Times New Roman" w:eastAsia="Times New Roman" w:hAnsi="Times New Roman"/>
          <w:sz w:val="18"/>
          <w:szCs w:val="18"/>
          <w:color w:val="auto"/>
        </w:rPr>
        <w:t>We cannot assure you that our third-party hotel managers will operate and manage our hotel properties in a manner that is consistent with their obligations under the hotel management agreements, that our third-party hotel managers will not be negligent in their performance or engage in other criminal or fraudulent activity, or that they will not otherwise default on their management obligations to us.</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Even if we believe our hotel properties are being operated inefficiently or in a manner that does not result in satisfactory operational metrics, we will have limited ability to require our third-party hotel managers to change their method of operation of our hotel properties. We generally will attempt to resolve issues with third-party hotel managers through discussions and negotiations. However, if we are unable to reach satisfactory results through discussions and negotiations, we may choose to litigate the dispute or submit the matter to third-party dispute resolution or arbitration. We would be able to seek redress only if a third-party hotel manager violates the terms of the applicable hotel management agreement, and then only to the extent of the remedies provided for under the terms of the hotel management agreement. Additionally, in the event we need to replace any of our third-party hotel managers, we may experience significant business disruptions at the affected hotel properties, and may be liable, under certain circumstances, for significant damages and/or be required to make certain payments to our third-party managers.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 and management of our current hotel properties, the operation of which generates substantially all our Hospitality segment revenue, is concentrated in Marriott.</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current hotel properties, the operation of which generates substantially all our Hospitality segment revenue, are operated and managed by Marriott. As a result, our operational risk is concentrated in one third-party hotel manager, which makes us more vulnerable economically to any weakness of Marriott than if we entered into hotel management agreements with several third-party hotel managers. We cannot assure you that Marriott will satisfy its obligations to us or successfully operate and manage our current hotel properties. Any adverse developments in Marriott’s business and affairs, financial strength or ability to operate and manage our current hotel properties successfully could materially reduce our revenues and net income, which could in turn reduce the amount of distributions to our stockholders. If market recognition or the positive perception of Marriott is reduced or compromised, the goodwill associated with the Gaylord Hotels properties and JW Marriott properties in our portfolio may be adversely affected, which could materially reduce our revenues and net income, which could in turn reduce the amount of distributions to our stockholders. Additionally, we rely on the resources of and financial information provided by Marriott to report the financial results of our hotel properties. A failure by Marriott to accurately report the financial results of our hotel properties could materially affect our understanding of the hotel properties’ performance as well as our ability to accurately report on the hotel properties’ performance. Further, Marriott owns the Gaylord Hotels and JW Marriott brands and trademarks, and a failure on their part to maintain quality standards, including at any future projects that we do not own an interest in, could harm the brands and damage our business.</w:t>
      </w:r>
    </w:p>
    <w:p>
      <w:pPr>
        <w:spacing w:after="0" w:line="19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Revenue growth, cost synergies and containment strategies for our hotel operations are largely dependent on the efforts of Marriott. Historically, Marriott’s efforts to leverage its rewards program, customer channels and brands, as well as its management of demand for rooms, meeting space and banquets, resulted in revenue growth and Marriott’s efforts to reduce hotel-level costs yielded cost savings. There can be no assurance that such improvements in revenue or cost savings achieved by Marriott will continue in future periods.</w:t>
      </w:r>
    </w:p>
    <w:p>
      <w:pPr>
        <w:spacing w:after="0" w:line="179"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and other provisions in our hotel management agreements with third-party hotel managers could limit our ability to sell or lease our hotel properties or refinance our existing debt.</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hotel management agreements with Marriott contain, and we anticipate that hotel management agreements with our future third-party hotel managers will contain, restrictive covenants that limit our flexibility to sell or lease our hotel properties. For example, we may not sell or lease our current hotel properties to a competitor of Marriott (as defined in our management agreements with Marriott), and any purchaser or lessee must have, in Marriott’s judgment, sufficient financial resources and liquidity to fulfill our obligations under the hotel management agreements. Such restrictions on our ability to sell or lease our hotel properties could negatively affect the marketability of our hotel properties and restrict our ability to refinance our existing debt secured by our hotel properties.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Marriott and any future third-party hotel manager may own or operate hotels that compete with our hotel properties.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third-party hotel managers may own or operate hotels that compete with our current hotel properties and any hotel properties that we acquire, which may result in a conflict of interest. For example, Marriott and its affiliates own, have invested in, operate, and have provided credit support or operating guarantees to hotels that compete or will compete with our current hotel properties, including the Marriott Orlando World Center, which competes with Gaylord Palms, the Washington D.C. Marriott Marquis, which competes with Gaylord National, and the Gaylord Pacific Resort &amp; Convention Center (“Gaylord Pacific”), which opened in May 2025, but is not owned by us. As a result, our third-party hotel managers may make decisions regarding competing hotel properties that are not or would not be in our best interest. In addition, such third-party hotel managers’ operation of other hotels may divert attention away from the operation and management of our hotel properties.</w:t>
      </w:r>
    </w:p>
    <w:p>
      <w:pPr>
        <w:spacing w:after="0" w:line="184"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concentration in the hospitality industry, and in particular the group-oriented meetings sector of the hospitality industry, exposes us to certain risks outside of our and Marriott’s control.</w:t>
      </w:r>
    </w:p>
    <w:p>
      <w:pPr>
        <w:spacing w:after="0" w:line="15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Our primary business is hotel-related, and our current hotel properties, the operation of which generates substantially all our Hospitality segment revenue, are concentrated in the group-oriented meetings sector of the hospitality industry.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Therefore, a downturn in the lodging industry, in general, and the group-oriented meetings sector, in particular, would have a material adverse effect on our financial condition, results of operations, the market price of our common stock and our ability to service debt and make distributions to our stockholders. Additionally, our group room rates may be contracted several years in advance, and we are subject to increases in operating costs over time that may not be offset by these group room rates, which may result in reduced margins and lower financial results.</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group-oriented meetings sector has suffered, and may in the future suffer, as a result of pandemic or epidemic disease outbreaks, and while we believe meeting planners would, in the case of widespread or severe outbreaks of pandemic or epidemic disease, rebook large group meetings to future periods, there can be no assurance as to the timing and pace of any recovery.</w:t>
      </w:r>
    </w:p>
    <w:p>
      <w:pPr>
        <w:spacing w:after="0" w:line="18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ability of Marriott to successfully operate and manage our current hotel properties and convention business is subject to factors beyond our and their control, which could reduce the revenue and operating income of these properties. These factors include:</w:t>
      </w:r>
    </w:p>
    <w:p>
      <w:pPr>
        <w:spacing w:after="0" w:line="176" w:lineRule="exact"/>
        <w:rPr>
          <w:sz w:val="20"/>
          <w:szCs w:val="20"/>
          <w:color w:val="auto"/>
        </w:rPr>
      </w:pPr>
    </w:p>
    <w:p>
      <w:pPr>
        <w:ind w:left="720" w:right="39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desirability and perceived attractiveness of the Nashville, Tennessee; Orlando, Florida; Dallas, Texas; San Antonio, Texas; Washington D.C.; Denver, Colorado; and Phoenix, Arizona areas as tourist and convention destinations;</w:t>
      </w:r>
    </w:p>
    <w:p>
      <w:pPr>
        <w:spacing w:after="0" w:line="17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national economy, its effects on us and our customers and in the levels of tourism and convention business that affect our current hotel properties;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attract group convention business;</w:t>
      </w:r>
    </w:p>
    <w:p>
      <w:pPr>
        <w:spacing w:after="0" w:line="225"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contract for and collect attrition and cancellation fees from groups that do not fulfill minimum stay or spending requirements;</w:t>
      </w:r>
    </w:p>
    <w:p>
      <w:pPr>
        <w:spacing w:after="0" w:line="161"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other new hotels could impact the group convention business at our current hotel properties, including the May 2025 opening of Gaylord Pacific, which we do not own;</w:t>
      </w:r>
    </w:p>
    <w:p>
      <w:pPr>
        <w:spacing w:after="0" w:line="16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hotel, tourism and convention business in which our hotel properties operate, including the fact that we compete for convention business with publicly-financed civic convention centers;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susceptibility of group convention business to reduced levels of demand during the year-end holiday periods, which Marriott may not be able to offset by attracting sufficient general tourism guests;</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governmental group business, which has decreased at times in the past due to uncertainty surrounding the U.S. government budget;</w:t>
      </w:r>
    </w:p>
    <w:p>
      <w:pPr>
        <w:spacing w:after="0" w:line="16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airline and other transportation-related industries and the resulting impact on travel; and</w:t>
      </w:r>
    </w:p>
    <w:p>
      <w:pPr>
        <w:spacing w:after="0" w:line="161"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operating costs, including supply and labor costs associated with labor shortages, wage increases, any increases in the federal, or any state or local, minimum wage rate, workers’ compensation, healthcare-related costs, and organized labor activities, the last of which, in addition to increasing labor costs, could cause a diversion of business from our hotels involved in labor negotiations and loss of group business.</w:t>
      </w:r>
    </w:p>
    <w:p>
      <w:pPr>
        <w:spacing w:after="0" w:line="18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These factors could reduce the revenues and net operating profits of our TRS lessees, which in turn could adversely affect our financial condition, results of operations, the market price of our common stock and our ability to service debt and make distributions to our stockholders.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geographic concentration of our current hotel properties subjects us to a greater degree of risk to certain factors.</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Due to the geographic concentration of our current hotel properties, we are subject to a greater degree of risk to factors including:</w:t>
      </w:r>
    </w:p>
    <w:p>
      <w:pPr>
        <w:spacing w:after="0" w:line="162"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air passenger travel due to higher ticket costs or fears concerning air travel;</w:t>
      </w:r>
    </w:p>
    <w:p>
      <w:pPr>
        <w:spacing w:after="0" w:line="22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attractiveness of the areas in which our hotels are located as a convention and tourism destination;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convention and meeting business at any of our properties.</w:t>
      </w:r>
    </w:p>
    <w:p>
      <w:pPr>
        <w:spacing w:after="0" w:line="22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Any of these could negatively affect our financial condition, results of operations and our ability to service debt and make distributions to our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our financial condition and results from operations.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Inflation, which rose to levels not experienced in recent decades, has caused, and could continue to cause, broad price increases. A prolonged inflationary environment, and any fiscal, monetary or other policy interventions by the U.S. government or the Federal Reserve in reaction to such an environment, including increases in federal interest rates, could adversely affect our operating costs, customer spending and bookings, and ability to access the debt markets on favorable terms. If the cost to operate and maintain our hotels and other properties increases faster or at a rate greater than our ability to pass on costs by increasing amounts charged to guests and customers, our financial condition, results of operations and cash flows could be materially and adversely affected.</w:t>
      </w:r>
    </w:p>
    <w:p>
      <w:pPr>
        <w:spacing w:after="0" w:line="185"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hotel business is capital-intensive, and our inability to obtain financing or successfully complete acquisitions or capital improvements, or mitigate the disruption associated with them, could limit our growth or impact our performance.</w:t>
      </w:r>
    </w:p>
    <w:p>
      <w:pPr>
        <w:spacing w:after="0" w:line="175"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Acquisitions of hotels will require significant capital expenditures, and hotels that we acquire may need renovations and capital improvements at the time of acquisition. All of our hotel properties will require periodic capital expenditures and renovation to remain competitive. We may also undertake hotel expansions or new features at our existing hotel properties that involve significant capital expenditures, such as our ongoing Gaylord Opryland expansion. If any hotels that we acquire are subject to franchise agreements, the franchisors of these hotels may also require periodic capital improvements as a condition to our maintaining the franchise licenses. We may not be able to fund capital improvements or acquisitions solely from cash provided from our operating activities because we must distribute at least 90% of our REIT taxable income (determined before the deduction for dividends paid and net of capital gains) each year to maintain our qualification as a REIT for federal income tax purposes. As a result, our ability to fund acquisitions or capital expenditures through any retained earnings or operating cash flow will be limited. Consequently, we will rely upon the availability of debt or equity capital to fund hotel acquisitions and improvements. Our ability to grow through acquisitions will be limited if we cannot obtain satisfactory debt or equity financing, which will depend on market conditions. We cannot assure you that we will be able to obtain additional equity or debt financing or that we will be able to obtain such financing on favorable terms.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capital improvements may give rise to the following risks:</w:t>
      </w:r>
    </w:p>
    <w:p>
      <w:pPr>
        <w:spacing w:after="0" w:line="225"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environmental problems;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 overruns and delays, including those associated with the availability of material and labor;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revenues will be reduced while rooms, restaurants or other facilities are out of service due to capital improvement projects;</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shortage of available cash to fund capital improvements and the related possibility that financing for these capital improvements may not be available to us on attractive terms;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market demand or a loss of market demand after capital improvements have begun.</w:t>
      </w:r>
    </w:p>
    <w:p>
      <w:pPr>
        <w:spacing w:after="0" w:line="22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costs of renovations and capital improvements could adversely affect our financial condition, results of operations, the market price of our common stock and our ability to service debt and make distributions to our stockholders.</w:t>
      </w:r>
    </w:p>
    <w:p>
      <w:pPr>
        <w:spacing w:after="0" w:line="158"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TRS lessee structure subjects us to the risk of increased hotel operating expenses and the inability of our TRS lessees to make lease payments to us.</w:t>
      </w:r>
    </w:p>
    <w:p>
      <w:pPr>
        <w:spacing w:after="0" w:line="15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Our leases with our TRS lessees require our TRS lessees to make lease payments to us based in part on gross revenues from our hotel properties. Our operating risks include decreases in revenues at our hotel properties and increases in operating expenses at our hotel properties. Decreases in revenues or increases in operating expenses could adversely affect our TRS lessees’ ability to make lease payments due under the leases, including, but not limited to, increases in wage and benefit costs, repair and maintenance expenses, property taxes, insurance costs, supply costs and other operating expenses. Increases in those operating expenses can have a significant adverse impact on our financial condition, results of operations, the market price of our common stock, and our ability to service debt and make distributions to our stockholders.</w:t>
      </w:r>
    </w:p>
    <w:p>
      <w:pPr>
        <w:spacing w:after="0" w:line="19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our TRS lessees’ ability to make lease payments will be affected by factors beyond their control, such as changes in general economic conditions, the level of demand for hotels and the related services of our hotel properties, competition in the lodging and hospitality industry, the third-party managers’ ability to maintain and increase gross revenue at our hotel properties and other factors relating to the operations of our hotel properties.</w:t>
      </w:r>
    </w:p>
    <w:p>
      <w:pPr>
        <w:spacing w:after="0" w:line="176"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hotel manager rely on information technology in our operations, and any material failure, inadequacy, interruption, or security failure could harm our business.</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and our third-party hotel manager rely on information technology systems, including networks and the Internet, to process, transmit, and store electronic information, and to manage or support a variety of business processes, including financial transactions and records, personal identifying information, reservations, billing and operating data. Our businesses require collection of large volumes of internal and customer data, including credit card numbers and other personally identifiable information of our customers in various information systems and those of our service providers. The integrity and protection of customer, employee, and company data is critical to us. If that data is inaccurate or incomplete, we or the hotel managers could make faulty decisions. Customers and employees also have a high expectation that we and our third-party service providers and processors will adequately protect their personal information. Despite implementation of various measures designed to protect our information systems and records, including those we maintain with our service providers, we, the hotel managers and/or our third-party service providers may be subject to security breaches, system failures, viruses, operator error, employee misuse, and unauthorized or inadvertent releases of data. A significant theft, loss, or fraudulent use of customer, employee, or company data maintained by us or by a service provider or failure to comply with the various U.S. and international laws and regulations applicable to the protection of such data, including the California Consumer Privacy Act (“CCPA”), or with Payment Card Industry (PCI) data security standards, could divert our attention, adversely impact our reputation, result in remedial and other fines or litigation, cause us to incur substantial liabilities or costs, or result in a loss of valuable data or of consumer confidence. A breach in the security of our information systems or those of our service providers, or the unauthorized use of such data by us or our third-party providers, could lead to an interruption in the operation of our systems, resulting in operational inefficiencies and a loss of profits.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privacy and data security laws could increase our operating costs and increase our exposure to fines and litigation.</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are subject to numerous, complex, and frequently changing laws, regulations, and contractual obligations designed to protect personal information. Various U.S. federal and state laws, PCI security standards, and other information privacy and security standards are all applicable to us. Many states have passed laws regulating how businesses collect and use consumer personal data, and other states are considering enacting similar laws. Significant legislative, judicial or regulatory changes have been and could be issued in the future. These legal requirements are rapidly changing and are not consistent across jurisdictions. Violations of these new laws may subject us to civil monetary penalties. Compliance with changes in applicable data security and privacy laws and regulations and contractual obligations has increased, and may in the future increase, our operating costs and may restrict our business operations, increase our exposure to fines and litigation in the event of alleged noncompliance, and adversely affect our reputation. Moreover, many jurisdictions are considering and adopting regulations governing the use of artificial intelligence and machine learning applications and tools. Compliance with these regulations may be difficult or costly to implement and result in a burden on our operations that use artificial intelligence or machine learning applications and tools. Any failure or perceived failure to comply with these regulations could subject us to enforcement actions, fines, and penalties, or may adversely affect our reputation.</w:t>
      </w:r>
    </w:p>
    <w:p>
      <w:pPr>
        <w:spacing w:after="0" w:line="183"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including the failure to protect the integrity or availability of IT systems or the security of confidential information, or the introduction of malware or ransomware, could harm our business.</w:t>
      </w:r>
    </w:p>
    <w:p>
      <w:pPr>
        <w:spacing w:after="0" w:line="159"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While we have implemented security measures to safeguard our systems and data, our measures or the measures of our service providers or hotel manager may not be sufficient to maintain the confidentiality, integrity, or availability of the data collected, stored, and used to manage our businesses. Efforts to hack or circumvent security measures, efforts to gain unauthorized access to data, failure of systems or software to operate as designed or intended, viruses, “ransomware” or other malware, “supply chain” attacks, “phishing” or other types of business email compromises, operator error, or inadvertent releases of data may materially impact our information systems and records of those of our owners, licensees, service providers, or others on which we rely. Our reliance on computer, Internet-based, and mobile systems and communications, and the frequency and sophistication of efforts by third parties to gain unauthorized access to such systems, have greatly increased in recent years. Like most large multinational corporations, our hotel manager and its service providers have experienced cybersecurity incidents, and attempts to disrupt access to their systems and data or those of properties our hotel manager manages and the frequency and sophistication of such efforts could continue to increase. The rapid evolution and increased adoption of artificial intelligence technologies, by us and our third-party service providers, may also heighten our cybersecurity risks by making cybersecurity incidents more difficult to detect, contain and mitigate. We and our third-party service providers, including our third-party hotel manager, rely on cloud-based services and on remote access to information systems, which further increases our exposure to potential cybersecurity incidents. Any theft, loss, loss of access to, or fraudulent use of guest, associate, owner, licensee, or company data could adversely impact our reputation or the reputation of our hotel manager and could result in remedial and other expenses, fines, or litigation. Depending on the nature and scope of the event, compromises in the security of our information systems or those of our owners, licensees, or service providers or other disruptions in data services could lead to an interruption in the operation of our systems or our hotel manager’s systems, resulting in operational inefficiencies and a loss of profits, and negative publicity, resulting in tangible adverse effects on our business, including consumer boycotts, cancellations, lost sales or litigation, all of which could affect our market share, reputation, business, financial condition, or results of operations. These events may also cause us to incur substantial costs, including but not limited to, costs associated with remediation for or recovery of stolen assets or information, including ransom costs paid to cyber attackers, costs for sending legally required notifications to customers or other affected individuals, and increased cyber protection costs to guard against opportunities for re-occurrence of a breach. Although we or our manager carry cyber/privacy liability insurance that is designed to protect us against certain losses related to cyber risks, that insurance coverage may not be sufficient to cover all losses or all types of claims that may arise in connection with cybersecurity incidents, security compromises, and other related incidents. Furthermore, in the future such insurance may not be available on commercially reasonable terms, or at all.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assets are subject to numerous risks.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Because we own hotels and attractions properties, we are subject to the risks that generally relate to investments in real property. The investment returns available from equity investments in real estate depend in large part on the amount of income earned and capital appreciation generated by the related properties, as well as the expenses incurred. In addition, a variety of other factors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properties. When interest rates increase, the cost of acquiring, developing, expanding or renovating real property increases, particularly as the cost of borrowing increases, and real property values may decrease as the number of potential buyers decreases. Similarly, as financing becomes less available, it becomes more difficult both to acquire and to sell real property. Finally, governments can, under eminent domain laws, take real property. Sometimes this taking is for less compensation than the owner believes the property is worth. Any of these factors could have a material adverse impact on our results of operations or financial condition. In addition, equity real estate investments, such as the investments we hold and any additional properties that we may acquire, are relatively difficult to sell quickly. If our properties do not generate revenue sufficient to meet operating expenses, including debt service and capital expenditures, our income will be reduced.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properties are subject to environmental regulations that could impose significant financial liability on us.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Environmental laws, ordinances and regulations of various federal, state, local and foreign governments regulate certain of our properties and could make us liable for the costs of removing or cleaning up hazardous or toxic substances on, under or in the properties we currently own or operate or those we previously owned or operated. Those laws could impose liability without regard to whether we knew of, or were responsible for, the presence of hazardous or toxic substances. The presence of hazardous or toxic substances, or the failure to properly clean up such substances when present, could jeopardize our ability to develop, use, sell or rent the real property or to borrow using the real property as collateral. If we arrange for the disposal or treatment of hazardous or toxic wastes, we could be liable for the costs of removing or cleaning up wastes at the disposal or treatment facility, even if we never owned or operated that facility. Other laws, ordinances and regulations could require us to manage, abate or remove lead- or asbestos-containing materials. Similarly, the operation and closure of storage tanks are often regulated by federal, state, local and foreign laws. Finally, certain laws, ordinances and regulations, particularly those governing the management or preservation of wetlands, coastal zones and threatened or endangered species, could limit our ability to develop, use, sell or rent our real property. Existing governmental laws and regulations may be revised or new laws and regulations relating to climate change (including, but not limited to, required reduction of carbon emissions or energy usage), air quality or other environmental and health concerns may be adopted or become applicable to us, which could affect the operations of our hotels and/or result in significant additional expense and operating restrictions. The costs to clean up a contaminated property, to defend a claim, or to comply with environmental laws could be material and could adversely affect our financial condition, results of operations, the market price of our common stock and our ability to make distributions to our stockholders. Additionally, because we rely on third-party managers to operate our hotel properties and certain attractions, we have limited control over ensuring compliance at those locations with applicable environmental laws or regulations or approving certain remediation action taken by the manager to resolve such issues.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Americans with Disabilities Act could require us to incur substantial costs.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Under the Americans with Disabilities Act of 1990, as amended (the “ADA”), all public accommodations must meet various federal requirements related to access and use by disabled persons. Compliance with the ADA’s requirements could require removal of access barriers, and non-compliance could result in the U.S. government imposing fines or in private litigants winning damages. Although we believe that our hotel properties substantially comply with present requirements of the ADA, we may be subject to audits or investigations of, or litigation brought against, one or more of our hotels to determine our compliance, and one or more hotels may not be fully compliant with the ADA. Noncompliance with the ADA could result in the incurrence of additional costs to attain compliance. The obligation to make readily achievable accommodations is an ongoing one, and we will continue to assess our hotel properties and to make alterations as appropriate in this respect. If we are required to make substantial modifications to our hotel properties, whether to comply with the ADA or other changes in governmental rules and regulations, our financial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Times New Roman" w:cs="Times New Roman" w:eastAsia="Times New Roman" w:hAnsi="Times New Roman"/>
          <w:sz w:val="17"/>
          <w:szCs w:val="17"/>
          <w:color w:val="auto"/>
        </w:rPr>
        <w:t>condition, results of operations, the market price of our common stock and amount of cash available for debt service or distributions to our stockholders could be adversely affected. Additionally, because we rely on third-party managers to operate our hotel properties and certain attractions, we have limited control over ensuring compliance at those locations with applicable ADA requirements or approving certain remediation action taken by the manager to resolve such issues.</w:t>
      </w:r>
    </w:p>
    <w:p>
      <w:pPr>
        <w:spacing w:after="0" w:line="160"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owner of hotel properties and operator of leisure businesses, we are subject to risks relating to acts of God, outbreaks of pandemic disease, terrorist activity, geopolitical uncertainty and war.</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operating income and ability to make distributions to our stockholders may be reduced by acts of God, outbreaks of pandemic disease, or acts of terrorism in locations where we own and/or operate significant properties and areas of the world from which we draw a large number of customers. Gaylord Opryland, which is located adjacent to the Cumberland River and is protected by levees built to sustain a 100-year flood, suffered flood damage on May 3, 2010 as the river rose to levels that over-topped the levees. We have completed enhancements to the levees that protect the hotel to increase the height of the levees, and we also maintain a prudent level of flood insurance in an amount which we believe is sufficient to respond to any potential flood losses at Gaylord Opryland. While we believe these steps are reasonable given the likelihood of flood damage at Gaylord Opryland, there can be no assurances that flooding will not occur at Gaylord Opryland in the future and that actual flood losses will not be in excess of insurance limits. Some types of losses, such as from flood, earthquake, hurricane, tornado, wildfire, terrorism and environmental hazards, may be either uninsurable, subject to sublimit, or too expensive to justify fully insuring against. Should an uninsured loss or a loss in excess of insured limits occur, we could lose all or a portion of the capital we have invested in a hotel, as well as the anticipated future revenue from the hotel. In that event, we might nevertheless remain obligated for any mortgage debt or other financial obligations related to the property. Similarly, outbreaks of pandemic disease, wars or armed conflicts (including the potential for war or armed conflicts), terrorist activity (including threats of terrorist activity), political unrest and other forms of civil strife as well as geopolitical uncertainty, including increased tariffs, may cause our future results to differ materially from anticipated results.</w:t>
      </w:r>
    </w:p>
    <w:p>
      <w:pPr>
        <w:spacing w:after="0" w:line="189"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18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third-party hotel managers are responsible for hiring and maintaining the labor force at each of our hotel properties. Although we do not employ or manage employees at our hotel properties, we are subject to many of the costs and risks generally associated with the hotel labor force, including at those of our hotels with unionized labor. From time to time, hotel operations may be disrupted as a result of strikes, lockouts, public demonstrations or other negative actions and publicity. We also may incur increased legal costs and indirect labor costs as a result of contract disputes or other events. The resolution of labor disputes or re-negotiated labor contracts could lead to increased labor costs, either by increases in wages or benefits or by changes in work rules that raise hotel operating costs. Furthermore, labor agreements may limit the ability of our third-party hotel managers to reduce the size of hotel workforces during an economic downturn because collective bargaining agreements are negotiated between the third-party hotel managers and labor unions. We do not have the ability to control the outcome of these negotiations.</w:t>
      </w:r>
    </w:p>
    <w:p>
      <w:pPr>
        <w:spacing w:after="0" w:line="190"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costs could increase if we and our hotel managers cannot attract and retain talented personnel or as the result of the loss of the services of our senior executives.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and our third-party hotel managers compete with other companies both within and outside of the hospitality and entertainment industries for personnel. We and our hotel managers have experienced challenges hiring qualified personnel due to various factors, such as increasing wage expectations and competition for labor from other industries, including the current inflationary environment, and these circumstances could continue or worsen in the future to an extent and for durations that we are not able to predict. If we and our hotel managers cannot recruit, train, develop and retain sufficient numbers of associates, we could experience significant negative impacts to our operations, including low employee morale, high employee turnover and low guest satisfaction. Insufficient numbers of personnel could also limit our ability to grow and expand our businesses. Labor shortages have resulted in and could continue to result in higher wages and initial hiring costs, increasing our labor costs and those of our third-party hotel managers, which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reduce our profits and ultimately impair our ability to make distributions to our stockholders. In addition, the efforts and ability of our senior executives are important elements of maintaining our competitive position and driving future growth, and the loss of the services of one or more of our senior executives could result in challenges executing our business strategies or other adverse effects on our business.</w:t>
      </w:r>
    </w:p>
    <w:p>
      <w:pPr>
        <w:spacing w:after="0" w:line="176"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trademarks and intellectual property used in our business could reduce the value of our brand names and harm our business.</w:t>
      </w:r>
    </w:p>
    <w:p>
      <w:pPr>
        <w:spacing w:after="0" w:line="15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Third-party infringement of the Gaylord Hotels or JW Marriott marks owned by Marriott or the marks we own and use in our entertainment business, or the failure to enforce rights to the marks, could be damaging to our business.</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reputation and perception of the brands we use is critical to our success. If trademarks or intellectual property are misappropriated or used without authorization, the value of those brands, their reputation, our competitive advantages and our goodwill could be harmed. We regularly apply to register our trademarks in the United States. However, we cannot be certain that those trademark registrations will be granted or that the steps we take to protect our trademarks or intellectual property in the United States will be adequate to prevent others, including third parties or former employees, from copying or using our trademarks or intellectual property without authorization. Our intellectual property is also vulnerable to unauthorized use in some countries outside the United States, where local laws may not adequately protect it. Marriott owns and maintains the marks used in the Gaylord Hotels and JW Marriott operations and uses the brands at properties that we do not own, including Gaylord Pacific, and accordingly, we are reliant on Marriott to enforce the rights to these marks and to protect the value of those brands.</w:t>
      </w:r>
    </w:p>
    <w:p>
      <w:pPr>
        <w:spacing w:after="0" w:line="19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Monitoring the unauthorized use of our intellectual property is difficult. As we have in the past, we may need to resort to litigation to enforce our intellectual property rights. Litigation of this type could be costly, force us to divert our resources, lead to counterclaims or other claims against us, result in adverse publicity to us or otherwise harm our business. Any failure to maintain and protect trademarks and other intellectual property used in our business could reduce the value of our brands and harm our business.</w:t>
      </w:r>
    </w:p>
    <w:p>
      <w:pPr>
        <w:spacing w:after="0" w:line="179"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Illiquidity of real estate investments could significantly impede our ability to respond to adverse changes in the performance of our hotel properties and harm our financial condition.</w:t>
      </w:r>
    </w:p>
    <w:p>
      <w:pPr>
        <w:spacing w:after="0" w:line="15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Because real estate investments are relatively illiquid, our ability to promptly sell one or more of our hotel properties in response to changing economic, financial and investment conditions may be limited. The real estate market is affected by many factors that are beyond our control, including:</w:t>
      </w:r>
    </w:p>
    <w:p>
      <w:pPr>
        <w:spacing w:after="0" w:line="176"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need for capital improvements, particularly in older structures;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acts of God, including earthquakes, tornadoes, floods and other natural disasters, which may result in uninsured losses, and acts of war or terrorism, including the consequences of the terrorist acts.</w:t>
      </w:r>
    </w:p>
    <w:p>
      <w:pPr>
        <w:spacing w:after="0" w:line="162" w:lineRule="exact"/>
        <w:rPr>
          <w:sz w:val="20"/>
          <w:szCs w:val="20"/>
          <w:color w:val="auto"/>
        </w:rPr>
      </w:pPr>
    </w:p>
    <w:p>
      <w:pPr>
        <w:ind w:left="60" w:right="259"/>
        <w:spacing w:after="0" w:line="281" w:lineRule="auto"/>
        <w:rPr>
          <w:sz w:val="20"/>
          <w:szCs w:val="20"/>
          <w:color w:val="auto"/>
        </w:rPr>
      </w:pPr>
      <w:r>
        <w:rPr>
          <w:rFonts w:ascii="Times New Roman" w:cs="Times New Roman" w:eastAsia="Times New Roman" w:hAnsi="Times New Roman"/>
          <w:sz w:val="17"/>
          <w:szCs w:val="17"/>
          <w:color w:val="auto"/>
        </w:rPr>
        <w:t>We may decide in the future to sell one or more of our hotel properties. We cannot predict whether we will be able to sell any hotel property for the price or on the terms set by us, or whether any price or other terms offered by a prospective purchaser would be acceptable to us. We also cannot predict the length of time needed to find a willing purchaser and to close the sale of a hotel property. Further, as a REIT, we are subject to a 100% excise tax on net income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derived from prohibited transactions, including the sale of property (other than foreclosure property) held primarily for sale to customers in the ordinary course. There can be no assurances that the IRS will not contend that the sale of a hotel is subject to this 100% excise tax.</w:t>
      </w:r>
    </w:p>
    <w:p>
      <w:pPr>
        <w:spacing w:after="0" w:line="1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 may be required to expend funds to correct defects or to make improvements before a hotel property can be sold. We cannot assure you that we will have funds available to correct those defects or to make those improvements. In acquiring a hotel, we may agree to lock-out provisions that materially restrict us from selling that hotel for a period of time or impose other restrictions, such as a limitation on the amount of debt that can be placed or repaid on that hotel. These factors and any others that would impede our ability to respond to adverse changes in the performance of our hotel properties could have a material adverse effect on our operating results and financial condition, as well as the amount of cash available for distributions to our stockholders.</w:t>
      </w:r>
    </w:p>
    <w:p>
      <w:pPr>
        <w:spacing w:after="0" w:line="18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service debt and make distributions to our stockholders may be adversely affected by various operating risks common to the lodging industry.</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hotel properties have different economic characteristics than many other real estate assets, and a hotel REIT is structured differently than many other types of REITs. A typical office property owner, for example, has long-term leases with third-party tenants, which provide a relatively stable long-term stream of revenue. Our TRS lessees, on the other hand, do not enter into a lease with a third-party hotel manager. Instead, our TRS lessees engage our third-party managers pursuant to hotel management agreements and pay the third-party hotel managers fees for managing our hotel properties. The TRS lessees receive all the operating profit or losses at our hotel properties, net of fees and reimbursements. Moreover, virtually all hotel guests stay at a hotel for only a few nights at a time, so the rate and occupancy at each of our hotel properties may change every day. As a result, we may have highly volatile earnings.</w:t>
      </w:r>
    </w:p>
    <w:p>
      <w:pPr>
        <w:spacing w:after="0" w:line="19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 addition, our hotel properties are subject to various operating risks common to the lodging industry, many of which are beyond our or a manager’s control, including the following:</w:t>
      </w:r>
    </w:p>
    <w:p>
      <w:pPr>
        <w:spacing w:after="0" w:line="162"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hotel properties and publicly-financed civic convention centers in our markets;</w:t>
      </w:r>
    </w:p>
    <w:p>
      <w:pPr>
        <w:spacing w:after="0" w:line="225"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over-building of hotels in our markets, which could adversely affect occupancy and revenues at our hotel properties;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business and commercial travelers, including the market for large group meetings, and tourism;</w:t>
      </w:r>
    </w:p>
    <w:p>
      <w:pPr>
        <w:spacing w:after="0" w:line="22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energy costs and other expenses affecting travel, which may affect travel patterns and reduce the number of business and commercial travelers and tourists;</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but not limited to, wages and food and beverage costs, due to inflation and other factors that may not be offset by increased room rates;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use of Internet travel intermediaries by consumers;</w:t>
      </w:r>
    </w:p>
    <w:p>
      <w:pPr>
        <w:spacing w:after="0" w:line="225"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travel-related health concerns including pandemics and epidemics, political instability, regional hostilities, imposition of taxes or surcharges by regulatory authorities, travel-related accidents and unusual weather patterns, including natural disasters, such as hurricanes, earthquakes and tornadoes;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a downturn in the lodging industry;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generally associated with the ownership of hotels and real estate.</w:t>
      </w:r>
    </w:p>
    <w:p>
      <w:pPr>
        <w:spacing w:after="0" w:line="22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group room rates may be contracted several years in advance, and we are subject to increases in operating costs over time that may not be offset by these group room rates, which may result in reduced margins. Further, our disclosed future hotel bookings may not be fulfilled. These factors could reduce the net operating profits of our TRS lessees, which in turn could adversely affect the amount and frequency of distributions we make to our stockholders and our ability to service our debt.</w:t>
      </w:r>
    </w:p>
    <w:p>
      <w:pPr>
        <w:spacing w:after="0" w:line="17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suffer if we are unsuccessful in integrating JW Marriott Desert Ridge with our existing assets, and integrating JW Marriott Desert Ridge may be more difficult, costly or time-consuming than expected.</w:t>
      </w:r>
    </w:p>
    <w:p>
      <w:pPr>
        <w:spacing w:after="0" w:line="175"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If we are unable to successfully integrate JW Marriott Desert Ridge with our other assets in an efficient and effective manner, the anticipated benefits of the JW Marriott Desert Ridge transaction may not be fully realized, or at all, or may take longer to realize than expected and may not meet estimated growth projections or expectations. Further, we may not achieve the projected efficiencies and synergies once we have fully integrated JW Marriott Desert Ridge into our operations, which may lead to additional costs not anticipated at the time of the JW Marriott Desert Ridge transaction. An inability to realize the full extent of the anticipated benefits of the JW Marriott Desert Ridge transaction or any delays encountered in the integration process could have an adverse effect on our results of operations, cash flows and financial position.</w:t>
      </w:r>
    </w:p>
    <w:p>
      <w:pPr>
        <w:spacing w:after="0" w:line="19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ongoing integration of JW Marriott Desert Ridge with our other assets requires the dedication of significant management resources, which may distract management’s attention from day-to-day operations. Phoenix, Arizona is a new market for us, and our relative unfamiliarity with the market may result in our having to devote additional time and expense to gain familiarity with the market and effectively manage this asset. Many of these factors will be outside of our control and any one of them could result in delays, increased costs, decreases in revenue and diversion of management’s time and energy from ongoing business concerns, which could materially affect our results of operations, cash flows and financial position.</w:t>
      </w:r>
    </w:p>
    <w:p>
      <w:pPr>
        <w:spacing w:after="0" w:line="185"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the operations of our Entertainment segment through OEG and our ownership is subject to the terms of agreements with A-OEG Holdings, LLC, an affiliate of Atairos. Any disagreement with Atairos or its affiliate may adversely affect our interest in OEG.</w:t>
      </w:r>
    </w:p>
    <w:p>
      <w:pPr>
        <w:spacing w:after="0" w:line="17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limited liability company agreement for OEG gives A-OEG Holdings, LLC, an affiliate of Atairos (the “OEG Investor”), certain rights, including consent rights regarding certain major decisions, which may limit our flexibility with respect to OEG. The OEG Investor may have economic or other business interests or goals which are inconsistent with ours, and we could become engaged in a dispute or disagreement with them that might affect our ability to develop or operate the Entertainment business in any manner in which we see fit, thereby adversely affecting our ownership interest in OEG.</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Hospitality companies have been the target of class actions and other lawsuits alleging violations of federal and state law and other claims, and we may be subject to legal claims.</w:t>
      </w:r>
    </w:p>
    <w:p>
      <w:pPr>
        <w:spacing w:after="0" w:line="15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Our operating income and profits may be reduced by legal or governmental proceedings brought by or on behalf of our employees, customers or other third parties. In recent years, a number of hospitality companies have been subject to lawsuits, including class action lawsuits, alleging violations of federal and state law regarding workplace and employment matters, discrimination, customer privacy breaches and other alleged violations of law. A number of these lawsuits have resulted in the payment of substantial damages by the defendants. Similar lawsuits have been instituted against us from time to time and were resolved in an immaterial manner, but we cannot assure you that we will not incur substantial damages and expenses resulting from future lawsuits of this type or other claims, which could have a material adverse effect on our business, financial condition and results of operations. Additionally, because we rely on third-party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managers to operate our hotel properties and certain attractions, we have limited control over defending lawsuits of this type or other claims.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Status as a REIT</w:t>
      </w:r>
    </w:p>
    <w:p>
      <w:pPr>
        <w:spacing w:after="0" w:line="22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remain qualified as a REIT, we would be subject to tax at corporate income tax rates and would not be able to deduct distributions to stockholders when computing our taxable income.</w:t>
      </w:r>
    </w:p>
    <w:p>
      <w:pPr>
        <w:spacing w:after="0" w:line="15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If, in any taxable year, we fail to qualify for taxation as a REIT and are not entitled to relief under the Internal Revenue Code of 1986, as amended (the “Code”):</w:t>
      </w:r>
    </w:p>
    <w:p>
      <w:pPr>
        <w:spacing w:after="0" w:line="162"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to stockholders in computing our taxable income;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federal and state income tax on our taxable income at regular corporate rates.</w:t>
      </w:r>
    </w:p>
    <w:p>
      <w:pPr>
        <w:spacing w:after="0" w:line="22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such corporate tax liability could be substantial and would reduce the amount of cash available for other purposes. This adverse impact could last for five or more years. Unless we are entitled to relief under certain statutory provisions, we would be taxable as a C corporation beginning in the year in which the failure occurs, and we would not be allowed to re-elect to be taxed as a REIT for the following four years.</w:t>
      </w:r>
    </w:p>
    <w:p>
      <w:pPr>
        <w:spacing w:after="0" w:line="180"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If we fail to qualify for taxation as a REIT, we may need to borrow additional funds or liquidate certain assets to pay any additional tax liability. Accordingly, funds available for investment or distribution to stockholders would be reduced.</w:t>
      </w:r>
    </w:p>
    <w:p>
      <w:pPr>
        <w:spacing w:after="0" w:line="14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REIT qualification involves the application of highly technical and complex provisions of the Code to our operations, as well as various factual determinations concerning matters and circumstances not entirely within our control. There are limited judicial or administrative interpretations of these provisions. Although we plan to operate in a manner consistent with the REIT qualification rules, we cannot assure you that we will so qualify or remain so qualified.</w:t>
      </w:r>
    </w:p>
    <w:p>
      <w:pPr>
        <w:spacing w:after="0" w:line="176"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REIT, failure to make required distributions to our stockholders would subject us to federal and state corporate income tax.</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Prior to 2012, we had not paid a cash distribution on our common stock since 1999. Beginning in 2013 we declared, and we intend to continue to declare when appropriate, cash dividends, the amount of which will be determined, and will be subject to adjustment, by our board of directors. Our board of directors has approved a dividend policy pursuant to which we will make minimum dividends of 100% of REIT taxable income annually, subject to the board of directors’ future determinations as to the amount of any distributions and the timing thereof. Our dividend policy may be altered at any time by our board of directors, and certain provisions of our debt agreements may prohibit us from paying dividends in accordance with any policy we may adopt. To qualify as a REIT, we are generally required to distribute at least 90% of our REIT taxable income (determined without regard to the dividends paid deduction and excluding net capital gains)</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each year to our stockholders. If our cash available for distribution falls short of our estimates, we may be unable to maintain the proposed quarterly distributions that approximate our taxable income and may fail to qualify for taxation as a REIT. In addition, our cash flows from operations may be insufficient to fund required distributions as a result of differences in timing between the actual receipt of income and the recognition of income for federal and state income tax purposes, or the effect of nondeductible expenditures.</w:t>
      </w:r>
    </w:p>
    <w:p>
      <w:pPr>
        <w:spacing w:after="0" w:line="18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175"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Even though we are conducting our business as a REIT, we may be subject to certain federal, state, and local taxes on our income and assets, taxes on any undistributed income, and state or local income, franchise, property and transfer taxes. In addition, we could in certain circumstances be required to pay an excise or penalty tax, which could be significant in amount, to utilize one or more relief provisions under the Code to maintain qualification for taxation as a REIT.</w:t>
      </w:r>
    </w:p>
    <w:p>
      <w:pPr>
        <w:spacing w:after="0" w:line="164"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business related to the non-real estate assets of our Hospitality segment and the assets of our Entertainment segment is conducted through wholly-owned TRSs because these activities could generate non-qualifying REIT income as historically structured and operated. Those TRS assets and operations continue to be subject, as applicable, to federal and state corporate income taxes in the jurisdictions in which those assets and operations are located. Any of these taxes would decrease our earnings and our available cash. In addition, net operating losses in any of our TRSs generally will not provide any tax benefit, except for use against current or future taxable income in the TRSs.</w:t>
      </w:r>
    </w:p>
    <w:p>
      <w:pPr>
        <w:spacing w:after="0" w:line="18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effectively and increase the costs of our hedging and may cause us to incur tax liabilities.</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REIT provisions of the Code limit our ability to hedge liabilities. Generally, income from hedging transactions that we enter into to manage risk of interest rate changes with respect to borrowings made or to be made to acquire or carry real estate assets and income from certain currency hedging transactions related to any non-U.S. operations do not constitute “gross income” for purposes of the REIT gross income tests. To the extent that we enter into other types of hedging transactions, the income from those transactions is likely to be treated as non-qualifying income for purposes of the REIT gross income tests. As a result of these rules, we may need to limit our use of advantageous hedging techniques or implement those hedges through a TRS. This could increase the cost of our hedging activities because our TRSs would be subject to tax on income or gains resulting from hedges entered into by them or expose us to greater risks associated with changes in interest rates than we would otherwise want to bear.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other actions affecting REITs could have a negative effect on us or our stockholders.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At any time, the federal income tax laws governing REITs or the administrative interpretations of those laws may be amended. Federal and state tax laws are constantly under review by persons involved in the legislative process, the IRS, the United States Department of the Treasury and state taxing authorities. Changes to the tax laws, regulations and administrative interpretations, which may have retroactive application, could adversely affect us. We cannot predict with certainty whether, when, in what forms, or with what effective dates, the tax laws, regulations and administrative interpretations applicable to us may be changed. Accordingly, we cannot assure you that any such change will not significantly affect our ability to qualify for taxation as a REIT or the federal income tax consequences to us of such qualification.</w:t>
      </w:r>
    </w:p>
    <w:p>
      <w:pPr>
        <w:spacing w:after="0" w:line="188"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Taxation of dividend income could make our stock less attractive to certain investors and reduce the market price of our stock.</w:t>
      </w:r>
    </w:p>
    <w:p>
      <w:pPr>
        <w:spacing w:after="0" w:line="15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maximum tax rate applicable to “qualified dividend income”, which includes income from dividends paid by domestic C corporations to non-corporate stockholders, is 20.0% plus a 3.8% “Medicare tax” applicable to individuals, trusts and estates whose income exceeds certain thresholds. Dividends payable by REITs generally do not qualify for the reduced tax rate applicable to qualified dividend income. A non-corporate taxpayer, however, may deduct 20% of the ordinary dividends (e.g. dividends that are not “capital gain dividends” or “qualified dividend income”) received from a REIT. Although this deduction reduces the effective U.S. federal income tax rate applicable to certain dividends paid by REITs (which is generally 29.6% based on the current maximum U.S. federal income tax rate for individuals of 37%), this effective tax rate is still higher than the tax rate applicable to corporate dividends that constitute qualified dividend income. The more favorable tax rates applicable to regular corporate qualified dividends could cause investors who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taxed at individual rates to perceive investments in REITs to be relatively less attractive than investments in the stocks of non-REIT corporations that pay dividends, which could adversely affect the value of our stock.</w:t>
      </w:r>
    </w:p>
    <w:p>
      <w:pPr>
        <w:spacing w:after="0" w:line="158"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as a REIT, changes in federal, state, or local tax law, interpretations of existing tax law or agreements with tax authorities could affect our profitability and financial condition by increasing our tax costs or reduce the market price of our stock by making an investment in us less attractive to certain investors.</w:t>
      </w:r>
    </w:p>
    <w:p>
      <w:pPr>
        <w:spacing w:after="0" w:line="17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are subject to taxation at the federal, state and local levels in the United States. Our future tax rates could be affected by changes in the composition of earnings in jurisdictions with differing tax rates, changes in the valuation of our deferred tax assets and liabilities, or changes in determinations regarding the jurisdictions in which we are subject to tax. From time to time, the U.S. federal, state and local governments make substantive changes to tax rules and the application thereof, which could result in materially higher corporate taxes than would be incurred under existing tax law or interpretations and could adversely impact profitability. State and local tax authorities have increased their efforts to increase revenues through changes in tax law and audits. Such changes and proposals, if enacted, could increase our future effective income tax rates, as well as other taxes, including property taxes. New legislation, regulations, administrative interpretations, or court decisions could significantly and negatively affect the federal income tax consequences of an investment in us. Also, the law relating to the tax treatment of other entities, or an investment in other entities, could change, making an investment in such other entities more attractive relative to an investment in a REIT.</w:t>
      </w:r>
    </w:p>
    <w:p>
      <w:pPr>
        <w:spacing w:after="0" w:line="188"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board of directors to revoke our REIT qualification, without stockholder approval, may cause adverse consequences to our stockholders.</w:t>
      </w:r>
    </w:p>
    <w:p>
      <w:pPr>
        <w:spacing w:after="0" w:line="15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Amended and Restated Articles of Incorporation (“Charter”) provides that the board of directors may revoke or otherwise terminate the REIT election, without the approval of our stockholders, if it determines that it is no longer in our best interest to continue to qualify as a REIT. If we cease to be a REIT, we will not be allowed a tax deduction with respect to distributions to our stockholders in computing our taxable income, and we will be subject to federal and state income tax at regular corporate rates and state and local taxes, which may have adverse consequences on our stock price, distributions, and total return to our stockholders.</w:t>
      </w:r>
    </w:p>
    <w:p>
      <w:pPr>
        <w:spacing w:after="0" w:line="183"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borrow funds, sell assets, or issue equity to satisfy our REIT distribution requirements or maintain the asset ownership tests.</w:t>
      </w:r>
    </w:p>
    <w:p>
      <w:pPr>
        <w:spacing w:after="0" w:line="15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To meet the REIT distribution requirements and maintain our qualification and taxation as a REIT, we may need to borrow funds, sell assets or issue equity, even if the then-prevailing market conditions are not favorable for these borrowings, sales or offerings. Any insufficiency of our cash flows to cover our REIT distribution requirements could adversely impact our ability to raise short- and long-term debt, to sell assets, or to offer equity securities to fund distributions required to maintain our qualification and taxation as a REIT. Furthermore, the REIT distribution requirements may increase the financing we need to fund capital expenditures, future growth and expansion initiatives. This would increase our total leverage. In addition, we may distribute taxable dividends that are payable in cash and common stock at the election of each stockholder, subject to certain limitations, including that the cash portion be at least 20% of the total distribution. If we make such a taxable dividend payable in cash and common stock, taxable stockholders receiving such dividends generally will be required to include the full amount of the dividend as ordinary income. As a result, taxable stockholders may be required to pay income taxes with respect to such dividends in excess of the cash dividends received. Moreover, if a significant number of our stockholders sold shares of our common stock in order to pay taxes owed on dividends, it may put downward pressure on the trading price of our common stock. We do not currently intend to pay taxable dividends of our common stock, although we may choose to do so in the future.</w:t>
      </w:r>
    </w:p>
    <w:p>
      <w:pPr>
        <w:spacing w:after="0" w:line="19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If we fail to comply with certain REIT asset tests at the end of any calendar quarter, we must correct the failure within 30 days after the end of the calendar quarter or qualify for certain statutory relief provisions to avoid losing our REIT qualification. As a result, we may be required to liquidate otherwise attractive assets. These actions may reduce our income and amounts available for distribution to our stockholders.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flexibility or cause us to forego otherwise attractive opportunities.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Thus, compliance with these tests will require us to refrain from certain activities and may hinder our ability to make certain attractive investments, including the purchase of non-qualifying assets, the expansion of non-real estate activities, and investments in the businesses to be conducted by our TRSs, and to that extent limit our opportunities and our flexibility to change our business strategy. Furthermore, acquisition opportunities may be adversely affected if we need or require the target company to comply with certain REIT requirements prior to closing. In addition, as a REIT, we may face investor pressures to forego growth opportunities that are not immediately accretive.</w:t>
      </w:r>
    </w:p>
    <w:p>
      <w:pPr>
        <w:spacing w:after="0" w:line="1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hold our non-qualifying REIT assets in one or more TRSs. These non-qualifying REIT assets consist primarily of non-real estate assets related to our Hospitality segment and the assets related to our Entertainment segment as historically structured and operated. We conduct a significant portion of our business activities through these TRSs. Under the Code, beginning in 2026, no more than twenty-five percent (25%) of the value of the assets of a REIT may be represented by securities of one or more TRSs and other non-qualifying assets. These limitations may affect our ability to make additional investments in our Entertainment segment as historically structured and operated or in other non-REIT qualifying operations or assets. To meet our annual distribution requirements, we may be required to distribute amounts that may otherwise be used for our operations, including amounts that may otherwise be invested in future acquisitions, capital expenditures or repayment of debt, and it is possible that we might be required to borrow funds, sell assets or issue equity to fund these distributions, even if the then-prevailing market conditions are not favorable for these borrowings, sales or offerings.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planned use of TRSs may cause us to fail to qualify as a REIT.</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by our TRSs could result in adverse tax treatment. In particular, if the accumulation of cash in our TRSs causes the fair market value of our securities in our TRSs and certain other non-qualifying assets to exceed twenty-five percent (25%) of the fair market value of our assets, we would fail to qualify as a REIT.</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leases of our hotel properties to TRS lessees are not true leases for federal income tax purposes, we may fail to qualify as a REIT.</w:t>
      </w:r>
    </w:p>
    <w:p>
      <w:pPr>
        <w:spacing w:after="0" w:line="15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order for the lease payments by our TRS lessees to our property-owning subsidiaries to qualify for purposes of the gross income tests, the lease or sublease must be considered a true lease for federal income tax purposes and must not be treated as a service contract, joint venture, or some other type of arrangement. We believe we have structured our leases and subleases of our hotel properties to our TRS lessees so that the leases will be considered true leases for federal income tax purposes, but there can be no assurance that the IRS will agree with this characterization.</w:t>
      </w:r>
    </w:p>
    <w:p>
      <w:pPr>
        <w:spacing w:after="0" w:line="17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Marriott or any future third-party hotel manager fails to qualify as an “eligible independent contractor,” or if our hotels are not “qualified lodging facilities,” we may fail to qualify as a REIT.</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Rent paid by a lessee or sublessee that is a “related party tenant” of ours will not be qualifying income for purposes of the two gross income tests applicable to REITs. An exception is provided, however, for leases of “qualified lodging facilities” to a TRS so long as the hotels are managed by an “eligible independent contractor” and certain other requirements are satisfied. We lease or sublease our hotel properties to TRS lessees, and such TRS lessees have engaged Marriott as a third-party hotel manager. We believe Marriott and any other third-party hotel manager that our TRS lessees may engage in the future will qualify as “eligible independent contractors” for federal income tax purposes. Among other requirements, to qualify as an “eligible independent contractor,” the third-party hotel manager must not own, directly or through its stockholders, more than 35% of our outstanding shares, and no person or group of persons can own more than 35% of our outstanding shares and the shares (or ownership interest) of the third-party hotel manager, taking into account certain ownership attribution rules. The ownership attribution rules that apply for purposes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of these 35% thresholds are complex, and monitoring actual and constructive ownership of our shares by the third-party hotel manager and their owners may not be practical. Accordingly, there can be no assurance that these ownership limits will not be exceeded.</w:t>
      </w:r>
    </w:p>
    <w:p>
      <w:pPr>
        <w:spacing w:after="0" w:line="1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In addition, for a third-party hotel manager to qualify as an “eligible independent contractor,” such company or a related person must be actively engaged in the trade or business of operating “qualified lodging facilities” (as defined below) for one or more persons not related to the REIT or its TRSs at each time that such company enters into a hotel management contract with a TRS lessee. We believe that Marriott operates “qualified lodging facilities” for certain persons who are not related to us or our TRSs, and Marriott has agreed in the hotel management agreements that it, or its affiliates, are eligible independent contractors and will maintain such status. However, no assurances can be provided that Marriott or any other hotel managers that we may engage in the future will in fact comply with this requirement. Failure to comply with this requirement would require us to find other third-party hotel managers for future contracts, and, if we hired a third-party hotel manager without knowledge of the failure, it could jeopardize our status as a REIT.</w:t>
      </w:r>
    </w:p>
    <w:p>
      <w:pPr>
        <w:spacing w:after="0" w:line="18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Finally, each property with respect to which our TRS lessees pay rent must be a “qualified lodging facility.” A “qualified lodging facility” is a hotel, motel or other establishment more than one-half of the dwelling units in which are used on a transient basis, including customary amenities and facilities, provided that no wagering activities are conducted at or in connection with such facility by any person who is engaged in the business of accepting wagers and who is legally authorized to engage in such business at or in connection with such facility. We believe that our current hotel properties are “qualified lodging facilities.” Although we intend to monitor future acquisitions and improvements of properties, REIT provisions of the Code provide only limited guidance for making determinations under the requirements for “qualified lodging facilities,” and there can be no assurance that these requirements will be satisfied.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Capital Structure</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current and future debt instruments may limit our ability to make required distributions to our stockholders in accordance with our announced intended dividend policy.</w:t>
      </w:r>
    </w:p>
    <w:p>
      <w:pPr>
        <w:spacing w:after="0" w:line="15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credit facility imposes, and future financing agreements are likely to impose, operating and financial restrictions on our activities, including restrictions on the payment of dividends. These restrictions may prevent us from making distributions to our stockholders in accordance with our announced intended dividend policy.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Generally, our board of directors, in its sole discretion, will determine on a quarterly basis whether to pay a cash dividend and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 Consequently, our distribution levels may be minimal and may fluctuate.</w:t>
      </w:r>
    </w:p>
    <w:p>
      <w:pPr>
        <w:spacing w:after="0" w:line="18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invested in, and in the future may invest in, joint ventures, certain minority equity interests, mortgage loans, or mezzanine debt over which we may not have significant control, to or for which we may owe significant funding or obligations and for which there is no readily available market, and these investments may not be profitable.</w:t>
      </w:r>
    </w:p>
    <w:p>
      <w:pPr>
        <w:spacing w:after="0" w:line="17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may invest with third parties through partnerships, joint ventures or other entities, by acquiring non-controlling interests in or sharing responsibility for managing the affairs of a property, partnership, joint venture or other entity. Further, we may invest in mortgage loans or mezzanine financing for a property, and any such investments may be second liens and lower in priority than any first lien lender. Any of the foregoing types of investments may not be liquid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and we may have little or no rights, or ability, to exercise the direction or control of the respective enterprises. In connection with these investments, we may have obligations under certain guarantees related to such investments. The ultimate value of any debt investments, joint ventures or minority investments will be dependent upon the efforts of others over an extended period of time. The nature of our interests and the absence of a readily available market for those interests restrict our ability to dispose of them. Our lack of control over the management of any business in which we are a creditor, joint owner or minority investor and the lack of a readily available market to sell our interest in these businesses may cause us to recognize a loss on our investment in these businesses or to incur costs or liabilities that we do not control, but for which we may be required to contribute capital or satisfy financial commitments. These arrangements are subject to uncertainties and risks, including those related to credit risk, conflicting joint venture partner interests, including with respect to competition in other markets, and to our joint venture partners failing to meet their financial or other obligations.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debt could reduce our cash flow and limit our business activities.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currently have a significant amount of debt. At December 31, 2025, we had approximately $4.0 billion of total debt. We may incur additional debt in connection with acquisitions of properties or businesses, development, investment in new projects, renovations, or capital improvement.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For example, it could:</w:t>
      </w:r>
    </w:p>
    <w:p>
      <w:pPr>
        <w:spacing w:after="0" w:line="225"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make distributions to our stockholders and to fund future capital expenditures, working capital and other general corporate requirements;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hospitality industry, which may place us at a competitive disadvantage compared with competitors that are less leveraged;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even when necessary to maintain adequate liquidity; and</w:t>
      </w:r>
    </w:p>
    <w:p>
      <w:pPr>
        <w:spacing w:after="0" w:line="22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various projects, including possible expansions of our existing properties and acquisitions of additional properties.</w:t>
      </w:r>
    </w:p>
    <w:p>
      <w:pPr>
        <w:spacing w:after="0" w:line="162" w:lineRule="exact"/>
        <w:rPr>
          <w:sz w:val="20"/>
          <w:szCs w:val="20"/>
          <w:color w:val="auto"/>
        </w:rPr>
      </w:pPr>
    </w:p>
    <w:p>
      <w:pPr>
        <w:ind w:left="60" w:right="399"/>
        <w:spacing w:after="0" w:line="281" w:lineRule="auto"/>
        <w:rPr>
          <w:sz w:val="20"/>
          <w:szCs w:val="20"/>
          <w:color w:val="auto"/>
        </w:rPr>
      </w:pPr>
      <w:r>
        <w:rPr>
          <w:rFonts w:ascii="Times New Roman" w:cs="Times New Roman" w:eastAsia="Times New Roman" w:hAnsi="Times New Roman"/>
          <w:sz w:val="17"/>
          <w:szCs w:val="17"/>
          <w:color w:val="auto"/>
        </w:rPr>
        <w:t>In addition, the terms of our credit agreements allow, and instruments governing any new debt may allow, us to incur substantial amounts of additional debt subject to certain limitations. Any such additional debt could increase the risks associated with our substantial leverage. At the time any principal amount of our indebtedness is due, we may not have cash available to pay this amount, and we may not be able to refinance our indebtedness on favorable terms, or at all.</w:t>
      </w:r>
    </w:p>
    <w:p>
      <w:pPr>
        <w:spacing w:after="0" w:line="160"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refinance our debt before it matures and there is no assurance that we will be able to refinance our debt on acceptable terms.</w:t>
      </w:r>
    </w:p>
    <w:p>
      <w:pPr>
        <w:spacing w:after="0" w:line="159" w:lineRule="exact"/>
        <w:rPr>
          <w:sz w:val="20"/>
          <w:szCs w:val="20"/>
          <w:color w:val="auto"/>
        </w:rPr>
      </w:pPr>
    </w:p>
    <w:p>
      <w:pPr>
        <w:ind w:left="60" w:right="179"/>
        <w:spacing w:after="0" w:line="270" w:lineRule="auto"/>
        <w:rPr>
          <w:sz w:val="20"/>
          <w:szCs w:val="20"/>
          <w:color w:val="auto"/>
        </w:rPr>
      </w:pPr>
      <w:r>
        <w:rPr>
          <w:rFonts w:ascii="Times New Roman" w:cs="Times New Roman" w:eastAsia="Times New Roman" w:hAnsi="Times New Roman"/>
          <w:sz w:val="17"/>
          <w:szCs w:val="17"/>
          <w:color w:val="auto"/>
        </w:rPr>
        <w:t>Our ability to refinance each of our agreements governing our indebtedness on acceptable terms will be dependent upon a number of factors, including our degree of leverage, the value of our assets, borrowing restrictions which may be imposed by lenders and conditions in the credit markets at the time we refinance. Rising interest rates may make future refinancing more difficult to obtain on favorable terms. In addition, although we have previously been successful in negotiating amendments to our credit agreement, we may be unsuccessful in negotiating any further amendments or modifications to the agreements governing our indebtedness as we may deem necessary. To the extent we are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debt and pay other obligations, we will require a significant amount of cash, which may not be available to us.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ability to make payments on, repay or refinance our debt, including our obligations under our senior notes and any future debt we may incur, and to fund planned capital expenditures will depend largely upon our future operating performance and our ability to generate cash from operations. Our future performance, to a certain extent, is subject to general economic, financial, competitive, legislative, regulatory and other factors that are beyond our control. In addition, our ability to borrow funds in the future to make payments on our debt and other obligations will depend on the satisfaction of the covenants and financial ratios in our senior credit facility and our other debt agreements, including other agreements we may enter into in the future. Our business may not generate sufficient cash flow from operations or we may not have future borrowings available to us under our credit facility or from other sources in an amount sufficient to enable us to pay our debt or to fund our other liquidity needs.</w:t>
      </w:r>
    </w:p>
    <w:p>
      <w:pPr>
        <w:spacing w:after="0" w:line="184"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may limit our ability to operate our business and impair our ability to make distributions to our stockholders.</w:t>
      </w:r>
    </w:p>
    <w:p>
      <w:pPr>
        <w:spacing w:after="0" w:line="15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existing financial agreements, including our revolving and term loan B credit facilities and the indentures governing our senior unsecured notes, impose, and future financing agreements are likely to impose, operating and financial restrictions on our activities, including our ability to make distributions to any stockholder. Our credit facility has required and in the future will require us to comply with or maintain certain financial tests and ratios, including minimum fixed charge coverage ratio, minimum implied debt service coverage ratio and maximum funded debt to asset value ratio, and we expect will require us to comply with these tests in the future. Our financial agreements may prohibit or limit our ability to, among other things, in certain circumstances:</w:t>
      </w:r>
    </w:p>
    <w:p>
      <w:pPr>
        <w:spacing w:after="0" w:line="189"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issue guarantees of debt and issue preferred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equity interests in our restricted subsidiaries;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to our stockholders or repurchase our stock or other equity interests;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lines of business;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mergers and acquisitions;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restrictions on our subsidiaries’ ability to pay dividends and make other distributions to us.</w:t>
      </w:r>
    </w:p>
    <w:p>
      <w:pPr>
        <w:spacing w:after="0" w:line="225" w:lineRule="exact"/>
        <w:rPr>
          <w:sz w:val="20"/>
          <w:szCs w:val="20"/>
          <w:color w:val="auto"/>
        </w:rPr>
      </w:pPr>
    </w:p>
    <w:p>
      <w:pPr>
        <w:ind w:left="60" w:right="79"/>
        <w:spacing w:after="0" w:line="312" w:lineRule="auto"/>
        <w:rPr>
          <w:sz w:val="20"/>
          <w:szCs w:val="20"/>
          <w:color w:val="auto"/>
        </w:rPr>
      </w:pPr>
      <w:r>
        <w:rPr>
          <w:rFonts w:ascii="Times New Roman" w:cs="Times New Roman" w:eastAsia="Times New Roman" w:hAnsi="Times New Roman"/>
          <w:sz w:val="17"/>
          <w:szCs w:val="17"/>
          <w:color w:val="auto"/>
        </w:rPr>
        <w:t>If we fail to comply with these covenants, we would be in default under our credit facility and the indentures governing our senior unsecured notes, and the outstanding principal and accrued interest on such debt would become due and payable.</w:t>
      </w:r>
    </w:p>
    <w:p>
      <w:pPr>
        <w:spacing w:after="0" w:line="140" w:lineRule="exact"/>
        <w:rPr>
          <w:sz w:val="20"/>
          <w:szCs w:val="20"/>
          <w:color w:val="auto"/>
        </w:rPr>
      </w:pPr>
    </w:p>
    <w:p>
      <w:pPr>
        <w:ind w:left="60" w:right="499"/>
        <w:spacing w:after="0" w:line="289" w:lineRule="auto"/>
        <w:rPr>
          <w:sz w:val="20"/>
          <w:szCs w:val="20"/>
          <w:color w:val="auto"/>
        </w:rPr>
      </w:pPr>
      <w:r>
        <w:rPr>
          <w:rFonts w:ascii="Times New Roman" w:cs="Times New Roman" w:eastAsia="Times New Roman" w:hAnsi="Times New Roman"/>
          <w:sz w:val="17"/>
          <w:szCs w:val="17"/>
          <w:color w:val="auto"/>
        </w:rPr>
        <w:t>Various risks, uncertainties and events beyond our control could affect our ability to comply with these covenants and maintain applicable financial tests and ratios. Failure to comply with any of the covenants in our existing or future financing agreements could result in a default under those agreements and under other agreements containing cross-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default provisions. A default would permit lenders to accelerate the maturity for the debt under these agreements and to foreclose upon any collateral securing the debt, including, in the case of our existing credit facility, our subsidiaries that are the fee owners of Gaylord Opryland and Gaylord Texan, their respective direct and indirect parent entities, and the equity of Ryman Hotel Operations Holdco, LLC, a wholly-owned indirect subsidiary of the Company; and in the case of the OEG term loan, the OEG assets. Under these circumstances, we might not have sufficient funds or other resources to satisfy all of our obligations. In addition, the limitations imposed by financing agreements on our ability to pay dividends, incur additional debt and to take other actions might significantly impair our ability to obtain other financing and to make distributions to our stockholders in accordance with any dividend policy.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is secured by a substantial portion of our assets.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Subject to applicable laws and certain agreed-upon exceptions, our revolving credit facility and term loan B are secured by equity pledges of our subsidiaries that are the fee owners of Gaylord Opryland and Gaylord Texan, their respective direct and indirect parent entities, and the equity of Ryman Hotel Operations Holdco, LLC, a wholly-owned indirect subsidiary of the Company. The OEG term loan and OEG revolver are secured by substantially all of the assets of OEG Finance and each of its subsidiaries. In the event of a default under our credit facility,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upon our subsidiaries’ cash flow to meet our debt service obligations.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are a holding company, and we conduct our operations through our subsidiaries, including our TRSs. As a result, our ability to meet our debt service obligations substantially depends upon our subsidiaries’ cash flows and payments of funds to us by our subsidiaries as dividends, loans, advances, leases or other payments. The payment of dividends and/or making of loans, advances, leases or other payments by our subsidiaries will be subject to the approval of those subsidiaries’ boards. Our subsidiaries’ ability to pay such dividends and/or make such loans, advances, leases or other payments may also be restricted by, among other things, applicable laws and regulations, current and future debt agreements, and management agreements into which our subsidiaries may enter.</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indebtedness service obligations to increase significantly.</w:t>
      </w:r>
    </w:p>
    <w:p>
      <w:pPr>
        <w:spacing w:after="0" w:line="15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Certain of our indebtedness bears interest at variable interest rates that use Adjusted Term Secured Overnight Financing Rate (“SOFR”). SOFR is calculated based on short-term repurchase agreements, backed by U.S. Treasury securities, and Adjusted Term SOFR is a forward-looking term rate currently published by CME Group Benchmark Administration Limited. As a result of such variable interest rates, our interest expense may increase, our ability to refinance some or all of our existing indebtedness may be affected, and our available cash flow may be adversely affected.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organizational documents and Delaware law could make it difficult for a third party to acquire control of us.</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Our Charter and our Second Amended and Restated Bylaws contain provisions that could delay, deter or prevent a change in control of our company or our management. These provisions could also discourage proxy contests and make it more difficult for stockholders to elect directors and take other corporate actions. These provisions:</w:t>
      </w:r>
    </w:p>
    <w:p>
      <w:pPr>
        <w:spacing w:after="0" w:line="176" w:lineRule="exact"/>
        <w:rPr>
          <w:sz w:val="20"/>
          <w:szCs w:val="20"/>
          <w:color w:val="auto"/>
        </w:rPr>
      </w:pPr>
    </w:p>
    <w:p>
      <w:pPr>
        <w:ind w:left="720" w:right="25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transfer and ownership of our common stock that are designed to assist us in maintaining our status as a REIT;</w:t>
      </w:r>
    </w:p>
    <w:p>
      <w:pPr>
        <w:spacing w:after="0" w:line="16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our board of directors, without stockholder approval, with rights senior to those of common stock;</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our board of directors and for proposing matters that can be acted upon by stockholders at meetings;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3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stockholders may be called only by our chairman or by a majority of the members of our board of directors;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actions taken on written consent; and</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ownership of common stock by certain persons (including non-United States persons) due to our ownership of a radio station.</w:t>
      </w:r>
    </w:p>
    <w:p>
      <w:pPr>
        <w:spacing w:after="0" w:line="16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are subject to anti-takeover provisions under Delaware law, which could also delay or prevent a change of control. Together, our Charter, Second Amended and Restated Bylaws, and Delaware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176"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ownership limitations in our Charter may restrict or prevent stockholders from engaging in certain transfers of our common stock.</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To qualify and remain qualified as a REIT, no more than 50% in value of our outstanding shares may be owned, directly or indirectly, by five or fewer individuals (as defined in the Code to include various kinds of entities) during the last half of any taxable year. To assist us in qualifying as a REIT, our Charter contains a share ownership limit. Generally, any of our shares owned by affiliated owners will be added together for purposes of the share ownership limit. This share ownership limit provides that (subject to certain exceptions) no person may beneficially own, or be deemed to own by virtue of the attribution provisions of the Code, more than 9.8%, in value or in number of shares, whichever is more restrictive, of the outstanding shares of our capital stock, or any class or series of our capital stock. If anyone transfers shares in a manner that would violate the share ownership limit or prevent us from qualifying as a REIT, those shares instead will be transferred to a trust for the benefit of a charitable beneficiary and will be either redeemed by us or sold to a person whose ownership of the shares will not violate the share ownership limit or we will consider the transfer to be null and void from the outset, and the intended transferee of those shares will be deemed never to have owned the shares.</w:t>
      </w:r>
    </w:p>
    <w:p>
      <w:pPr>
        <w:spacing w:after="0" w:line="1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Charter also prohibits the ownership of shares by any person or entity if such ownership would violate or otherwise be inconsistent with federal communications laws or regulations pertaining to the ownership of television or radio stations, cable television or other radio authorizations by (i) foreign persons or entities, (ii) persons or entities having interests in television or radio broadcast stations, newspapers or cable television systems, and (iii) entities seeking direct or indirect control of us without prior federal regulatory approval. In the event of a transfer that would result in a violation or inconsistency with federal communications laws or regulations, we may refuse to permit the transfer, suspend the rights of share ownership as necessary to prohibit the violation or inconsistency, or redeem the shares. Anyone who acquires shares in violation of the share ownership limit or the other restrictions on transfer in our Charter bears the risk of suffering a financial loss when the shares are redeemed or sold if the market price of our shares falls between the date of purchase and the date of redemption or sale. In addition, these ownership limitations may prevent an acquisition of control of us by a third party without the approval of our board of directors, even if our stockholders believe the change of control is in their interest.</w:t>
      </w:r>
    </w:p>
    <w:p>
      <w:pPr>
        <w:spacing w:after="0" w:line="186"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vary substantially based on changes in market interest rates and other factors.</w:t>
      </w:r>
    </w:p>
    <w:p>
      <w:pPr>
        <w:spacing w:after="0" w:line="15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trading prices of equity securities issued by REITs have historically been affected, including in recent quarters, by changes in market interest rates and other factors. One of the factors that may influence the market price of our common stock is the annual yield from distributions on our common stock as compared to yields on other financial instruments. The U.S. has experienced, and may continue to experience, increases in market interest rates. Further increases in market interest rates, or a decrease in our distributions to stockholders, may lead prospective purchasers of our shares to demand a higher annual yield and choose other investments, which could reduce the market price of our common stock. Further, rising interest rates may reduce our available cash flow and diminish our ability to reinvest in our assets, which may harm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factors that could affect the market price of our common stock include the following:</w:t>
      </w:r>
    </w:p>
    <w:p>
      <w:pPr>
        <w:spacing w:after="0" w:line="225"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results of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in the hotel or real estate industries;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security analysts;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common stock or other securities in the future;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hotel managers;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investments or strategic alliances; and</w:t>
      </w:r>
    </w:p>
    <w:p>
      <w:pPr>
        <w:spacing w:after="0" w:line="225" w:lineRule="exact"/>
        <w:rPr>
          <w:rFonts w:ascii="Times New Roman" w:cs="Times New Roman" w:eastAsia="Times New Roman" w:hAnsi="Times New Roman"/>
          <w:sz w:val="18"/>
          <w:szCs w:val="18"/>
          <w:color w:val="auto"/>
        </w:rPr>
      </w:pPr>
    </w:p>
    <w:p>
      <w:pPr>
        <w:ind w:left="720" w:right="19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 related health concerns including pandemics and epidemics, political instability, regional hostilities, increases in fuel prices, imposition of taxes or surcharges by regulatory authorities, travel related accidents and unusual weather patterns, including natural disasters, such as hurricanes, earthquakes and tornadoes.</w:t>
      </w:r>
    </w:p>
    <w:p>
      <w:pPr>
        <w:spacing w:after="0" w:line="176"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enterprise risk management function to promote a company-wide culture of cybersecurity risk management. Our board of directors has general oversight responsibility for our enterprise risk management function, which includes specific areas of focus including competitive, economic, operational, financial (accounting, credit, liquidity and tax), legal, compliance, information technology security programs (including cybersecurity), sustainability/corporate responsibility, political and reputational risks. Our board of directors has delegated oversight of certain of these areas to the committees of our board of directors, including delegating the oversight of our information technology security programs (including cybersecurity) to the risk committee of our board of directors (the “Risk Committee”). We believe this division of risk management-related roles to the committees of our board of directors fosters an atmosphere of significant involvement in the oversight of risk at the board level and complements our risk management policies. The oversight responsibility of our board of directors is facilitated by a management report process that is designed to provide both visibility and transparency to our board of directors about the identification, assessment and management of critical risks and management’s risk mitigation strategies.</w:t>
      </w:r>
    </w:p>
    <w:p>
      <w:pPr>
        <w:spacing w:after="0" w:line="19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Our risk management team, which includes members of senior management, including our Chief Financial Officer (“CFO”), Chief Information Officer (“CIO”) and General Counsel, as well as external consultants, works closely with our information technology department (“IT Department”) to continuously evaluate and address cybersecurity risks relevant to our business and operations. In addition, we have set company-wide policies and procedures that directly or indirectly relate to cybersecurity matters, such as policies related to encryption standards, antivirus protection, access removal, multifactor authentication, confidential information or use of the internet, social media, email and wireless devices. These policies go through an annual internal management review and approval process.</w:t>
      </w:r>
    </w:p>
    <w:p>
      <w:pPr>
        <w:spacing w:after="0" w:line="18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Our CIO and our Vice President of IT (“VP of IT”) are primarily responsible for our overall information security, strategy, policy, security engineering, operations and cybersecurity threat detection and the management of cybersecurity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risks. Our CIO and VP of IT, collectively, have over fifty years of experience working in the information technology and cybersecurity field and have extensive experience assessing and managing cybersecurity and information technology programs and cybersecurity risk. Our CIO and VP of IT hold degrees in the information technology and cybersecurity fields, as well as hold certain cybersecurity and other relevant technology certifications. The CIO meets with our Chief Executive Officer (“CEO”), on a weekly basis, and the CFO, on a monthly basis, to discuss all relevant business risks, including cybersecurity risks and threats. In addition to regular reports from our CIO and vice president of internal audit regarding our program for managing our information security risks, including data privacy and protection risks we face, the CIO and VP of IT also meet quarterly with the Risk Committee to inform them of current cybersecurity risks and threats, as well as cybersecurity enhancement projects. Our full board of directors receives an annual update regarding the current cybersecurity environment from our CIO, which may include presentations from external consultants. Our Enterprise Risk Management (“ERM”) committee, which includes several members of senior management, including our CFO, our CIO, and a Certified Information Systems Auditor, also presents all of our top organizational and operational risks, including information security-related risks, focus areas and accomplishments throughout our various businesses, to the Risk Committee on a quarterly basis.</w:t>
      </w:r>
    </w:p>
    <w:p>
      <w:pPr>
        <w:spacing w:after="0" w:line="197"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Our IT Department management team meets monthly to assess and review cybersecurity status, which includes dashboard reviews, operational risks and company compliance. Annually, our internal audit group and third-party consultants meet with our IT Department to perform risk assessment walkthrough meetings, discuss potential enhancements, materiality of risks and alignment with the Center for Internet Security Critical Security Controls framework. In addition, we engage third-party consultants to perform periodic red team exercises and external penetration tests.</w:t>
      </w:r>
    </w:p>
    <w:p>
      <w:pPr>
        <w:spacing w:after="0" w:line="16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promote a culture of cybersecurity compliance throughout our organization, including required monthly cybersecurity training for all employees with company accounts and annual training for service-related employees on cybersecurity related topics, including social engineering (e.g., phishing, vishing and smishing), ransomware, denial of service or information, and other security breach tactics. We conduct quarterly ERM discussions where top risk owners discuss how risks have changed and how such risks are being addressed with approaches designed to mitigate such risks.</w:t>
      </w:r>
    </w:p>
    <w:p>
      <w:pPr>
        <w:spacing w:after="0" w:line="183" w:lineRule="exact"/>
        <w:rPr>
          <w:sz w:val="20"/>
          <w:szCs w:val="20"/>
          <w:color w:val="auto"/>
        </w:rPr>
      </w:pPr>
    </w:p>
    <w:p>
      <w:pPr>
        <w:ind w:left="60" w:right="59"/>
        <w:spacing w:after="0" w:line="271" w:lineRule="auto"/>
        <w:rPr>
          <w:sz w:val="20"/>
          <w:szCs w:val="20"/>
          <w:color w:val="auto"/>
        </w:rPr>
      </w:pPr>
      <w:r>
        <w:rPr>
          <w:rFonts w:ascii="Times New Roman" w:cs="Times New Roman" w:eastAsia="Times New Roman" w:hAnsi="Times New Roman"/>
          <w:sz w:val="17"/>
          <w:szCs w:val="17"/>
          <w:color w:val="auto"/>
        </w:rPr>
        <w:t>In addition to assessing our own cybersecurity preparedness and as part of our overall cybersecurity risk management framework, we also consider and evaluate cybersecurity risks associated with our use of third-party service providers. We perform a formal System and Organization Controls (“SOC”) review process annually on our financially significant third-party service providers, which includes our internal assessment of complementary user entity controls. All other material third-party service providers undergo assessment as a contract is entered into or renewed to ensure cybersecurity alignment. Our internal audit group meets regularly with management team members of Marriott, our third-party hotel manager, to assess security applications compliance. We also regularly meet with management team members of Marriott to understand system upgrades, changes and associated risks with third-party managed applications. In addition, we generally require our third-party service providers to promptly notify us of any actual or suspected breach impacting our data or operations.</w:t>
      </w:r>
    </w:p>
    <w:p>
      <w:pPr>
        <w:spacing w:after="0" w:line="173"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 assessing cybersecurity threats, our IT Department has established controls and procedures for responding to cybersecurity incidents, including a process to evaluate the significance of a cybersecurity incident. Members of senior management, including our General Counsel and CFO, are tasked with performing a materiality assessment in the event of a cybersecurity incident, which includes the consideration of relevant quantitative and qualitative factors, as well as SEC guidance. Based on the results of this evaluation, further escalation of the cybersecurity event may occur, which may include our CEO, our board of directors and/or law enforcement. In addition, members of senior management will determine, based on the assessment described above, whether the cybersecurity incident requires disclosure with the SEC.</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We currently maintain a cybersecurity insurance policy that provides coverage for security incidents and periodically meet with our insurer to discuss emerging trends in cybersecurity. We do not believe that any risks we have identified to date from cybersecurity threats, including as a result of any previous cybersecurity incidents, have materially affected or are reasonably likely to materially affect us, including our business strategy, results of operations or financial condition. However, notwithstanding the programs, policies and procedures described above, there can be no assurance that we or businesses with which we interact will not experience a cybersecurity incident that materially affects us in the future. 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9" w:lineRule="auto"/>
        <w:rPr>
          <w:sz w:val="20"/>
          <w:szCs w:val="20"/>
          <w:color w:val="auto"/>
        </w:rPr>
      </w:pPr>
      <w:r>
        <w:rPr>
          <w:rFonts w:ascii="Times New Roman" w:cs="Times New Roman" w:eastAsia="Times New Roman" w:hAnsi="Times New Roman"/>
          <w:sz w:val="17"/>
          <w:szCs w:val="17"/>
          <w:color w:val="auto"/>
        </w:rPr>
        <w:t>more information about the cybersecurity risks we face, see the risk factor entitled “Cybersecurity incidents, including the failure to protect the integrity or availability of IT systems or the security of confidential information, or the introduction of malware or ransomware, could harm our business.” in Item 1A. Risk Factors of Part I of this Annual Report on Form 10-K.</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tc>
        <w:tc>
          <w:tcPr>
            <w:tcW w:w="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Hospitality Segment</w:t>
            </w:r>
          </w:p>
        </w:tc>
        <w:tc>
          <w:tcPr>
            <w:tcW w:w="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​​​Meeting, Exhibit and</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Hotel</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4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40" w:type="dxa"/>
            <w:vAlign w:val="bottom"/>
          </w:tcPr>
          <w:p>
            <w:pPr>
              <w:spacing w:after="0"/>
              <w:rPr>
                <w:sz w:val="12"/>
                <w:szCs w:val="12"/>
                <w:color w:val="auto"/>
              </w:rPr>
            </w:pPr>
          </w:p>
        </w:tc>
        <w:tc>
          <w:tcPr>
            <w:tcW w:w="13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Pre-Function Space</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vMerge w:val="continue"/>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3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(sq. ft.)</w:t>
            </w:r>
          </w:p>
        </w:tc>
        <w:tc>
          <w:tcPr>
            <w:tcW w:w="0" w:type="dxa"/>
            <w:vAlign w:val="bottom"/>
          </w:tcPr>
          <w:p>
            <w:pPr>
              <w:spacing w:after="0"/>
              <w:rPr>
                <w:sz w:val="1"/>
                <w:szCs w:val="1"/>
                <w:color w:val="auto"/>
              </w:rPr>
            </w:pPr>
          </w:p>
        </w:tc>
      </w:tr>
      <w:tr>
        <w:trPr>
          <w:trHeight w:val="42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Nashville, TN</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2,888</w:t>
            </w:r>
          </w:p>
        </w:tc>
        <w:tc>
          <w:tcPr>
            <w:tcW w:w="1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640,000</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1,996</w:t>
            </w:r>
          </w:p>
        </w:tc>
        <w:tc>
          <w:tcPr>
            <w:tcW w:w="1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501,000</w:t>
            </w:r>
          </w:p>
        </w:tc>
        <w:tc>
          <w:tcPr>
            <w:tcW w:w="0" w:type="dxa"/>
            <w:vAlign w:val="bottom"/>
          </w:tcPr>
          <w:p>
            <w:pPr>
              <w:spacing w:after="0"/>
              <w:rPr>
                <w:sz w:val="1"/>
                <w:szCs w:val="1"/>
                <w:color w:val="auto"/>
              </w:rPr>
            </w:pPr>
          </w:p>
        </w:tc>
      </w:tr>
      <w:tr>
        <w:trPr>
          <w:trHeight w:val="432"/>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2120" w:type="dxa"/>
            <w:vAlign w:val="bottom"/>
            <w:shd w:val="clear" w:color="auto" w:fill="CCEEFF"/>
          </w:tcPr>
          <w:p>
            <w:pPr>
              <w:spacing w:after="0"/>
              <w:rPr>
                <w:sz w:val="24"/>
                <w:szCs w:val="24"/>
                <w:color w:val="auto"/>
              </w:rPr>
            </w:pPr>
          </w:p>
        </w:tc>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Grapevine, TX (Dallas area)</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1,814</w:t>
            </w:r>
          </w:p>
        </w:tc>
        <w:tc>
          <w:tcPr>
            <w:tcW w:w="1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488,000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2120" w:type="dxa"/>
            <w:vAlign w:val="bottom"/>
          </w:tcPr>
          <w:p>
            <w:pPr>
              <w:spacing w:after="0"/>
              <w:rPr>
                <w:sz w:val="24"/>
                <w:szCs w:val="24"/>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Kissimmee, FL (Orlando area)</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1,718</w:t>
            </w:r>
          </w:p>
        </w:tc>
        <w:tc>
          <w:tcPr>
            <w:tcW w:w="1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467,000</w:t>
            </w:r>
          </w:p>
        </w:tc>
        <w:tc>
          <w:tcPr>
            <w:tcW w:w="0" w:type="dxa"/>
            <w:vAlign w:val="bottom"/>
          </w:tcPr>
          <w:p>
            <w:pPr>
              <w:spacing w:after="0"/>
              <w:rPr>
                <w:sz w:val="1"/>
                <w:szCs w:val="1"/>
                <w:color w:val="auto"/>
              </w:rPr>
            </w:pPr>
          </w:p>
        </w:tc>
      </w:tr>
      <w:tr>
        <w:trPr>
          <w:trHeight w:val="432"/>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Aurora, CO (Denver area)</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1,501</w:t>
            </w:r>
          </w:p>
        </w:tc>
        <w:tc>
          <w:tcPr>
            <w:tcW w:w="1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409,000</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San Antonio, TX</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1,002</w:t>
            </w:r>
          </w:p>
        </w:tc>
        <w:tc>
          <w:tcPr>
            <w:tcW w:w="1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268,000</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JW Marriott Desert Ridge</w:t>
            </w:r>
          </w:p>
        </w:tc>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Phoenix, AZ</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950</w:t>
            </w:r>
          </w:p>
        </w:tc>
        <w:tc>
          <w:tcPr>
            <w:tcW w:w="1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243,000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8"/>
              </w:rPr>
              <w:t>Inn at Opryland</w:t>
            </w:r>
          </w:p>
        </w:tc>
        <w:tc>
          <w:tcPr>
            <w:tcW w:w="2120" w:type="dxa"/>
            <w:vAlign w:val="bottom"/>
          </w:tcPr>
          <w:p>
            <w:pPr>
              <w:spacing w:after="0"/>
              <w:rPr>
                <w:sz w:val="18"/>
                <w:szCs w:val="18"/>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Nashville, TN</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303</w:t>
            </w:r>
          </w:p>
        </w:tc>
        <w:tc>
          <w:tcPr>
            <w:tcW w:w="1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 Hotel</w:t>
            </w:r>
          </w:p>
        </w:tc>
        <w:tc>
          <w:tcPr>
            <w:tcW w:w="2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192</w:t>
            </w:r>
          </w:p>
        </w:tc>
        <w:tc>
          <w:tcPr>
            <w:tcW w:w="1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We own our Opryland complex in Nashville, Tennessee, which includes the site of Gaylord Opryland (approximately 172 acres) and Gaylord Springs (over 200 acres). We also own the approximately 6-acre site of the Inn at Opryland, which is located near the Opryland complex. We have leased a 65-acre tract in Osceola County, Florida, on which the Gaylord Palms is located, pursuant to a 75-year ground lease with a 24-year renewal option. We acquired approximately 85 acres in Grapevine, Texas, through ownership (approximately 75 acres) and ground lease (approximately 10 acres), on which the Gaylord Texan is located. We also own an additional approximately 40 acres of property near the Gaylord Texan. We own approximately 42 acres on the Potomac River in Prince George’s County, Maryland, on which the Gaylord National is located and we own fee title to the condominium unit in the eight-story building in which the AC Hotel is located. We own approximately 85 acres on which Gaylord Rockies is located and approximately 130 acres of undeveloped land adjacent to Gaylord Rockies. On June 30, 2023, we purchased approximately 600 acres in San Antonio, Texas, on which JW Marriott Hill Country is located, and in November 2023, we purchased approximately 38 additional adjacent acres. On June 10, 2025, we acquired approximately 402 acres in Phoenix, Arizona, through ownership (approximately 165 acres) and ground lease (approximately 237 acres) on which JW Marriott Desert Ridge is located. Each of our hotel properties in the Hospitality segment is leased or subleased to one of our TRSs, and each such TRS has engaged Marriott to manage the day-to-day operations of the hotel. For a description of the management agreements with Marriott, see “Management Agreements” in Item 1, “Business.” For the operating results of our hotels on a property basis, see “Operating Results – Detailed Segment Financial Information” in Item 7, “Management’s Discussion and Analysis of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own the General Jackson’s docking facility and the Grand Ole Opry House, each of which is located adjacent to the Gaylord Opryland complex. In downtown Nashville, we own the Ryman Auditorium, Ole Red Nashville, Category 10, and an adjacent 17,000 square foot building. In Austin, we own Block 21, which includes the Moody Theater, the 3TEN at ACL Live Club, the W Austin, and approximately 53,000 square feet of other Class A commercial space. Our TRSs have engaged Marriott to manage the day-to-day operations of the General Jackson Showboat and the W Austin. For a description of the management agreements with Marriott, see “Management Agreements” in Item 1,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29"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We own our executive offices and headquarters located at One Gaylord Drive, Nashville, Tennessee, which consists of a five-story office building comprising approximately 80,000 square feet. We believe that these facilities and the facilities related to each of our business segments are generally well maintained.</w:t>
      </w:r>
    </w:p>
    <w:p>
      <w:pPr>
        <w:spacing w:after="0" w:line="1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99"/>
        <w:spacing w:after="0" w:line="274" w:lineRule="auto"/>
        <w:rPr>
          <w:sz w:val="20"/>
          <w:szCs w:val="20"/>
          <w:color w:val="auto"/>
        </w:rPr>
      </w:pPr>
      <w:r>
        <w:rPr>
          <w:rFonts w:ascii="Times New Roman" w:cs="Times New Roman" w:eastAsia="Times New Roman" w:hAnsi="Times New Roman"/>
          <w:sz w:val="17"/>
          <w:szCs w:val="17"/>
          <w:color w:val="auto"/>
        </w:rPr>
        <w:t>We and various of our subsidiaries are involved in claims and lawsuits incidental to the ordinary course of our businesses, such as personal injury actions by guests and employees and complaints alleging employee discrimination. We maintain various insurance policies, including general liability and property damage insurance, as well as workers’ compensation, business interruption, and other policies, which we believe provide adequate coverage for the risks associated with our range of operations. We believe that we are adequately insured against these claims by our existing insurance policies and that the outcome of any pending claims or proceedings will not have a material effect on our financial statements.</w:t>
      </w:r>
    </w:p>
    <w:p>
      <w:pPr>
        <w:spacing w:after="0" w:line="17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For further discussion of legal proceedings, see “Note 11 – Commitments and Contingencies” to our consolidated financial statements included herein.</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“RHP”.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approximately 728 record holders of our common stock at January 30, 2026.</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of the Company’s common stock were repurchased during the three months ended December 31,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Company did not sell any of its securities during the fiscal year ended December 31, 2025 that were not registered under the Securities Act of 1933, as amended (the “Securities Act”).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To maintain our qualification as a REIT for federal income tax purposes, we must distribute at least 90% of our REIT taxable income each year. Our board of directors has approved a dividend policy pursuant to which we will pay minimum dividends to stockholders of 100% of REIT taxable income annually. Any future dividend is subject to our board of directors’ determinations as to the amount of distributions and the timing thereof.</w:t>
      </w:r>
    </w:p>
    <w:p>
      <w:pPr>
        <w:spacing w:after="0" w:line="180"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terms of our credit facility restrict our ability to pay dividends. We are restricted in our ability to pay a dividend to our stockholders if the aggregate amount of all distributions to our stockholders in a given year exceeds 95% of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funds from operations (as defined in the credit facility) for that fiscal year. Notwithstanding this restriction, we are permitted to pay dividends to stockholders to the extent necessary to maintain our status as a REIT.</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relating to compensation plans under which our common stock is authorized for issuance is set forth in Part III, Item 12 of this Annual Report on Form 10-K.</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59"/>
        <w:spacing w:after="0" w:line="281" w:lineRule="auto"/>
        <w:rPr>
          <w:sz w:val="20"/>
          <w:szCs w:val="20"/>
          <w:color w:val="auto"/>
        </w:rPr>
      </w:pPr>
      <w:r>
        <w:rPr>
          <w:rFonts w:ascii="Times New Roman" w:cs="Times New Roman" w:eastAsia="Times New Roman" w:hAnsi="Times New Roman"/>
          <w:sz w:val="17"/>
          <w:szCs w:val="17"/>
          <w:color w:val="auto"/>
        </w:rPr>
        <w:t>This section of this Annual Report on Form 10-K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of Operations” in Part II, Item 7 of the Company’s Annual Report on Form 10-K for the fiscal year ended December 31, 2024.</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We are a Delaware corporation, originally incorporated in 1956, that, following our REIT conversion in 2012, began operating as a self-advised and self-administered REIT for federal income tax purposes on January 1, 2013, specializing in group-oriented, destination hotel assets in urban and resort markets. Our core holdings include a network of upscale, meetings-focused resorts totaling 11,869 rooms that are managed by Marriott International, Inc. (“Marriott”) under the Gaylord Hotels and JW Marriott brands. The five Gaylord Hotels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we refer to as our JW Marriott properties, consist of the JW Marriott San Antonio Hill Country Resort &amp; Spa (“JW Marriott Hill Country”) (effective June 30, 2023) and the JW Marriott Desert Ridge Resort &amp; Spa (“JW Marriott Desert Ridge”) (effective June 10, 2025). Our other owned hotel assets managed by Marriott include the Inn at Opryland, an overflow hotel adjacent to Gaylord Opryland, and the AC Hotel at National Harbor, Washington D.C. (“AC Hotel”), an overflow hotel adjacent to Gaylord National.</w:t>
      </w:r>
    </w:p>
    <w:p>
      <w:pPr>
        <w:spacing w:after="0" w:line="19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Each of our award-winning Gaylord Hotels properties and JW Marriott properties incorporates not only high-quality lodging, but also large-scale meeting, convention and exhibition space, superb food and beverage options and retail and spa facilities within a single self-contained property. Our Gaylord Hotels properties each include at least 400,000 square feet of meeting, convention and exhibit space, and our JW Marriott properties each contain at least 240,000 square feet of meeting, convention and exhibit space. As a result, our Gaylord Hotels properties and JW Marriott properties provide a convenient and entertaining environment for convention guests. Our Gaylord Hotels properties and JW Marriott properties focus on the large group meetings market in the United States.</w:t>
      </w:r>
    </w:p>
    <w:p>
      <w:pPr>
        <w:spacing w:after="0" w:line="18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destination hotel assets in urban and resort markets.</w:t>
      </w:r>
    </w:p>
    <w:p>
      <w:pPr>
        <w:spacing w:after="0" w:line="16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also own an approximate 70% controlling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100 years; the Ryman Auditorium, the storied live music venue and former home of the Grand Ole Opry located in downtown Nashville; WSM-AM, the Opry’s radio home; Ole Red, a brand of six Blake Shelton-themed bar, music venue and event spaces; Category 10, a brand of Luke Combs-themed bar, music venue and event space that opened in Nashville, Tennessee in November 2024 with additional locations expected to open in Las Vegas, Nevada in late 2026 and at Universal Orlando Resort’s CityWalk in late 2027; Block 21, a mixed-use entertainment, lodging, office, and retail complex located in Austin, Texas (“Block 21”); and as of January 3, 2025, a majority equity interest in Southern Entertainment, a Charlotte, North Carolina-based national music festival and events production company. In addition,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January 2026, OEG began managing the Ascend Amphitheater in downtown Nashville, Tennessee; and we expect OEG to begin managing the CCNB Amphitheatre outside of Greenville, South Carolina in February 2026.</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See “Forward-Looking Statements” and “Risk Factors” under Part I of this Annual Report on Form 10-K for important information regarding forward-looking statements made in this report and risks and uncertainties we face.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2025 and 2024 Activities</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Significant activities we have undertaken in 2025 and 2024 include (as well as where you can find more information herein or in the accompanying consolidated financial statements):</w:t>
      </w:r>
    </w:p>
    <w:p>
      <w:pPr>
        <w:spacing w:after="0" w:line="162" w:lineRule="exact"/>
        <w:rPr>
          <w:sz w:val="20"/>
          <w:szCs w:val="20"/>
          <w:color w:val="auto"/>
        </w:rPr>
      </w:pPr>
    </w:p>
    <w:p>
      <w:pPr>
        <w:ind w:left="720" w:right="55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purchased JW Marriott Desert Ridge – Note 1, “Description of the Business and Summary of Significant Accounting Policies”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issued $625 million in 6.50% senior notes due 2033 – Note 4,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issued approximately 3.0 million shares of our common stock – Note 9, “Equity”</w:t>
      </w:r>
    </w:p>
    <w:p>
      <w:pPr>
        <w:spacing w:after="0" w:line="22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successfully defeased the previous Block 21 CMBS loan with incremental borrowings under the existing OEG credit facility – Note 4, “Debt”</w:t>
      </w:r>
    </w:p>
    <w:p>
      <w:pPr>
        <w:spacing w:after="0" w:line="161"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refinanced our existing OEG credit facility, including reducing the applicable interest rate margins under each of the $65 million OEG revolver and $300 million OEG term loan B, as well as upsized the OEG revolver to $80 million of potential capacity – Note 4, “Debt”</w:t>
      </w:r>
    </w:p>
    <w:p>
      <w:pPr>
        <w:spacing w:after="0" w:line="175" w:lineRule="exact"/>
        <w:rPr>
          <w:rFonts w:ascii="Times New Roman" w:cs="Times New Roman" w:eastAsia="Times New Roman" w:hAnsi="Times New Roman"/>
          <w:sz w:val="18"/>
          <w:szCs w:val="18"/>
          <w:color w:val="auto"/>
        </w:rPr>
      </w:pPr>
    </w:p>
    <w:p>
      <w:pPr>
        <w:jc w:val="both"/>
        <w:ind w:left="720" w:right="23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and April 2024, issued $1 billion in 6.50% senior notes due 2032, repaid previously outstanding $800 million Gaylord Rockies term loan, and repaid $200.0 million under our term loan B and reduced the applicable interest rate margins – Note 4, “Debt”</w:t>
      </w:r>
    </w:p>
    <w:p>
      <w:pPr>
        <w:spacing w:after="0" w:line="175" w:lineRule="exact"/>
        <w:rPr>
          <w:rFonts w:ascii="Times New Roman" w:cs="Times New Roman" w:eastAsia="Times New Roman" w:hAnsi="Times New Roman"/>
          <w:sz w:val="18"/>
          <w:szCs w:val="18"/>
          <w:color w:val="auto"/>
        </w:rPr>
      </w:pPr>
    </w:p>
    <w:p>
      <w:pPr>
        <w:ind w:left="720" w:right="103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our existing properties through $358.2 million and $407.9 million in capital expenditures in 2025 and 2024, respectively – “Liquidity and Capital Resources”</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approximately $291.3 million and $268.3 million in cash distributions in 2025 and 2024, respectively – Note 9, “Equity”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indebtedness may prohibit us from paying dividends in accordance with any policy we may adopt.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operations are organized into three principal business segments:</w:t>
      </w:r>
    </w:p>
    <w:p>
      <w:pPr>
        <w:spacing w:after="0" w:line="225" w:lineRule="exact"/>
        <w:rPr>
          <w:sz w:val="20"/>
          <w:szCs w:val="20"/>
          <w:color w:val="auto"/>
        </w:rPr>
      </w:pPr>
    </w:p>
    <w:p>
      <w:pPr>
        <w:ind w:left="720" w:right="11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our JW Marriott properties (including, effective June 10, 2025, JW Marriott Desert Ridge), the Inn at Opryland, and the AC Hotel.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Category 10, Block 21, Southern Entertainment, our other Nashville-based attractions, and, beginning in 2026, the operation of Ascend Amphitheater in downtown Nashville, Tennessee, and the CCNB Amphitheatre outside of Greenville, South Carolina.</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our total revenues were divided among these business segments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2025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potentially allocate capital expenditures:</w:t>
      </w:r>
    </w:p>
    <w:p>
      <w:pPr>
        <w:spacing w:after="0" w:line="183"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w:t>
      </w:r>
    </w:p>
    <w:p>
      <w:pPr>
        <w:spacing w:after="0" w:line="22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rooms revenue by the number of rooms sold;</w:t>
      </w:r>
    </w:p>
    <w:p>
      <w:pPr>
        <w:spacing w:after="0" w:line="16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rooms revenue by room nights available to guests for the period;</w:t>
      </w:r>
    </w:p>
    <w:p>
      <w:pPr>
        <w:spacing w:after="0" w:line="16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75"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room nights booked – a volume indicator which represents the total number of definite bookings for future room nights at our hotels confirmed during the applicable period, net of cancellations.</w:t>
      </w:r>
    </w:p>
    <w:p>
      <w:pPr>
        <w:spacing w:after="0" w:line="16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addition to GAAP measures such as revenues, net income and operating income, we also use certain “non-GAAP financial measures,” which are measures of our historical performance that are not calculated and presented in accordance with GAAP within the meaning of applicable SEC rules. These measures include:</w:t>
      </w:r>
    </w:p>
    <w:p>
      <w:pPr>
        <w:spacing w:after="0" w:line="174" w:lineRule="exact"/>
        <w:rPr>
          <w:sz w:val="20"/>
          <w:szCs w:val="20"/>
          <w:color w:val="auto"/>
        </w:rPr>
      </w:pPr>
    </w:p>
    <w:p>
      <w:pPr>
        <w:ind w:left="720" w:right="179" w:hanging="319"/>
        <w:spacing w:after="0" w:line="284"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and</w:t>
      </w:r>
    </w:p>
    <w:p>
      <w:pPr>
        <w:spacing w:after="0" w:line="160"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 holders.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ind w:left="60" w:right="379"/>
        <w:spacing w:after="0" w:line="289" w:lineRule="auto"/>
        <w:rPr>
          <w:sz w:val="20"/>
          <w:szCs w:val="20"/>
          <w:color w:val="auto"/>
        </w:rPr>
      </w:pPr>
      <w:r>
        <w:rPr>
          <w:rFonts w:ascii="Times New Roman" w:cs="Times New Roman" w:eastAsia="Times New Roman" w:hAnsi="Times New Roman"/>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which meetings and conventions have often been contracted for several years in advance, the level of attrition our hotels experience, and the level of transient business at our hotels during such period. Increases in costs, including labor costs, insurance costs, costs of food and other supplies, and energy costs have affected our operations in recent years and in the future could negatively affect our results. We rely on Marriott, as the manager of our hotels, to manage these factors and to offset any identified shortfalls in occupancy.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years ended December 31, 2025, 2024 and 2023 (in thousands, except percentages and per share data):</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9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$ 2,577,061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$ 2,339,226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$ 2,158,136</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2,090,049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1,848,392</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8.4 %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1,704,452</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487,012</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490,834</w:t>
            </w:r>
          </w:p>
        </w:tc>
        <w:tc>
          <w:tcPr>
            <w:tcW w:w="1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453,684</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247,310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280,190</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341,800</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243,425</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271,638</w:t>
            </w:r>
          </w:p>
        </w:tc>
        <w:tc>
          <w:tcPr>
            <w:tcW w:w="1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311,217</w:t>
            </w: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 stockholders per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share - diluted (1)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720" w:right="45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outstanding shares for 2025 include the issuance of approximately 3.0 million shares of our common stock in May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2025 Results as Compared to 2024 Results</w:t>
      </w:r>
    </w:p>
    <w:p>
      <w:pPr>
        <w:spacing w:after="0" w:line="22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increase in our total revenues during 2025, as compared to 2024, is attributable to increases in Hospitality segment and Entertainment segment revenues of $146.0 million and $91.8 million, respectively, as presented in the tables below.</w:t>
      </w:r>
    </w:p>
    <w:p>
      <w:pPr>
        <w:spacing w:after="0" w:line="16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increase in total operating expenses during 2025, as compared to 2024, is primarily the result of increases in Hospitality segment and Entertainment segment expenses of $116.3 million and $82.1 million, respectively, and an increase in depreciation expense of $42.5 million, as presented in the tables below. In addition, the 2025 increase in operating expenses is partially attributable to 2024 including a reduction in total operating expenses of $9.1 million related to a refund of Tennessee franchise tax for prior years caused by a change in tax law that did not recur in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above factors resulted in a $3.8 million decrease in operating income for 2025, as compared to 2024.</w:t>
      </w:r>
    </w:p>
    <w:p>
      <w:pPr>
        <w:spacing w:after="0" w:line="22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Our $32.9 million decrease in net income in 2025, as compared to 2024, was also driven by the following factors, each as described more fully below:</w:t>
      </w:r>
    </w:p>
    <w:p>
      <w:pPr>
        <w:spacing w:after="0" w:line="162"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$23.6 million increase in interest expense, net in 2025, as compared to 2024.</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$10.3 million increase in loss from unconsolidated joint ventures in 2025, as compared to 2024.</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$6.5 million decrease in provision for income taxes in 2025, as compared to 2024.</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Important factors and trends contributing to our performance during 2025, as compared to 2024, were:</w:t>
      </w:r>
    </w:p>
    <w:p>
      <w:pPr>
        <w:spacing w:after="0" w:line="225" w:lineRule="exact"/>
        <w:rPr>
          <w:sz w:val="20"/>
          <w:szCs w:val="20"/>
          <w:color w:val="auto"/>
        </w:rPr>
      </w:pPr>
    </w:p>
    <w:p>
      <w:pPr>
        <w:ind w:left="720" w:right="4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Desert Ridge, including $91.6 million in revenues; for our ownership period, the property averaged $173.85 in RevPAR and $470.26 in Total RevPAR.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(Hospitality segment excluding JW Marriott Desert Ridge) ADR of 3.0% in 2025 over 2024.</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transient room nights traveled in 2025 of 5.2% over 2024.</w:t>
      </w:r>
    </w:p>
    <w:p>
      <w:pPr>
        <w:spacing w:after="0" w:line="225" w:lineRule="exact"/>
        <w:rPr>
          <w:rFonts w:ascii="Times New Roman" w:cs="Times New Roman" w:eastAsia="Times New Roman" w:hAnsi="Times New Roman"/>
          <w:sz w:val="18"/>
          <w:szCs w:val="18"/>
          <w:color w:val="auto"/>
        </w:rPr>
      </w:pPr>
    </w:p>
    <w:p>
      <w:pPr>
        <w:jc w:val="both"/>
        <w:ind w:left="720" w:right="13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outside-the-room spend of 2.7% in 2025, as compared to 2024, primarily as a result of increases at Gaylord National and Gaylord Rockies, partially offset by a decrease at Gaylord Opryland, as further discussed below.</w:t>
      </w:r>
    </w:p>
    <w:p>
      <w:pPr>
        <w:spacing w:after="0" w:line="175"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8.0% and 8.3% in total revenue and Total RevPAR, respectively, at Gaylord Rockies in 2025, as compared to 2024, primarily as a result of an increase in transient room nights traveled and an 8.3% increase in food and beverage revenue associated with the multi-year enhancement project completed at the property in 2024.</w:t>
      </w:r>
    </w:p>
    <w:p>
      <w:pPr>
        <w:spacing w:after="0" w:line="175"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8.0% and 8.3% in total revenue and Total RevPAR, respectively, at Gaylord National in 2025, as compared to 2024, primarily as a result of an increase in group room nights traveled and the related increase in catering business.</w:t>
      </w:r>
    </w:p>
    <w:p>
      <w:pPr>
        <w:spacing w:after="0" w:line="175"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4.7% and 5.0% in total revenue and Total RevPAR, respectively, at Gaylord Palms in 2025, as compared to 2024, primarily as a result of an increase in transient room nights traveled and a 3.3% increase in ADR.</w:t>
      </w:r>
    </w:p>
    <w:p>
      <w:pPr>
        <w:spacing w:after="0" w:line="175"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2.3% and 2.0% in total revenue and Total RevPAR, respectively, at Gaylord Opryland in 2025, as compared to 2024, primarily as a result of a decrease in group room nights traveled driven in part by construction-related disruption at the property. The decrease in group room nights traveled was exacerbated by macroeconomic uncertainty.</w:t>
      </w:r>
    </w:p>
    <w:p>
      <w:pPr>
        <w:spacing w:after="0" w:line="179"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4.8 points of occupancy and 4.1% in RevPAR at Gaylord Texan in 2025, as compared to 2024, due in part to disruption related to the ongoing rooms renovation at the property.</w:t>
      </w:r>
    </w:p>
    <w:p>
      <w:pPr>
        <w:spacing w:after="0" w:line="161"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net definite group room nights booked decreased 10.5% in 2025, as compared to 2024, as ongoing economic policy uncertainty has weighed on near-term meeting planner decision-making.</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in-the-year-for-the-year cancelled room nights at our hotels increased by approximately 27,000 rooms in 2025, as compared to 2024, as macroeconomic uncertainty has impacted 2025 results.</w:t>
      </w:r>
    </w:p>
    <w:p>
      <w:pPr>
        <w:spacing w:after="0" w:line="161" w:lineRule="exact"/>
        <w:rPr>
          <w:rFonts w:ascii="Times New Roman" w:cs="Times New Roman" w:eastAsia="Times New Roman" w:hAnsi="Times New Roman"/>
          <w:sz w:val="18"/>
          <w:szCs w:val="18"/>
          <w:color w:val="auto"/>
        </w:rPr>
      </w:pPr>
    </w:p>
    <w:p>
      <w:pPr>
        <w:jc w:val="both"/>
        <w:ind w:left="720" w:right="179" w:hanging="319"/>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same-store basis, group room nights on the books for all future years at our hotels at December 31, 2025 is approximately 1.2% higher than the number on the books at December 31, 2024. In addition, the estimated ADR on those group room nights on the books at December 31, 2025 is approximately 5.3% higher than the estimated ADR on the books at December 31, 2024.</w:t>
      </w:r>
    </w:p>
    <w:p>
      <w:pPr>
        <w:spacing w:after="0" w:line="179" w:lineRule="exact"/>
        <w:rPr>
          <w:rFonts w:ascii="Times New Roman" w:cs="Times New Roman" w:eastAsia="Times New Roman" w:hAnsi="Times New Roman"/>
          <w:sz w:val="18"/>
          <w:szCs w:val="18"/>
          <w:color w:val="auto"/>
        </w:rPr>
      </w:pPr>
    </w:p>
    <w:p>
      <w:pPr>
        <w:ind w:left="720" w:right="11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26.8% and 33.9% in Entertainment segment revenue and Entertainment segment operating expenses, respectively, in 2025, as compared to 2024, primarily related to the January 2025 acquisition of Southern Entertainment, which was negatively impacted by several weather-related events. Entertainment segment results also benefited from the operation of Category 10 Nashville, which opened in November 2024, as well as W Austin, which faced construction-related disruptions in 2024.</w:t>
      </w:r>
    </w:p>
    <w:p>
      <w:pPr>
        <w:spacing w:after="0" w:line="183" w:lineRule="exact"/>
        <w:rPr>
          <w:rFonts w:ascii="Times New Roman" w:cs="Times New Roman" w:eastAsia="Times New Roman" w:hAnsi="Times New Roman"/>
          <w:sz w:val="18"/>
          <w:szCs w:val="18"/>
          <w:color w:val="auto"/>
        </w:rPr>
      </w:pPr>
    </w:p>
    <w:p>
      <w:pPr>
        <w:ind w:left="720" w:right="239" w:hanging="319"/>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2024 were reduced by a $9.1 million refund of Tennessee franchise tax for prior years caused by a change in tax law, which did not recur in 2025. This reduction was comprised of $5.6 million, $3.4 million and $0.1 million in our Hospitality segment, Entertainment segment and Corporate and Other segment,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9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strong revenues in recent years have partially mitigated increasing costs in the current inflationary environment, including increased insurance, utilities and other costs. In addition, while in recent years we have experienced higher interest rates than in historical periods, interest rates on our debt decreased in 2025, as compared to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Hospitality Segment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years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2024 and 2023 (in thousands, except percentages and performance metrics):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8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
                <w:szCs w:val="1"/>
                <w:color w:val="auto"/>
                <w:w w:val="4294942296"/>
              </w:rPr>
              <w:t>​</w:t>
            </w: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
                <w:szCs w:val="1"/>
                <w:color w:val="auto"/>
                <w:w w:val="4294942296"/>
              </w:rPr>
              <w:t>​</w:t>
            </w: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799,306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744,587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701,138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993,954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940,827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831,796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349,826</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311,636</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20" w:type="dxa"/>
            <w:vAlign w:val="bottom"/>
            <w:tcBorders>
              <w:bottom w:val="single" w:sz="8" w:color="CCEEFF"/>
            </w:tcBorders>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300,544</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2,143,086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1,997,050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1,833,478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gridSpan w:val="2"/>
          </w:tcPr>
          <w:p>
            <w:pPr>
              <w:jc w:val="right"/>
              <w:ind w:right="9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190,686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179,358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173,749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561,980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516,309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613,304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555,554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519,328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75,082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73,531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239,857</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205,189</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186,749</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1,680,909</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2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1,529,941</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220" w:type="dxa"/>
            <w:vAlign w:val="bottom"/>
            <w:tcBorders>
              <w:bottom w:val="single" w:sz="8" w:color="CCEEFF"/>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1,412,214</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462,177</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467,109</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220" w:type="dxa"/>
            <w:vAlign w:val="bottom"/>
            <w:tcBorders>
              <w:bottom w:val="single" w:sz="8" w:color="CCEEFF"/>
            </w:tcBorders>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421,264</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53"/>
              <w:spacing w:after="0"/>
              <w:rPr>
                <w:sz w:val="20"/>
                <w:szCs w:val="20"/>
                <w:color w:val="auto"/>
              </w:rPr>
            </w:pPr>
            <w:r>
              <w:rPr>
                <w:rFonts w:ascii="Times New Roman" w:cs="Times New Roman" w:eastAsia="Times New Roman" w:hAnsi="Times New Roman"/>
                <w:sz w:val="1"/>
                <w:szCs w:val="1"/>
                <w:color w:val="auto"/>
                <w:w w:val="4294942296"/>
              </w:rPr>
              <w:t>​</w:t>
            </w:r>
          </w:p>
        </w:tc>
        <w:tc>
          <w:tcPr>
            <w:tcW w:w="620" w:type="dxa"/>
            <w:vAlign w:val="bottom"/>
          </w:tcPr>
          <w:p>
            <w:pPr>
              <w:spacing w:after="0" w:line="20" w:lineRule="exact"/>
              <w:rPr>
                <w:sz w:val="1"/>
                <w:szCs w:val="1"/>
                <w:color w:val="auto"/>
              </w:rPr>
            </w:pP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53"/>
              <w:spacing w:after="0"/>
              <w:rPr>
                <w:sz w:val="20"/>
                <w:szCs w:val="20"/>
                <w:color w:val="auto"/>
              </w:rPr>
            </w:pPr>
            <w:r>
              <w:rPr>
                <w:rFonts w:ascii="Times New Roman" w:cs="Times New Roman" w:eastAsia="Times New Roman" w:hAnsi="Times New Roman"/>
                <w:sz w:val="1"/>
                <w:szCs w:val="1"/>
                <w:color w:val="auto"/>
                <w:w w:val="4294942296"/>
              </w:rPr>
              <w:t>​</w:t>
            </w:r>
          </w:p>
        </w:tc>
        <w:tc>
          <w:tcPr>
            <w:tcW w:w="620" w:type="dxa"/>
            <w:vAlign w:val="bottom"/>
          </w:tcPr>
          <w:p>
            <w:pPr>
              <w:spacing w:after="0" w:line="20" w:lineRule="exact"/>
              <w:rPr>
                <w:sz w:val="1"/>
                <w:szCs w:val="1"/>
                <w:color w:val="auto"/>
              </w:rPr>
            </w:pP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29"/>
        </w:trPr>
        <w:tc>
          <w:tcPr>
            <w:tcW w:w="356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240" w:type="dxa"/>
            <w:vAlign w:val="bottom"/>
            <w:gridSpan w:val="2"/>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240" w:type="dxa"/>
            <w:vAlign w:val="bottom"/>
            <w:gridSpan w:val="2"/>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(2.5)pts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4.9 %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491.44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478.05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2,315,281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2,469,881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2,369,060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Same-store Hospitality performance metrics (3):</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gridSpan w:val="2"/>
          </w:tcPr>
          <w:p>
            <w:pPr>
              <w:jc w:val="right"/>
              <w:ind w:right="9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240" w:type="dxa"/>
            <w:vAlign w:val="bottom"/>
            <w:gridSpan w:val="2"/>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240" w:type="dxa"/>
            <w:vAlign w:val="bottom"/>
            <w:gridSpan w:val="2"/>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(2.5)pts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265.44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4.9 %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492.43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478.05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2,209,541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2,469,881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2,369,060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279" w:hanging="330"/>
        <w:spacing w:after="0" w:line="257"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RevPAR by dividing rooms revenue by room nights available to guests for the period. Room nights available to guests include nights that rooms are out of service. Hospitality segment RevPAR is not comparable to similarly titled measures such as revenues.</w:t>
      </w:r>
    </w:p>
    <w:p>
      <w:pPr>
        <w:spacing w:after="0" w:line="1" w:lineRule="exact"/>
        <w:rPr>
          <w:rFonts w:ascii="Times New Roman" w:cs="Times New Roman" w:eastAsia="Times New Roman" w:hAnsi="Times New Roman"/>
          <w:sz w:val="18"/>
          <w:szCs w:val="18"/>
          <w:color w:val="auto"/>
        </w:rPr>
      </w:pPr>
    </w:p>
    <w:p>
      <w:pPr>
        <w:ind w:left="380" w:right="179" w:hanging="330"/>
        <w:spacing w:after="0" w:line="250"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Total RevPAR by dividing the sum of room, food and beverage, and other ancillary services revenue (which equals Hospitality segment revenue) by room nights available to guests for the period. Room nights available to guests include nights that rooms are out of service. Hospitality segment Total RevPAR is not comparable to similarly titled measures such as revenues.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metrics do not include JW Marriott Desert Ridge, which we purchased June 10, 2025.</w:t>
      </w:r>
    </w:p>
    <w:p>
      <w:pPr>
        <w:spacing w:after="0" w:line="207"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Total Hospitality revenues in 2025 include $44.9 million in attrition and cancellation fee collections, a $1.9 million increase from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was approximately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2025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w:t>
            </w: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3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37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27 %</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900" w:type="dxa"/>
            <w:vAlign w:val="bottom"/>
          </w:tcPr>
          <w:p>
            <w:pPr>
              <w:spacing w:after="0"/>
              <w:rPr>
                <w:sz w:val="20"/>
                <w:szCs w:val="20"/>
                <w:color w:val="auto"/>
              </w:rPr>
            </w:pPr>
          </w:p>
        </w:tc>
      </w:tr>
      <w:tr>
        <w:trPr>
          <w:trHeight w:val="846"/>
        </w:trPr>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40" w:type="dxa"/>
            <w:vAlign w:val="bottom"/>
          </w:tcPr>
          <w:p>
            <w:pPr>
              <w:jc w:val="right"/>
              <w:ind w:right="1376"/>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type of group based on rooms sold for our Hospitality segment for the years ended December 31 was approximately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2025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Groups</w:t>
            </w:r>
          </w:p>
        </w:tc>
        <w:tc>
          <w:tcPr>
            <w:tcW w:w="19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Associations</w:t>
            </w:r>
          </w:p>
        </w:tc>
        <w:tc>
          <w:tcPr>
            <w:tcW w:w="2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Groups</w:t>
            </w:r>
          </w:p>
        </w:tc>
        <w:tc>
          <w:tcPr>
            <w:tcW w:w="2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following years ended December 31 included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14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$ 214,284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$ 196,189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176,112</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50,855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47,197</w:t>
            </w: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12.2 %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42,055</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49,378</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44,803</w:t>
            </w:r>
          </w:p>
        </w:tc>
        <w:tc>
          <w:tcPr>
            <w:tcW w:w="10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39,951</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298,787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267,365</w:t>
            </w: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261,210</w:t>
            </w:r>
          </w:p>
        </w:tc>
      </w:tr>
      <w:tr>
        <w:trPr>
          <w:trHeight w:val="209"/>
        </w:trPr>
        <w:tc>
          <w:tcPr>
            <w:tcW w:w="2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$ 613,304</w:t>
            </w:r>
          </w:p>
        </w:tc>
        <w:tc>
          <w:tcPr>
            <w:tcW w:w="10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$ 555,554</w:t>
            </w:r>
          </w:p>
        </w:tc>
        <w:tc>
          <w:tcPr>
            <w:tcW w:w="106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519,328</w:t>
            </w:r>
          </w:p>
        </w:tc>
      </w:tr>
      <w:tr>
        <w:trPr>
          <w:trHeight w:val="20"/>
        </w:trPr>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Each of the other hotel expense categories above increased in 2025, as compared to 2024, due to the addition of JW Marriott Desert Ridge. Administrative employment costs include salaries and benefits for hotel administrative functions, including, among others, senior management, accounting, human resources, sales, conference services, engineering and security. The increase in property taxes in 2025, as compared to 2024, also includes slight increases at several Hospitality segment properties due to recent reappraisals. The increase in other expenses, which include supplies, advertising, maintenance costs and consulting costs, during 2025, as compared to 2024, also includes slight increases of various miscellaneous expenses across the Hospitality segment. In addition, 2024 includes a decrease at Gaylord Opryland due to a refund of $5.4 million of Tennessee franchise tax for prior years caused by a change in tax law that did not recur in 2025.</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and JW Marriott Desert Ridge are approximately 3% of gross revenues, and JW Marriott Hill Country is approximately 3.5% of gross revenues. Additionally, we pay Marriott an incentive management fee based on the profitability of our hotels. We incurred $50.8 million, $46.7 million and $41.3 million in base management fees to Marriott related to our Hospitality segment during 2025, 2024 and 2023, respectively. We also incurred $27.4 million, $29.9 million and $28.3 million in incentive management fees for our Hospitality segment during 2025, 2024 and 2023, respectively. Management fees are presented throughout this Annual Report on Form 10-K net of the amortization of the deferred management rights proceeds discussed in Note 5, “Deferred Management Rights Proceeds,” to the consolidated financial statements included herein.</w:t>
      </w:r>
    </w:p>
    <w:p>
      <w:pPr>
        <w:spacing w:after="0" w:line="19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Hospitality segment depreciation and amortization expense increased in 2025, as compared to 2024, primarily due to the depreciable assets associated with JW Marriott Desert Ridge, which we purchased June 10, 2025, as well as an increase at Gaylord Palms associated with the addition of depreciable assets associated with the property’s rooms and lobby renovation.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2024 and 2023.</w:t>
      </w:r>
    </w:p>
    <w:p>
      <w:pPr>
        <w:spacing w:after="0" w:line="158"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years ended December 31, 2025,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220" w:type="dxa"/>
            <w:vAlign w:val="bottom"/>
            <w:gridSpan w:val="4"/>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
                <w:szCs w:val="1"/>
                <w:color w:val="auto"/>
                <w:w w:val="4294942296"/>
              </w:rPr>
              <w:t>​</w:t>
            </w: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193,954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0.1 %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193,803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193,140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201,694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213,973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190,992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88,456</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87,776</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484,104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495,552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474,884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gridSpan w:val="2"/>
          </w:tcPr>
          <w:p>
            <w:pPr>
              <w:jc w:val="right"/>
              <w:ind w:right="153"/>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41,774</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112,958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102,213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 (1)</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135,574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131,852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138,828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33,122</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32,588</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339,991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342,656</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339,330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144,113</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152,896</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135,554</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53"/>
              <w:spacing w:after="0"/>
              <w:rPr>
                <w:sz w:val="20"/>
                <w:szCs w:val="20"/>
                <w:color w:val="auto"/>
              </w:rPr>
            </w:pPr>
            <w:r>
              <w:rPr>
                <w:rFonts w:ascii="Times New Roman" w:cs="Times New Roman" w:eastAsia="Times New Roman" w:hAnsi="Times New Roman"/>
                <w:sz w:val="1"/>
                <w:szCs w:val="1"/>
                <w:color w:val="auto"/>
                <w:w w:val="4294942296"/>
              </w:rPr>
              <w:t>​</w:t>
            </w:r>
          </w:p>
        </w:tc>
        <w:tc>
          <w:tcPr>
            <w:tcW w:w="8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15"/>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80"/>
        </w:trPr>
        <w:tc>
          <w:tcPr>
            <w:tcW w:w="322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color w:val="auto"/>
              </w:rPr>
              <w:t>69.1 %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(1.8)pts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70.9 %</w:t>
            </w:r>
          </w:p>
        </w:tc>
        <w:tc>
          <w:tcPr>
            <w:tcW w:w="100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(2.1)pts</w:t>
            </w:r>
          </w:p>
        </w:tc>
        <w:tc>
          <w:tcPr>
            <w:tcW w:w="7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73.0 %</w:t>
            </w:r>
          </w:p>
        </w:tc>
        <w:tc>
          <w:tcPr>
            <w:tcW w:w="0" w:type="dxa"/>
            <w:vAlign w:val="bottom"/>
          </w:tcPr>
          <w:p>
            <w:pPr>
              <w:spacing w:after="0"/>
              <w:rPr>
                <w:sz w:val="1"/>
                <w:szCs w:val="1"/>
                <w:color w:val="auto"/>
              </w:rPr>
            </w:pPr>
          </w:p>
        </w:tc>
      </w:tr>
      <w:tr>
        <w:trPr>
          <w:trHeight w:val="202"/>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2.9 %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720" w:right="11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hotel expenses for 2024 were reduced by a refund of $5.4 million of Tennessee franchise tax for prior years caused by a change in tax law.</w:t>
      </w:r>
    </w:p>
    <w:p>
      <w:pPr>
        <w:spacing w:after="0" w:line="160" w:lineRule="exact"/>
        <w:rPr>
          <w:sz w:val="20"/>
          <w:szCs w:val="20"/>
          <w:color w:val="auto"/>
        </w:rPr>
      </w:pPr>
    </w:p>
    <w:p>
      <w:pPr>
        <w:ind w:left="60" w:right="6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years ended December 31, 2025,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100" w:type="dxa"/>
            <w:vAlign w:val="bottom"/>
          </w:tcPr>
          <w:p>
            <w:pPr>
              <w:spacing w:after="0"/>
              <w:rPr>
                <w:sz w:val="15"/>
                <w:szCs w:val="15"/>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114,409</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12.7 % $</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101,519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145,266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150,109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56,823</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50,743</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50,462</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316,498</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302,371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25,464</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81,432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101,760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10,756</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34,398</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35.1 %</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25,470</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254,402</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239,143</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238,217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62,096</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63,228</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71,399</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77"/>
        </w:trPr>
        <w:tc>
          <w:tcPr>
            <w:tcW w:w="31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70.7 %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pts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64.6 %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(9.1)pts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73.7 %</w:t>
            </w:r>
          </w:p>
        </w:tc>
        <w:tc>
          <w:tcPr>
            <w:tcW w:w="0" w:type="dxa"/>
            <w:vAlign w:val="bottom"/>
          </w:tcPr>
          <w:p>
            <w:pPr>
              <w:spacing w:after="0"/>
              <w:rPr>
                <w:sz w:val="1"/>
                <w:szCs w:val="1"/>
                <w:color w:val="auto"/>
              </w:rPr>
            </w:pPr>
          </w:p>
        </w:tc>
      </w:tr>
      <w:tr>
        <w:trPr>
          <w:trHeight w:val="202"/>
        </w:trPr>
        <w:tc>
          <w:tcPr>
            <w:tcW w:w="3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258.14</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 $</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182.45</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161.45</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504.73</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5.0 % $</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years ended December 31, 2025, 2024 and 2023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119,712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125,205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168,609</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169,401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60,943</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56,545</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65,289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349,264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351,151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358,399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89,186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89,341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24,676</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249,034</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244,735</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246,696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100,230</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106,416</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111,703</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96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69.8 %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(4.8)pts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74.6 %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(0.3)pts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2.6 % $</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3.5 %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528.90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years ended December 31, 2025,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20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 ​​​</w:t>
            </w: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126,315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119,191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171,211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155,836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38,731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36,303</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336,257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311,330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100,005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99,241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94,150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33,846</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33,724</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284,564</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265,024</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264,462</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51,693</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46,306</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spacing w:after="0" w:line="20" w:lineRule="exact"/>
              <w:rPr>
                <w:sz w:val="1"/>
                <w:szCs w:val="1"/>
                <w:color w:val="auto"/>
              </w:rPr>
            </w:pPr>
          </w:p>
        </w:tc>
        <w:tc>
          <w:tcPr>
            <w:tcW w:w="2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spacing w:after="0" w:line="20" w:lineRule="exact"/>
              <w:rPr>
                <w:sz w:val="1"/>
                <w:szCs w:val="1"/>
                <w:color w:val="auto"/>
              </w:rPr>
            </w:pPr>
          </w:p>
        </w:tc>
        <w:tc>
          <w:tcPr>
            <w:tcW w:w="2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0"/>
        </w:trPr>
        <w:tc>
          <w:tcPr>
            <w:tcW w:w="31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67.4 %</w:t>
            </w:r>
          </w:p>
        </w:tc>
        <w:tc>
          <w:tcPr>
            <w:tcW w:w="9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 pts</w:t>
            </w: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64.8 %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(3.6)pts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68.4 %</w:t>
            </w:r>
          </w:p>
        </w:tc>
        <w:tc>
          <w:tcPr>
            <w:tcW w:w="0" w:type="dxa"/>
            <w:vAlign w:val="bottom"/>
          </w:tcPr>
          <w:p>
            <w:pPr>
              <w:spacing w:after="0"/>
              <w:rPr>
                <w:sz w:val="1"/>
                <w:szCs w:val="1"/>
                <w:color w:val="auto"/>
              </w:rPr>
            </w:pPr>
          </w:p>
        </w:tc>
      </w:tr>
      <w:tr>
        <w:trPr>
          <w:trHeight w:val="203"/>
        </w:trPr>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251.80</w:t>
            </w:r>
          </w:p>
        </w:tc>
        <w:tc>
          <w:tcPr>
            <w:tcW w:w="2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173.38</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426.17</w:t>
            </w: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Rockies Results. </w:t>
      </w:r>
      <w:r>
        <w:rPr>
          <w:rFonts w:ascii="Times New Roman" w:cs="Times New Roman" w:eastAsia="Times New Roman" w:hAnsi="Times New Roman"/>
          <w:sz w:val="18"/>
          <w:szCs w:val="18"/>
          <w:color w:val="auto"/>
        </w:rPr>
        <w:t>The results of Gaylord Rockies for the years ended December 31, 2025,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110,130</w:t>
            </w: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6.6 %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103,329</w:t>
            </w:r>
          </w:p>
        </w:tc>
        <w:tc>
          <w:tcPr>
            <w:tcW w:w="1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5.9 %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162,303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149,890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132,254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40,800</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36,922</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313,233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290,141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266,737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96,594</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87,070</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9,337</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8,661</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57,094</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247,043</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233,908</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221,883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66,190</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56,233</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25.4 %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44,854</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75.9 %</w:t>
            </w:r>
          </w:p>
        </w:tc>
        <w:tc>
          <w:tcPr>
            <w:tcW w:w="10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 pts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74.3 %</w:t>
            </w:r>
          </w:p>
        </w:tc>
        <w:tc>
          <w:tcPr>
            <w:tcW w:w="10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0.9 pts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73.4 %</w:t>
            </w: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264.85</w:t>
            </w: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253.11</w:t>
            </w:r>
          </w:p>
        </w:tc>
        <w:tc>
          <w:tcPr>
            <w:tcW w:w="1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201.02</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188.09</w:t>
            </w: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571.73</w:t>
            </w: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528.14</w:t>
            </w: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JW Marriott Hill Country Results. </w:t>
      </w:r>
      <w:r>
        <w:rPr>
          <w:rFonts w:ascii="Times New Roman" w:cs="Times New Roman" w:eastAsia="Times New Roman" w:hAnsi="Times New Roman"/>
          <w:sz w:val="18"/>
          <w:szCs w:val="18"/>
          <w:color w:val="auto"/>
        </w:rPr>
        <w:t>The results of JW Marriott Hill Country for the years ended December 31, 2025,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2023 are as follows (in thousands, except percentages and performance metrics):</w:t>
      </w: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 (1)</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80,850</w:t>
            </w:r>
          </w:p>
        </w:tc>
        <w:tc>
          <w:tcPr>
            <w:tcW w:w="1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80,526</w:t>
            </w:r>
          </w:p>
        </w:tc>
        <w:tc>
          <w:tcPr>
            <w:tcW w:w="14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121.4 % $ 36,376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101,301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97,610</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144.6 %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45,031</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42,388</w:t>
            </w: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156.5 %</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227,182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220,524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137.6 %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118.8 %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53,421</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51,898</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126.5 %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80,586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75,710</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130.8 %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8,878</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315.4 %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105.1 %</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189,780</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182,116</w:t>
            </w: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128.7 %</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79,630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37,402</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38,408</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191.3 %</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$ 13,183</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67.2 %</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(2.0)pts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69.2 %</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 pts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64.9 %</w:t>
            </w:r>
          </w:p>
        </w:tc>
        <w:tc>
          <w:tcPr>
            <w:tcW w:w="0" w:type="dxa"/>
            <w:vAlign w:val="bottom"/>
          </w:tcPr>
          <w:p>
            <w:pPr>
              <w:spacing w:after="0"/>
              <w:rPr>
                <w:sz w:val="1"/>
                <w:szCs w:val="1"/>
                <w:color w:val="auto"/>
              </w:rPr>
            </w:pPr>
          </w:p>
        </w:tc>
      </w:tr>
      <w:tr>
        <w:trPr>
          <w:trHeight w:val="202"/>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329.16</w:t>
            </w:r>
          </w:p>
        </w:tc>
        <w:tc>
          <w:tcPr>
            <w:tcW w:w="1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317.32</w:t>
            </w:r>
          </w:p>
        </w:tc>
        <w:tc>
          <w:tcPr>
            <w:tcW w:w="14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4.4 % $ 304.07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221.06</w:t>
            </w: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219.58</w:t>
            </w:r>
          </w:p>
        </w:tc>
        <w:tc>
          <w:tcPr>
            <w:tcW w:w="14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 $ 197.30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621.17</w:t>
            </w: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601.32</w:t>
            </w:r>
          </w:p>
        </w:tc>
        <w:tc>
          <w:tcPr>
            <w:tcW w:w="1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19.4 % $ 503.41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4420" w:right="4079" w:hanging="4019"/>
        <w:spacing w:after="0" w:line="843" w:lineRule="auto"/>
        <w:tabs>
          <w:tab w:leader="none" w:pos="73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purchased JW Marriott Hill Country on June 30, 2023.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JW Marriott Desert Ridge Results. </w:t>
      </w:r>
      <w:r>
        <w:rPr>
          <w:rFonts w:ascii="Times New Roman" w:cs="Times New Roman" w:eastAsia="Times New Roman" w:hAnsi="Times New Roman"/>
          <w:sz w:val="18"/>
          <w:szCs w:val="18"/>
          <w:color w:val="auto"/>
        </w:rPr>
        <w:t>We purchased JW Marriott Desert Ridge on June 10, 2025. The results of JW Marriott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Desert Ridge for the period from June 10, 2025 to December 31, 2025 are as follows (in thousands, except percentages and performance metrics):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18,051</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92,362</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94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1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9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57.7 %</w:t>
            </w:r>
          </w:p>
        </w:tc>
        <w:tc>
          <w:tcPr>
            <w:tcW w:w="0" w:type="dxa"/>
            <w:vAlign w:val="bottom"/>
          </w:tcPr>
          <w:p>
            <w:pPr>
              <w:spacing w:after="0"/>
              <w:rPr>
                <w:sz w:val="1"/>
                <w:szCs w:val="1"/>
                <w:color w:val="auto"/>
              </w:rPr>
            </w:pPr>
          </w:p>
        </w:tc>
      </w:tr>
      <w:tr>
        <w:trPr>
          <w:trHeight w:val="20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94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results of our Entertainment segment for the years ended December 31, 2025, 2024 and 2023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40" w:type="dxa"/>
            <w:vAlign w:val="bottom"/>
          </w:tcPr>
          <w:p>
            <w:pPr>
              <w:spacing w:after="0"/>
              <w:rPr>
                <w:sz w:val="18"/>
                <w:szCs w:val="18"/>
                <w:color w:val="auto"/>
              </w:rPr>
            </w:pPr>
          </w:p>
        </w:tc>
        <w:tc>
          <w:tcPr>
            <w:tcW w:w="2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433,975</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342,176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324,658</w:t>
            </w:r>
          </w:p>
        </w:tc>
      </w:tr>
      <w:tr>
        <w:trPr>
          <w:trHeight w:val="216"/>
        </w:trPr>
        <w:tc>
          <w:tcPr>
            <w:tcW w:w="3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(323,948)</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(241,847)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(223,663)</w:t>
            </w: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3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sale of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(37,310)</w:t>
            </w:r>
          </w:p>
        </w:tc>
        <w:tc>
          <w:tcPr>
            <w:tcW w:w="1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w:t>
            </w:r>
          </w:p>
        </w:tc>
      </w:tr>
      <w:tr>
        <w:trPr>
          <w:trHeight w:val="210"/>
        </w:trPr>
        <w:tc>
          <w:tcPr>
            <w:tcW w:w="3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68,539</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76,076</w:t>
            </w:r>
          </w:p>
        </w:tc>
      </w:tr>
      <w:tr>
        <w:trPr>
          <w:trHeight w:val="20"/>
        </w:trPr>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95"/>
        </w:trPr>
        <w:tc>
          <w:tcPr>
            <w:tcW w:w="3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63" w:lineRule="exact"/>
        <w:rPr>
          <w:sz w:val="20"/>
          <w:szCs w:val="20"/>
          <w:color w:val="auto"/>
        </w:rPr>
      </w:pPr>
    </w:p>
    <w:p>
      <w:pPr>
        <w:ind w:left="720" w:right="1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2024 were reduced by a refund of $3.4 million of Tennessee franchise tax for prior years caused by a change in tax law.</w:t>
      </w:r>
    </w:p>
    <w:p>
      <w:pPr>
        <w:spacing w:after="0" w:line="162"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Revenues increased in our Entertainment segment in 2025, as compared to 2024, primarily related to Southern Entertainment, which we purchased in January 2025, Category 10 Nashville, which opened in November 2024, and W Austin, which faced construction-related disruptions in 2024.</w:t>
      </w:r>
    </w:p>
    <w:p>
      <w:pPr>
        <w:spacing w:after="0" w:line="1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Entertainment segment operating expenses increased in 2025, as compared to 2024, primarily related to Southern Entertainment, the operations of Category 10 Nashville, and higher business levels at W Austin. In addition, 2024 included a refund of Tennessee franchise tax for prior years caused by a change in tax law that did not recur in 2025.</w:t>
      </w:r>
    </w:p>
    <w:p>
      <w:pPr>
        <w:spacing w:after="0" w:line="1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in 2025, as compared to 2024, primarily associated with the increase in depreciable and amortizable assets associated with Category 10 Nashville and Southern Entertainment, as well as increased depreciation and amortization related to Block 21 attributable to construction enhancements completed at the property in 2024 and the first half of 2025.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results of our Corporate and Other segment for the years ended December 31, 2025, 2024 and 2023 (in thousands, except percentages):</w:t>
      </w:r>
    </w:p>
    <w:p>
      <w:pPr>
        <w:spacing w:after="0" w:line="169"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1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41,819</w:t>
            </w:r>
          </w:p>
        </w:tc>
        <w:tc>
          <w:tcPr>
            <w:tcW w:w="16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(42,467)</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Corporate and Other operating expenses, which consist primarily of costs associated with senior management salaries and benefits, legal, human resources, accounting, pension, information technology, consulting and other administrative costs, increased in 2025, as compared to 2024, primarily as a result of increased employment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Preopening costs for 2025 primarily include costs associated with Category 10 Las Vegas, which is expected to open in late 2026. Preopening costs for 2024 primarily include costs associated with Category 10 Nashville, which opened in November 2024 and Ole Red Las Vegas, which opened in January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(Loss) on Sale of Assets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Loss on sale of assets for 2025 includes the sale of miscellaneous Entertainment segment assets. Gain on sale of assets for 2024 includes the sale of miscellaneous corporate assets.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years ended December 31, 2025, 2024 and 2023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vMerge w:val="restart"/>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6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(241,270)</w:t>
            </w:r>
          </w:p>
        </w:tc>
        <w:tc>
          <w:tcPr>
            <w:tcW w:w="10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(225,395)</w:t>
            </w:r>
          </w:p>
        </w:tc>
        <w:tc>
          <w:tcPr>
            <w:tcW w:w="1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(211,370)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20,299</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30.6 %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unconsolidated joint ventures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(3,745.5)%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101.6 %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0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w:t>
            </w: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47.1 %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interest expense associated with our outstanding borrowings, including the impact of interest rate swaps for the years ended December 31, 2025, 2024 and 2023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12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10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RHP Revolving Credit Facility</w:t>
            </w:r>
          </w:p>
        </w:tc>
        <w:tc>
          <w:tcPr>
            <w:tcW w:w="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312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RHP Term Loan B</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27,703</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31,395</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RHP Senior Notes</w:t>
            </w: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183,807</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143,592</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83.0 %</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Gaylord Rockies Term Loan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15,495</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OEG Revolver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2,127</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OEG Term Loan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30,682</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 21 CMBS Loan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8,421</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tcPr>
          <w:p>
            <w:pPr>
              <w:spacing w:after="0"/>
              <w:rPr>
                <w:sz w:val="24"/>
                <w:szCs w:val="24"/>
                <w:color w:val="auto"/>
              </w:rPr>
            </w:pPr>
          </w:p>
        </w:tc>
        <w:tc>
          <w:tcPr>
            <w:tcW w:w="3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241,270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225,395</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Other includes capitalized interest, as well as other miscellaneous items.</w:t>
      </w:r>
    </w:p>
    <w:p>
      <w:pPr>
        <w:spacing w:after="0" w:line="225"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Interest expense increased in 2025, as compared to 2024, due primarily to higher levels of indebtedness attributable to the issuance of $625 million in 6.50% senior notes in June 2025, partially offset by a reduction in interest expense associated with the Term Loan B as a result of a reduction in the outstanding borrowing amount during 2024.</w:t>
      </w:r>
    </w:p>
    <w:p>
      <w:pPr>
        <w:spacing w:after="0" w:line="1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6.5% and 6.7% in 2025 and 2024,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Interest income includes amounts earned on our cash balances, as well as the bonds that were received in connection with the development of Gaylord National, which we hold as notes receivable. See Note 3, “Notes Receivable,” to the accompanying consolidated financial statements included herein for additional discussion of interest income on these bonds.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jc w:val="both"/>
        <w:ind w:left="60" w:right="279"/>
        <w:spacing w:after="0" w:line="282" w:lineRule="auto"/>
        <w:rPr>
          <w:sz w:val="20"/>
          <w:szCs w:val="20"/>
          <w:color w:val="auto"/>
        </w:rPr>
      </w:pPr>
      <w:r>
        <w:rPr>
          <w:rFonts w:ascii="Times New Roman" w:cs="Times New Roman" w:eastAsia="Times New Roman" w:hAnsi="Times New Roman"/>
          <w:sz w:val="18"/>
          <w:szCs w:val="18"/>
          <w:color w:val="auto"/>
        </w:rPr>
        <w:t>As a result of the April 2025 incremental borrowing under the OEG credit agreement and the defeasance of the Block 21 CMBS loan, we recognized a loss on extinguishment of debt of $2.9 million in 2025.</w:t>
      </w:r>
    </w:p>
    <w:p>
      <w:pPr>
        <w:spacing w:after="0" w:line="162"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As a result of the March 2024 repayment of the Gaylord Rockies $800 million term loan, the April 2024 repricing of the RHP term loan B, the June 2024 refinancing of the OEG credit agreement, and the December 2024 repricing of the RHP term loan B, we recognized a loss on extinguishment of debt of $2.5 million in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(Loss) from Unconsolidated Joint Ventures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loss from unconsolidated joint ventures for 2025 represents a loss on an equity method investment.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227"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Other gains and (losses), net for 2025 and 2024 primarily includes a gain of $3.3 million and $3.2 million, respectively, from a fund associated with the Gaylord National bonds to reimburse us for certain marketing and maintenance expenses.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2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2025 and 2024, we recorded an income tax provision of $7.3 million and $13.8 million, respectively. These results differ from the statutory rate primarily due to the REIT dividends paid deduction and changes in income at our TRSs in both years.</w:t>
      </w:r>
    </w:p>
    <w:p>
      <w:pPr>
        <w:spacing w:after="0" w:line="176"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The Company recognized the impact of the One Big Beautiful Bill Act (“OBBBA”), which was enacted on July 4, 2025, during 2025. The related adjustments to deferred tax assets and liabilities, and the resulting income tax expense, did not have a material impact on our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we believe are useful to investors as key measures of our operating performance: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EBITDAre, Adjusted EBITDAre and Adjusted EBITDAre, Excluding Noncontrolling Interest Definition</w:t>
      </w:r>
    </w:p>
    <w:p>
      <w:pPr>
        <w:spacing w:after="0" w:line="22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7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w:t>
      </w:r>
    </w:p>
    <w:p>
      <w:pPr>
        <w:spacing w:after="0" w:line="158"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39"/>
        <w:spacing w:after="0" w:line="284" w:lineRule="auto"/>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provides useful information to investors regarding our operating performance and debt leverage metrics.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FFO, Adjusted FFO, and Adjusted FFO available to common stockholders and unit holders Definition</w:t>
      </w:r>
    </w:p>
    <w:p>
      <w:pPr>
        <w:spacing w:after="0" w:line="22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from unconsolidated joint ventures.</w:t>
      </w:r>
    </w:p>
    <w:p>
      <w:pPr>
        <w:spacing w:after="0" w:line="18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years ended December 31, 2025, 2024 and 2023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247,310</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280,190</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341,800</w:t>
            </w:r>
          </w:p>
        </w:tc>
      </w:tr>
      <w:tr>
        <w:trPr>
          <w:trHeight w:val="203"/>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220,971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189,947</w:t>
            </w:r>
          </w:p>
        </w:tc>
      </w:tr>
      <w:tr>
        <w:trPr>
          <w:trHeight w:val="203"/>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(93,702)</w:t>
            </w:r>
          </w:p>
        </w:tc>
      </w:tr>
      <w:tr>
        <w:trPr>
          <w:trHeight w:val="203"/>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211,227</w:t>
            </w:r>
          </w:p>
        </w:tc>
      </w:tr>
      <w:tr>
        <w:trPr>
          <w:trHeight w:val="203"/>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196"/>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755,002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726,805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649,297</w:t>
            </w:r>
          </w:p>
        </w:tc>
      </w:tr>
      <w:tr>
        <w:trPr>
          <w:trHeight w:val="203"/>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w:t>
            </w:r>
          </w:p>
        </w:tc>
      </w:tr>
      <w:tr>
        <w:trPr>
          <w:trHeight w:val="203"/>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5,710</w:t>
            </w:r>
          </w:p>
        </w:tc>
      </w:tr>
      <w:tr>
        <w:trPr>
          <w:trHeight w:val="203"/>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15,421</w:t>
            </w:r>
          </w:p>
        </w:tc>
      </w:tr>
      <w:tr>
        <w:trPr>
          <w:trHeight w:val="203"/>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w:t>
            </w:r>
          </w:p>
        </w:tc>
      </w:tr>
      <w:tr>
        <w:trPr>
          <w:trHeight w:val="202"/>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4,936</w:t>
            </w:r>
          </w:p>
        </w:tc>
      </w:tr>
      <w:tr>
        <w:trPr>
          <w:trHeight w:val="203"/>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w:t>
            </w:r>
          </w:p>
        </w:tc>
      </w:tr>
      <w:tr>
        <w:trPr>
          <w:trHeight w:val="203"/>
        </w:trPr>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 rata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 (1)</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10,508</w:t>
            </w:r>
          </w:p>
        </w:tc>
      </w:tr>
      <w:tr>
        <w:trPr>
          <w:trHeight w:val="19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794,693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757,705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690,745</w:t>
            </w:r>
          </w:p>
        </w:tc>
      </w:tr>
      <w:tr>
        <w:trPr>
          <w:trHeight w:val="203"/>
        </w:trPr>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(33,399)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(31,746)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(29,884)</w:t>
            </w:r>
          </w:p>
        </w:tc>
      </w:tr>
      <w:tr>
        <w:trPr>
          <w:trHeight w:val="19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761,294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725,959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660,861</w:t>
            </w:r>
          </w:p>
        </w:tc>
      </w:tr>
      <w:tr>
        <w:trPr>
          <w:trHeight w:val="20"/>
        </w:trPr>
        <w:tc>
          <w:tcPr>
            <w:tcW w:w="2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Includes losses associated with two equity method investments.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our consolidated GAAP net income available to common stockholders to FFO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Adjusted FFO for the years ended December 31, 2025, 2024 and 2023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311,217</w:t>
            </w:r>
          </w:p>
        </w:tc>
      </w:tr>
      <w:tr>
        <w:trPr>
          <w:trHeight w:val="216"/>
        </w:trPr>
        <w:tc>
          <w:tcPr>
            <w:tcW w:w="5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Noncontrolling interest in OP Units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1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and unit holders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313,335</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211,064</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(12,147)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9"/>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510,561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517,389</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 (1)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18,635</w:t>
            </w:r>
          </w:p>
        </w:tc>
      </w:tr>
      <w:tr>
        <w:trPr>
          <w:trHeight w:val="216"/>
        </w:trPr>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(95,825)</w:t>
            </w:r>
          </w:p>
        </w:tc>
      </w:tr>
      <w:tr>
        <w:trPr>
          <w:trHeight w:val="209"/>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539,592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527,821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473,133</w:t>
            </w:r>
          </w:p>
        </w:tc>
      </w:tr>
      <w:tr>
        <w:trPr>
          <w:trHeight w:val="20"/>
        </w:trPr>
        <w:tc>
          <w:tcPr>
            <w:tcW w:w="2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63"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losses associated with two equity method investments.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our operating expenses, interest payments on debt, maintenance capital expenditures, and dividends to stockholders. During 2025, our net cash flows provided by operating activities were $590.6 million, primarily reflecting our net income before depreciation expense, amortization expense and other non-cash charges of approximately $563.9 million and favorable changes in working capital of approximately $26.8 million. The favorable changes in working capital primarily resulted from an increase in deferred revenues associated with increased advanced room deposits on future hotel room stays and increased advanced ticket sales on future concerts and events, partially offset by a decrease in accounts payable due to the timing of payments.</w:t>
      </w:r>
    </w:p>
    <w:p>
      <w:pPr>
        <w:spacing w:after="0" w:line="18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During 2024, our net cash flows provided by operating activities were $576.5 million, primarily reflecting our net income before depreciation expense, amortization expense and other non-cash charges of approximately $550.3 million and favorable changes in working capital of approximately $26.2 million. The favorable changes in working capital primarily resulted from an increase in deferred revenues associated with increased advanced room deposits on future hotel room stays and a decrease in accounts receivable associated with a difference in timing of credit card settlements.</w:t>
      </w:r>
    </w:p>
    <w:p>
      <w:pPr>
        <w:spacing w:after="0" w:line="181"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 During 2025, our primary use of funds for investing activities was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$862.0 million to purchase JW Marriott Desert Ridge and purchases of property and equipment, which totaled $358.2 million. Purchases of property and equipment consisted primarily of projects at Gaylord Opryland, including a meeting space expansion, the renovation of an existing ballroom and pre-function space, and the development of a sports bar, pavilion and event lawn; a rooms renovation at Gaylord Texan; and ongoing maintenance capital expenditures for each of our existing properties.</w:t>
      </w:r>
    </w:p>
    <w:p>
      <w:pPr>
        <w:spacing w:after="0" w:line="184"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During 2024, our primary use of funds for investing activities was the purchase of property and equipment, which totaled $407.9 million, and consisted primarily of enhancements at Gaylord Rockies to construct a new events pavilion, enhance the grand lodge and reposition its food and beverage outlets; enhancements to meeting spaces at Gaylord Opryland; the conversion of the Wildhorse Saloon to Category 10; a rooms renovation at the W Austin and common area enhancements at Block 21; the completion of Ole Red Las Vegas; a rooms and lobby renovation at Gaylord Palms; and ongoing maintenance capital expenditures for each of our existing properties.</w:t>
      </w:r>
    </w:p>
    <w:p>
      <w:pPr>
        <w:spacing w:after="0" w:line="185"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(Used In) Financing Activities. </w:t>
      </w:r>
      <w:r>
        <w:rPr>
          <w:rFonts w:ascii="Times New Roman" w:cs="Times New Roman" w:eastAsia="Times New Roman" w:hAnsi="Times New Roman"/>
          <w:sz w:val="18"/>
          <w:szCs w:val="18"/>
          <w:color w:val="auto"/>
        </w:rPr>
        <w:t>Our cash flows from financing activities primarily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incurrence and repayment of long-term debt and the payment of cash distributions. During 2025, net cash flows provided by financing activities were $567.3 million, primarily reflecting the issuance of $625.0 million in senior notes and $275.5 million in net proceeds from the issuance of approximately 3.0 million shares of our common stock, partially offset by the payment of $285.6 million in cash distributions, the net repayment of $21.0 million under the OEG revolving credit facility, and the payment of $13.1 million in deferred financing costs.</w:t>
      </w:r>
    </w:p>
    <w:p>
      <w:pPr>
        <w:spacing w:after="0" w:line="18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During 2024, net cash flows used in financing activities were $290.3 million, primarily reflecting the issuance of $1 billion in 6.50% senior notes, offset by the prepayment of the Gaylord Rockies $800.0 million term loan, the net repayment of $203.5 million under our term loan B, the payment of $266.1 million in cash distributions, and the payment of $23.7 million in deferred financing costs.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At December 31, 2025, we had $471.4 million in unrestricted cash and $780.0 million available for borrowing in the aggregate under our revolving credit facility and the OEG revolving credit facility. During 2025, we issued $625.0 million in new 6.50% senior notes, received $275.5 million in net proceeds from the issuance of approximately 3.0 million shares of our common stock, used $862.0 million in net cash to purchase JW Marriott Desert Ridge, incurred capital expenditures of $358.2 million and paid $285.6 million in cash distributions. These changes, partially offset by the cash flows provided by operations discussed above, were the primary factors in the decrease in our cash balance from 2024 to 2025.</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 anticipate investing in our operations during 2026 by spending between approximately $350 million and $450 million in capital expenditures, which includes a meeting space expansion at Gaylord Opryland; rooms renovations at Gaylord Texan and JW Marriott Hill Country; the construction of Category 10 Las Vegas; the construction of Category 10 at Universal Orlando Resort’s CityWalk; and ongoing maintenance capital for each of our current facilities. Further, our dividend policy provides that we will make minimum dividends of 100% of REIT taxable income annually. We currently have no debt maturities until October 2027. We believe we will be able to refinance our debt agreements prior to their maturities.</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8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December 31, 2025, there were no defaults under the covenants related to our outstanding debt.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22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(as modified pursuant to the First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Second Incremental Agreement and the First Amendment (each as hereinafter defined),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w:t>
      </w:r>
    </w:p>
    <w:p>
      <w:pPr>
        <w:spacing w:after="0" w:line="185"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The Credit Agreement provides for a senior secured term loan B (the “Term Loan B”) (in the original principal amount of $500.0 million and as of December 31, 2025 with an outstanding principal amount equal to $289.9 million) and a revolving credit facility (the “Revolver”) in an original aggregate principal amount equal to $700.0 million and as of January 28,</w:t>
      </w:r>
    </w:p>
    <w:p>
      <w:pPr>
        <w:spacing w:after="0" w:line="2"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2026 increased to $850.0 million pursuant to Amendment No. 1 to Credit Agreement (the “First Amendment”), as well as an accordion feature that will allow us to increase the facilities by an aggregate of up to $475 million, which may be allocated between the Revolver and the Term Loan B at our option.</w:t>
      </w:r>
    </w:p>
    <w:p>
      <w:pPr>
        <w:spacing w:after="0" w:line="18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Each of the Revolver and Term Loan B is guaranteed by us, each of our subsidiaries that own the Gaylord Hotels properties and the JW Marriott properties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the Revolver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Per the First Amendment to the Credit Agreement, the material financial covenants, ratios or tests contained in the Revolver are as follows:</w:t>
      </w:r>
    </w:p>
    <w:p>
      <w:pPr>
        <w:spacing w:after="0" w:line="180"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7.25x.</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45% of consolidated total asset value.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9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60% (with the ability to surge to 65% in connection with a material acquisition).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of not less than 2.0x.</w:t>
      </w:r>
    </w:p>
    <w:p>
      <w:pPr>
        <w:spacing w:after="0" w:line="225"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4"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w:t>
      </w:r>
      <w:r>
        <w:rPr>
          <w:rFonts w:ascii="Times New Roman" w:cs="Times New Roman" w:eastAsia="Times New Roman" w:hAnsi="Times New Roman"/>
          <w:sz w:val="18"/>
          <w:szCs w:val="18"/>
          <w:color w:val="auto"/>
        </w:rPr>
        <w:t>Per the First Amendment to the Credit Agreement, the maturity date of the Revolver is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2030, with the option to extend the maturity date for a maximum of one additional year through either (i) a single 12-month extension option or (ii) two individual six-month extensions. Borrowings under the Revolver bear interest at an annual rate equal to, at our option, either (i) Term SOFR plus the applicable margin ranging from 1.40% to 2.00%, (ii) Daily Simple SOFR plus the applicable margin ranging from 1.40% to 2.00% or (iii) a base rate as set in the Credit Agreement plus the applicable margin ranging from 0.40% to 1.00%, with each option dependent upon our consolidated net leverage ratio (as defined in the Credit Agreement). Principal is payable in full at maturity.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Revolver, each of Term SOFR and Daily Simple SOFR are subject to a floor of 0.00%.</w:t>
      </w:r>
    </w:p>
    <w:p>
      <w:pPr>
        <w:spacing w:after="0" w:line="225"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At December 31, 2025 (prior to the effectiveness of the First Amendment), no amounts were outstanding under the Revolver, and there was $700.0 million of availability under the Revolver as of December 31, 2025 (subject to the satisfaction of debt incurrence tests under the indentures governing our $1 billion in aggregate principal amount of senior notes due 2032 (the “$1 Billion 6.50% Senior Notes”), our $700 million in aggregate principal amount of senior notes due 2027 (the “$700 Million 4.75% Senior Notes”), our $625 million in aggregate principal amount of senior notes due 2033 (the “$625 Million 6.50% Senior Notes”), our $600 million in aggregate principal amount of senior notes due 2029 (the “$600 Million 4.50% Senior Notes”) and our $400 million in aggregate principal amount of senior notes due 2028 (“$400 Million 7.25% Senior Notes”), which we met at December 31, 2025).</w:t>
      </w:r>
    </w:p>
    <w:p>
      <w:pPr>
        <w:spacing w:after="0" w:line="190"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 Loan B. </w:t>
      </w:r>
      <w:r>
        <w:rPr>
          <w:rFonts w:ascii="Times New Roman" w:cs="Times New Roman" w:eastAsia="Times New Roman" w:hAnsi="Times New Roman"/>
          <w:sz w:val="18"/>
          <w:szCs w:val="18"/>
          <w:color w:val="auto"/>
        </w:rPr>
        <w:t>The Term Loan B has a maturity date of May 18, 2030. As of December 31, 2025, the applicable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for borrowings under the Term Loan B is, at our option, either (i) 1.75% for SOFR Loans (as defined in the Credit Agreement) and (ii) 0.75% for base rate loans.</w:t>
      </w:r>
    </w:p>
    <w:p>
      <w:pPr>
        <w:spacing w:after="0" w:line="17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At December 31, 2025, the interest rate on the Term Loan B was Term SOFR plus 1.75%. The annual amortization under the Term Loan B is 1% of the refinanced $293.5 million outstanding principal amount, with the balance due at maturity. At December 31, 2025, $289.9 million in borrowings were outstanding under the Term Loan B.</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pacing w:after="0" w:line="223"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i w:val="1"/>
          <w:iCs w:val="1"/>
          <w:color w:val="auto"/>
        </w:rPr>
        <w:t>$1 Billion 6.50% Senior Notes</w:t>
      </w:r>
      <w:r>
        <w:rPr>
          <w:rFonts w:ascii="Times New Roman" w:cs="Times New Roman" w:eastAsia="Times New Roman" w:hAnsi="Times New Roman"/>
          <w:sz w:val="18"/>
          <w:szCs w:val="18"/>
          <w:color w:val="auto"/>
        </w:rPr>
        <w:t>. On March 28, 2024, the Operating Partnership and RHP Finance Corporation (“Finco”)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“issuing subsidiaries”) completed the private placement of $1.0 billion in aggregate principal amount of 6.50% senior notes due 2032,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The $1 Billion 6.50% Senior Notes are general unsecured and unsubordinated obligations of the issuing subsidiaries and rank equal in right of payment with such subsidiaries’ existing and future senior unsecured indebtedness, including the $700 Million 4.75% Senior Notes, the $625 Million 6.50%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of the assets securing such indebtedness and structurally subordinated to all indebtedness and other obligations of the Operating Partnership’s subsidiaries that do not guarantee the $1 Billion 6.50% Senior Notes.</w:t>
      </w:r>
    </w:p>
    <w:p>
      <w:pPr>
        <w:spacing w:after="0" w:line="16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We used a portion of these net proceeds to prepay the indebtedness outstanding under our previous $800.0 million Gaylord Rockies term loan and used the remaining proceeds, together with cash on hand, to repay $200.0 million under the Term Loan B.</w:t>
      </w:r>
    </w:p>
    <w:p>
      <w:pPr>
        <w:spacing w:after="0" w:line="18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85"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w:t>
      </w:r>
    </w:p>
    <w:p>
      <w:pPr>
        <w:spacing w:after="0" w:line="2"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7"/>
          <w:szCs w:val="17"/>
          <w:color w:val="auto"/>
        </w:rPr>
        <w:t>4.75% Senior Notes are general unsecured and unsubordinated obligations of the issuing subsidiaries and rank equal in right of payment with such subsidiaries’ existing and future senior unsecured indebtedness, including the $1 Billion 6.50% Senior Notes, the $625 Million 6.50% Senior Notes,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6"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$700 Million 4.75% Senior Notes are redeemable, in whole or in part, at 100% of the principal amount thereof plus accrued and unpaid interest thereon to, but not including, the redemption date.</w:t>
      </w:r>
    </w:p>
    <w:p>
      <w:pPr>
        <w:spacing w:after="0" w:line="121"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$625 Million 6.50% Senior Notes</w:t>
      </w:r>
      <w:r>
        <w:rPr>
          <w:rFonts w:ascii="Times New Roman" w:cs="Times New Roman" w:eastAsia="Times New Roman" w:hAnsi="Times New Roman"/>
          <w:sz w:val="18"/>
          <w:szCs w:val="18"/>
          <w:color w:val="auto"/>
        </w:rPr>
        <w:t>. On June 4, 2025, the Operating Partnership and Finco completed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$625.0 million in aggregate principal amount of 6.50% senior notes due 2033, which are guaranteed by the Company and its subsidiaries that guarantee the Credit Agreement. The $625 Million 6.50% Senior Notes and guarantees were issued pursuant to an indenture by and among the issuing subsidiaries, the guarantors and U.S. Bank Trust Company, National Association, as trustee. The $625 Million 6.50% Senior Notes have a maturity date of June 15, 2033 and bear interest at 6.50% per annum, payable semi-annually in cash in arrears on June 15 and December 15 each year, beginning on December 15, 2025. The $625 Million 6.50% Senior Notes are general unsecured and unsubordinated obligations of the issuing subsidiaries and rank equal in right of payment with such subsidiaries’ existing and future senior unsecured indebtedness, including the $1 Billion 6.50% Senior Notes, the $700 Million 4.75% Senior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Notes, the $600 Million 4.50% Senior Notes and the $400 Million 7.25% Senior Notes, and senior in right of payment to future subordinated indebtedness, if any. The $625 Million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$625 Million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$625 Million 6.50% Senior Notes.</w:t>
      </w:r>
    </w:p>
    <w:p>
      <w:pPr>
        <w:spacing w:after="0" w:line="165"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$625 Million 6.50% Senior Notes totaled approximately $614 million, after deducting the initial purchasers’ discounts, commissions and offering expenses. We used these net proceeds to fund a portion of the purchase price for JW Marriott Desert Ridge.</w:t>
      </w:r>
    </w:p>
    <w:p>
      <w:pPr>
        <w:spacing w:after="0" w:line="135"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$625 Million 6.50% Senior Notes are redeemable before June 15, 2028, in whole or in part, at 100.00%, plus accrued and unpaid interest thereon to, but not including, the redemption date, plus a make-whole premium. The $625</w:t>
      </w:r>
    </w:p>
    <w:p>
      <w:pPr>
        <w:jc w:val="both"/>
        <w:ind w:left="60" w:right="139"/>
        <w:spacing w:after="0" w:line="253" w:lineRule="auto"/>
        <w:rPr>
          <w:sz w:val="20"/>
          <w:szCs w:val="20"/>
          <w:color w:val="auto"/>
        </w:rPr>
      </w:pPr>
      <w:r>
        <w:rPr>
          <w:rFonts w:ascii="Times New Roman" w:cs="Times New Roman" w:eastAsia="Times New Roman" w:hAnsi="Times New Roman"/>
          <w:sz w:val="18"/>
          <w:szCs w:val="18"/>
          <w:color w:val="auto"/>
        </w:rPr>
        <w:t>Million 6.50% Senior Notes will be redeemable, in whole or in part, at any time on or after June 15, 2028 at a redemption price expressed as a percentage of the principal amount thereof, which percentage is 103.250%, 101.625%, and 100.000% beginning on June 15 of 2028, 2029, and 2030, respectively, plus accrued and unpaid interest thereon to, but not including, the redemption date.</w:t>
      </w:r>
    </w:p>
    <w:p>
      <w:pPr>
        <w:spacing w:after="0" w:line="14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$600 Million 4.50% Senior Notes</w:t>
      </w:r>
      <w:r>
        <w:rPr>
          <w:rFonts w:ascii="Times New Roman" w:cs="Times New Roman" w:eastAsia="Times New Roman" w:hAnsi="Times New Roman"/>
          <w:sz w:val="18"/>
          <w:szCs w:val="18"/>
          <w:color w:val="auto"/>
        </w:rPr>
        <w:t>. In February 2021, the Operating Partnership and Finco completed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$600.0 million in aggregate principal amount of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4.50% Senior Notes have 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$1 Billion 6.50% Senior Notes, the $700 Million 4.75% Senior Notes, the $625 Million 6.50% Senior Notes, 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9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$600 Million 4.50% Senior Notes are redeemable, in whole or in part, at a redemption price expressed as a percentage of the principal amount thereof, which percentage is currently 100.750% and will be 100.000% beginning on February 15 of 2027, plus accrued and unpaid interest thereon to, but not including, the redemption date.</w:t>
      </w:r>
    </w:p>
    <w:p>
      <w:pPr>
        <w:spacing w:after="0" w:line="174" w:lineRule="exact"/>
        <w:rPr>
          <w:sz w:val="20"/>
          <w:szCs w:val="20"/>
          <w:color w:val="auto"/>
        </w:rPr>
      </w:pPr>
    </w:p>
    <w:p>
      <w:pPr>
        <w:ind w:left="60" w:right="219"/>
        <w:spacing w:after="0" w:line="270" w:lineRule="auto"/>
        <w:rPr>
          <w:sz w:val="20"/>
          <w:szCs w:val="20"/>
          <w:color w:val="auto"/>
        </w:rPr>
      </w:pPr>
      <w:r>
        <w:rPr>
          <w:rFonts w:ascii="Times New Roman" w:cs="Times New Roman" w:eastAsia="Times New Roman" w:hAnsi="Times New Roman"/>
          <w:sz w:val="17"/>
          <w:szCs w:val="17"/>
          <w:i w:val="1"/>
          <w:iCs w:val="1"/>
          <w:color w:val="auto"/>
        </w:rPr>
        <w:t>$400 Million 7.25% Senior Notes</w:t>
      </w:r>
      <w:r>
        <w:rPr>
          <w:rFonts w:ascii="Times New Roman" w:cs="Times New Roman" w:eastAsia="Times New Roman" w:hAnsi="Times New Roman"/>
          <w:sz w:val="17"/>
          <w:szCs w:val="17"/>
          <w:color w:val="auto"/>
        </w:rPr>
        <w:t>. In June 2023, the Operating Partnership and Finco completed the private placement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7.25% per annum, payable semi-annually in cash in arrears on January 15 and July 15 each year.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4.75% Senior Notes, the $625 Million 6.50% Senior Notes and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$400 Million 7.25% Senior Notes are redeemable, in whole or in part, at a redemption price expressed as a percentage of the principal amount thereof, which percentage is currently 103.625% and will be 101.813% and 100.000% beginning on July 15 of 2026 and 2027, respectively, plus accrued and unpaid interest thereon to, but not including, the redemption date.</w:t>
      </w:r>
    </w:p>
    <w:p>
      <w:pPr>
        <w:spacing w:after="0" w:line="180" w:lineRule="exact"/>
        <w:rPr>
          <w:sz w:val="20"/>
          <w:szCs w:val="20"/>
          <w:color w:val="auto"/>
        </w:rPr>
      </w:pPr>
    </w:p>
    <w:p>
      <w:pPr>
        <w:ind w:left="60" w:right="159"/>
        <w:spacing w:after="0" w:line="273" w:lineRule="auto"/>
        <w:rPr>
          <w:sz w:val="20"/>
          <w:szCs w:val="20"/>
          <w:color w:val="auto"/>
        </w:rPr>
      </w:pPr>
      <w:r>
        <w:rPr>
          <w:rFonts w:ascii="Times New Roman" w:cs="Times New Roman" w:eastAsia="Times New Roman" w:hAnsi="Times New Roman"/>
          <w:sz w:val="17"/>
          <w:szCs w:val="17"/>
          <w:color w:val="auto"/>
        </w:rPr>
        <w:t>Each of the indentures governing the $1 Billion 6.50% Senior Notes, the $700 Million 4.75% Senior Notes, the $625 Million 6.50%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assets sales, acquisitions, mergers and consolidations, liens and encumbrances and other matters customarily restricted in such agreements. In addition, if the Company experiences certain kinds of changes of control, the Company must offer to repurchase some or all of the senior notes at 101% of their principal amount, plus accrued and unpaid interest, if any, up to, but excluding, the repurchase date.</w:t>
      </w:r>
    </w:p>
    <w:p>
      <w:pPr>
        <w:spacing w:after="0" w:line="16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28, 2024,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(as amended, the “2024 OEG Credit Agreement”).</w:t>
      </w:r>
    </w:p>
    <w:p>
      <w:pPr>
        <w:spacing w:after="0" w:line="18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2024 OEG Credit Agreement provides for (i) a senior secured term loan facility in the aggregate principal amount of $300.0 million (the “2024 OEG Term Loan”) and (ii) a senior secured revolving credit facility in an aggregate principal amount not to exceed $80.0 million (the “OEG Revolver”). The 2024 OEG Term Loan refinanced and replaced the former term loan in the outstanding principal amount of $294.8 million as of June 28, 2024 and the OEG Revolver replaces the former senior secured revolving credit facility in an aggregate principal amount not to exceed $65.0 million.</w:t>
      </w:r>
    </w:p>
    <w:p>
      <w:pPr>
        <w:spacing w:after="0" w:line="183"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April 28, 2025, OEG Borrower and OEG Finance entered into a Second Amendment, which amended the 2024 OEG Credit Agreement (as amended, the “OEG Credit Agreement”) in which OEG Borrower obtained an incremental term loan in an aggregate principal amount equal to $130.0 million (the “Incremental OEG Loan”) on the same terms as the 2024 OEG Term Loan. The net proceeds of the Incremental OEG Loan, together with cash on hand, were used to defease the Block 21 CMBS Loan (as defined below) in full, which released the borrower thereunder from the $127.9 million amount outstanding under the Block 21 CMBS Loan. The OEG Credit Agreement provides for (i) a senior secured term loan facility in an aggregate principal amount equal to $428.5 million (the “OEG Term Loan”) and (ii) the OEG Revolver. The Incremental OEG Loan did not change any applicable interest rates or maturity dates of any indebtedness under the 2024 OEG Credit Agreement. In addition, the terms of the Incremental OEG Loan confirm that the annual amortization under the OEG Term Loan is approximately 1% of the refinanced $428.5 million outstanding principal amount, with the balance due at maturity.</w:t>
      </w:r>
    </w:p>
    <w:p>
      <w:pPr>
        <w:spacing w:after="0" w:line="19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At December 31, 2025, $425.3 million was outstanding under the OEG Term Loan, and there were no amounts outstanding under the OEG Revolver.</w:t>
      </w:r>
    </w:p>
    <w:p>
      <w:pPr>
        <w:spacing w:after="0" w:line="162"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color w:val="auto"/>
        </w:rPr>
        <w:t>The OEG Term Loan and OEG Revolver are each secured by substantially all of the assets of OEG Finance and each of its subsidiaries. The OEG Term Loan bears interest at a rate equal to either, at OEG Borrower’s election, as of the closing contemplated by the OEG Credit Agreement, (a) the Alternate Base Rate plus 2.50% or (b) Adjusted Term SOFR plus</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3.50% (all as more specifically described in the OEG Credit Agreement). In November 2022, OEG entered into an interest rate swap to fix the SOFR portion of the interest rate on $100.0 million of borrowings at 4.533% through December 2025. In August 2025, OEG entered into an interest rate swap to fix the SOFR portion of the interest rate on $100.0 million of borrowings at 3.214% from December 2025 through December 2028. In September 2025, OEG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entered into an additional interest rate swap to fix the SOFR portion of the interest rate on $125.0 million of borrowings at 3.17% through December 2028.</w:t>
      </w:r>
    </w:p>
    <w:p>
      <w:pPr>
        <w:spacing w:after="0" w:line="162"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Borrowings under the OEG Revolver bear interest at a rate equal to either, at OEG Borrower’s election, as of the closing contemplated by the OEG Credit Agreement, (a) the Alternate Base Rate plus the Applicable Rate (as defined in the OEG Credit Agreement) or (b) Adjusted Term SOFR plus the Applicable Rate. Under the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OEG Credit Agreement).</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Applicable Rate for borrowings under the OEG Revolver as of December 31, 2025 is 2.50% for Alternative Base Rate Loans and 3.50% for Adjusted Term SOFR loans. The Applicable Rate for borrowings under the OEG Term Loan as of December 31, 2025 is 2.50% for Alternative Base Rate Loans and 3.50% for Adjusted Term SOFR loans.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w:t>
      </w:r>
    </w:p>
    <w:p>
      <w:pPr>
        <w:spacing w:after="0" w:line="22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In connection with the purchase of Block 21 in May 2022, a subsidiary of the Company assumed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$136 million, ten-year, non-recourse term loan secured by a mortgage on Block 21 (the “Block 21 CMBS Loan”).The proceeds of the Incremental OEG Loan described above were used to defease the Block 21 CMBS Loan in full in April 2025.</w:t>
      </w:r>
    </w:p>
    <w:p>
      <w:pPr>
        <w:spacing w:after="0" w:line="180"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225" w:lineRule="exact"/>
        <w:rPr>
          <w:sz w:val="20"/>
          <w:szCs w:val="20"/>
          <w:color w:val="auto"/>
        </w:rPr>
      </w:pPr>
    </w:p>
    <w:p>
      <w:pPr>
        <w:ind w:left="720" w:right="35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6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225" w:lineRule="exact"/>
        <w:rPr>
          <w:sz w:val="20"/>
          <w:szCs w:val="20"/>
          <w:color w:val="auto"/>
        </w:rPr>
      </w:pPr>
    </w:p>
    <w:p>
      <w:pPr>
        <w:ind w:left="720" w:right="19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December 31, 2025 for our variable-rate debt after considering interest rate swaps, our estimated interest obligations over the next five years are $913.9 million. These estimated obligations are $240.0 million in 2026, $232.6 million in 2027, $192.6 million in 2028, $137.4 million in 2029, and $111.3 million in 2030. Variable rates, as well as outstanding principal balances, could change in future periods. See “Principal Debt Agreements” above for a discussion of our outstanding long-term debt. See “Supplemental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Cash Flow Information” in Note 1 to our consolidated financial statements included herein for a discussion of the interest we paid during 2025, 2024 and 2023.</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ADR and outside-the-room spend in our Hospitality segment and business levels in our Entertainment segment in recent years have reduced the impact of increased operating costs on our financial position and results of operations.</w:t>
      </w:r>
    </w:p>
    <w:p>
      <w:pPr>
        <w:spacing w:after="0" w:line="1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Additionally, increased interest rates have driven higher interest expense on our debt than in historical periods, although interest rates on our debt have decreased in 2025, as compared to 2024. In an effort to mitigate the impact of increased interest rates, at December 31, 2025, 88% of our outstanding debt is fixed-rate debt, after considering the impact of interest rate swaps.</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 prolonged inflationary environment could adversely affect our operating costs, customer spending and bookings, and our financial results.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$1 Billion 6.50% Senior Notes, $700 Million 4.75% Senior Notes, $625 Million 6.50% Senior Notes, $600 Million 4.50% Senior Notes and $400 Million 7.25% Senior Notes were each issued by the Operating Partnership and Finco (collectively, the “Issuers”) and are guaranteed on a senior unsecured basis by the Company (as the parent company), each of the Operating Partnership’s subsidiaries that own the Gaylord Hotels properties, the JW Marriott properties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192"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and the intercompany balances and transactions between these parties, as well as any investments in or equity in earnings from non-guarantor subsidiaries, have been eliminated (amounts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vMerge w:val="restart"/>
          </w:tcPr>
          <w:p>
            <w:pPr>
              <w:ind w:left="75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0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3,932,230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4,064,682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1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8900" w:type="dxa"/>
            <w:vAlign w:val="bottom"/>
            <w:gridSpan w:val="5"/>
          </w:tcPr>
          <w:p>
            <w:pPr>
              <w:jc w:val="center"/>
              <w:ind w:left="7432"/>
              <w:spacing w:after="0"/>
              <w:rPr>
                <w:sz w:val="20"/>
                <w:szCs w:val="20"/>
                <w:color w:val="auto"/>
              </w:rPr>
            </w:pPr>
            <w:r>
              <w:rPr>
                <w:rFonts w:ascii="Times New Roman" w:cs="Times New Roman" w:eastAsia="Times New Roman" w:hAnsi="Times New Roman"/>
                <w:sz w:val="14"/>
                <w:szCs w:val="14"/>
                <w:b w:val="1"/>
                <w:bCs w:val="1"/>
                <w:color w:val="auto"/>
              </w:rPr>
              <w:t>​​​ December 31, 2025</w:t>
            </w:r>
          </w:p>
        </w:tc>
        <w:tc>
          <w:tcPr>
            <w:tcW w:w="0" w:type="dxa"/>
            <w:vAlign w:val="bottom"/>
          </w:tcPr>
          <w:p>
            <w:pPr>
              <w:spacing w:after="0"/>
              <w:rPr>
                <w:sz w:val="1"/>
                <w:szCs w:val="1"/>
                <w:color w:val="auto"/>
              </w:rPr>
            </w:pPr>
          </w:p>
        </w:tc>
      </w:tr>
      <w:tr>
        <w:trPr>
          <w:trHeight w:val="20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618,797</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183,364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15,249</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420,184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226,247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222,362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 discusses our consolidated financial statements, which have been prepared in accordance with U.S. generally accepted accounting principles. Accounting estimates are an integral part of the preparation of the consolidated financial statements and the financial reporting process and are based upon current judgments. 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Certain accounting estimates are particularly sensitive because of their complexity and the possibility that future events affecting them may differ materially from our current judgments and estimates.</w:t>
      </w:r>
    </w:p>
    <w:p>
      <w:pPr>
        <w:spacing w:after="0" w:line="188"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This listing of critical accounting policies is not intended to be a comprehensive list of all of our accounting policies. In many cases, the accounting treatment of a particular transaction is specifically dictated by generally accepted accounting principles, with no need for management’s judgment regarding accounting policy. We believe that of our significant accounting policies, which are discussed in Note 1 to the consolidated financial statements included herein, the following involve a higher degree of judgment and complexity.</w:t>
      </w:r>
    </w:p>
    <w:p>
      <w:pPr>
        <w:spacing w:after="0" w:line="179" w:lineRule="exact"/>
        <w:rPr>
          <w:sz w:val="20"/>
          <w:szCs w:val="20"/>
          <w:color w:val="auto"/>
        </w:rPr>
      </w:pPr>
    </w:p>
    <w:p>
      <w:pPr>
        <w:ind w:left="60" w:right="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Impairment of long-lived and other assets. </w:t>
      </w:r>
      <w:r>
        <w:rPr>
          <w:rFonts w:ascii="Times New Roman" w:cs="Times New Roman" w:eastAsia="Times New Roman" w:hAnsi="Times New Roman"/>
          <w:sz w:val="17"/>
          <w:szCs w:val="17"/>
          <w:color w:val="auto"/>
        </w:rPr>
        <w:t>In accounting for our long-lived and other assets, we assess our long-lived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assets for impairment whenever events or changes in circumstances indicate that the carrying value of the assets or asset groups may not be recoverable. Factors we consider when assessing whether impairment indicators exist include (i) significant under-performance relative to historical or projected future operating results, (ii) significant changes in the manner of our use of assets or the strategy for our overall business, or (iii) significant negative industry or economic trends.</w:t>
      </w:r>
    </w:p>
    <w:p>
      <w:pPr>
        <w:spacing w:after="0" w:line="16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 Estimating the total future undiscounted net cash flows, as well as the fair value of assets or asset groups, if necessary, requires management to make assumptions and projections of future cash flows, long-term growth rates, asset holding periods, and other factors. The assumptions used to assess impairment consider historical trends, macroeconomic conditions, and projections consistent with our operating strategy. Changes in these estimates and assumptions can have a significant impact on the assessment, which could result in material impairment losses.</w:t>
      </w:r>
    </w:p>
    <w:p>
      <w:pPr>
        <w:spacing w:after="0" w:line="190"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Credit losses on financial assets. </w:t>
      </w:r>
      <w:r>
        <w:rPr>
          <w:rFonts w:ascii="Times New Roman" w:cs="Times New Roman" w:eastAsia="Times New Roman" w:hAnsi="Times New Roman"/>
          <w:sz w:val="17"/>
          <w:szCs w:val="17"/>
          <w:color w:val="auto"/>
        </w:rPr>
        <w:t>We assess our financial assets, including the bonds we received in 2008 related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Gaylord National construction (“Gaylord National Bonds”), for credit losses utilizing the expected loss model prescribed by ASC 326,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 and record a reserve, in the form of an allowance for credit losses, against the amortized cost basis for the portion of the financial asset that will not be recovered due to credit losses.</w:t>
      </w:r>
    </w:p>
    <w:p>
      <w:pPr>
        <w:spacing w:after="0" w:line="165"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We provide credit loss reserves for the Gaylord National Bonds by comparing the amortized cost basis to their present value. If the amortized cost basis exceeds the present value, an expected credit loss exists and the allowance for credit losses is measured as the difference between the bonds’ amortized cost basis and present value, which is estimated using discounted cash flow analyses that utilize comprehensive cash flow projections over the contractual life of the bonds, as well as observable market data to the extent available. Our estimate of the present value of the Gaylord National Bonds is sensitive to the significant assumptions of the discounted cash flow analysis, which include the projections of hotel taxes (which are based on expected hotel rooms revenues) and property taxes, both of which are affected by expectations about future market and economic conditions, particularly those in the Washington D.C. market. Further, such assumptions require significant judgment as the Gaylord National Bonds and related projected cash flows continue for an extended period of time through 2037.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As a REIT, generally we will not be subject to federal corporate income taxes on ordinary taxable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capital gains income from real estate investments that we distribute to our stockholders. We will continue to be required to pay federal and state corporate income taxes on earnings of our TRSs.</w:t>
      </w:r>
    </w:p>
    <w:p>
      <w:pPr>
        <w:spacing w:after="0" w:line="121"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must assess the likelihood that we will be able to recover our deferred tax assets. If recovery is not likely, the provision for taxes is increased by recording a reserve, in the form of a valuation allowance, against the estimated deferred tax assets that will not ultimately be recoverable.</w:t>
      </w:r>
    </w:p>
    <w:p>
      <w:pPr>
        <w:spacing w:after="0" w:line="122"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In addition, we must evaluate uncertainties in the application of complex tax regulations in the calculation of tax liabilities. We provide for uncertain tax positions and the related interest and penalties based upon management’s assessment of whether a tax benefit is more likely than not to be sustained upon examination by tax authorities. We make this assessment based on only the technical merits of the tax position. At December 31, 2025 and 2024, we had no accruals for unrecognized tax benefits. We recognize interest and penalties related to uncertain tax positions, if any, in income tax expense. At December 31, 2025 and 2024, we have accrued no interest or penalties related to uncertain tax positions.</w:t>
      </w:r>
    </w:p>
    <w:p>
      <w:pPr>
        <w:spacing w:after="0" w:line="169" w:lineRule="exact"/>
        <w:rPr>
          <w:sz w:val="20"/>
          <w:szCs w:val="20"/>
          <w:color w:val="auto"/>
        </w:rPr>
      </w:pPr>
    </w:p>
    <w:p>
      <w:pPr>
        <w:ind w:left="60" w:right="9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Acquisitions and Purchase Price Allocations. </w:t>
      </w:r>
      <w:r>
        <w:rPr>
          <w:rFonts w:ascii="Times New Roman" w:cs="Times New Roman" w:eastAsia="Times New Roman" w:hAnsi="Times New Roman"/>
          <w:sz w:val="17"/>
          <w:szCs w:val="17"/>
          <w:color w:val="auto"/>
        </w:rPr>
        <w:t>Accounting for the acquisition of an entity as a business combination,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becoming the primary beneficiary of a previously unconsolidated variable interest entity, or a significant asset acquisition requires an allocation of the purchase price to the assets acquired and the liabilities assumed in the transaction based on their respective estimated fair values, which requires us to make estimates and assumptions regarding the fair value of the acquired assets and liabilities assumed. We may engage third parties to provide valuation services to assist in the fair value determinations of the long-lived assets acquired and the liabilities assumed. The most material estimations of individual fair values are those involving long-lived assets, such as property, equipment, and intangible assets, that are assumed as part of the transaction, as well as any noncontrolling interests. When making fair value determinations, we consider market data for similar assets, expected cash flows discounted at risk-adjusted rates, and replacement cost for assets, among other information. Management judgment is required when making the assumptions used to value long-lived and identifiable intangible assets, which include projected revenue growth, estimated cash flows, discount rates, and other factors.</w:t>
      </w:r>
    </w:p>
    <w:p>
      <w:pPr>
        <w:spacing w:after="0" w:line="173"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Contingencies. </w:t>
      </w:r>
      <w:r>
        <w:rPr>
          <w:rFonts w:ascii="Times New Roman" w:cs="Times New Roman" w:eastAsia="Times New Roman" w:hAnsi="Times New Roman"/>
          <w:sz w:val="18"/>
          <w:szCs w:val="18"/>
          <w:color w:val="auto"/>
        </w:rPr>
        <w:t>We are subject to various legal proceedings and claims, the outcomes of which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uncertainty. We record an accrual for loss contingencies when a loss is probable and the amount of the loss can be reasonably estimated, the determination of which requires significant judgment. We review these accruals each reporting period and make revisions based on changes in facts and circumstances, but resolution of legal matters in a manner inconsistent with our expectations could have a material impact on our financial condition and operating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standards, see Note 1 to our consolidated financial statements included herein.</w:t>
      </w:r>
    </w:p>
    <w:p>
      <w:pPr>
        <w:spacing w:after="0" w:line="158"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including the rising interest rates experienced in some recent years, and changes in asset values of investments that fund our pension plan. See Item 7, “Management’s Discussion and Analysis of Financial Condition and Results of Operations,” and Item 1A, “Risk Factors,” in this Annual Report on Form 10-K for more discussion on how interest rate increases affect our operations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Related to Changes in Interest Rates</w:t>
      </w:r>
    </w:p>
    <w:p>
      <w:pPr>
        <w:spacing w:after="0" w:line="229"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At December 31, 2025, borrowings outstanding under the Term Loan B bore interest at an annual rate of SOFR plus 1.75%. If SOFR were to increase by 100 basis points, our annual interest cost on the $289.9 million in borrowings outstanding at December 31, 2025 would increase by approximately $2.9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December 31, 2025, borrowings outstanding under the OEG Term Loan bore interest at an annual rate of SOFR plus 3.5%. We have hedged our interest rate exposure on $225.0 million of borrowings under the OEG Term Loan with interest rate swaps that fix the SOFR portion of interest payments through December 2028. If Adjusted Term SOFR were to increase by 100 basis points, our annual interest cost on the $200.3 million in borrowings outstanding under the OEG Term Loan that are not hedged at December 31, 2025 would increase by approximately $2.0 million.</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Certain of our outstanding cash balances are occasionally invested overnight with high credit quality financial institutions. We do not have significant exposure to changing interest rates on invested cash at December 31, 2025. As a result, the interest rate market risk implicit in these investments at December 31, 2025, if any, is 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Related to Changes in Asset Values that Fund our Pension Plans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December 31, 2025, the value of the investments in the pension fund was $50.9 million, and an immediate ten percent decrease in the value of the investments in the fund would have reduced the value of the fund by approximately $5.1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Based upon our overall market risk exposures at December 31, 2025, we believe that the effects of changes in interest rates related to our borrowings and asset values of investments that fund our pension plan could be material to our consolidated financial position, results of operations or cash flows.</w:t>
      </w:r>
    </w:p>
    <w:p>
      <w:pPr>
        <w:spacing w:after="0" w:line="172"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jc w:val="both"/>
        <w:ind w:left="60" w:right="99"/>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contained in the Company’s consolidated financial statements included in the Index beginning on page 77 of this Annual Report on Form 10-K and incorporated by reference herein.</w:t>
      </w:r>
    </w:p>
    <w:p>
      <w:pPr>
        <w:spacing w:after="0" w:line="158"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and Rule 15d-15(e) promulgated under the Securities Exchange Act of 1934, as amended (the “Exchange Act”), as of the end of the period covered by this Annual Report. Based on this evaluation, our principal executive officer and our principal financial officer concluded that our disclosure controls and procedures were effective, as of the end of the period covered by this Annual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83" w:lineRule="exact"/>
        <w:rPr>
          <w:sz w:val="20"/>
          <w:szCs w:val="20"/>
          <w:color w:val="auto"/>
        </w:rPr>
      </w:pPr>
    </w:p>
    <w:p>
      <w:pPr>
        <w:ind w:left="720" w:right="2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1"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2025. In making this assessment, management used the criteria set forth by the Committee of Sponsoring Organizations of the Treadway Commission (2013 framework) in Internal Control - Integrated Framework.</w:t>
      </w:r>
    </w:p>
    <w:p>
      <w:pPr>
        <w:spacing w:after="0" w:line="1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Based on management’s assessment and those criteria, management believes that, as of December 31, 2025, the Company’s internal control over financial reporting was effective.</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June 10, 2025, we acquired JW Marriott Desert Ridge. We are currently in the process of assessing JW Marriott Desert Ridge’s internal control over financial reporting and integrating the entity’s internal control over financial reporting with our existing internal control over financial reporting. As permitted by SEC regulations, we have excluded JW Marriott Desert Ridge from our assessment of internal control over financial reporting as of December 31, 2025 since we acquired the entity in June 2025. JW Marriott Desert Ridge constituted 14.5% and 3.6% of total assets and total revenues, respectively, as of and for the year ended December 31, 2025.</w:t>
      </w:r>
    </w:p>
    <w:p>
      <w:pPr>
        <w:spacing w:after="0" w:line="18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which is included herein.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2025 that have materially affected, or are reasonably likely to materially affect, our internal control over financial reporting.</w:t>
      </w:r>
    </w:p>
    <w:p>
      <w:pPr>
        <w:spacing w:after="0" w:line="1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2025, none of our directors or officers (as defined in Rule 16a-1(f) of the Exchange Act) adopted or terminated a “Rule 10b5-1 trading arrangement” or “non-Rule 10b5-1 trading arrangement” (in each case, as defined in Item 408 of Regulation S-K).</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Information about our Board of Directors required by Item 401 of Regulation S-K is incorporated herein by reference to the discussion under the heading “Proposal 1: Election of the Ten (10) Nominees for Director Identified in this Proxy Statement” in our Proxy Statement for the 2026 Annual Meeting of Stockholders, to be filed with the SEC. Information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89" w:lineRule="auto"/>
        <w:rPr>
          <w:sz w:val="20"/>
          <w:szCs w:val="20"/>
          <w:color w:val="auto"/>
        </w:rPr>
      </w:pPr>
      <w:r>
        <w:rPr>
          <w:rFonts w:ascii="Times New Roman" w:cs="Times New Roman" w:eastAsia="Times New Roman" w:hAnsi="Times New Roman"/>
          <w:sz w:val="17"/>
          <w:szCs w:val="17"/>
          <w:color w:val="auto"/>
        </w:rPr>
        <w:t>regarding procedures for stockholder nominations to our Board of Directors required by Item 407(c)(3) of Regulation S-K is incorporated by reference to the discussion under the heading “Submitting Stockholder Proposals and Nominations for 2027 Annual Meeting” in our Proxy Statement for the 2026 Annual Meeting of Stockholders, to be filed with the SEC.</w:t>
      </w:r>
    </w:p>
    <w:p>
      <w:pPr>
        <w:spacing w:after="0" w:line="158"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Information required by Item 405 of Regulation S-K is incorporated herein by reference to the discussion under the heading “Delinquent Section 16(a) Reports” in our Proxy Statement for the 2026 Annual Meeting of Stockholders, to be filed with the SEC, to the extent such heading appears therein.</w:t>
      </w:r>
    </w:p>
    <w:p>
      <w:pPr>
        <w:spacing w:after="0" w:line="1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Information required by Item 408(b) of Regulation S-K is incorporated herein by reference to the discussion under the heading “Company Information – Insider Trading Policy” in our Proxy Statement for the 2026 Annual Meeting of Stockholders, to be filed with the SEC. A copy of the insider trading policy is filed as an exhibit to this Annual Report on Form 10-K.</w:t>
      </w:r>
    </w:p>
    <w:p>
      <w:pPr>
        <w:spacing w:after="0" w:line="180"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Certain other information concerning executive officers and certain other officers of the Company is included in Item 1 of Part I of this Annual Report on Form 10-K under the caption “Information about our Executive Officers.”</w:t>
      </w:r>
    </w:p>
    <w:p>
      <w:pPr>
        <w:spacing w:after="0" w:line="16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Company has a separately designated audit committee of the Board of Directors established in accordance with the Exchange Act. Eric Bolton, Erin Helgren, Christine Pantoya and Robert Prather currently serve as members of the Audit Committee, and Mr. Prather serves as its chairman. Our Board of Directors has determined that Mr. Prather and Mr. Bolton are each an “audit committee financial expert” as defined by the SEC and are independent, as that term is defined in the Exchange Act and the listing standards of the New York Stock Exchange.</w:t>
      </w:r>
    </w:p>
    <w:p>
      <w:pPr>
        <w:spacing w:after="0" w:line="18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the members of our Board of Directors and our officers, including our Principal Executive Officer, Principal Financial Officer and Principal Accounting Officer. In addition, the Board of Directors has adopted Corporate Governance Guidelines and restated charters for our Audit Committee, Human Resources Committee, Risk Committee, and Nominating and Corporate Governance Committee. You can access our Code of Business Conduct and Ethics, Corporate Governance Guidelines and current committee charters on our website at www.rymanhp.com or request a copy of any of the foregoing by writing to the following address: Ryman Hospitality Properties, Inc., Attention: Secretary, One Gaylord Drive, Nashville, Tennessee 37214. We will make any legally required disclosures regarding amendments to, or waivers of, provisions of the Code of Business Conduct and Ethics, Corporate Governance Guidelines or current committee charters on our website. In accordance with the corporate governance listing standards of the New York Stock Exchange, the Company has designated Mr. Michael Roth as the lead director at all meetings of non-management directors, which meetings will be held on a regular basis. Stockholders, employees and other interested parties may communicate with Mr. Roth, individual non-management directors, or the non-management directors as a group, by email at boardofdirectors@rymanhp.com.</w:t>
      </w:r>
    </w:p>
    <w:p>
      <w:pPr>
        <w:spacing w:after="0" w:line="183"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“Director Compensation,” “Compensation Discussion and Analysis,” “Executive Compensation – 2025 Summary Compensation Table,” “2025 Grants of Plan-Based Awards,” “Outstanding Equity Awards at 2025 Fiscal Year End,” “2025 Option Exercises and Stock Vested,” “Company Information – CEO Pay Ratio,” “2025 Pay Versus Performance,” “Other Compensation Information – Pension Benefits,” “Other Compensation Information – Nonqualified Deferred Compensation,” “Other Compensation Information – 2025 Nonqualified Deferred Compensation Table,” “Potential Payments on Termination or Change of Control,” “Company Information – Committees of the Board – Compensation Committee Interlocks and Insider Participation,” and “Human Resources Committee Report” in our Proxy Statement for the 2026 Annual Meeting of Stockholders, to be filed with the SEC.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“Stock Ownership” and “Equity Compensation Plan Information” in our Proxy Statement for the 2026 Annual Meeting of Stockholders, to be filed with the SEC.</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“Company Information – Corporate Governance – Independence of Directors” and “Certain Transactions” in our Proxy Statement for the 2026 Annual Meeting of Stockholders, to be filed with the SEC.</w:t>
      </w:r>
    </w:p>
    <w:p>
      <w:pPr>
        <w:spacing w:after="0" w:line="1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 under the heading “Our Independent Registered Public Accounting Firm” in our Proxy Statement for the 2026 Annual Meeting of Stockholders, to be filed with the SEC.</w:t>
      </w:r>
    </w:p>
    <w:p>
      <w:pPr>
        <w:spacing w:after="0" w:line="1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7"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accompanying index to financial statements on page 77 of this Annual Report on Form 10-K is provided in response to this Item.</w:t>
      </w:r>
    </w:p>
    <w:p>
      <w:pPr>
        <w:spacing w:after="0" w:line="160"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 schedules are filed as a part of this report and are included herein beginning on page 118 of this Annual Report on Form 10-K:</w:t>
      </w:r>
    </w:p>
    <w:p>
      <w:pPr>
        <w:spacing w:after="0" w:line="162"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III – Real Estate and Accumulated Depreciation</w:t>
      </w:r>
    </w:p>
    <w:p>
      <w:pPr>
        <w:spacing w:after="0" w:line="22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for which provision is made in the applicable accounting regulations of the SEC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with this Annual Report on Form 10-K or are incorporated herein by reference:</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EXHIBIT  </w:t>
            </w: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7820" w:type="dxa"/>
            <w:vAlign w:val="bottom"/>
            <w:gridSpan w:val="31"/>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180" w:type="dxa"/>
            <w:vAlign w:val="bottom"/>
            <w:gridSpan w:val="28"/>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600" w:type="dxa"/>
            <w:vAlign w:val="bottom"/>
            <w:tcBorders>
              <w:top w:val="single" w:sz="8" w:color="auto"/>
              <w:bottom w:val="single" w:sz="8" w:color="0000EE"/>
            </w:tcBorders>
            <w:gridSpan w:val="23"/>
          </w:tcPr>
          <w:p>
            <w:pPr>
              <w:spacing w:after="0" w:line="169"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Amended and Restated Certificate of Incorporation of the Company (incorporated by reference to Exhibit</w:t>
              </w:r>
            </w:hyperlink>
          </w:p>
        </w:tc>
        <w:tc>
          <w:tcPr>
            <w:tcW w:w="220" w:type="dxa"/>
            <w:vAlign w:val="bottom"/>
            <w:tcBorders>
              <w:top w:val="single" w:sz="8" w:color="auto"/>
            </w:tcBorders>
            <w:gridSpan w:val="8"/>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October 1, 2012).</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Second Amended and Restated Bylaws of the Company (incorporated by reference to Exhibit 3.2 to the</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Company’s Annual Report on Form 10-K filed February 24, 2023).</w:t>
              </w:r>
            </w:hyperlink>
          </w:p>
        </w:tc>
        <w:tc>
          <w:tcPr>
            <w:tcW w:w="2600" w:type="dxa"/>
            <w:vAlign w:val="bottom"/>
            <w:tcBorders>
              <w:top w:val="single" w:sz="8" w:color="0000EE"/>
            </w:tcBorders>
            <w:gridSpan w:val="8"/>
          </w:tcPr>
          <w:p>
            <w:pPr>
              <w:spacing w:after="0"/>
              <w:rPr>
                <w:sz w:val="17"/>
                <w:szCs w:val="17"/>
                <w:color w:val="auto"/>
              </w:rPr>
            </w:pPr>
          </w:p>
        </w:tc>
        <w:tc>
          <w:tcPr>
            <w:tcW w:w="380" w:type="dxa"/>
            <w:vAlign w:val="bottom"/>
            <w:gridSpan w:val="12"/>
          </w:tcPr>
          <w:p>
            <w:pPr>
              <w:spacing w:after="0"/>
              <w:rPr>
                <w:sz w:val="17"/>
                <w:szCs w:val="17"/>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7"/>
                <w:szCs w:val="17"/>
                <w:color w:val="auto"/>
              </w:rPr>
            </w:pPr>
          </w:p>
        </w:tc>
        <w:tc>
          <w:tcPr>
            <w:tcW w:w="74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Specimen of Common Stock certificate of the Company (incorporated by reference to Exhibit 4.1 to the</w:t>
              </w:r>
            </w:hyperlink>
          </w:p>
        </w:tc>
        <w:tc>
          <w:tcPr>
            <w:tcW w:w="36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Company’s Current Report on Form 8-K filed September 24, 2012).</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8"/>
                <w:szCs w:val="18"/>
                <w:color w:val="auto"/>
              </w:rPr>
            </w:pPr>
          </w:p>
        </w:tc>
        <w:tc>
          <w:tcPr>
            <w:tcW w:w="78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Reference is made to Exhibits 3.1 and 3.2 hereof for instruments defining the rights of common</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stockholders of the Company.</w:t>
            </w:r>
          </w:p>
        </w:tc>
      </w:tr>
      <w:tr>
        <w:trPr>
          <w:trHeight w:val="194"/>
        </w:trPr>
        <w:tc>
          <w:tcPr>
            <w:tcW w:w="7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6"/>
                <w:szCs w:val="16"/>
                <w:color w:val="auto"/>
              </w:rPr>
            </w:pPr>
          </w:p>
        </w:tc>
        <w:tc>
          <w:tcPr>
            <w:tcW w:w="7840" w:type="dxa"/>
            <w:vAlign w:val="bottom"/>
            <w:gridSpan w:val="32"/>
          </w:tcPr>
          <w:p>
            <w:pPr>
              <w:spacing w:after="0" w:line="194"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Description of Securities (incorporated by reference to Exhibit 4.3 to the Company’s Annual Report on</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10-K filed February 25, 2020).</w:t>
              </w:r>
            </w:hyperlink>
          </w:p>
        </w:tc>
        <w:tc>
          <w:tcPr>
            <w:tcW w:w="4760" w:type="dxa"/>
            <w:vAlign w:val="bottom"/>
            <w:tcBorders>
              <w:top w:val="single" w:sz="8" w:color="0000EE"/>
            </w:tcBorders>
            <w:gridSpan w:val="15"/>
          </w:tcPr>
          <w:p>
            <w:pPr>
              <w:spacing w:after="0"/>
              <w:rPr>
                <w:sz w:val="17"/>
                <w:szCs w:val="17"/>
                <w:color w:val="auto"/>
              </w:rPr>
            </w:pPr>
          </w:p>
        </w:tc>
        <w:tc>
          <w:tcPr>
            <w:tcW w:w="420" w:type="dxa"/>
            <w:vAlign w:val="bottom"/>
            <w:gridSpan w:val="13"/>
          </w:tcPr>
          <w:p>
            <w:pPr>
              <w:spacing w:after="0"/>
              <w:rPr>
                <w:sz w:val="17"/>
                <w:szCs w:val="17"/>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7"/>
                <w:szCs w:val="17"/>
                <w:color w:val="auto"/>
              </w:rPr>
            </w:pPr>
          </w:p>
        </w:tc>
        <w:tc>
          <w:tcPr>
            <w:tcW w:w="78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Indenture, dated as of September 19, 2019, among RHP Hotel Properties, LP and RHP Finance Corporation,</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as the issuers, Ryman Hospitality Properties, Inc., as a guarantor, each of the subsidiary guarantors named</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therein and U.S. Bank National Association, as trustee, relating to the 4.750% Senior Notes due 2027</w:t>
              </w:r>
            </w:hyperlink>
          </w:p>
        </w:tc>
        <w:tc>
          <w:tcPr>
            <w:tcW w:w="320" w:type="dxa"/>
            <w:vAlign w:val="bottom"/>
            <w:tcBorders>
              <w:top w:val="single" w:sz="8" w:color="0000EE"/>
            </w:tcBorders>
            <w:gridSpan w:val="7"/>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(incorporated by reference to Exhibit 4.1 to the Company’s Current Report on Form 8-K filed September 19,</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89">
              <w:r>
                <w:rPr>
                  <w:rFonts w:ascii="Times New Roman" w:cs="Times New Roman" w:eastAsia="Times New Roman" w:hAnsi="Times New Roman"/>
                  <w:sz w:val="18"/>
                  <w:szCs w:val="18"/>
                  <w:color w:val="0000EE"/>
                  <w:w w:val="94"/>
                </w:rPr>
                <w:t>2019).</w:t>
              </w:r>
            </w:hyperlink>
          </w:p>
        </w:tc>
        <w:tc>
          <w:tcPr>
            <w:tcW w:w="15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7"/>
                <w:szCs w:val="17"/>
                <w:color w:val="auto"/>
              </w:rPr>
            </w:pPr>
          </w:p>
        </w:tc>
        <w:tc>
          <w:tcPr>
            <w:tcW w:w="77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of 4.750% Senior Note due 2027 (incorporated by reference to Exhibit 4.2 to the Company’s Current</w:t>
              </w:r>
            </w:hyperlink>
          </w:p>
        </w:tc>
        <w:tc>
          <w:tcPr>
            <w:tcW w:w="14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Report on Form 8-K filed September 19, 2019).</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Supplemental Indenture No. 1, dated as of October 8, 2019, by and among RHP Hotel Properties, LP, and</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RHP Finance Corporation, as the issuers, Ryman Hospitality Properties, Inc., as a guarantor, each of the</w:t>
              </w:r>
            </w:hyperlink>
          </w:p>
        </w:tc>
        <w:tc>
          <w:tcPr>
            <w:tcW w:w="120" w:type="dxa"/>
            <w:vAlign w:val="bottom"/>
            <w:tcBorders>
              <w:top w:val="single" w:sz="8" w:color="0000EE"/>
            </w:tcBorders>
            <w:gridSpan w:val="2"/>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subsidiary guarantors named therein and U.S. Bank National Association, as trustee, relating to the 4.750%</w:t>
              </w:r>
            </w:hyperlink>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Senior Notes due 2027 (incorporated by reference to Exhibit 4.3 to the Company’s Current Report on Form</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8-K filed October 8, 2019).</w:t>
              </w:r>
            </w:hyperlink>
          </w:p>
        </w:tc>
        <w:tc>
          <w:tcPr>
            <w:tcW w:w="5860" w:type="dxa"/>
            <w:vAlign w:val="bottom"/>
            <w:gridSpan w:val="29"/>
          </w:tcPr>
          <w:p>
            <w:pPr>
              <w:spacing w:after="0"/>
              <w:rPr>
                <w:sz w:val="17"/>
                <w:szCs w:val="17"/>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7"/>
                <w:szCs w:val="17"/>
                <w:color w:val="auto"/>
              </w:rPr>
            </w:pPr>
          </w:p>
        </w:tc>
        <w:tc>
          <w:tcPr>
            <w:tcW w:w="7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Indenture, dated as of February 17, 2021, among RHP Hotel Properties, LP, and RHP Finance Corporation,</w:t>
              </w:r>
            </w:hyperlink>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as the issuers, Ryman Hospitality Properties, Inc., as a guarantor, each of the guarantors named therein and</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U.S. Bank National Association, as trustee, relating to the 4.500% Senior Notes due 2029 (incorporated by</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reference to Exhibit 4.1 to the Company’s Current Report on Form 8-K filed February 17, 2021).</w:t>
              </w:r>
            </w:hyperlink>
          </w:p>
        </w:tc>
        <w:tc>
          <w:tcPr>
            <w:tcW w:w="700" w:type="dxa"/>
            <w:vAlign w:val="bottom"/>
            <w:tcBorders>
              <w:top w:val="single" w:sz="8" w:color="0000EE"/>
            </w:tcBorders>
            <w:gridSpan w:val="10"/>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4.500% Senior Note due 2029 (incorporated by reference to Exhibit A to Exhibit 4.1 to the</w:t>
              </w:r>
            </w:hyperlink>
          </w:p>
        </w:tc>
        <w:tc>
          <w:tcPr>
            <w:tcW w:w="660" w:type="dxa"/>
            <w:vAlign w:val="bottom"/>
            <w:gridSpan w:val="1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Company’s Current Report on Form 8-K filed February 17, 2021).</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17"/>
                <w:szCs w:val="17"/>
                <w:color w:val="auto"/>
              </w:rPr>
            </w:pPr>
          </w:p>
        </w:tc>
        <w:tc>
          <w:tcPr>
            <w:tcW w:w="7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Indenture, dated as of June 22, 2023, among RHP Hotel Properties, LP, RHP Finance Corporation, Ryman</w:t>
              </w:r>
            </w:hyperlink>
          </w:p>
        </w:tc>
        <w:tc>
          <w:tcPr>
            <w:tcW w:w="16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Hospitality Properties, Inc., as a guarantor, each of the other guarantors named therein and U.S. Bank Trust</w:t>
              </w:r>
            </w:hyperlink>
          </w:p>
        </w:tc>
        <w:tc>
          <w:tcPr>
            <w:tcW w:w="12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Company, National Association, as trustee (incorporated by reference to Exhibit 4.1 to the Company’s</w:t>
              </w:r>
            </w:hyperlink>
          </w:p>
        </w:tc>
        <w:tc>
          <w:tcPr>
            <w:tcW w:w="48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Current Report on Form 8-K filed June 22, 2023).</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34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of 7.250% Senior Note due 2028 (incorporated by reference to Exhibit A to Exhibit 4.1 to the</w:t>
              </w:r>
            </w:hyperlink>
          </w:p>
        </w:tc>
        <w:tc>
          <w:tcPr>
            <w:tcW w:w="660" w:type="dxa"/>
            <w:vAlign w:val="bottom"/>
            <w:gridSpan w:val="1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Company’s Current Report on Form 8-K filed June 22, 2023).</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340" w:type="dxa"/>
            <w:vAlign w:val="bottom"/>
          </w:tcPr>
          <w:p>
            <w:pPr>
              <w:spacing w:after="0"/>
              <w:rPr>
                <w:sz w:val="17"/>
                <w:szCs w:val="17"/>
                <w:color w:val="auto"/>
              </w:rPr>
            </w:pPr>
          </w:p>
        </w:tc>
        <w:tc>
          <w:tcPr>
            <w:tcW w:w="78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Indenture, dated as of March 28, 2024, among RHP Hotel Properties, LP, RHP Finance Corporation, Ryman</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Hospitality Properties, Inc., as a guarantor, each of the other guarantors named therein and U.S. Bank Trust</w:t>
              </w:r>
            </w:hyperlink>
          </w:p>
        </w:tc>
        <w:tc>
          <w:tcPr>
            <w:tcW w:w="12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Company, National Association, as trustee (incorporated by reference to Exhibit 4.1 to the Company’s</w:t>
              </w:r>
            </w:hyperlink>
          </w:p>
        </w:tc>
        <w:tc>
          <w:tcPr>
            <w:tcW w:w="48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Current Report on Form 8-K filed March 28, 2024).</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6.500% Senior Note due 2032 (incorporated by reference to Exhibit A of Exhibit 4.1 to the</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Company’s Current Report on Form 8-K filed March 28, 2024).</w:t>
              </w:r>
            </w:hyperlink>
          </w:p>
        </w:tc>
        <w:tc>
          <w:tcPr>
            <w:tcW w:w="660" w:type="dxa"/>
            <w:vAlign w:val="bottom"/>
            <w:gridSpan w:val="16"/>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Indenture, dated as of June 4, 2025, among RHP Hotel Properties, LP, RHP Finance Corporation, Ryman</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4040" w:type="dxa"/>
            <w:vAlign w:val="bottom"/>
            <w:gridSpan w:val="16"/>
            <w:shd w:val="clear" w:color="auto" w:fill="0000EE"/>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Hospitality Properties, Inc., as a guarantor, each of the other guarantors named therein and U.S. Bank Trust</w:t>
              </w:r>
            </w:hyperlink>
          </w:p>
        </w:tc>
        <w:tc>
          <w:tcPr>
            <w:tcW w:w="12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Company, National Association, as trustee (incorporated by reference to Exhibit 4.1 to the Company’s</w:t>
              </w:r>
            </w:hyperlink>
          </w:p>
        </w:tc>
        <w:tc>
          <w:tcPr>
            <w:tcW w:w="48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Current Report on Form 8-K filed June 4, 2025).</w:t>
              </w:r>
            </w:hyperlink>
          </w:p>
        </w:tc>
      </w:tr>
      <w:tr>
        <w:trPr>
          <w:trHeight w:val="66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Borders>
              <w:top w:val="single" w:sz="8" w:color="0000EE"/>
            </w:tcBorders>
            <w:gridSpan w:val="6"/>
          </w:tcPr>
          <w:p>
            <w:pPr>
              <w:ind w:left="330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7840" w:type="dxa"/>
            <w:vAlign w:val="bottom"/>
            <w:gridSpan w:val="3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6.500% Senior Note due 2033 (incorporated by reference to Exhibit A of Exhibit 4.1 to the</w:t>
              </w:r>
            </w:hyperlink>
          </w:p>
        </w:tc>
      </w:tr>
      <w:tr>
        <w:trPr>
          <w:trHeight w:val="196"/>
        </w:trPr>
        <w:tc>
          <w:tcPr>
            <w:tcW w:w="108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Company’s Current Report on Form 8-K filed June 4, 2025).</w:t>
              </w:r>
            </w:hyperlink>
          </w:p>
        </w:tc>
        <w:tc>
          <w:tcPr>
            <w:tcW w:w="2800" w:type="dxa"/>
            <w:vAlign w:val="bottom"/>
            <w:tcBorders>
              <w:top w:val="single" w:sz="8" w:color="0000EE"/>
            </w:tcBorders>
            <w:gridSpan w:val="9"/>
          </w:tcPr>
          <w:p>
            <w:pPr>
              <w:spacing w:after="0"/>
              <w:rPr>
                <w:sz w:val="17"/>
                <w:szCs w:val="17"/>
                <w:color w:val="auto"/>
              </w:rPr>
            </w:pPr>
          </w:p>
        </w:tc>
        <w:tc>
          <w:tcPr>
            <w:tcW w:w="660" w:type="dxa"/>
            <w:vAlign w:val="bottom"/>
            <w:gridSpan w:val="19"/>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7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Credit Agreement, dated as of May 18, 2023, among Ryman Hospitality Properties, Inc., as parent and as a</w:t>
              </w:r>
            </w:hyperlink>
          </w:p>
        </w:tc>
        <w:tc>
          <w:tcPr>
            <w:tcW w:w="14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guarantor, RHP Hotel Properties, LP, as borrower, certain other subsidiaries of Ryman Hospitality</w:t>
              </w:r>
            </w:hyperlink>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7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Properties, Inc. party thereto, as guarantors, certain subsidiaries of Ryman Hospitality Properties, Inc. party</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thereto, as pledgors, the lenders party thereto and Wells Fargo Bank National Association, as administrative</w:t>
              </w:r>
            </w:hyperlink>
          </w:p>
        </w:tc>
        <w:tc>
          <w:tcPr>
            <w:tcW w:w="8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agent (incorporated by reference to Exhibit 10.1 to the Company’s Current Report on Form 8-K filed May</w:t>
              </w:r>
            </w:hyperlink>
          </w:p>
        </w:tc>
      </w:tr>
      <w:tr>
        <w:trPr>
          <w:trHeight w:val="196"/>
        </w:trPr>
        <w:tc>
          <w:tcPr>
            <w:tcW w:w="108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9">
              <w:r>
                <w:rPr>
                  <w:rFonts w:ascii="Times New Roman" w:cs="Times New Roman" w:eastAsia="Times New Roman" w:hAnsi="Times New Roman"/>
                  <w:sz w:val="18"/>
                  <w:szCs w:val="18"/>
                  <w:color w:val="0000EE"/>
                  <w:w w:val="97"/>
                </w:rPr>
                <w:t>19, 2023).</w:t>
              </w:r>
            </w:hyperlink>
          </w:p>
        </w:tc>
        <w:tc>
          <w:tcPr>
            <w:tcW w:w="6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Amendment No. 1 to Credit Agreement, dated as of January 28, 2026, among Ryman Hospitality Properties,</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Inc., as guarantor, RHP Hotel Properties, LP, as borrower, certain other subsidiaries of Ryman Hospitality</w:t>
              </w:r>
            </w:hyperlink>
          </w:p>
        </w:tc>
        <w:tc>
          <w:tcPr>
            <w:tcW w:w="22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Properties, Inc. party thereto, as guarantors, certain subsidiaries of Ryman Hospitality Properties, Inc. party</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thereto, as pledgors, the lenders party thereto and Wells Fargo Bank National Association, as administrative</w:t>
              </w:r>
            </w:hyperlink>
          </w:p>
        </w:tc>
        <w:tc>
          <w:tcPr>
            <w:tcW w:w="8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agent (incorporated by reference to Exhibit 10.1 to the Company’s Current Report on Form 8-K filed</w:t>
              </w:r>
            </w:hyperlink>
          </w:p>
        </w:tc>
      </w:tr>
      <w:tr>
        <w:trPr>
          <w:trHeight w:val="196"/>
        </w:trPr>
        <w:tc>
          <w:tcPr>
            <w:tcW w:w="1080" w:type="dxa"/>
            <w:vAlign w:val="bottom"/>
          </w:tcPr>
          <w:p>
            <w:pPr>
              <w:spacing w:after="0"/>
              <w:rPr>
                <w:sz w:val="17"/>
                <w:szCs w:val="17"/>
                <w:color w:val="auto"/>
              </w:rPr>
            </w:pPr>
          </w:p>
        </w:tc>
        <w:tc>
          <w:tcPr>
            <w:tcW w:w="72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January 28, 2026).</w:t>
              </w:r>
            </w:hyperlink>
          </w:p>
        </w:tc>
        <w:tc>
          <w:tcPr>
            <w:tcW w:w="580" w:type="dxa"/>
            <w:vAlign w:val="bottom"/>
            <w:gridSpan w:val="18"/>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7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Incremental Tranche B Term Loan Agreement, dated April 12, 2024, among Ryman Hospitality Properties,</w:t>
              </w:r>
            </w:hyperlink>
          </w:p>
        </w:tc>
        <w:tc>
          <w:tcPr>
            <w:tcW w:w="12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 as parent and as a guarantor, RHP Hotel Properties, LP, as borrower, certain other subsidiaries of</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Ryman Hospitality Properties, Inc. party thereto, as guarantors, certain subsidiaries of Ryman Hospitality</w:t>
              </w:r>
            </w:hyperlink>
          </w:p>
        </w:tc>
        <w:tc>
          <w:tcPr>
            <w:tcW w:w="2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Properties, Inc. party thereto, as pledgors, the lenders party thereto and Wells Fargo Bank National</w:t>
              </w:r>
            </w:hyperlink>
          </w:p>
        </w:tc>
        <w:tc>
          <w:tcPr>
            <w:tcW w:w="740" w:type="dxa"/>
            <w:vAlign w:val="bottom"/>
            <w:gridSpan w:val="2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Association, as administrative agent (incorporated by reference to Exhibit 10.1 to the Company’s Current</w:t>
              </w:r>
            </w:hyperlink>
          </w:p>
        </w:tc>
        <w:tc>
          <w:tcPr>
            <w:tcW w:w="2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Report on Form 8-K filed April 12, 2024).</w:t>
              </w:r>
            </w:hyperlink>
          </w:p>
        </w:tc>
        <w:tc>
          <w:tcPr>
            <w:tcW w:w="4780" w:type="dxa"/>
            <w:vAlign w:val="bottom"/>
            <w:gridSpan w:val="30"/>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84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Second Incremental Tranche B Term Loan Agreement, dated December 19, 2024, among Ryman Hospitality</w:t>
              </w:r>
            </w:hyperlink>
          </w:p>
        </w:tc>
      </w:tr>
      <w:tr>
        <w:trPr>
          <w:trHeight w:val="196"/>
        </w:trPr>
        <w:tc>
          <w:tcPr>
            <w:tcW w:w="1080" w:type="dxa"/>
            <w:vAlign w:val="bottom"/>
          </w:tcPr>
          <w:p>
            <w:pPr>
              <w:spacing w:after="0"/>
              <w:rPr>
                <w:sz w:val="17"/>
                <w:szCs w:val="17"/>
                <w:color w:val="auto"/>
              </w:rPr>
            </w:pPr>
          </w:p>
        </w:tc>
        <w:tc>
          <w:tcPr>
            <w:tcW w:w="7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Properties, Inc., as parent and as a guarantor, RHP Hotel Properties, LP, as borrower, certain other</w:t>
              </w:r>
            </w:hyperlink>
          </w:p>
        </w:tc>
        <w:tc>
          <w:tcPr>
            <w:tcW w:w="780" w:type="dxa"/>
            <w:vAlign w:val="bottom"/>
            <w:gridSpan w:val="2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subsidiaries of Ryman Hospitality Properties, Inc. party thereto, as guarantors, certain subsidiaries of Ryman</w:t>
              </w:r>
            </w:hyperlink>
          </w:p>
        </w:tc>
      </w:tr>
      <w:tr>
        <w:trPr>
          <w:trHeight w:val="196"/>
        </w:trPr>
        <w:tc>
          <w:tcPr>
            <w:tcW w:w="1080" w:type="dxa"/>
            <w:vAlign w:val="bottom"/>
          </w:tcPr>
          <w:p>
            <w:pPr>
              <w:spacing w:after="0"/>
              <w:rPr>
                <w:sz w:val="17"/>
                <w:szCs w:val="17"/>
                <w:color w:val="auto"/>
              </w:rPr>
            </w:pPr>
          </w:p>
        </w:tc>
        <w:tc>
          <w:tcPr>
            <w:tcW w:w="7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Hospitality Properties, Inc. party thereto, as pledgors, the lenders party thereto and Wells Fargo Bank</w:t>
              </w:r>
            </w:hyperlink>
          </w:p>
        </w:tc>
        <w:tc>
          <w:tcPr>
            <w:tcW w:w="520" w:type="dxa"/>
            <w:vAlign w:val="bottom"/>
            <w:gridSpan w:val="1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National Association, as administrative agent (incorporated by reference to Exhibit 10.1 to the Company’s</w:t>
              </w:r>
            </w:hyperlink>
          </w:p>
        </w:tc>
        <w:tc>
          <w:tcPr>
            <w:tcW w:w="18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Current Report on Form 8-K filed December 19, 2024).</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Opryland Hotel-Florida Ground Lease, dated as of March 3, 1999, by and between Xentury City</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Development Company, L.L.C., and Opryland Hotel-Florida Limited Partnership (incorporated by reference</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to Exhibit 10.11 to the Company’s Annual Report on Form 10-K for the year ended December 31, 1999).</w:t>
              </w:r>
            </w:hyperlink>
          </w:p>
        </w:tc>
        <w:tc>
          <w:tcPr>
            <w:tcW w:w="22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Hotel/ Convention Center Sublease Agreement, dated as of May 16, 2000, by and between the City of</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4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Grapevine, Texas and Opryland Hotel-Texas Limited Partnership (incorporated by reference to Exhibit</w:t>
              </w:r>
            </w:hyperlink>
          </w:p>
        </w:tc>
        <w:tc>
          <w:tcPr>
            <w:tcW w:w="420" w:type="dxa"/>
            <w:vAlign w:val="bottom"/>
            <w:gridSpan w:val="1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21</w:t>
              </w:r>
              <w:r>
                <w:rPr>
                  <w:rFonts w:ascii="Times New Roman" w:cs="Times New Roman" w:eastAsia="Times New Roman" w:hAnsi="Times New Roman"/>
                  <w:sz w:val="18"/>
                  <w:szCs w:val="18"/>
                  <w:color w:val="0000EE"/>
                  <w:w w:val="99"/>
                </w:rPr>
                <w:t xml:space="preserve"> to the Company’s Annual Report on Form 10-K for the year ended December 31, 2002).</w:t>
              </w:r>
            </w:hyperlink>
          </w:p>
        </w:tc>
        <w:tc>
          <w:tcPr>
            <w:tcW w:w="1020" w:type="dxa"/>
            <w:vAlign w:val="bottom"/>
            <w:gridSpan w:val="2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74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Sublease Addendum Number 1, dated July 28, 2000, by and between the City of Grapevine, Texas and</w:t>
              </w:r>
            </w:hyperlink>
          </w:p>
        </w:tc>
        <w:tc>
          <w:tcPr>
            <w:tcW w:w="440" w:type="dxa"/>
            <w:vAlign w:val="bottom"/>
            <w:gridSpan w:val="1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Opryland Hotel-Texas Limited Partnership (incorporated by reference to Exhibit 10.22 to the Company’s</w:t>
              </w:r>
            </w:hyperlink>
          </w:p>
        </w:tc>
        <w:tc>
          <w:tcPr>
            <w:tcW w:w="28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Annual Report on Form 10-K for the year ended December 31, 2002).</w:t>
              </w:r>
            </w:hyperlink>
          </w:p>
        </w:tc>
        <w:tc>
          <w:tcPr>
            <w:tcW w:w="2780" w:type="dxa"/>
            <w:vAlign w:val="bottom"/>
            <w:gridSpan w:val="2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First Amended and Restated Agreement of Limited Partnership of RHP Hotel Properties, LP, dated</w:t>
              </w:r>
            </w:hyperlink>
          </w:p>
        </w:tc>
        <w:tc>
          <w:tcPr>
            <w:tcW w:w="700" w:type="dxa"/>
            <w:vAlign w:val="bottom"/>
            <w:gridSpan w:val="2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December 31, 2018 (incorporated by reference to Exhibit 10.1 to the Company’s Current Report on Form 8-</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K filed January 7, 2019).</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Second Amended and Restated Limited Liability Company Agreement for OEG Attractions Holdings, LLC,</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80" w:type="dxa"/>
            <w:vAlign w:val="bottom"/>
            <w:gridSpan w:val="5"/>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dated June 16, 2022 (incorporated by reference to Exhibit 10.1 to the Company’s Current Report on Form 8-</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K filed June 16, 2022).</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First Amendment to Second Amended and Restated Limited Liability Company Agreement for OEG</w:t>
              </w:r>
            </w:hyperlink>
          </w:p>
        </w:tc>
        <w:tc>
          <w:tcPr>
            <w:tcW w:w="560" w:type="dxa"/>
            <w:vAlign w:val="bottom"/>
            <w:gridSpan w:val="1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Attractions Holdings, LLC, dated January 12, 2024 (incorporated by reference to Exhibit 10.14 to the</w:t>
              </w:r>
            </w:hyperlink>
          </w:p>
        </w:tc>
      </w:tr>
      <w:tr>
        <w:trPr>
          <w:trHeight w:val="196"/>
        </w:trPr>
        <w:tc>
          <w:tcPr>
            <w:tcW w:w="108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Company’s Annual Report on Form 10-K for the year ended December 31, 2023).</w:t>
              </w:r>
            </w:hyperlink>
          </w:p>
        </w:tc>
        <w:tc>
          <w:tcPr>
            <w:tcW w:w="1400" w:type="dxa"/>
            <w:vAlign w:val="bottom"/>
            <w:tcBorders>
              <w:top w:val="single" w:sz="8" w:color="0000EE"/>
            </w:tcBorders>
            <w:gridSpan w:val="10"/>
          </w:tcPr>
          <w:p>
            <w:pPr>
              <w:spacing w:after="0"/>
              <w:rPr>
                <w:sz w:val="17"/>
                <w:szCs w:val="17"/>
                <w:color w:val="auto"/>
              </w:rPr>
            </w:pPr>
          </w:p>
        </w:tc>
        <w:tc>
          <w:tcPr>
            <w:tcW w:w="520" w:type="dxa"/>
            <w:vAlign w:val="bottom"/>
            <w:gridSpan w:val="16"/>
          </w:tcPr>
          <w:p>
            <w:pPr>
              <w:spacing w:after="0"/>
              <w:rPr>
                <w:sz w:val="17"/>
                <w:szCs w:val="17"/>
                <w:color w:val="auto"/>
              </w:rPr>
            </w:pPr>
          </w:p>
        </w:tc>
      </w:tr>
      <w:tr>
        <w:trPr>
          <w:trHeight w:val="21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784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The Opryland USA Inc. Supplemental Deferred Compensation Plan (incorporated by reference to Exhibit</w:t>
            </w:r>
          </w:p>
        </w:tc>
      </w:tr>
      <w:tr>
        <w:trPr>
          <w:trHeight w:val="216"/>
        </w:trPr>
        <w:tc>
          <w:tcPr>
            <w:tcW w:w="1080" w:type="dxa"/>
            <w:vAlign w:val="bottom"/>
          </w:tcPr>
          <w:p>
            <w:pPr>
              <w:spacing w:after="0"/>
              <w:rPr>
                <w:sz w:val="18"/>
                <w:szCs w:val="18"/>
                <w:color w:val="auto"/>
              </w:rPr>
            </w:pPr>
          </w:p>
        </w:tc>
        <w:tc>
          <w:tcPr>
            <w:tcW w:w="784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10.11 to the former Gaylord Entertainment Company’s Registration Statement on Form S-1).</w:t>
            </w:r>
          </w:p>
        </w:tc>
      </w:tr>
      <w:tr>
        <w:trPr>
          <w:trHeight w:val="194"/>
        </w:trPr>
        <w:tc>
          <w:tcPr>
            <w:tcW w:w="10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7800" w:type="dxa"/>
            <w:vAlign w:val="bottom"/>
            <w:tcBorders>
              <w:bottom w:val="single" w:sz="8" w:color="0000EE"/>
            </w:tcBorders>
            <w:gridSpan w:val="34"/>
          </w:tcPr>
          <w:p>
            <w:pPr>
              <w:spacing w:after="0" w:line="194"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Gaylord Entertainment Company Retirement Benefit Restoration Plan (incorporated by reference to Exhibit</w:t>
              </w:r>
            </w:hyperlink>
          </w:p>
        </w:tc>
        <w:tc>
          <w:tcPr>
            <w:tcW w:w="40" w:type="dxa"/>
            <w:vAlign w:val="bottom"/>
            <w:gridSpan w:val="2"/>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19</w:t>
              </w:r>
              <w:r>
                <w:rPr>
                  <w:rFonts w:ascii="Times New Roman" w:cs="Times New Roman" w:eastAsia="Times New Roman" w:hAnsi="Times New Roman"/>
                  <w:sz w:val="18"/>
                  <w:szCs w:val="18"/>
                  <w:color w:val="0000EE"/>
                  <w:w w:val="99"/>
                </w:rPr>
                <w:t xml:space="preserve"> to the Company’s Annual Report on Form 10-K for the year ended December 31, 2000).</w:t>
              </w:r>
            </w:hyperlink>
          </w:p>
        </w:tc>
        <w:tc>
          <w:tcPr>
            <w:tcW w:w="1020" w:type="dxa"/>
            <w:vAlign w:val="bottom"/>
            <w:gridSpan w:val="2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Executive Employment Agreement of Colin V. Reed, dated February 25, 2008, with the Company</w:t>
              </w:r>
            </w:hyperlink>
          </w:p>
        </w:tc>
        <w:tc>
          <w:tcPr>
            <w:tcW w:w="780" w:type="dxa"/>
            <w:vAlign w:val="bottom"/>
            <w:gridSpan w:val="2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6"/>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(incorporated by reference to Exhibit 10.1 to the Company’s Current Report on Form 8-K filed with the</w:t>
              </w:r>
            </w:hyperlink>
          </w:p>
        </w:tc>
      </w:tr>
      <w:tr>
        <w:trPr>
          <w:trHeight w:val="196"/>
        </w:trPr>
        <w:tc>
          <w:tcPr>
            <w:tcW w:w="10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SEC on February 27, 2008).</w:t>
              </w:r>
            </w:hyperlink>
          </w:p>
        </w:tc>
        <w:tc>
          <w:tcPr>
            <w:tcW w:w="5420" w:type="dxa"/>
            <w:vAlign w:val="bottom"/>
            <w:tcBorders>
              <w:top w:val="single" w:sz="8" w:color="0000EE"/>
            </w:tcBorders>
            <w:gridSpan w:val="18"/>
          </w:tcPr>
          <w:p>
            <w:pPr>
              <w:spacing w:after="0"/>
              <w:rPr>
                <w:sz w:val="17"/>
                <w:szCs w:val="17"/>
                <w:color w:val="auto"/>
              </w:rPr>
            </w:pPr>
          </w:p>
        </w:tc>
        <w:tc>
          <w:tcPr>
            <w:tcW w:w="380" w:type="dxa"/>
            <w:vAlign w:val="bottom"/>
            <w:gridSpan w:val="13"/>
          </w:tcPr>
          <w:p>
            <w:pPr>
              <w:spacing w:after="0"/>
              <w:rPr>
                <w:sz w:val="17"/>
                <w:szCs w:val="17"/>
                <w:color w:val="auto"/>
              </w:rPr>
            </w:pPr>
          </w:p>
        </w:tc>
      </w:tr>
      <w:tr>
        <w:trPr>
          <w:trHeight w:val="668"/>
        </w:trPr>
        <w:tc>
          <w:tcPr>
            <w:tcW w:w="1080" w:type="dxa"/>
            <w:vAlign w:val="bottom"/>
          </w:tcPr>
          <w:p>
            <w:pPr>
              <w:spacing w:after="0"/>
              <w:rPr>
                <w:sz w:val="24"/>
                <w:szCs w:val="24"/>
                <w:color w:val="auto"/>
              </w:rPr>
            </w:pPr>
          </w:p>
        </w:tc>
        <w:tc>
          <w:tcPr>
            <w:tcW w:w="4000" w:type="dxa"/>
            <w:vAlign w:val="bottom"/>
            <w:gridSpan w:val="7"/>
          </w:tcPr>
          <w:p>
            <w:pPr>
              <w:ind w:left="330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0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120" w:right="259" w:hanging="1065"/>
        <w:spacing w:after="0" w:line="257"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11">
        <w:r>
          <w:rPr>
            <w:rFonts w:ascii="Times New Roman" w:cs="Times New Roman" w:eastAsia="Times New Roman" w:hAnsi="Times New Roman"/>
            <w:sz w:val="18"/>
            <w:szCs w:val="18"/>
            <w:u w:val="single" w:color="auto"/>
            <w:color w:val="0000EE"/>
          </w:rPr>
          <w:t>First Amendment to Executive Employment Agreement of Colin V. Reed, dated December 18, 2008, with</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Company (incorporated by reference to Exhibit 10.3 of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with the SEC on December 23, 2008).</w:t>
        </w:r>
      </w:hyperlink>
    </w:p>
    <w:p>
      <w:pPr>
        <w:spacing w:after="0" w:line="1" w:lineRule="exact"/>
        <w:rPr>
          <w:rFonts w:ascii="Times New Roman" w:cs="Times New Roman" w:eastAsia="Times New Roman" w:hAnsi="Times New Roman"/>
          <w:sz w:val="18"/>
          <w:szCs w:val="18"/>
          <w:u w:val="single" w:color="auto"/>
          <w:color w:val="0000EE"/>
        </w:rPr>
      </w:pPr>
    </w:p>
    <w:p>
      <w:pPr>
        <w:ind w:left="1120" w:right="17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12">
        <w:r>
          <w:rPr>
            <w:rFonts w:ascii="Times New Roman" w:cs="Times New Roman" w:eastAsia="Times New Roman" w:hAnsi="Times New Roman"/>
            <w:sz w:val="18"/>
            <w:szCs w:val="18"/>
            <w:u w:val="single" w:color="auto"/>
            <w:color w:val="0000EE"/>
          </w:rPr>
          <w:t>Second Amendment to Executive Employment Agreement, dated September 3, 2010, by and between the</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Company and Colin V. Reed (incorporated by reference to Exhibit 10.2 to the Company’s Quarterly Report</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on Form 10-Q for the quarter ended September 30, 2010).</w:t>
        </w:r>
      </w:hyperlink>
    </w:p>
    <w:p>
      <w:pPr>
        <w:spacing w:after="0" w:line="1" w:lineRule="exact"/>
        <w:rPr>
          <w:rFonts w:ascii="Times New Roman" w:cs="Times New Roman" w:eastAsia="Times New Roman" w:hAnsi="Times New Roman"/>
          <w:sz w:val="18"/>
          <w:szCs w:val="18"/>
          <w:u w:val="single" w:color="auto"/>
          <w:color w:val="0000EE"/>
        </w:rPr>
      </w:pPr>
    </w:p>
    <w:p>
      <w:pPr>
        <w:ind w:left="1120" w:right="31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13">
        <w:r>
          <w:rPr>
            <w:rFonts w:ascii="Times New Roman" w:cs="Times New Roman" w:eastAsia="Times New Roman" w:hAnsi="Times New Roman"/>
            <w:sz w:val="18"/>
            <w:szCs w:val="18"/>
            <w:u w:val="single" w:color="auto"/>
            <w:color w:val="0000EE"/>
          </w:rPr>
          <w:t>Third Amendment to Executive Employment Agreement, dated as of November 5, 2012, by and between</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the Company and Colin V. Reed (incorporated by reference to Exhibit 10.5 to the Company’s Quarterly</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Report on Form 10-Q for the quarter ended September 30, 2012).</w:t>
        </w:r>
      </w:hyperlink>
    </w:p>
    <w:p>
      <w:pPr>
        <w:spacing w:after="0" w:line="1" w:lineRule="exact"/>
        <w:rPr>
          <w:rFonts w:ascii="Times New Roman" w:cs="Times New Roman" w:eastAsia="Times New Roman" w:hAnsi="Times New Roman"/>
          <w:sz w:val="18"/>
          <w:szCs w:val="18"/>
          <w:u w:val="single" w:color="auto"/>
          <w:color w:val="0000EE"/>
        </w:rPr>
      </w:pPr>
    </w:p>
    <w:p>
      <w:pPr>
        <w:ind w:left="1120" w:right="15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14">
        <w:r>
          <w:rPr>
            <w:rFonts w:ascii="Times New Roman" w:cs="Times New Roman" w:eastAsia="Times New Roman" w:hAnsi="Times New Roman"/>
            <w:sz w:val="18"/>
            <w:szCs w:val="18"/>
            <w:u w:val="single" w:color="auto"/>
            <w:color w:val="0000EE"/>
          </w:rPr>
          <w:t>Fourth Amendment to Executive Employment Agreement, dated as of December 31, 2020, by and between</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the Company and Colin V. Reed (incorporated by reference to Exhibit 10.17 to the Company’s Annual</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Report on Form 10-K for the year ended December 31, 2020).</w:t>
        </w:r>
      </w:hyperlink>
    </w:p>
    <w:p>
      <w:pPr>
        <w:spacing w:after="0" w:line="1" w:lineRule="exact"/>
        <w:rPr>
          <w:rFonts w:ascii="Times New Roman" w:cs="Times New Roman" w:eastAsia="Times New Roman" w:hAnsi="Times New Roman"/>
          <w:sz w:val="18"/>
          <w:szCs w:val="18"/>
          <w:u w:val="single" w:color="auto"/>
          <w:color w:val="0000EE"/>
        </w:rPr>
      </w:pPr>
    </w:p>
    <w:p>
      <w:pPr>
        <w:ind w:left="1120" w:right="7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15">
        <w:r>
          <w:rPr>
            <w:rFonts w:ascii="Times New Roman" w:cs="Times New Roman" w:eastAsia="Times New Roman" w:hAnsi="Times New Roman"/>
            <w:sz w:val="18"/>
            <w:szCs w:val="18"/>
            <w:u w:val="single" w:color="auto"/>
            <w:color w:val="0000EE"/>
          </w:rPr>
          <w:t>Fifth Amendment to Employment Agreement, dated as of October 11, 2022, by and between the Company</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and Colin V. Reed (incorporated by reference to Exhibit 10.1 to the Company’s Current Report on Form 8-K</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filed October 11,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3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16">
        <w:r>
          <w:rPr>
            <w:rFonts w:ascii="Times New Roman" w:cs="Times New Roman" w:eastAsia="Times New Roman" w:hAnsi="Times New Roman"/>
            <w:sz w:val="18"/>
            <w:szCs w:val="18"/>
            <w:u w:val="single" w:color="auto"/>
            <w:color w:val="0000EE"/>
          </w:rPr>
          <w:t>Indemnification Agreement, dated as of April 23, 2001, by and between the Company and Colin V. Reed</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(incorporated by reference to Exhibit 10.30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ended December 31, 2001).</w:t>
        </w:r>
      </w:hyperlink>
    </w:p>
    <w:p>
      <w:pPr>
        <w:spacing w:after="0" w:line="1" w:lineRule="exact"/>
        <w:rPr>
          <w:rFonts w:ascii="Times New Roman" w:cs="Times New Roman" w:eastAsia="Times New Roman" w:hAnsi="Times New Roman"/>
          <w:sz w:val="18"/>
          <w:szCs w:val="18"/>
          <w:u w:val="single" w:color="auto"/>
          <w:color w:val="0000EE"/>
        </w:rPr>
      </w:pPr>
    </w:p>
    <w:p>
      <w:pPr>
        <w:ind w:left="1120" w:right="4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17">
        <w:r>
          <w:rPr>
            <w:rFonts w:ascii="Times New Roman" w:cs="Times New Roman" w:eastAsia="Times New Roman" w:hAnsi="Times New Roman"/>
            <w:sz w:val="18"/>
            <w:szCs w:val="18"/>
            <w:u w:val="single" w:color="auto"/>
            <w:color w:val="0000EE"/>
          </w:rPr>
          <w:t>Form of Employment Agreement of Mark Fioravanti, dated February 25, 2008, with the Company</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(incorporated by reference to Exhibit 10.3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SEC on February 27, 2008).</w:t>
        </w:r>
      </w:hyperlink>
    </w:p>
    <w:p>
      <w:pPr>
        <w:spacing w:after="0" w:line="1" w:lineRule="exact"/>
        <w:rPr>
          <w:rFonts w:ascii="Times New Roman" w:cs="Times New Roman" w:eastAsia="Times New Roman" w:hAnsi="Times New Roman"/>
          <w:sz w:val="18"/>
          <w:szCs w:val="18"/>
          <w:u w:val="single" w:color="auto"/>
          <w:color w:val="0000EE"/>
        </w:rPr>
      </w:pPr>
    </w:p>
    <w:p>
      <w:pPr>
        <w:ind w:left="1120" w:right="379" w:hanging="1065"/>
        <w:spacing w:after="0" w:line="265"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18">
        <w:r>
          <w:rPr>
            <w:rFonts w:ascii="Times New Roman" w:cs="Times New Roman" w:eastAsia="Times New Roman" w:hAnsi="Times New Roman"/>
            <w:sz w:val="17"/>
            <w:szCs w:val="17"/>
            <w:u w:val="single" w:color="auto"/>
            <w:color w:val="0000EE"/>
          </w:rPr>
          <w:t>Form of Amendment No. 1 to Employment Agreement of Mark Fioravanti (incorporated by reference to</w:t>
        </w:r>
      </w:hyperlink>
      <w:r>
        <w:rPr>
          <w:rFonts w:ascii="Times New Roman" w:cs="Times New Roman" w:eastAsia="Times New Roman" w:hAnsi="Times New Roman"/>
          <w:sz w:val="17"/>
          <w:szCs w:val="17"/>
          <w:u w:val="single" w:color="auto"/>
          <w:color w:val="0000EE"/>
        </w:rPr>
        <w:t xml:space="preserve"> </w:t>
      </w:r>
      <w:hyperlink r:id="rId118">
        <w:r>
          <w:rPr>
            <w:rFonts w:ascii="Times New Roman" w:cs="Times New Roman" w:eastAsia="Times New Roman" w:hAnsi="Times New Roman"/>
            <w:sz w:val="17"/>
            <w:szCs w:val="17"/>
            <w:u w:val="single" w:color="auto"/>
            <w:color w:val="0000EE"/>
          </w:rPr>
          <w:t>Exhibit 10.38 to the Company’s Annual Report on Form 10-K for the year ended December 31, 2009).</w:t>
        </w:r>
      </w:hyperlink>
    </w:p>
    <w:p>
      <w:pPr>
        <w:jc w:val="both"/>
        <w:ind w:left="1120" w:right="11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19">
        <w:r>
          <w:rPr>
            <w:rFonts w:ascii="Times New Roman" w:cs="Times New Roman" w:eastAsia="Times New Roman" w:hAnsi="Times New Roman"/>
            <w:sz w:val="18"/>
            <w:szCs w:val="18"/>
            <w:u w:val="single" w:color="auto"/>
            <w:color w:val="0000EE"/>
          </w:rPr>
          <w:t>Amendment No. 2 to Employment Agreement, dated September 3, 2010, by and between the Company and</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Mark Fioravanti (incorporated by reference to Exhibit 10.5 to the Company’s Quarterly Report on Form 10-</w:t>
        </w:r>
      </w:hyperlink>
      <w:hyperlink r:id="rId119">
        <w:r>
          <w:rPr>
            <w:rFonts w:ascii="Times New Roman" w:cs="Times New Roman" w:eastAsia="Times New Roman" w:hAnsi="Times New Roman"/>
            <w:sz w:val="18"/>
            <w:szCs w:val="18"/>
            <w:u w:val="single" w:color="auto"/>
            <w:color w:val="0000EE"/>
          </w:rPr>
          <w:t>Q for the quarter ended September 30, 2010).</w:t>
        </w:r>
      </w:hyperlink>
    </w:p>
    <w:p>
      <w:pPr>
        <w:spacing w:after="0" w:line="1" w:lineRule="exact"/>
        <w:rPr>
          <w:rFonts w:ascii="Times New Roman" w:cs="Times New Roman" w:eastAsia="Times New Roman" w:hAnsi="Times New Roman"/>
          <w:sz w:val="18"/>
          <w:szCs w:val="18"/>
          <w:u w:val="single" w:color="auto"/>
          <w:color w:val="0000EE"/>
        </w:rPr>
      </w:pPr>
    </w:p>
    <w:p>
      <w:pPr>
        <w:ind w:left="1120" w:right="9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20">
        <w:r>
          <w:rPr>
            <w:rFonts w:ascii="Times New Roman" w:cs="Times New Roman" w:eastAsia="Times New Roman" w:hAnsi="Times New Roman"/>
            <w:sz w:val="18"/>
            <w:szCs w:val="18"/>
            <w:u w:val="single" w:color="auto"/>
            <w:color w:val="0000EE"/>
          </w:rPr>
          <w:t>Third Amendment to Executive Employment Agreement dated as of November 5, 2012, by and between the</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Company and Mark Fioravanti (incorporated by reference to Exhibit 10.6 to the Company’s Quarterly</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Report on Form 10-Q for the quarter ended September 30, 2012).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2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21">
        <w:r>
          <w:rPr>
            <w:rFonts w:ascii="Times New Roman" w:cs="Times New Roman" w:eastAsia="Times New Roman" w:hAnsi="Times New Roman"/>
            <w:sz w:val="18"/>
            <w:szCs w:val="18"/>
            <w:u w:val="single" w:color="auto"/>
            <w:color w:val="0000EE"/>
          </w:rPr>
          <w:t>Fourth Amendment to Employment Agreement dated as of March 1, 2022, by and between the Company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and Mark Fioravanti (incorporated by reference to Exhibit 10.1 to the Company’s Current Report on Form</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8-K filed on March 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2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22">
        <w:r>
          <w:rPr>
            <w:rFonts w:ascii="Times New Roman" w:cs="Times New Roman" w:eastAsia="Times New Roman" w:hAnsi="Times New Roman"/>
            <w:sz w:val="18"/>
            <w:szCs w:val="18"/>
            <w:u w:val="single" w:color="auto"/>
            <w:color w:val="0000EE"/>
          </w:rPr>
          <w:t>Fifth Amendment to Employment Agreement dated as of October 11, 2022, by and between the Company</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and Mark Fioravanti (incorporated by reference to Exhibit 10.2 to the Company’s Current Report on Form</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8-K filed on October 11, 2022).</w:t>
        </w:r>
      </w:hyperlink>
    </w:p>
    <w:p>
      <w:pPr>
        <w:spacing w:after="0" w:line="1" w:lineRule="exact"/>
        <w:rPr>
          <w:rFonts w:ascii="Times New Roman" w:cs="Times New Roman" w:eastAsia="Times New Roman" w:hAnsi="Times New Roman"/>
          <w:sz w:val="18"/>
          <w:szCs w:val="18"/>
          <w:u w:val="single" w:color="auto"/>
          <w:color w:val="0000EE"/>
        </w:rPr>
      </w:pPr>
    </w:p>
    <w:p>
      <w:pPr>
        <w:ind w:left="1120" w:right="39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23">
        <w:r>
          <w:rPr>
            <w:rFonts w:ascii="Times New Roman" w:cs="Times New Roman" w:eastAsia="Times New Roman" w:hAnsi="Times New Roman"/>
            <w:sz w:val="18"/>
            <w:szCs w:val="18"/>
            <w:u w:val="single" w:color="auto"/>
            <w:color w:val="0000EE"/>
          </w:rPr>
          <w:t>Severance Agreement dated as of February 26, 2018 between the Company and Patrick Chaffin</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(incorporated by reference to Exhibit 10.21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ended December 31,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20" w:right="9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24">
        <w:r>
          <w:rPr>
            <w:rFonts w:ascii="Times New Roman" w:cs="Times New Roman" w:eastAsia="Times New Roman" w:hAnsi="Times New Roman"/>
            <w:sz w:val="18"/>
            <w:szCs w:val="18"/>
            <w:u w:val="single" w:color="auto"/>
            <w:color w:val="0000EE"/>
          </w:rPr>
          <w:t>Severance Agreement dated as of February 26, 2018 between the Company and Scott Lynn (incorporated by</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reference to Exhibit 10.22 to the Company’s Annual Report on Form 10-K for the year ended December 31,</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2017).</w:t>
        </w:r>
      </w:hyperlink>
    </w:p>
    <w:p>
      <w:pPr>
        <w:spacing w:after="0" w:line="1" w:lineRule="exact"/>
        <w:rPr>
          <w:rFonts w:ascii="Times New Roman" w:cs="Times New Roman" w:eastAsia="Times New Roman" w:hAnsi="Times New Roman"/>
          <w:sz w:val="18"/>
          <w:szCs w:val="18"/>
          <w:u w:val="single" w:color="auto"/>
          <w:color w:val="0000EE"/>
        </w:rPr>
      </w:pPr>
    </w:p>
    <w:p>
      <w:pPr>
        <w:ind w:left="1120" w:right="1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25">
        <w:r>
          <w:rPr>
            <w:rFonts w:ascii="Times New Roman" w:cs="Times New Roman" w:eastAsia="Times New Roman" w:hAnsi="Times New Roman"/>
            <w:sz w:val="18"/>
            <w:szCs w:val="18"/>
            <w:u w:val="single" w:color="auto"/>
            <w:color w:val="0000EE"/>
          </w:rPr>
          <w:t>Severance Agreement dated as of March 1, 2022, by and between the Company and Jennifer Hutcheson</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(incorporated by reference to Exhibit 10.2 to the Company’s Current Report on Form 8-K filed on March 1,</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2022).</w:t>
        </w:r>
      </w:hyperlink>
    </w:p>
    <w:p>
      <w:pPr>
        <w:spacing w:after="0" w:line="1" w:lineRule="exact"/>
        <w:rPr>
          <w:rFonts w:ascii="Times New Roman" w:cs="Times New Roman" w:eastAsia="Times New Roman" w:hAnsi="Times New Roman"/>
          <w:sz w:val="18"/>
          <w:szCs w:val="18"/>
          <w:u w:val="single" w:color="auto"/>
          <w:color w:val="0000EE"/>
        </w:rPr>
      </w:pPr>
    </w:p>
    <w:p>
      <w:pPr>
        <w:ind w:left="1120" w:right="39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26">
        <w:r>
          <w:rPr>
            <w:rFonts w:ascii="Times New Roman" w:cs="Times New Roman" w:eastAsia="Times New Roman" w:hAnsi="Times New Roman"/>
            <w:sz w:val="18"/>
            <w:szCs w:val="18"/>
            <w:u w:val="single" w:color="auto"/>
            <w:color w:val="0000EE"/>
          </w:rPr>
          <w:t>Form of Indemnification Agreement between the Company and each of its non-employee directors</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(incorporated by reference to Exhibit 10.36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ended December 31, 2002).</w:t>
        </w:r>
      </w:hyperlink>
    </w:p>
    <w:p>
      <w:pPr>
        <w:spacing w:after="0" w:line="1" w:lineRule="exact"/>
        <w:rPr>
          <w:rFonts w:ascii="Times New Roman" w:cs="Times New Roman" w:eastAsia="Times New Roman" w:hAnsi="Times New Roman"/>
          <w:sz w:val="18"/>
          <w:szCs w:val="18"/>
          <w:u w:val="single" w:color="auto"/>
          <w:color w:val="0000EE"/>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7"/>
          <w:szCs w:val="17"/>
          <w:u w:val="single" w:color="auto"/>
          <w:color w:val="0000EE"/>
        </w:rPr>
        <w:t>Summary of Director and Executive Officer Compensation.</w:t>
      </w:r>
    </w:p>
    <w:p>
      <w:pPr>
        <w:spacing w:after="0" w:line="9" w:lineRule="exact"/>
        <w:rPr>
          <w:rFonts w:ascii="Times New Roman" w:cs="Times New Roman" w:eastAsia="Times New Roman" w:hAnsi="Times New Roman"/>
          <w:sz w:val="18"/>
          <w:szCs w:val="18"/>
          <w:u w:val="single" w:color="auto"/>
          <w:color w:val="0000EE"/>
        </w:rPr>
      </w:pPr>
    </w:p>
    <w:p>
      <w:pPr>
        <w:ind w:left="1120" w:right="139" w:hanging="1065"/>
        <w:spacing w:after="0" w:line="26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27">
        <w:r>
          <w:rPr>
            <w:rFonts w:ascii="Times New Roman" w:cs="Times New Roman" w:eastAsia="Times New Roman" w:hAnsi="Times New Roman"/>
            <w:sz w:val="18"/>
            <w:szCs w:val="18"/>
            <w:u w:val="single" w:color="auto"/>
            <w:color w:val="0000EE"/>
          </w:rPr>
          <w:t>Ryman Hospitality Properties, Inc. 2016 Omnibus Incentive Plan (incorporated by reference to Exhibit 10.1</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to the Company’s Current Report on Form 8-K filed with the SEC on May 6, 2016).</w:t>
        </w:r>
      </w:hyperlink>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 w:right="279" w:hanging="1065"/>
        <w:spacing w:after="0" w:line="257"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29">
        <w:r>
          <w:rPr>
            <w:rFonts w:ascii="Times New Roman" w:cs="Times New Roman" w:eastAsia="Times New Roman" w:hAnsi="Times New Roman"/>
            <w:sz w:val="18"/>
            <w:szCs w:val="18"/>
            <w:u w:val="single" w:color="auto"/>
            <w:color w:val="0000EE"/>
          </w:rPr>
          <w:t>Amendment dated February 10, 2017 to Ryman Hospitality Properties, Inc. 2016 Omnibus Incentive Plan</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(incorporated by reference to Exhibit 10.43 to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ended December 31, 2016).</w:t>
        </w:r>
      </w:hyperlink>
    </w:p>
    <w:p>
      <w:pPr>
        <w:spacing w:after="0" w:line="1" w:lineRule="exact"/>
        <w:rPr>
          <w:rFonts w:ascii="Times New Roman" w:cs="Times New Roman" w:eastAsia="Times New Roman" w:hAnsi="Times New Roman"/>
          <w:sz w:val="18"/>
          <w:szCs w:val="18"/>
          <w:u w:val="single" w:color="auto"/>
          <w:color w:val="0000EE"/>
        </w:rPr>
      </w:pPr>
    </w:p>
    <w:p>
      <w:pPr>
        <w:ind w:left="1120" w:right="1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30">
        <w:r>
          <w:rPr>
            <w:rFonts w:ascii="Times New Roman" w:cs="Times New Roman" w:eastAsia="Times New Roman" w:hAnsi="Times New Roman"/>
            <w:sz w:val="18"/>
            <w:szCs w:val="18"/>
            <w:u w:val="single" w:color="auto"/>
            <w:color w:val="0000EE"/>
          </w:rPr>
          <w:t>Form of Restricted Stock Unit Award Agreement granted pursuant to the Company’s 2016 Omnibus</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Incentive Plan (incorporated by reference to Exhibit 10.1 to the Company’s Quarterly Report on Form 10-Q</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for the quarter ended June 30, 2016).</w:t>
        </w:r>
      </w:hyperlink>
    </w:p>
    <w:p>
      <w:pPr>
        <w:spacing w:after="0" w:line="1" w:lineRule="exact"/>
        <w:rPr>
          <w:rFonts w:ascii="Times New Roman" w:cs="Times New Roman" w:eastAsia="Times New Roman" w:hAnsi="Times New Roman"/>
          <w:sz w:val="18"/>
          <w:szCs w:val="18"/>
          <w:u w:val="single" w:color="auto"/>
          <w:color w:val="0000EE"/>
        </w:rPr>
      </w:pPr>
    </w:p>
    <w:p>
      <w:pPr>
        <w:ind w:left="1120" w:right="11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31">
        <w:r>
          <w:rPr>
            <w:rFonts w:ascii="Times New Roman" w:cs="Times New Roman" w:eastAsia="Times New Roman" w:hAnsi="Times New Roman"/>
            <w:sz w:val="18"/>
            <w:szCs w:val="18"/>
            <w:u w:val="single" w:color="auto"/>
            <w:color w:val="0000EE"/>
          </w:rPr>
          <w:t>Form of Restricted Stock Unit Award Agreement with respect to time-based vesting restricted stock units</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granted pursuant to the Company’s 2016 Omnibus Incentive Plan (incorporated by reference to Exhibit 10.2</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to the Company’s Quarterly Report on Form 10-Q for the quarter ended June 30, 2016).</w:t>
        </w:r>
      </w:hyperlink>
    </w:p>
    <w:p>
      <w:pPr>
        <w:spacing w:after="0" w:line="1" w:lineRule="exact"/>
        <w:rPr>
          <w:rFonts w:ascii="Times New Roman" w:cs="Times New Roman" w:eastAsia="Times New Roman" w:hAnsi="Times New Roman"/>
          <w:sz w:val="18"/>
          <w:szCs w:val="18"/>
          <w:u w:val="single" w:color="auto"/>
          <w:color w:val="0000EE"/>
        </w:rPr>
      </w:pPr>
    </w:p>
    <w:p>
      <w:pPr>
        <w:ind w:left="1120" w:right="13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32">
        <w:r>
          <w:rPr>
            <w:rFonts w:ascii="Times New Roman" w:cs="Times New Roman" w:eastAsia="Times New Roman" w:hAnsi="Times New Roman"/>
            <w:sz w:val="18"/>
            <w:szCs w:val="18"/>
            <w:u w:val="single" w:color="auto"/>
            <w:color w:val="0000EE"/>
          </w:rPr>
          <w:t>Ryman Hospitality Properties, Inc. 2024 Omnibus Incentive Plan (incorporated by reference to Exhibit 10.1</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to the Company’s Current Report on Form 8-K filed May 9, 2024).</w:t>
        </w:r>
      </w:hyperlink>
    </w:p>
    <w:p>
      <w:pPr>
        <w:spacing w:after="0" w:line="1" w:lineRule="exact"/>
        <w:rPr>
          <w:sz w:val="20"/>
          <w:szCs w:val="20"/>
          <w:color w:val="auto"/>
        </w:rPr>
      </w:pPr>
    </w:p>
    <w:p>
      <w:pPr>
        <w:ind w:left="1120" w:right="9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33">
        <w:r>
          <w:rPr>
            <w:rFonts w:ascii="Times New Roman" w:cs="Times New Roman" w:eastAsia="Times New Roman" w:hAnsi="Times New Roman"/>
            <w:sz w:val="18"/>
            <w:szCs w:val="18"/>
            <w:u w:val="single" w:color="auto"/>
            <w:color w:val="0000EE"/>
          </w:rPr>
          <w:t>Form of Performance-Based Restricted Stock Unit Award Agreement granted pursuant to the Company’s</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2024 Omnibus Incentive Plan (incorporated by reference to Exhibit 10.3 to the Company’s Quarterly Report</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on Form 10-Q for the quarter ended June 30, 2024).</w:t>
        </w:r>
      </w:hyperlink>
    </w:p>
    <w:p>
      <w:pPr>
        <w:spacing w:after="0" w:line="1" w:lineRule="exact"/>
        <w:rPr>
          <w:rFonts w:ascii="Times New Roman" w:cs="Times New Roman" w:eastAsia="Times New Roman" w:hAnsi="Times New Roman"/>
          <w:sz w:val="18"/>
          <w:szCs w:val="18"/>
          <w:u w:val="single" w:color="auto"/>
          <w:color w:val="0000EE"/>
        </w:rPr>
      </w:pPr>
    </w:p>
    <w:p>
      <w:pPr>
        <w:ind w:left="1120" w:right="27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34">
        <w:r>
          <w:rPr>
            <w:rFonts w:ascii="Times New Roman" w:cs="Times New Roman" w:eastAsia="Times New Roman" w:hAnsi="Times New Roman"/>
            <w:sz w:val="18"/>
            <w:szCs w:val="18"/>
            <w:u w:val="single" w:color="auto"/>
            <w:color w:val="0000EE"/>
          </w:rPr>
          <w:t>Form of Time-Based Restricted Stock Unit Award Agreement granted pursuant to the Company’s 2024</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Omnibus Incentive Plan (incorporated by reference to Exhibit 10.4 to the Company’s Quarterly Report on</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Form 10-Q for the quarter ended June 30, 2024).</w:t>
        </w:r>
      </w:hyperlink>
    </w:p>
    <w:p>
      <w:pPr>
        <w:spacing w:after="0" w:line="1" w:lineRule="exact"/>
        <w:rPr>
          <w:rFonts w:ascii="Times New Roman" w:cs="Times New Roman" w:eastAsia="Times New Roman" w:hAnsi="Times New Roman"/>
          <w:sz w:val="18"/>
          <w:szCs w:val="18"/>
          <w:u w:val="single" w:color="auto"/>
          <w:color w:val="0000EE"/>
        </w:rPr>
      </w:pPr>
    </w:p>
    <w:p>
      <w:pPr>
        <w:ind w:left="1120" w:right="119" w:hanging="1065"/>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35">
        <w:r>
          <w:rPr>
            <w:rFonts w:ascii="Times New Roman" w:cs="Times New Roman" w:eastAsia="Times New Roman" w:hAnsi="Times New Roman"/>
            <w:sz w:val="18"/>
            <w:szCs w:val="18"/>
            <w:u w:val="single" w:color="auto"/>
            <w:color w:val="0000EE"/>
          </w:rPr>
          <w:t>Agreement of Purchase and Sale, dated as of May 19, 2025, by and between DRPhoenix Hotel Owner LLC,</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as Seller, and RHP Property AR, LLC, as Buyer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Company’s Current Report on Form 8-K filed May 19, 2025).</w:t>
        </w:r>
      </w:hyperlink>
    </w:p>
    <w:p>
      <w:pPr>
        <w:spacing w:after="0" w:line="1" w:lineRule="exact"/>
        <w:rPr>
          <w:rFonts w:ascii="Times New Roman" w:cs="Times New Roman" w:eastAsia="Times New Roman" w:hAnsi="Times New Roman"/>
          <w:sz w:val="18"/>
          <w:szCs w:val="18"/>
          <w:u w:val="single" w:color="auto"/>
          <w:color w:val="0000EE"/>
        </w:rPr>
      </w:pPr>
    </w:p>
    <w:p>
      <w:pPr>
        <w:ind w:left="1120" w:right="139" w:hanging="1064"/>
        <w:spacing w:after="0" w:line="265" w:lineRule="auto"/>
        <w:tabs>
          <w:tab w:leader="none" w:pos="1120" w:val="left"/>
        </w:tabs>
        <w:numPr>
          <w:ilvl w:val="0"/>
          <w:numId w:val="45"/>
        </w:numPr>
        <w:rPr>
          <w:rFonts w:ascii="Times New Roman" w:cs="Times New Roman" w:eastAsia="Times New Roman" w:hAnsi="Times New Roman"/>
          <w:sz w:val="17"/>
          <w:szCs w:val="17"/>
          <w:u w:val="single" w:color="auto"/>
          <w:color w:val="0000EE"/>
        </w:rPr>
      </w:pPr>
      <w:hyperlink r:id="rId136">
        <w:r>
          <w:rPr>
            <w:rFonts w:ascii="Times New Roman" w:cs="Times New Roman" w:eastAsia="Times New Roman" w:hAnsi="Times New Roman"/>
            <w:sz w:val="17"/>
            <w:szCs w:val="17"/>
            <w:u w:val="single" w:color="auto"/>
            <w:color w:val="0000EE"/>
          </w:rPr>
          <w:t>Statement of Company Policy Regarding Insider Trading and Company Policy Regarding Special Trading</w:t>
        </w:r>
      </w:hyperlink>
      <w:r>
        <w:rPr>
          <w:rFonts w:ascii="Times New Roman" w:cs="Times New Roman" w:eastAsia="Times New Roman" w:hAnsi="Times New Roman"/>
          <w:sz w:val="17"/>
          <w:szCs w:val="17"/>
          <w:u w:val="single" w:color="auto"/>
          <w:color w:val="0000EE"/>
        </w:rPr>
        <w:t xml:space="preserve"> </w:t>
      </w:r>
      <w:hyperlink r:id="rId136">
        <w:r>
          <w:rPr>
            <w:rFonts w:ascii="Times New Roman" w:cs="Times New Roman" w:eastAsia="Times New Roman" w:hAnsi="Times New Roman"/>
            <w:sz w:val="17"/>
            <w:szCs w:val="17"/>
            <w:u w:val="single" w:color="auto"/>
            <w:color w:val="0000EE"/>
          </w:rPr>
          <w:t>Procedures (incorporated by reference to Exhibit 19 of the Company’s Annual Report on Form 10-K for the</w:t>
        </w:r>
      </w:hyperlink>
    </w:p>
    <w:tbl>
      <w:tblPr>
        <w:tblLayout w:type="fixed"/>
        <w:tblInd w:w="6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236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year ended December 31, 2024).</w:t>
              </w:r>
            </w:hyperlink>
          </w:p>
        </w:tc>
      </w:tr>
      <w:tr>
        <w:trPr>
          <w:trHeight w:val="196"/>
        </w:trPr>
        <w:tc>
          <w:tcPr>
            <w:tcW w:w="1060" w:type="dxa"/>
            <w:vAlign w:val="bottom"/>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w w:val="88"/>
              </w:rPr>
              <w:t>21*</w:t>
            </w:r>
          </w:p>
        </w:tc>
        <w:tc>
          <w:tcPr>
            <w:tcW w:w="21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Subsidiaries of the Company.</w:t>
            </w:r>
          </w:p>
        </w:tc>
        <w:tc>
          <w:tcPr>
            <w:tcW w:w="240" w:type="dxa"/>
            <w:vAlign w:val="bottom"/>
          </w:tcPr>
          <w:p>
            <w:pPr>
              <w:spacing w:after="0"/>
              <w:rPr>
                <w:sz w:val="17"/>
                <w:szCs w:val="17"/>
                <w:color w:val="auto"/>
              </w:rPr>
            </w:pPr>
          </w:p>
        </w:tc>
      </w:tr>
    </w:tbl>
    <w:p>
      <w:pPr>
        <w:spacing w:after="0" w:line="9" w:lineRule="exact"/>
        <w:rPr>
          <w:rFonts w:ascii="Times New Roman" w:cs="Times New Roman" w:eastAsia="Times New Roman" w:hAnsi="Times New Roman"/>
          <w:sz w:val="17"/>
          <w:szCs w:val="17"/>
          <w:color w:val="auto"/>
        </w:rPr>
      </w:pPr>
    </w:p>
    <w:p>
      <w:pPr>
        <w:ind w:left="1120" w:hanging="1064"/>
        <w:spacing w:after="0"/>
        <w:tabs>
          <w:tab w:leader="none" w:pos="1120" w:val="left"/>
        </w:tabs>
        <w:numPr>
          <w:ilvl w:val="0"/>
          <w:numId w:val="46"/>
        </w:numPr>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List of Parent and Subsidiary Guarantors (incorporated by reference to Exhibit 22 of the Company’s</w:t>
        </w:r>
      </w:hyperlink>
    </w:p>
    <w:tbl>
      <w:tblPr>
        <w:tblLayout w:type="fixed"/>
        <w:tblInd w:w="6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3940" w:type="dxa"/>
            <w:vAlign w:val="bottom"/>
            <w:tcBorders>
              <w:bottom w:val="single" w:sz="8" w:color="0000EE"/>
            </w:tcBorders>
            <w:gridSpan w:val="3"/>
          </w:tcPr>
          <w:p>
            <w:pPr>
              <w:spacing w:after="0" w:line="203"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Quarterly Report on Form 10-Q filed August 5, 2025).</w:t>
              </w:r>
            </w:hyperlink>
          </w:p>
        </w:tc>
        <w:tc>
          <w:tcPr>
            <w:tcW w:w="3500" w:type="dxa"/>
            <w:vAlign w:val="bottom"/>
            <w:gridSpan w:val="5"/>
          </w:tcPr>
          <w:p>
            <w:pPr>
              <w:spacing w:after="0"/>
              <w:rPr>
                <w:sz w:val="17"/>
                <w:szCs w:val="17"/>
                <w:color w:val="auto"/>
              </w:rPr>
            </w:pPr>
          </w:p>
        </w:tc>
      </w:tr>
      <w:tr>
        <w:trPr>
          <w:trHeight w:val="196"/>
        </w:trPr>
        <w:tc>
          <w:tcPr>
            <w:tcW w:w="106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93"/>
              </w:rPr>
              <w:t>23.1*</w:t>
            </w:r>
          </w:p>
        </w:tc>
        <w:tc>
          <w:tcPr>
            <w:tcW w:w="74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6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93"/>
              </w:rPr>
              <w:t>31.1*</w:t>
            </w:r>
          </w:p>
        </w:tc>
        <w:tc>
          <w:tcPr>
            <w:tcW w:w="74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Rule 13a - 14(a) and Rule 15d -</w:t>
            </w:r>
          </w:p>
        </w:tc>
      </w:tr>
      <w:tr>
        <w:trPr>
          <w:trHeight w:val="196"/>
        </w:trPr>
        <w:tc>
          <w:tcPr>
            <w:tcW w:w="1060" w:type="dxa"/>
            <w:vAlign w:val="bottom"/>
          </w:tcPr>
          <w:p>
            <w:pPr>
              <w:spacing w:after="0"/>
              <w:rPr>
                <w:sz w:val="17"/>
                <w:szCs w:val="17"/>
                <w:color w:val="auto"/>
              </w:rPr>
            </w:pPr>
          </w:p>
        </w:tc>
        <w:tc>
          <w:tcPr>
            <w:tcW w:w="74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14(a).</w:t>
            </w: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6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93"/>
              </w:rPr>
              <w:t>31.2*</w:t>
            </w:r>
          </w:p>
        </w:tc>
        <w:tc>
          <w:tcPr>
            <w:tcW w:w="74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Rule 13a - 14(a) and</w:t>
            </w:r>
          </w:p>
        </w:tc>
      </w:tr>
      <w:tr>
        <w:trPr>
          <w:trHeight w:val="196"/>
        </w:trPr>
        <w:tc>
          <w:tcPr>
            <w:tcW w:w="10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 - 14(a).</w:t>
            </w:r>
          </w:p>
        </w:tc>
        <w:tc>
          <w:tcPr>
            <w:tcW w:w="5340" w:type="dxa"/>
            <w:vAlign w:val="bottom"/>
            <w:tcBorders>
              <w:top w:val="single" w:sz="8" w:color="0000EE"/>
            </w:tcBorders>
            <w:gridSpan w:val="5"/>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06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93"/>
              </w:rPr>
              <w:t>32.1*</w:t>
            </w:r>
          </w:p>
        </w:tc>
        <w:tc>
          <w:tcPr>
            <w:tcW w:w="74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w:t>
            </w:r>
          </w:p>
        </w:tc>
      </w:tr>
      <w:tr>
        <w:trPr>
          <w:trHeight w:val="196"/>
        </w:trPr>
        <w:tc>
          <w:tcPr>
            <w:tcW w:w="106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93"/>
              </w:rPr>
              <w:t>32.2*</w:t>
            </w:r>
          </w:p>
        </w:tc>
        <w:tc>
          <w:tcPr>
            <w:tcW w:w="54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w:t>
            </w:r>
          </w:p>
        </w:tc>
        <w:tc>
          <w:tcPr>
            <w:tcW w:w="40" w:type="dxa"/>
            <w:vAlign w:val="bottom"/>
            <w:tcBorders>
              <w:top w:val="single" w:sz="8" w:color="0000EE"/>
            </w:tcBorders>
          </w:tcPr>
          <w:p>
            <w:pPr>
              <w:spacing w:after="0"/>
              <w:rPr>
                <w:sz w:val="17"/>
                <w:szCs w:val="17"/>
                <w:color w:val="auto"/>
              </w:rPr>
            </w:pPr>
          </w:p>
        </w:tc>
        <w:tc>
          <w:tcPr>
            <w:tcW w:w="1920" w:type="dxa"/>
            <w:vAlign w:val="bottom"/>
            <w:gridSpan w:val="2"/>
          </w:tcPr>
          <w:p>
            <w:pPr>
              <w:spacing w:after="0"/>
              <w:rPr>
                <w:sz w:val="17"/>
                <w:szCs w:val="17"/>
                <w:color w:val="auto"/>
              </w:rPr>
            </w:pPr>
          </w:p>
        </w:tc>
      </w:tr>
    </w:tbl>
    <w:p>
      <w:pPr>
        <w:spacing w:after="0" w:line="9" w:lineRule="exact"/>
        <w:rPr>
          <w:rFonts w:ascii="Times New Roman" w:cs="Times New Roman" w:eastAsia="Times New Roman" w:hAnsi="Times New Roman"/>
          <w:sz w:val="17"/>
          <w:szCs w:val="17"/>
          <w:color w:val="auto"/>
        </w:rPr>
      </w:pPr>
    </w:p>
    <w:p>
      <w:pPr>
        <w:jc w:val="both"/>
        <w:ind w:left="1120" w:right="339" w:hanging="1064"/>
        <w:spacing w:after="0" w:line="257" w:lineRule="auto"/>
        <w:tabs>
          <w:tab w:leader="none" w:pos="1120" w:val="left"/>
        </w:tabs>
        <w:numPr>
          <w:ilvl w:val="0"/>
          <w:numId w:val="47"/>
        </w:numPr>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Ryman Hospitality Properties, Inc. NYSE Executive Compensation Recoupment Policy (incorporated by</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reference to Exhibit 97 to the Company’s Annual Report on Form 10-K for the year ended December 31,</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2023).</w:t>
        </w:r>
      </w:hyperlink>
    </w:p>
    <w:tbl>
      <w:tblPr>
        <w:tblLayout w:type="fixed"/>
        <w:tblInd w:w="40" w:type="dxa"/>
        <w:tblCellMar>
          <w:top w:w="0" w:type="dxa"/>
          <w:left w:w="0" w:type="dxa"/>
          <w:bottom w:w="0" w:type="dxa"/>
          <w:right w:w="0" w:type="dxa"/>
        </w:tblCellMar>
      </w:tblPr>
      <w:tr>
        <w:trPr>
          <w:trHeight w:val="199"/>
        </w:trPr>
        <w:tc>
          <w:tcPr>
            <w:tcW w:w="720" w:type="dxa"/>
            <w:vAlign w:val="bottom"/>
          </w:tcPr>
          <w:p>
            <w:pPr>
              <w:jc w:val="right"/>
              <w:ind w:right="250"/>
              <w:spacing w:after="0" w:line="199" w:lineRule="exact"/>
              <w:rPr>
                <w:sz w:val="20"/>
                <w:szCs w:val="20"/>
                <w:color w:val="auto"/>
              </w:rPr>
            </w:pPr>
            <w:r>
              <w:rPr>
                <w:rFonts w:ascii="Times New Roman" w:cs="Times New Roman" w:eastAsia="Times New Roman" w:hAnsi="Times New Roman"/>
                <w:sz w:val="18"/>
                <w:szCs w:val="18"/>
                <w:color w:val="auto"/>
                <w:w w:val="99"/>
              </w:rPr>
              <w:t>101*</w:t>
            </w:r>
          </w:p>
        </w:tc>
        <w:tc>
          <w:tcPr>
            <w:tcW w:w="8000" w:type="dxa"/>
            <w:vAlign w:val="bottom"/>
            <w:gridSpan w:val="2"/>
          </w:tcPr>
          <w:p>
            <w:pPr>
              <w:ind w:left="360"/>
              <w:spacing w:after="0" w:line="199" w:lineRule="exact"/>
              <w:rPr>
                <w:sz w:val="20"/>
                <w:szCs w:val="20"/>
                <w:color w:val="auto"/>
              </w:rPr>
            </w:pPr>
            <w:r>
              <w:rPr>
                <w:rFonts w:ascii="Times New Roman" w:cs="Times New Roman" w:eastAsia="Times New Roman" w:hAnsi="Times New Roman"/>
                <w:sz w:val="18"/>
                <w:szCs w:val="18"/>
                <w:color w:val="auto"/>
                <w:w w:val="99"/>
              </w:rPr>
              <w:t>The following materials from Ryman Hospitality Property, Inc.’s Annual Form on Form 10-K for the year</w:t>
            </w:r>
          </w:p>
        </w:tc>
      </w:tr>
      <w:tr>
        <w:trPr>
          <w:trHeight w:val="216"/>
        </w:trPr>
        <w:tc>
          <w:tcPr>
            <w:tcW w:w="7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ended December 31, 2025, formatted in Inline XBRL (eXtensible Business Reporting Language): (i)</w:t>
            </w:r>
          </w:p>
        </w:tc>
      </w:tr>
      <w:tr>
        <w:trPr>
          <w:trHeight w:val="216"/>
        </w:trPr>
        <w:tc>
          <w:tcPr>
            <w:tcW w:w="7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Consolidated Balance Sheets at December 31, 2025 and 2024, (ii) Consolidated Statements of Operations</w:t>
            </w:r>
          </w:p>
        </w:tc>
      </w:tr>
      <w:tr>
        <w:trPr>
          <w:trHeight w:val="216"/>
        </w:trPr>
        <w:tc>
          <w:tcPr>
            <w:tcW w:w="7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 the years ended December 31, 2025, 2024 and 2023, (iii) Consolidated Statements of Comprehensive</w:t>
            </w:r>
          </w:p>
        </w:tc>
      </w:tr>
      <w:tr>
        <w:trPr>
          <w:trHeight w:val="216"/>
        </w:trPr>
        <w:tc>
          <w:tcPr>
            <w:tcW w:w="7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for the years ended December 31, 2025, 2024 and 2023, (iv) Consolidated Statements of Cash</w:t>
            </w:r>
          </w:p>
        </w:tc>
      </w:tr>
      <w:tr>
        <w:trPr>
          <w:trHeight w:val="216"/>
        </w:trPr>
        <w:tc>
          <w:tcPr>
            <w:tcW w:w="7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Flows for the years ended December 31, 2025, 2024 and 2023, (v) Consolidated Statement of Changes in</w:t>
            </w:r>
          </w:p>
        </w:tc>
      </w:tr>
      <w:tr>
        <w:trPr>
          <w:trHeight w:val="216"/>
        </w:trPr>
        <w:tc>
          <w:tcPr>
            <w:tcW w:w="7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Stockholders’ Equity and Noncontrolling Interest for the years ended December 31, 2025, 2024 and 2023,</w:t>
            </w:r>
          </w:p>
        </w:tc>
      </w:tr>
      <w:tr>
        <w:trPr>
          <w:trHeight w:val="216"/>
        </w:trPr>
        <w:tc>
          <w:tcPr>
            <w:tcW w:w="7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(vi) Notes to Consolidated Financial Statements.</w:t>
            </w:r>
          </w:p>
        </w:tc>
      </w:tr>
      <w:tr>
        <w:trPr>
          <w:trHeight w:val="234"/>
        </w:trPr>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104*</w:t>
            </w:r>
          </w:p>
        </w:tc>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8"/>
        </w:trPr>
        <w:tc>
          <w:tcPr>
            <w:tcW w:w="7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480" w:type="dxa"/>
            <w:vAlign w:val="bottom"/>
          </w:tcPr>
          <w:p>
            <w:pPr>
              <w:spacing w:after="0"/>
              <w:rPr>
                <w:sz w:val="11"/>
                <w:szCs w:val="11"/>
                <w:color w:val="auto"/>
              </w:rPr>
            </w:pPr>
          </w:p>
        </w:tc>
      </w:tr>
    </w:tbl>
    <w:p>
      <w:pPr>
        <w:spacing w:after="0" w:line="279" w:lineRule="exact"/>
        <w:rPr>
          <w:rFonts w:ascii="Times New Roman" w:cs="Times New Roman" w:eastAsia="Times New Roman" w:hAnsi="Times New Roman"/>
          <w:sz w:val="18"/>
          <w:szCs w:val="18"/>
          <w:u w:val="single" w:color="auto"/>
          <w:color w:val="0000EE"/>
        </w:rPr>
      </w:pPr>
    </w:p>
    <w:p>
      <w:pPr>
        <w:ind w:left="360" w:hanging="310"/>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u w:val="single" w:color="auto"/>
          <w:color w:val="0000EE"/>
        </w:rPr>
      </w:pPr>
    </w:p>
    <w:p>
      <w:pPr>
        <w:ind w:left="360" w:hanging="310"/>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directed by Item 601(a)(5) or 601(b)(2) of Regulation S-K, as applicable, certain schedules and exhibits to this</w:t>
      </w:r>
    </w:p>
    <w:p>
      <w:pPr>
        <w:spacing w:after="0" w:line="9" w:lineRule="exact"/>
        <w:rPr>
          <w:rFonts w:ascii="Times New Roman" w:cs="Times New Roman" w:eastAsia="Times New Roman" w:hAnsi="Times New Roman"/>
          <w:sz w:val="18"/>
          <w:szCs w:val="18"/>
          <w:u w:val="single" w:color="auto"/>
          <w:color w:val="0000EE"/>
        </w:rPr>
      </w:pPr>
    </w:p>
    <w:p>
      <w:pPr>
        <w:ind w:left="380" w:right="159"/>
        <w:spacing w:after="0" w:line="250" w:lineRule="auto"/>
        <w:rPr>
          <w:sz w:val="20"/>
          <w:szCs w:val="20"/>
          <w:color w:val="auto"/>
        </w:rPr>
      </w:pPr>
      <w:r>
        <w:rPr>
          <w:rFonts w:ascii="Times New Roman" w:cs="Times New Roman" w:eastAsia="Times New Roman" w:hAnsi="Times New Roman"/>
          <w:sz w:val="18"/>
          <w:szCs w:val="18"/>
          <w:color w:val="auto"/>
        </w:rPr>
        <w:t>exhibit are omitted from this filing. The Company agrees to furnish supplementally a copy of any omitted schedule or exhibit to the SEC upon request.</w:t>
      </w:r>
    </w:p>
    <w:p>
      <w:pPr>
        <w:spacing w:after="0" w:line="1" w:lineRule="exact"/>
        <w:rPr>
          <w:rFonts w:ascii="Times New Roman" w:cs="Times New Roman" w:eastAsia="Times New Roman" w:hAnsi="Times New Roman"/>
          <w:sz w:val="18"/>
          <w:szCs w:val="18"/>
          <w:u w:val="single" w:color="auto"/>
          <w:color w:val="0000EE"/>
        </w:rPr>
      </w:pPr>
    </w:p>
    <w:p>
      <w:pPr>
        <w:ind w:left="360" w:hanging="310"/>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3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8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64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20"/>
        </w:trPr>
        <w:tc>
          <w:tcPr>
            <w:tcW w:w="3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r>
      <w:tr>
        <w:trPr>
          <w:trHeight w:val="176"/>
        </w:trPr>
        <w:tc>
          <w:tcPr>
            <w:tcW w:w="3060" w:type="dxa"/>
            <w:vAlign w:val="bottom"/>
          </w:tcPr>
          <w:p>
            <w:pPr>
              <w:spacing w:after="0"/>
              <w:rPr>
                <w:sz w:val="15"/>
                <w:szCs w:val="15"/>
                <w:color w:val="auto"/>
              </w:rPr>
            </w:pPr>
          </w:p>
        </w:tc>
        <w:tc>
          <w:tcPr>
            <w:tcW w:w="5840" w:type="dxa"/>
            <w:vAlign w:val="bottom"/>
            <w:gridSpan w:val="2"/>
          </w:tcPr>
          <w:p>
            <w:pPr>
              <w:ind w:left="1400"/>
              <w:spacing w:after="0" w:line="176"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6"/>
        </w:trPr>
        <w:tc>
          <w:tcPr>
            <w:tcW w:w="3060" w:type="dxa"/>
            <w:vAlign w:val="bottom"/>
          </w:tcPr>
          <w:p>
            <w:pPr>
              <w:spacing w:after="0"/>
              <w:rPr>
                <w:sz w:val="20"/>
                <w:szCs w:val="20"/>
                <w:color w:val="auto"/>
              </w:rPr>
            </w:pP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tcPr>
          <w:p>
            <w:pPr>
              <w:jc w:val="right"/>
              <w:ind w:right="1699"/>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20" w:type="dxa"/>
            <w:vAlign w:val="bottom"/>
          </w:tcPr>
          <w:p>
            <w:pPr>
              <w:spacing w:after="0"/>
              <w:rPr>
                <w:sz w:val="24"/>
                <w:szCs w:val="24"/>
                <w:color w:val="auto"/>
              </w:rPr>
            </w:pPr>
          </w:p>
        </w:tc>
        <w:tc>
          <w:tcPr>
            <w:tcW w:w="3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Colin V. Reed</w:t>
            </w:r>
          </w:p>
        </w:tc>
        <w:tc>
          <w:tcPr>
            <w:tcW w:w="160" w:type="dxa"/>
            <w:vAlign w:val="bottom"/>
          </w:tcPr>
          <w:p>
            <w:pPr>
              <w:spacing w:after="0"/>
              <w:rPr>
                <w:sz w:val="24"/>
                <w:szCs w:val="24"/>
                <w:color w:val="auto"/>
              </w:rPr>
            </w:pPr>
          </w:p>
        </w:tc>
        <w:tc>
          <w:tcPr>
            <w:tcW w:w="3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8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Colin V. Reed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Rachna Bhasin</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Rachna Bhasin</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 Eric Bolton, Jr.</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 Eric Bolton, Jr.</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Alvin Bowles, Jr.</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Alvin Bowles, Jr.</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E. Haslam</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E. Haslam</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Erin Mulligan Helgren</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Erin Mulligan Helgren</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Pantoya</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Christine Pantoya</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 Prather, Jr.</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S. Prather, Jr.</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I. Roth</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I. Roth</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Fioravanti</w:t>
            </w:r>
          </w:p>
        </w:tc>
        <w:tc>
          <w:tcPr>
            <w:tcW w:w="4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Mark Fioravanti</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Hutcheson</w:t>
            </w:r>
          </w:p>
        </w:tc>
        <w:tc>
          <w:tcPr>
            <w:tcW w:w="4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Jennifer Hutcheson</w:t>
            </w:r>
          </w:p>
        </w:tc>
        <w:tc>
          <w:tcPr>
            <w:tcW w:w="4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 Chief Accounting Officer</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4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Pr>
          <w:p>
            <w:pPr>
              <w:jc w:val="right"/>
              <w:ind w:right="2419"/>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42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color w:val="auto"/>
              </w:rPr>
              <w:t>Ryman Hospitality Properties, Inc. and Subsidiaries Audited Consolidated Financial Statements as of December 31, 2025</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7"/>
        </w:trPr>
        <w:tc>
          <w:tcPr>
            <w:tcW w:w="8420" w:type="dxa"/>
            <w:vAlign w:val="bottom"/>
            <w:gridSpan w:val="9"/>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4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and 2024 and for Each of the Three Years in the Period Ended December 31, 2025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100" w:type="dxa"/>
            <w:vAlign w:val="bottom"/>
            <w:gridSpan w:val="8"/>
          </w:tcPr>
          <w:p>
            <w:pPr>
              <w:spacing w:after="0" w:line="176"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0042)</w:t>
            </w:r>
          </w:p>
        </w:tc>
        <w:tc>
          <w:tcPr>
            <w:tcW w:w="4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4300" w:type="dxa"/>
            <w:vAlign w:val="bottom"/>
            <w:gridSpan w:val="6"/>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810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Consolidated Balance Sheets as of December 31, 2025 and 2024</w:t>
            </w:r>
          </w:p>
        </w:tc>
        <w:tc>
          <w:tcPr>
            <w:tcW w:w="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810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Operations for the Years ended December 31, 2025, 2024, and 2023</w:t>
            </w:r>
          </w:p>
        </w:tc>
        <w:tc>
          <w:tcPr>
            <w:tcW w:w="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706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Years ended December 31, 2025, 2024, and 2023</w:t>
            </w:r>
          </w:p>
        </w:tc>
        <w:tc>
          <w:tcPr>
            <w:tcW w:w="1040" w:type="dxa"/>
            <w:vAlign w:val="bottom"/>
            <w:gridSpan w:val="2"/>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28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2025, 2024, and 2023</w:t>
            </w:r>
          </w:p>
        </w:tc>
        <w:tc>
          <w:tcPr>
            <w:tcW w:w="1820" w:type="dxa"/>
            <w:vAlign w:val="bottom"/>
            <w:gridSpan w:val="3"/>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Equity and Noncontrolling Interest for the Years ended December 31, 2025, 2024, and 2023</w:t>
            </w:r>
          </w:p>
        </w:tc>
        <w:tc>
          <w:tcPr>
            <w:tcW w:w="32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84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5260" w:type="dxa"/>
            <w:vAlign w:val="bottom"/>
            <w:gridSpan w:val="7"/>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Ryman Hospitality Properties,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Ryman Hospitality Properties, Inc. and subsidiaries (the Company) as of December 31, 2025 and 2024, the related consolidated statements of operations, comprehensive income, equity and noncontrolling interest and cash flows for each of the three years in the period ended December 31, 2025,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92" w:lineRule="exact"/>
        <w:rPr>
          <w:sz w:val="20"/>
          <w:szCs w:val="20"/>
          <w:color w:val="auto"/>
        </w:rPr>
      </w:pPr>
    </w:p>
    <w:p>
      <w:pPr>
        <w:jc w:val="both"/>
        <w:ind w:left="60" w:right="51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issued by the Committee of Sponsoring Organizations of the Treadway Commission (2013 framework), and our report dated February 24, 2026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i w:val="1"/>
          <w:iCs w:val="1"/>
          <w:color w:val="auto"/>
        </w:rPr>
        <w:t>National bonds credit loss reserve</w:t>
      </w:r>
    </w:p>
    <w:p>
      <w:pPr>
        <w:spacing w:after="0" w:line="225" w:lineRule="exact"/>
        <w:rPr>
          <w:sz w:val="20"/>
          <w:szCs w:val="20"/>
          <w:color w:val="auto"/>
        </w:rPr>
      </w:pPr>
    </w:p>
    <w:p>
      <w:pPr>
        <w:ind w:left="6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Description of the</w:t>
      </w:r>
      <w:r>
        <w:rPr>
          <w:sz w:val="20"/>
          <w:szCs w:val="20"/>
          <w:color w:val="auto"/>
        </w:rPr>
        <w:tab/>
      </w:r>
      <w:r>
        <w:rPr>
          <w:rFonts w:ascii="Times New Roman" w:cs="Times New Roman" w:eastAsia="Times New Roman" w:hAnsi="Times New Roman"/>
          <w:sz w:val="18"/>
          <w:szCs w:val="18"/>
          <w:color w:val="auto"/>
        </w:rPr>
        <w:t>At December 31, 2025, the Company holds within Notes Receivable two issuances of</w:t>
      </w:r>
    </w:p>
    <w:p>
      <w:pPr>
        <w:spacing w:after="0" w:line="31" w:lineRule="exact"/>
        <w:rPr>
          <w:sz w:val="20"/>
          <w:szCs w:val="20"/>
          <w:color w:val="auto"/>
        </w:rPr>
      </w:pPr>
    </w:p>
    <w:p>
      <w:pPr>
        <w:ind w:left="1860" w:right="79" w:hanging="1799"/>
        <w:spacing w:after="0" w:line="251"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Matter</w:t>
      </w:r>
      <w:r>
        <w:rPr>
          <w:sz w:val="20"/>
          <w:szCs w:val="20"/>
          <w:color w:val="auto"/>
        </w:rPr>
        <w:tab/>
      </w:r>
      <w:r>
        <w:rPr>
          <w:rFonts w:ascii="Times New Roman" w:cs="Times New Roman" w:eastAsia="Times New Roman" w:hAnsi="Times New Roman"/>
          <w:sz w:val="18"/>
          <w:szCs w:val="18"/>
          <w:color w:val="auto"/>
        </w:rPr>
        <w:t>governmental bonds (the Bonds) received in connection with the development of the Gaylord National Resort &amp; Convention Center which are reported at a total carrying value of $53.5 million, net of a credit loss reserve of $38.0 million. At December 31, 2025, the Series B bond is fully reserved. The Series A bond is of higher priority than other tranches which fall between the Company’s two issuances. The Company assesses the Bonds for credit losses, which requires an estimate of projected tax revenues that will service the Bonds over the remaining term. The Bonds and related accounting are more fully described in Notes 1 and 3 to the consolidated financial statements.</w:t>
      </w:r>
    </w:p>
    <w:p>
      <w:pPr>
        <w:spacing w:after="0" w:line="194" w:lineRule="exact"/>
        <w:rPr>
          <w:sz w:val="20"/>
          <w:szCs w:val="20"/>
          <w:color w:val="auto"/>
        </w:rPr>
      </w:pPr>
    </w:p>
    <w:p>
      <w:pPr>
        <w:ind w:left="1860" w:right="179"/>
        <w:spacing w:after="0" w:line="255" w:lineRule="auto"/>
        <w:rPr>
          <w:sz w:val="20"/>
          <w:szCs w:val="20"/>
          <w:color w:val="auto"/>
        </w:rPr>
      </w:pPr>
      <w:r>
        <w:rPr>
          <w:rFonts w:ascii="Times New Roman" w:cs="Times New Roman" w:eastAsia="Times New Roman" w:hAnsi="Times New Roman"/>
          <w:sz w:val="18"/>
          <w:szCs w:val="18"/>
          <w:color w:val="auto"/>
        </w:rPr>
        <w:t>Auditing management’s assessment of the valuation of the credit loss reserve for the Bonds was complex and judgmental due to the significant estimation required in projecting tax revenues, specifically hotel occupancy taxes and special hotel occupancy taxes generated from the Gaylord National Resort &amp; Convention Center which provide revenues to fund the Bonds. In particular, the estimate of credit losses is impacted by the projections of hotel taxes (which are based on estimated hotel revenues), which are judgmental as the Bonds and related projected cash flows continue for an extended period of time through 2037.</w:t>
      </w:r>
    </w:p>
    <w:p>
      <w:pPr>
        <w:spacing w:after="0" w:line="185" w:lineRule="exact"/>
        <w:rPr>
          <w:sz w:val="20"/>
          <w:szCs w:val="20"/>
          <w:color w:val="auto"/>
        </w:rPr>
      </w:pPr>
    </w:p>
    <w:p>
      <w:pPr>
        <w:ind w:left="60" w:right="479"/>
        <w:spacing w:after="0" w:line="263" w:lineRule="auto"/>
        <w:rPr>
          <w:sz w:val="20"/>
          <w:szCs w:val="20"/>
          <w:color w:val="auto"/>
        </w:rPr>
      </w:pPr>
      <w:r>
        <w:rPr>
          <w:rFonts w:ascii="Times New Roman" w:cs="Times New Roman" w:eastAsia="Times New Roman" w:hAnsi="Times New Roman"/>
          <w:sz w:val="18"/>
          <w:szCs w:val="18"/>
          <w:b w:val="1"/>
          <w:bCs w:val="1"/>
          <w:color w:val="auto"/>
        </w:rPr>
        <w:t>How We Addressed the</w:t>
      </w:r>
      <w:r>
        <w:rPr>
          <w:rFonts w:ascii="Times New Roman" w:cs="Times New Roman" w:eastAsia="Times New Roman" w:hAnsi="Times New Roman"/>
          <w:sz w:val="18"/>
          <w:szCs w:val="18"/>
          <w:color w:val="auto"/>
        </w:rPr>
        <w:t>We obtained an understanding, evaluated the design and tested the operating effectiveness of</w:t>
      </w:r>
      <w:r>
        <w:rPr>
          <w:rFonts w:ascii="Times New Roman" w:cs="Times New Roman" w:eastAsia="Times New Roman" w:hAnsi="Times New Roman"/>
          <w:sz w:val="18"/>
          <w:szCs w:val="18"/>
          <w:b w:val="1"/>
          <w:bCs w:val="1"/>
          <w:color w:val="auto"/>
        </w:rPr>
        <w:t xml:space="preserve"> Matter in Our Audit </w:t>
      </w:r>
      <w:r>
        <w:rPr>
          <w:rFonts w:ascii="Times New Roman" w:cs="Times New Roman" w:eastAsia="Times New Roman" w:hAnsi="Times New Roman"/>
          <w:sz w:val="18"/>
          <w:szCs w:val="18"/>
          <w:color w:val="auto"/>
        </w:rPr>
        <w:t>controls over the Company’s estimation of the credit loss reserve for the Bonds, including</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controls over management’s review of the projections described above.</w:t>
      </w:r>
    </w:p>
    <w:p>
      <w:pPr>
        <w:spacing w:after="0" w:line="207" w:lineRule="exact"/>
        <w:rPr>
          <w:sz w:val="20"/>
          <w:szCs w:val="20"/>
          <w:color w:val="auto"/>
        </w:rPr>
      </w:pPr>
    </w:p>
    <w:p>
      <w:pPr>
        <w:ind w:left="1860" w:right="219"/>
        <w:spacing w:after="0" w:line="255" w:lineRule="auto"/>
        <w:rPr>
          <w:sz w:val="20"/>
          <w:szCs w:val="20"/>
          <w:color w:val="auto"/>
        </w:rPr>
      </w:pPr>
      <w:r>
        <w:rPr>
          <w:rFonts w:ascii="Times New Roman" w:cs="Times New Roman" w:eastAsia="Times New Roman" w:hAnsi="Times New Roman"/>
          <w:sz w:val="18"/>
          <w:szCs w:val="18"/>
          <w:color w:val="auto"/>
        </w:rPr>
        <w:t>To test the Company’s determination of the credit loss reserve as of December 31, 2025, we performed audit procedures that included, among others, assessing the methodology utilized by management, testing the projections discussed above and the related underlying data used by the Company in its evaluation, and testing the mathematical accuracy of the calculations. In performing those procedures, we compared hotel revenue projections used by management to current industry forecasts. We also involved valuation specialists to assist in assessing the Company’s hotel revenue projections used in the credit loss analysis.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right="1899" w:firstLine="1835"/>
        <w:spacing w:after="0" w:line="502" w:lineRule="auto"/>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 To the Stockholders and the Board of Directors of Ryman Hospitality Properties, Inc. Opinion on Internal Control Over Financial Reporting</w:t>
      </w:r>
    </w:p>
    <w:p>
      <w:pPr>
        <w:spacing w:after="0" w:line="2" w:lineRule="exact"/>
        <w:rPr>
          <w:sz w:val="20"/>
          <w:szCs w:val="20"/>
          <w:color w:val="auto"/>
        </w:rPr>
      </w:pPr>
    </w:p>
    <w:p>
      <w:pPr>
        <w:ind w:left="60" w:right="79"/>
        <w:spacing w:after="0" w:line="287" w:lineRule="auto"/>
        <w:rPr>
          <w:sz w:val="20"/>
          <w:szCs w:val="20"/>
          <w:color w:val="auto"/>
        </w:rPr>
      </w:pPr>
      <w:r>
        <w:rPr>
          <w:rFonts w:ascii="Times New Roman" w:cs="Times New Roman" w:eastAsia="Times New Roman" w:hAnsi="Times New Roman"/>
          <w:sz w:val="15"/>
          <w:szCs w:val="15"/>
          <w:color w:val="auto"/>
        </w:rPr>
        <w:t>We have audited Ryman Hospitality Properties,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Ryman Hospitality Properties, Inc. and subsidiaries (the Company) maintained, in all material respects, effective internal control over financial reporting as of December 31, 2025, based on the COSO criteria.</w:t>
      </w:r>
    </w:p>
    <w:p>
      <w:pPr>
        <w:spacing w:after="0" w:line="133"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5"/>
          <w:szCs w:val="15"/>
          <w:color w:val="auto"/>
        </w:rPr>
        <w:t>As indicated in the accompanying Management’s Report on Internal Control over Financial Reporting, management’s assessment of and conclusion on the effectiveness of internal control over financial reporting did not include the internal controls of JW Marriott Desert Ridge, which is included in the 2025 consolidated financial statements of the Company and which constituted 14.5% and 3.6% of total assets and total revenues, respectively, as of and for the year ended December 31, 2025. Our audit of internal control over financial reporting of the Company also did not include an evaluation of the internal control over financial reporting of JW Marriott Desert Ridge.</w:t>
      </w:r>
    </w:p>
    <w:p>
      <w:pPr>
        <w:spacing w:after="0" w:line="120"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equity and noncontrolling interest and cash flows for each of the three years in the period ended December 31, 2025, and the related notes and financial statement schedules listed in the Index at Item 15(a)(2), and our report dated February 24, 2026, expressed an unqualified opinion thereon.</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8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left="60" w:right="279"/>
        <w:spacing w:after="0" w:line="298"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5" w:lineRule="exact"/>
        <w:rPr>
          <w:sz w:val="20"/>
          <w:szCs w:val="20"/>
          <w:color w:val="auto"/>
        </w:rPr>
      </w:pPr>
    </w:p>
    <w:p>
      <w:pPr>
        <w:ind w:left="60" w:right="79"/>
        <w:spacing w:after="0" w:line="290" w:lineRule="auto"/>
        <w:rPr>
          <w:sz w:val="20"/>
          <w:szCs w:val="20"/>
          <w:color w:val="auto"/>
        </w:rPr>
      </w:pPr>
      <w:r>
        <w:rPr>
          <w:rFonts w:ascii="Times New Roman" w:cs="Times New Roman" w:eastAsia="Times New Roman" w:hAnsi="Times New Roman"/>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183"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Nashville, Tennessee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February 24, 2026</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BALANCE SHEETS (Amounts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28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11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4,970,429</w:t>
            </w:r>
          </w:p>
        </w:tc>
        <w:tc>
          <w:tcPr>
            <w:tcW w:w="320" w:type="dxa"/>
            <w:vAlign w:val="bottom"/>
            <w:gridSpan w:val="3"/>
          </w:tcPr>
          <w:p>
            <w:pPr>
              <w:jc w:val="right"/>
              <w:ind w:right="4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4,124,382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Notes receivable, net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53,503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Trade receivables, net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105,903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196,798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Intangible assets and goodwill, net</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286,701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6,181,183</w:t>
            </w:r>
          </w:p>
        </w:tc>
        <w:tc>
          <w:tcPr>
            <w:tcW w:w="160" w:type="dxa"/>
            <w:vAlign w:val="bottom"/>
            <w:tcBorders>
              <w:bottom w:val="single" w:sz="8" w:color="CCEEFF"/>
            </w:tcBorders>
            <w:gridSpan w:val="2"/>
          </w:tcPr>
          <w:p>
            <w:pPr>
              <w:spacing w:after="0"/>
              <w:rPr>
                <w:sz w:val="20"/>
                <w:szCs w:val="20"/>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3,976,913</w:t>
            </w:r>
          </w:p>
        </w:tc>
        <w:tc>
          <w:tcPr>
            <w:tcW w:w="320" w:type="dxa"/>
            <w:vAlign w:val="bottom"/>
            <w:gridSpan w:val="3"/>
            <w:shd w:val="clear" w:color="auto" w:fill="CCEEFF"/>
          </w:tcPr>
          <w:p>
            <w:pPr>
              <w:jc w:val="right"/>
              <w:ind w:right="4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3,378,396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Distributions payable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162,901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158,815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liabilities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74,251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4,969,407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4,282,991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 in Opry Entertainment Group</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Equity:</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9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63,006 and 59,903 shares issued and</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outstanding, respectively</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1,722,332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1,475,211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730 and 696 shares, at cost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(933,250)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(888,132)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750,152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38,933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789,085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6,181,183</w:t>
            </w:r>
          </w:p>
        </w:tc>
        <w:tc>
          <w:tcPr>
            <w:tcW w:w="160" w:type="dxa"/>
            <w:vAlign w:val="bottom"/>
            <w:gridSpan w:val="2"/>
          </w:tcPr>
          <w:p>
            <w:pPr>
              <w:spacing w:after="0"/>
              <w:rPr>
                <w:sz w:val="17"/>
                <w:szCs w:val="17"/>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40"/>
          </w:cols>
          <w:pgMar w:left="1240" w:top="513" w:right="1219"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ind w:left="54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940,827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hotel revenue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433,975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342,176</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2,577,061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179,358</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hotel expenses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Management fees, net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hotel operating expenses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1,324,752</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41,819</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Preopening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235,626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2,090,049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1,848,392</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unconsolidated joint ventures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294,026</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280,190</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 in Opry Entertainment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other noncontrolling interests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271,638</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gridSpan w:val="2"/>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2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2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2"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COMPREHENSIVE INCOME For the Years Ended December 31, 2025, 2024 and 2023 (Amounts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ind w:left="58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gridSpan w:val="2"/>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247,310</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280,190</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341,800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Other comprehensive income (loss), before tax:</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Minimum pension liability: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Gains arising during the period</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2,228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4,538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(725)</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(553)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1,503</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3,985</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4,120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Interest rate derivatives: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Gains arising during period</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1,130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1,940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(1,003)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(12,177)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1,098</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937</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(11,507)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Other-than-temporary impairment loss on held-to-maturity securities: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Amount reclassified from accumulated other comprehensive loss</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(loss), before tax</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2,812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5,133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Income tax provision related to items of comprehensive loss</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(412)</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(918)</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Other comprehensive income (loss), net of tax</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2,400</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4,215</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(8,464)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w:t>
            </w:r>
          </w:p>
        </w:tc>
        <w:tc>
          <w:tcPr>
            <w:tcW w:w="18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249,710</w:t>
            </w:r>
          </w:p>
        </w:tc>
        <w:tc>
          <w:tcPr>
            <w:tcW w:w="36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284,405</w:t>
            </w:r>
          </w:p>
        </w:tc>
        <w:tc>
          <w:tcPr>
            <w:tcW w:w="38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333,336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attributable to noncontrolling interest in Opry Entertainment Group</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(5,241)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(6,899)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(28,560)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Comprehensive (income) loss attributable to other noncontrolling interests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1,019</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Comprehensive income available to common stockholders</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245,488</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275,686</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302,714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54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2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3"/>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247,310</w:t>
            </w:r>
          </w:p>
        </w:tc>
        <w:tc>
          <w:tcPr>
            <w:tcW w:w="60" w:type="dxa"/>
            <w:vAlign w:val="bottom"/>
          </w:tcPr>
          <w:p>
            <w:pPr>
              <w:spacing w:after="0"/>
              <w:rPr>
                <w:sz w:val="14"/>
                <w:szCs w:val="14"/>
                <w:color w:val="auto"/>
              </w:rPr>
            </w:pPr>
          </w:p>
        </w:tc>
        <w:tc>
          <w:tcPr>
            <w:tcW w:w="2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280,190</w:t>
            </w:r>
          </w:p>
        </w:tc>
        <w:tc>
          <w:tcPr>
            <w:tcW w:w="30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341,800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to net cash flows provided by operating activities:</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(benefit) for deferred income taxes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10,196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(95,825)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278,100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235,626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211,227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11,926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10,655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loss from unconsolidated joint ventures</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10,025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17,308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Equity-based compensation expense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14,061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13,891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2,162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15,845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12,292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13,860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41,520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12,323</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(3,482)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(6,608)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tcBorders>
              <w:bottom w:val="single" w:sz="8" w:color="CCEEFF"/>
            </w:tcBorders>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590,629</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576,506</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557,056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7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(358,235)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(407,905)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(206,776)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4,385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4,060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JW Marriott Hill Country, net of cash acquired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(791,466)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JW Marriott Desert Ridge, net of cash acquired</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(861,958)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Circle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(18,164)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(6,557)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(9,977)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(1,233,972)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(410,402)</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(1,012,816)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7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term loan B</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18,861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(2,935)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(222,320)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(378,750)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revolving credit facility</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54,000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revolving credit facility</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(38,000)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128,128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299,250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(3,980)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(297,000)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(128,967)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(2,904)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Gaylord Rockies term loan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625,000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(13,081)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(23,709)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275,532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395,444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(285,576)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(266,114)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(176,001)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equity-based compensation</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(5,537)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(12,300)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(289)</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4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567,295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(290,317)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711,871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(76,048)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(124,213)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256,111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year</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576,228</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700,441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444,330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500,180</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576,228</w:t>
            </w:r>
          </w:p>
        </w:tc>
        <w:tc>
          <w:tcPr>
            <w:tcW w:w="20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700,441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471,421</w:t>
            </w:r>
          </w:p>
        </w:tc>
        <w:tc>
          <w:tcPr>
            <w:tcW w:w="60" w:type="dxa"/>
            <w:vAlign w:val="bottom"/>
          </w:tcPr>
          <w:p>
            <w:pPr>
              <w:spacing w:after="0"/>
              <w:rPr>
                <w:sz w:val="14"/>
                <w:szCs w:val="14"/>
                <w:color w:val="auto"/>
              </w:rPr>
            </w:pPr>
          </w:p>
        </w:tc>
        <w:tc>
          <w:tcPr>
            <w:tcW w:w="2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477,694</w:t>
            </w:r>
          </w:p>
        </w:tc>
        <w:tc>
          <w:tcPr>
            <w:tcW w:w="30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591,833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28,759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98,534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108,608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4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500,180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576,228</w:t>
            </w:r>
          </w:p>
        </w:tc>
        <w:tc>
          <w:tcPr>
            <w:tcW w:w="20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700,441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960"/>
        <w:spacing w:after="0" w:line="265"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EQUITY AND NONCONTROLLING INTEREST For the Years Ended December 31, 2025, 2024 and 2023 (Amounts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88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800" w:type="dxa"/>
            <w:vAlign w:val="bottom"/>
            <w:gridSpan w:val="3"/>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Distributions</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 Accumulated</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spacing w:after="0"/>
              <w:rPr>
                <w:sz w:val="12"/>
                <w:szCs w:val="12"/>
                <w:color w:val="auto"/>
              </w:rPr>
            </w:pPr>
          </w:p>
        </w:tc>
      </w:tr>
      <w:tr>
        <w:trPr>
          <w:trHeight w:val="135"/>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in Excess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Common</w:t>
            </w:r>
          </w:p>
        </w:tc>
        <w:tc>
          <w:tcPr>
            <w:tcW w:w="12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100" w:type="dxa"/>
            <w:vAlign w:val="bottom"/>
          </w:tcPr>
          <w:p>
            <w:pPr>
              <w:spacing w:after="0"/>
              <w:rPr>
                <w:sz w:val="11"/>
                <w:szCs w:val="11"/>
                <w:color w:val="auto"/>
              </w:rPr>
            </w:pPr>
          </w:p>
        </w:tc>
        <w:tc>
          <w:tcPr>
            <w:tcW w:w="5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8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Stockholders'</w:t>
            </w:r>
          </w:p>
        </w:tc>
        <w:tc>
          <w:tcPr>
            <w:tcW w:w="8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2"/>
                <w:szCs w:val="12"/>
                <w:b w:val="1"/>
                <w:bCs w:val="1"/>
                <w:color w:val="auto"/>
              </w:rPr>
              <w:t>Interest</w:t>
            </w:r>
          </w:p>
        </w:tc>
      </w:tr>
      <w:tr>
        <w:trPr>
          <w:trHeight w:val="145"/>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0"/>
              </w:rPr>
              <w:t>Stock</w:t>
            </w:r>
          </w:p>
        </w:tc>
        <w:tc>
          <w:tcPr>
            <w:tcW w:w="12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2"/>
                <w:szCs w:val="12"/>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in OEG</w:t>
            </w:r>
          </w:p>
        </w:tc>
      </w:tr>
      <w:tr>
        <w:trPr>
          <w:trHeight w:val="129"/>
        </w:trPr>
        <w:tc>
          <w:tcPr>
            <w:tcW w:w="188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$ 1,102,733</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(978,619)</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95,276</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95,901</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311,857</w:t>
            </w:r>
          </w:p>
        </w:tc>
      </w:tr>
      <w:tr>
        <w:trPr>
          <w:trHeight w:val="135"/>
        </w:trPr>
        <w:tc>
          <w:tcPr>
            <w:tcW w:w="1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2,118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313,335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28,465</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(8,464)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(8,464)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(8,464)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in consolidated joint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venture to redemption value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(4,804)</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Reallocation of noncontrolling</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 Operating Partnership</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(2,401)</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1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($3.85 per share/unit)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(2,041)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(226,857)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(228,292)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(1,520)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(229,812)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(4,245)</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18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$ 1,502,710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(894,259)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(19,387)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569,153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3,624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572,777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345,126</w:t>
            </w:r>
          </w:p>
        </w:tc>
      </w:tr>
      <w:tr>
        <w:trPr>
          <w:trHeight w:val="135"/>
        </w:trPr>
        <w:tc>
          <w:tcPr>
            <w:tcW w:w="1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271,638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271,638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273,430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6,760</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w w:val="99"/>
              </w:rPr>
              <w:t>Other comprehensive income, net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in consolidated joint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venture to redemption value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(30,059)</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(30,059)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(30,059)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30,059</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($4.45 per share/unit)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4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(3,018)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(265,511)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(267,867)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8"/>
              </w:rPr>
              <w:t>(269,626)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(11,993)</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(11,991)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(11,991)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13,891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88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$ 1,475,211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(23,526)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(888,132)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(15,172)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548,980</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3,657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552,637</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381,945</w:t>
            </w:r>
          </w:p>
        </w:tc>
      </w:tr>
      <w:tr>
        <w:trPr>
          <w:trHeight w:val="135"/>
        </w:trPr>
        <w:tc>
          <w:tcPr>
            <w:tcW w:w="1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243,425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243,425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242,391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4,919</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w w:val="99"/>
              </w:rPr>
              <w:t>Other comprehensive income, net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Purchase of interest 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consolidated joint venture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in consolidated joint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venture to redemption value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(35,827)</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(35,827)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(35,827)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35,827</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Reallocation of noncontrolling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 Operating Partnership</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(1,627)</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1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275,502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275,532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275,532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($4.65 per share/unit)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4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(3,262)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(288,543)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(291,112)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8"/>
              </w:rPr>
              <w:t>(292,949)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(5,681)</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(5,680)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14,061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8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$ 1,722,332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(26,788)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(933,250)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(12,772)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750,152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38,933</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789,085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422,691</w:t>
            </w: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the Business and Summary of Significant Accounting Policies</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For financial statement presentation and reporting purposes, the Company is the successor to Gaylord Entertainment Company, a Delaware corporation (“Gaylord”). As part of the plan to restructure the business operations of Gaylord to facilitate its qualification as a real estate investment trust (“REIT”) for federal income tax purposes, Gaylord merged with and into its wholly-owned subsidiary, Ryman Hospitality Properties, Inc., a Delaware corporation (“Ryman”), on October 1, 2012, with Ryman as the surviving corporation (the “Merger”). At the effective time of the Merger, Ryman succeeded to and began conducting, directly or indirectly, all of the business conducted by Gaylord immediately prior to the Merger. The “Company” refers to Ryman and its subsidiaries and to Gaylord.</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January 1, 2013, the Company began operating as a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and JW Marriott brands. The five Gaylord Hotels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the Company refers to as the JW Marriott properties, consist of the JW Marriott San Antonio Hill Country Resort &amp; Spa (“JW Marriott Hill Country”) (effective June 30, 2023) and the JW Marriott Phoenix Desert Ridge Resort &amp; Spa (“JW Marriott Desert Ridge”) (effective June 10, 2025). The Company’s other owned hotel assets managed by Marriott include the Inn at Opryland, an overflow hotel adjacent to Gaylord Opryland, and the AC Hotel at National Harbor, Washington D.C. (“AC Hotel”), an overflow hotel adjacent to Gaylord National.</w:t>
      </w:r>
    </w:p>
    <w:p>
      <w:pPr>
        <w:spacing w:after="0" w:line="187" w:lineRule="exact"/>
        <w:rPr>
          <w:sz w:val="20"/>
          <w:szCs w:val="20"/>
          <w:color w:val="auto"/>
        </w:rPr>
      </w:pPr>
    </w:p>
    <w:p>
      <w:pPr>
        <w:ind w:left="60" w:right="219"/>
        <w:spacing w:after="0" w:line="269" w:lineRule="auto"/>
        <w:rPr>
          <w:sz w:val="20"/>
          <w:szCs w:val="20"/>
          <w:color w:val="auto"/>
        </w:rPr>
      </w:pPr>
      <w:r>
        <w:rPr>
          <w:rFonts w:ascii="Times New Roman" w:cs="Times New Roman" w:eastAsia="Times New Roman" w:hAnsi="Times New Roman"/>
          <w:sz w:val="17"/>
          <w:szCs w:val="17"/>
          <w:color w:val="auto"/>
        </w:rPr>
        <w:t>The Company also owns an approximate 70% controlling equity interest in OEG Attractions Holdings, LLC,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late 2027; Block 21, a mixed-use entertainment, lodging, office, and retail complex located in Austin, Texas (“Block 21”); and as of January 3, 2025, a majority and controlling equity interest in Southern Entertainment, a Charlotte, North Carolina-based national music festival and events production company. In addition, in January 2026, OEG began managing the Ascend Amphitheater in downtown Nashville, Tennessee; and we expect OEG to begin managing the CCNB Amphitheatre outside of Greenville, South Carolina in February 2026.</w:t>
      </w:r>
    </w:p>
    <w:p>
      <w:pPr>
        <w:spacing w:after="0" w:line="17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conducts its business through an umbrella partnership REIT, in which all of its assets are held by, and all of its operations are conducted through, RHP Hotel Properties, LP, a subsidiary operating partnership (the “Operating Partnership”). Ryman and the non-controlling operating partnership unit holders discussed in “Income Per Share” in this Note 1 are the sole limited partners of the Operating Partnership, and Ryman currently owns, either directly or indirectly, 99.4% of the partnership units of the Operating Partnership. RHP Finance Corporation, a Delaware corporation (“Finco”), was formed as a wholly-owned subsidiary of the Operating Partnership for the sole purpose of being an issuer of debt securities with the Operating Partnership. Neither Ryman nor Finco has any material assets, other than Ryman’s investment in the Operating Partnership and its consolidated subsidiaries. Neither the Operating Partnership nor Finco has any business, operations, financial results or other material information, other than the business, operations, financial results and other material information described in this Annual Report on Form 10-K and Ryman’s other reports,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documents or other information filed with the Securities and Exchange Commission pursuant to the Securities Exchange Act of 1934, as amended.</w:t>
      </w:r>
    </w:p>
    <w:p>
      <w:pPr>
        <w:spacing w:after="0" w:line="16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 The Company’s fiscal year ends on December 31 for all periods presented.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The Hospitality segment includes the Gaylord Hotels properties, the JW Marriott properties (including, effective June 10, 2025, JW Marriott Desert Ridge and effective June 30, 2023, JW Marriott Hill Country), the Inn at Opryland and the AC Hotel, each of which is managed by Marriott pursuant to a management agreement for each hotel.</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Entertainment segment includes the OEG business, specifically the Grand Ole Opry, the Ryman Auditorium, WSM-AM, Ole Red, Category 10, Block 21, and Southern Entertainment, among various other assets. Marriott manages the day-to-day operations of the General Jackson Showboat and the W Austin hotel, which is part of the Block 21 complex, pursuant to management agreements.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Corporate and Other segment includes operating and general and administrative expenses related to the overall management of the Company which are not allocated to the other reportable segments, including certain costs for the Company’s retirement plans, equity-based compensation plans, information technology, human resources, accounting, and other administrative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The Company’s investments in non-controlled entities in which it has the ability to exercise significant influence over operating and financial policies are accounted for by the equity method. All significant intercompany accounts and transactions have been eliminated in consolidation.</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analyzes its variable interests, including loans, guarantees, management agreements, leasing arrangements and equity investments, to determine if an entity in which it has a variable interest is a variable interest entity (“VIE”). This analysis primarily includes a qualitative review, which is based on a review of the design of the entity, its organizational structure, including decision-making ability, and relevant financial agreements. This analysis is also used to determine if the Company must consolidate the VIE as the primary beneficiary.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OEG Investor</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Company owns an approximate 70% controlling equity interest in OEG and continues to consolidate the assets, liabilities and results of operations of OEG in the accompanying consolidated financial statements. The portion of OEG that the Company does not own is recorded as noncontrolling interest in OEG, which is classified as mezzanine equity in the accompanying consolidated balance sheets, and any adjustment necessary to reflect the noncontrolling interest at its redemption value is shown in the accompanying consolidated statements of equity and noncontrolling interest.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 affiliate of Atairos Group, Inc. (the “OEG Investor”) owns an approximate 30% equity interest in OEG.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IPO Request Put Right</w:t>
      </w:r>
      <w:r>
        <w:rPr>
          <w:rFonts w:ascii="Times New Roman" w:cs="Times New Roman" w:eastAsia="Times New Roman" w:hAnsi="Times New Roman"/>
          <w:sz w:val="18"/>
          <w:szCs w:val="18"/>
          <w:color w:val="auto"/>
        </w:rPr>
        <w:t>. If OEG has not completed a Qualified IPO (as defined in the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Liability Company Agreement for OEG (the “OEG LLC Agreement”)) prior to June 16, 2026 (the fourth anniversary of the OEG Investor’s original investment in OEG (the “Fourth Anniversary”)), the OEG Investor may request that OEG undertake a Qualified IPO. If the Company, through its subsidiary RHP Hotels, LLC (the “Ryman Member”), declines to undertake such Qualified IPO, the OEG Investor may cause the Ryman Member to acquire all of the OEG Investor’s interest in OEG at a price equal to 1.5 times the OEG Investor’s equity investment (the “IPO Request Put Price”).</w:t>
      </w:r>
    </w:p>
    <w:p>
      <w:pPr>
        <w:spacing w:after="0" w:line="183"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i w:val="1"/>
          <w:iCs w:val="1"/>
          <w:color w:val="auto"/>
        </w:rPr>
        <w:t>Seven-Year Put Right</w:t>
      </w:r>
      <w:r>
        <w:rPr>
          <w:rFonts w:ascii="Times New Roman" w:cs="Times New Roman" w:eastAsia="Times New Roman" w:hAnsi="Times New Roman"/>
          <w:sz w:val="17"/>
          <w:szCs w:val="17"/>
          <w:color w:val="auto"/>
        </w:rPr>
        <w:t>. If OEG has not completed a Qualified IPO, Sale of OEG or a Qualified Spinoff (each as defined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OEG LLC Agreement) prior to June 16, 2029 (the seventh anniversary of the OEG Investor’s original investment in OEG (the “Seventh Anniversary”)), the OEG Investor may cause the Ryman Member to acquire all of the OEG Investor’s interest in OEG at a price equal to the fair value of the OEG Investor’s equity interest (the “Seven-Year Put Price”).</w:t>
      </w:r>
    </w:p>
    <w:p>
      <w:pPr>
        <w:spacing w:after="0" w:line="16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IPO Request Put Price and the Seven-Year Put Price may each be settled in either cash or Company stock, at the Company’s option.</w:t>
      </w:r>
    </w:p>
    <w:p>
      <w:pPr>
        <w:spacing w:after="0" w:line="160"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i w:val="1"/>
          <w:iCs w:val="1"/>
          <w:color w:val="auto"/>
        </w:rPr>
        <w:t>IPO Payment</w:t>
      </w:r>
      <w:r>
        <w:rPr>
          <w:rFonts w:ascii="Times New Roman" w:cs="Times New Roman" w:eastAsia="Times New Roman" w:hAnsi="Times New Roman"/>
          <w:sz w:val="18"/>
          <w:szCs w:val="18"/>
          <w:color w:val="auto"/>
        </w:rPr>
        <w:t>. Upon a Qualified IPO that occurs on or before the Seventh Anniversary, the OEG Investor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IPO Payment if the Post IPO Investor Stake Value (as defined in OEG LLC Agreement) measured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trading day post-IPO does not equal or exceed the Minimum Investor Stake Value (as defined in the OEG LLC Agreement). If the IPO occurs after the Fourth Anniversary, the IPO Payment will be capped at 50% of the OEG Investor’s investment in OEG (the “Payment Cap”). Any IPO Payment may be satisfied in either cash, OEG equity owned by the Ryman Member, or Company stock, at the Company’s option.</w:t>
      </w:r>
    </w:p>
    <w:p>
      <w:pPr>
        <w:spacing w:after="0" w:line="189"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Sale Payment</w:t>
      </w:r>
      <w:r>
        <w:rPr>
          <w:rFonts w:ascii="Times New Roman" w:cs="Times New Roman" w:eastAsia="Times New Roman" w:hAnsi="Times New Roman"/>
          <w:sz w:val="18"/>
          <w:szCs w:val="18"/>
          <w:color w:val="auto"/>
        </w:rPr>
        <w:t>. Upon a sale of OEG (but excluding a Qualified Spinoff) that occurs on or before the Seventh Anniversary,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OEG Investor will be entitled to a Sale Payment if the value of the OEG Investor’s retained invested equity (implied by the sale) does not equal or exceed the Minimum Investor Sale Value (as defined in the OEG LLC Agreement). If a sale of OEG occurs after the Fifth Anniversary, any Sale Payment will be capped at the Payment Cap. Any Sale Payment may be satisfied in either cash, a preferential cash distribution, additional consideration in the Sale of OEG or Company stock at the Company’s option.</w:t>
      </w:r>
    </w:p>
    <w:p>
      <w:pPr>
        <w:spacing w:after="0" w:line="184" w:lineRule="exact"/>
        <w:rPr>
          <w:sz w:val="20"/>
          <w:szCs w:val="20"/>
          <w:color w:val="auto"/>
        </w:rPr>
      </w:pPr>
    </w:p>
    <w:p>
      <w:pPr>
        <w:ind w:left="60" w:right="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above descriptions related to the OEG LLC Agreement do not purport to be complete and are qualified in their entirety by reference to the OEG LLC Agreement filed as </w:t>
      </w:r>
      <w:hyperlink r:id="rId107">
        <w:r>
          <w:rPr>
            <w:rFonts w:ascii="Times New Roman" w:cs="Times New Roman" w:eastAsia="Times New Roman" w:hAnsi="Times New Roman"/>
            <w:sz w:val="18"/>
            <w:szCs w:val="18"/>
            <w:u w:val="single" w:color="auto"/>
            <w:color w:val="0000EE"/>
          </w:rPr>
          <w:t>Exhibit 10.9 to this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JW Marriott Hill Country Transaction</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June 30, 2023, the Company purchased JW Marriott Hill Country for approximately $800 million. Located amid approximately 600 acres in the Texas Hill Country region outside of San Antonio, JW Marriott Hill Country, which opened in 2010, is a premier group-oriented resort with 1,002 rooms and 268,000 total square feet of indoor and outdoor meeting and event space. The resort’s amenities include a spa, several food and beverage outlets, a water experience, and TPC San Antonio, which features two 18-hole golf courses. The Company funded the purchase price with approximately</w:t>
      </w:r>
    </w:p>
    <w:p>
      <w:pPr>
        <w:spacing w:after="0" w:line="3" w:lineRule="exact"/>
        <w:rPr>
          <w:sz w:val="20"/>
          <w:szCs w:val="20"/>
          <w:color w:val="auto"/>
        </w:rPr>
      </w:pPr>
    </w:p>
    <w:p>
      <w:pPr>
        <w:ind w:left="60" w:right="239"/>
        <w:spacing w:after="0" w:line="273" w:lineRule="auto"/>
        <w:rPr>
          <w:sz w:val="20"/>
          <w:szCs w:val="20"/>
          <w:color w:val="auto"/>
        </w:rPr>
      </w:pPr>
      <w:r>
        <w:rPr>
          <w:rFonts w:ascii="Times New Roman" w:cs="Times New Roman" w:eastAsia="Times New Roman" w:hAnsi="Times New Roman"/>
          <w:sz w:val="17"/>
          <w:szCs w:val="17"/>
          <w:color w:val="auto"/>
        </w:rPr>
        <w:t>$395 million in net proceeds of an underwritten registered public offering of approximately 4.4 million shares of the Company’s common stock (see Note 9, “Equity”), approximately $393 million in net proceeds of a private placement of $400 million aggregate principal amount of 7.25% senior notes due 2028 (see Note 4, “Debt”) and cash on hand. JW Marriott Hill Country assets and operations are reflected in the Company’s Hospitality segment beginning June 30, 2023.</w:t>
      </w:r>
    </w:p>
    <w:p>
      <w:pPr>
        <w:spacing w:after="0" w:line="17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performed a valuation of the fair value of the acquired assets and liabilities assumed as of June 30, 2023.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advanced bookings previously received for the hotel and the values of golf memberships and water rights for the golf course. The Company considers each of these estimates as Level 3 fair value measurements.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89" w:lineRule="auto"/>
        <w:rPr>
          <w:sz w:val="20"/>
          <w:szCs w:val="20"/>
          <w:color w:val="auto"/>
        </w:rPr>
      </w:pPr>
      <w:r>
        <w:rPr>
          <w:rFonts w:ascii="Times New Roman" w:cs="Times New Roman" w:eastAsia="Times New Roman" w:hAnsi="Times New Roman"/>
          <w:sz w:val="17"/>
          <w:szCs w:val="17"/>
          <w:color w:val="auto"/>
        </w:rPr>
        <w:t>The Company determined that the acquisition represents an asset acquisition and has capitalized transaction costs and allocated the purchase price to the relative fair values of assets acquired and liabilities assumed, adjusted for working capital adjustments as set forth in the purchase agreement and transaction costs, as follows (amounts in thousands):</w:t>
      </w:r>
    </w:p>
    <w:p>
      <w:pPr>
        <w:spacing w:after="0" w:line="16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772,821</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1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25,097</w:t>
            </w:r>
          </w:p>
        </w:tc>
      </w:tr>
      <w:tr>
        <w:trPr>
          <w:trHeight w:val="20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834,781</w:t>
            </w:r>
          </w:p>
        </w:tc>
      </w:tr>
      <w:tr>
        <w:trPr>
          <w:trHeight w:val="21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(25,148)</w:t>
            </w:r>
          </w:p>
        </w:tc>
      </w:tr>
      <w:tr>
        <w:trPr>
          <w:trHeight w:val="20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w:t>
            </w:r>
          </w:p>
        </w:tc>
      </w:tr>
      <w:tr>
        <w:trPr>
          <w:trHeight w:val="21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809,633</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JW Marriott Desert Ridge Transaction</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On June 10, 2025, the Company purchased JW Marriott Desert Ridge for approximately $865 million. Situated on approximately 402 acres on Arizona’s Sonoran Desert, JW Marriott Desert Ridge is a premier group-oriented resort with 950 rooms and approximately 243,000 total square feet of indoor and outdoor meeting and event space. The resort’s amenities include a 28,000 square-foot spa, seven food and beverage outlets, a 140,000 square-foot water experience, and two 18-hole golf courses. The Company funded the purchase price with a portion of the approximately $275.5 million in net proceeds of an underwritten registered public offering of approximately 3.0 million shares of the Company’s common stock (see Note 9, “Equity”) and approximately $614 million in net proceeds of a private placement of</w:t>
      </w:r>
    </w:p>
    <w:p>
      <w:pPr>
        <w:spacing w:after="0" w:line="3"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$625 million aggregate principal amount of 6.50% senior notes due 2033 (see Note 4, “Debt”). JW Marriott Desert Ridge assets and operations are reflected in the Company’s Hospitality segment beginning June 10, 2025.</w:t>
      </w:r>
    </w:p>
    <w:p>
      <w:pPr>
        <w:spacing w:after="0" w:line="181"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Company performed a valuation of the fair value of the acquired assets and liabilities assumed as of June 10, 2025.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 of a below market ground lease and the values of advanced bookings previously received for the hotel. The Company considers each of these estimates as Level 3 fair value measurements.</w:t>
      </w:r>
    </w:p>
    <w:p>
      <w:pPr>
        <w:spacing w:after="0" w:line="187" w:lineRule="exact"/>
        <w:rPr>
          <w:sz w:val="20"/>
          <w:szCs w:val="20"/>
          <w:color w:val="auto"/>
        </w:rPr>
      </w:pPr>
    </w:p>
    <w:p>
      <w:pPr>
        <w:jc w:val="both"/>
        <w:ind w:left="60" w:right="499"/>
        <w:spacing w:after="0" w:line="289" w:lineRule="auto"/>
        <w:rPr>
          <w:sz w:val="20"/>
          <w:szCs w:val="20"/>
          <w:color w:val="auto"/>
        </w:rPr>
      </w:pPr>
      <w:r>
        <w:rPr>
          <w:rFonts w:ascii="Times New Roman" w:cs="Times New Roman" w:eastAsia="Times New Roman" w:hAnsi="Times New Roman"/>
          <w:sz w:val="17"/>
          <w:szCs w:val="17"/>
          <w:color w:val="auto"/>
        </w:rPr>
        <w:t>The Company determined that the acquisition represents an asset acquisition and has capitalized transaction costs and allocated the purchase price to the relative fair values of assets acquired and liabilities assumed, adjusted for working capital adjustments as set forth in the purchase agreement and transaction costs, as follows (amounts in thousands):</w:t>
      </w:r>
    </w:p>
    <w:p>
      <w:pPr>
        <w:spacing w:after="0" w:line="14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747,377</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114,875</w:t>
            </w:r>
          </w:p>
        </w:tc>
      </w:tr>
      <w:tr>
        <w:trPr>
          <w:trHeight w:val="21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887,777</w:t>
            </w:r>
          </w:p>
        </w:tc>
      </w:tr>
      <w:tr>
        <w:trPr>
          <w:trHeight w:val="210"/>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1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869,510</w:t>
            </w:r>
          </w:p>
        </w:tc>
      </w:tr>
      <w:tr>
        <w:trPr>
          <w:trHeight w:val="20"/>
        </w:trPr>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or initially at estimated fair value if recorded in connection with purchase accounting. Improvements and significant renovations that extend the lives of existing assets are capitalized. Interest on funds borrowed to finance the construction of major capital additions is included in the cost of the applicable capital addition. Maintenance and repairs are charged to expense as incurred. Property and equipment are generally depreciated using the straight-line method over the following estimated useful lives: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4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40 years</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5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5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5-8 years</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shorter of the lease term or useful life</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 Unrestricted</w:t>
      </w:r>
    </w:p>
    <w:p>
      <w:pPr>
        <w:spacing w:after="0" w:line="229"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maintains cash and cash equivalents balances in excess of insured limits with various financial institutions.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 Restricted</w:t>
      </w:r>
    </w:p>
    <w:p>
      <w:pPr>
        <w:spacing w:after="0" w:line="229" w:lineRule="exact"/>
        <w:rPr>
          <w:sz w:val="20"/>
          <w:szCs w:val="20"/>
          <w:color w:val="auto"/>
        </w:rPr>
      </w:pPr>
    </w:p>
    <w:p>
      <w:pPr>
        <w:jc w:val="both"/>
        <w:ind w:left="60" w:right="419"/>
        <w:spacing w:after="0" w:line="282" w:lineRule="auto"/>
        <w:rPr>
          <w:sz w:val="20"/>
          <w:szCs w:val="20"/>
          <w:color w:val="auto"/>
        </w:rPr>
      </w:pPr>
      <w:r>
        <w:rPr>
          <w:rFonts w:ascii="Times New Roman" w:cs="Times New Roman" w:eastAsia="Times New Roman" w:hAnsi="Times New Roman"/>
          <w:sz w:val="18"/>
          <w:szCs w:val="18"/>
          <w:color w:val="auto"/>
        </w:rPr>
        <w:t>Restricted cash and cash equivalents primarily represent funds held by our property manager for furniture, fixtures and equipment reserves.</w:t>
      </w:r>
    </w:p>
    <w:p>
      <w:pPr>
        <w:spacing w:after="0" w:line="16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In addition, based on its former loan agreement, Block 21 was required to maintain a restricted cash balance related to debt service, property tax, insurance and other payments. Such cash amounts are also included in restricted cash for 2024, but were released upon defeasance of the loan in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Cash paid for interest, net considering amounts from interest rate swaps, for the years ended December 31 was comprised of (amounts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interest paid</w:t>
            </w:r>
          </w:p>
        </w:tc>
        <w:tc>
          <w:tcPr>
            <w:tcW w:w="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$ 230,058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$ 210,650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$ 183,479</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$ 225,487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$ 203,090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$ 180,996</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are primarily generated by meetings and convention attendees’ room nights and food and beverage. Receivables arising from these sales are not collateralized. Credit risk associated with the accounts receivable is minimized due to the large and diverse nature of the customer base.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Loss Reserves on Receivables</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Company provides for credit loss reserves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1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Company provides credit loss reserves for the Gaylord National bonds by comparing the amortized cost basis to their present value. If the amortized cost basis exceeds the present value, an expected credit loss exists and the allowance for credit losses is measured as the difference between the bonds’ amortized cost basis and present value, which is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estimated using discounted cash flow analyses that utilize comprehensive cash flow projections over the contractual life of the bonds, as well as observable market data to the extent available. The Company considers each of these estimates as Level 3 fair value measurements.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expenses and other assets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9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26,872</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deferred compensation plan assets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37,440</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rebate receivables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34,780</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16,134</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for operating leases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22,079</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on revolving credit facilities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34,624</w:t>
            </w: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assets</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196,798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178,091</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Prepaid expenses consist of prepayments for property taxes, insurance and other contracts that will be expensed during the subsequent year. Inventories consist primarily of food and beverage inventory for resale and retail inventory sold in the Entertainment segment. Inventory is carried at the lower of cost or net realizable value. Cost is computed on an average cost basis. Other assets include capitalized software costs, non-trade receivables, and investments in joint ventures, among others.</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Gaylord Rockies is party to an incentive agreement with the local government that provides that Gaylord Rockies is entitled to receive monthly rebates of certain city and state taxes, including property, sales and lodging taxes. The term of the rebate agreement varies by type of tax but ranges from 25-33 years from commencement of the construction of Gaylord Rockies. Gaylord Rockies earned $50.6 million, $52.2 million and $52.8 million in rebates in 2025, 2024 and 2023, respectively, which are generally recorded as a reduction in other hotel expenses in the accompanying consolidated statements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 connection with the Company’s purchase price allocations related to its various acquisitions, the Company has acquired certain definite-lived intangibles, which include the original estimated fair value of advanced bookings at its acquired hotel properties, the original estimated fair value of a below market ground lease at JW Marriott Desert Ridge, the estimated fair value of various trademarks, and, in the case of the Gaylord Rockies acquisition, the original estimated fair value related to the Gaylord Hotels trade name, which Marriott owns. The advanced bookings assets are amortized on a straight-line basis over a period corresponding with the period in which the advanced bookings relate, the below market ground lease is amortized on a straight-line basis over the term of the related lease, the various trademarks are generally amortized on a straight-line basis over a period of fifteen years, and the value in the trade name is being amortized on a straight-line basis over 30 years, which is the period of the Marriott management agreement.</w:t>
      </w:r>
    </w:p>
    <w:p>
      <w:pPr>
        <w:spacing w:after="0" w:line="18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gross carrying amount of intangible assets and goodwill at December 31, 2025 and 2024 was $334.9 million and $274.9 million, respectively. Accumulated amortization of intangible assets at December 31, 2025 and 2024 was $48.2 million and $158.5 million, respectively. Amortization expense related to intangible assets during 2025, 2024 and 2023 was $15.4 million, $7.8 million and $6.8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amounts of amortization expense for the next five years are as follows (amounts in thousands):</w:t>
      </w:r>
    </w:p>
    <w:p>
      <w:pPr>
        <w:spacing w:after="0" w:line="257"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920" w:type="dxa"/>
            <w:vAlign w:val="bottom"/>
            <w:shd w:val="clear" w:color="auto" w:fill="CCEEFF"/>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2026</w:t>
            </w:r>
          </w:p>
        </w:tc>
        <w:tc>
          <w:tcPr>
            <w:tcW w:w="31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w:t>
            </w:r>
          </w:p>
        </w:tc>
      </w:tr>
      <w:tr>
        <w:trPr>
          <w:trHeight w:val="216"/>
        </w:trPr>
        <w:tc>
          <w:tcPr>
            <w:tcW w:w="29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2027</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15,699</w:t>
            </w:r>
          </w:p>
        </w:tc>
      </w:tr>
      <w:tr>
        <w:trPr>
          <w:trHeight w:val="216"/>
        </w:trPr>
        <w:tc>
          <w:tcPr>
            <w:tcW w:w="2920" w:type="dxa"/>
            <w:vAlign w:val="bottom"/>
            <w:shd w:val="clear" w:color="auto" w:fill="CCEEFF"/>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2028</w:t>
            </w:r>
          </w:p>
        </w:tc>
        <w:tc>
          <w:tcPr>
            <w:tcW w:w="2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r>
      <w:tr>
        <w:trPr>
          <w:trHeight w:val="216"/>
        </w:trPr>
        <w:tc>
          <w:tcPr>
            <w:tcW w:w="29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2029</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w:t>
            </w:r>
          </w:p>
        </w:tc>
      </w:tr>
      <w:tr>
        <w:trPr>
          <w:trHeight w:val="216"/>
        </w:trPr>
        <w:tc>
          <w:tcPr>
            <w:tcW w:w="2920" w:type="dxa"/>
            <w:vAlign w:val="bottom"/>
            <w:shd w:val="clear" w:color="auto" w:fill="CCEEFF"/>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2030</w:t>
            </w:r>
          </w:p>
        </w:tc>
        <w:tc>
          <w:tcPr>
            <w:tcW w:w="28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r>
      <w:tr>
        <w:trPr>
          <w:trHeight w:val="209"/>
        </w:trPr>
        <w:tc>
          <w:tcPr>
            <w:tcW w:w="29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63,625</w:t>
            </w:r>
          </w:p>
        </w:tc>
      </w:tr>
      <w:tr>
        <w:trPr>
          <w:trHeight w:val="20"/>
        </w:trPr>
        <w:tc>
          <w:tcPr>
            <w:tcW w:w="2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payable and accrued liabilities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1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58,366</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other taxes payable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91,941</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220,604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173,029</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45,780</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48,415</w:t>
            </w: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49,040</w:t>
            </w:r>
          </w:p>
        </w:tc>
      </w:tr>
      <w:tr>
        <w:trPr>
          <w:trHeight w:val="209"/>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517,708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466,571</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Deferred revenues consist primarily of deposits on advance bookings of hotel rooms and advance ticket sales at the Company’s entertainment properties, as well as uncollected attrition and cancellation fees. Other accrued liabilities include accruals for, among others, purchasing, meeting planner commissions and utilities.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establishes deferred tax assets and liabilities based on the difference between the financial statement and income tax carrying amounts of assets and liabilities using existing tax laws and tax rates. The Company reports a liability for unrecognized tax benefits resulting from uncertain tax positions taken or expected to be taken in a tax return, if any. The Company recognizes interest and penalties, if any, related to unrecognized tax benefits in income tax expense. See Note 10, “Income Taxes,” for more detail on the Company’s income taxes.</w:t>
      </w:r>
    </w:p>
    <w:p>
      <w:pPr>
        <w:spacing w:after="0" w:line="183"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the tax rate is recognized in income in the period that includes the enactment date of the rate change. The Company records a valuation allowance to reduce its deferred tax assets to the amount that is more likely than not to be realized. The Company has considered all available positive and negative evidence in assessing the need for a valuation allowance.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Management Rights Proceeds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 has deferred and amortizes the proceeds received from Marriott that were allocated to the sale of the management rights, as discussed further in Note 5, “Deferred Management Rights Proceeds,” on a straight-line basis over the term of the hotel management agreements, including extensions, as a reduction in management fee expense in the accompanying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liabilities at December 31 consist of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32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benefits liability</w:t>
            </w: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37,440</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16,330</w:t>
            </w:r>
          </w:p>
        </w:tc>
      </w:tr>
      <w:tr>
        <w:trPr>
          <w:trHeight w:val="209"/>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66,805</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Deferred financing costs (“DFCs”) consist of loan fees and other costs of financing that are amortized over the term of the related financing agreements, using the effective interest method, and are generally presented as a reduction of the related debt liability. DFCs on the Company’s revolving credit facility and the OEG revolving credit facility are included in prepaid expenses and other assets when the related revolving credit facility has no outstanding balance. During 2025, 2024 and 2023, DFCs of $11.9 million, $10.7 million and $10.7 million, respectively, were amortized to interest expense in the accompanying consolidated statements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 in Opry Entertainment Group</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Noncontrolling interest in OEG represents the minority investor’s proportionate share of the assets and liabilities of OEG, adjusted for changes in the redemption value of the related put rights. The noncontrolling interest is classified in the mezzanine section of the consolidated balance sheets as the related redemption options do not meet the requirements for permanent equity classification because these redemption options may be redeemed by the holder as described above in “OEG Investor.”</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initial value of the noncontrolling interest in OEG, which included certain put rights, was estimated based on the purchase price received from the OEG Investor. In general, the carrying value will be based on the greater of the accumulated historical cost or the put right redemption value, and at December 31, 2025, approximates the fair value of the noncontrolling interest. An adjustment is also made for the OEG Investor’s proportionate share of income or loss in the accompanying consolidated statements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 Units</w:t>
      </w:r>
    </w:p>
    <w:p>
      <w:pPr>
        <w:spacing w:after="0" w:line="22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Certain former owners of interests in the previous Gaylord Rockies joint venture received units of the Operating Partnership (“OP Units”) in exchange for their interests. Such OP Units have economic terms that are substantially similar to shares of the Company’s common stock and are redeemable at the option of the holders thereof.</w:t>
      </w:r>
    </w:p>
    <w:p>
      <w:pPr>
        <w:spacing w:after="0" w:line="1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noncontrolling interest in the Operating Partnership represents the limited partners’ proportionate share of the equity of the Operating Partnership. The noncontrolling interest is classified in the equity section of the consolidated balance sheets, separately from stockholders’ equity, as the related redemption options are redeemable for cash, or if the Company so elects, in unregistered shares of the Company’s common stock on a one-for-one basis, subject to certain adjustments. An adjustment is made for the limited partners’ proportionate share of income or loss in the accompanying consolidated statements of operations. At December 31, 2025, 0.4 million outstanding OP Units, or 0.6% of the outstanding OP Units, were held by the noncontrolling limited partners and are included as a component of equity in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accompanying consolidated balance sheets. The Company owns, directly or indirectly, the remaining 99.4% of the outstanding OP Units.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Southern Entertainment</w:t>
      </w:r>
    </w:p>
    <w:p>
      <w:pPr>
        <w:spacing w:after="0" w:line="227"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Company purchased a majority and controlling equity interest in Southern Entertainment in January 2025. The noncontrolling interest in Southern Entertainment represents the previous owners’ proportionate share of the assets and liabilities of Southern Entertainment, adjusted for the previous owners’ proportionate share of income or loss in the accompanying consolidated statement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Cash received from advanced ticket sales is deferred and recognized as revenue at the time of the event. Entertainment segment revenues from licenses of content are recognized at the point in time the content is delivered to the licensee and the licensee can use and benefit from the content.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from the customer and relieves the liability when payments are remitted to the applicable governmental agency.</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25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group rooms</w:t>
            </w:r>
          </w:p>
        </w:tc>
        <w:tc>
          <w:tcPr>
            <w:tcW w:w="2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transient rooms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other</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2,577,061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2,339,226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380" w:type="dxa"/>
            <w:vAlign w:val="bottom"/>
            <w:vMerge w:val="restart"/>
          </w:tcPr>
          <w:p>
            <w:pPr>
              <w:jc w:val="right"/>
              <w:ind w:right="1219"/>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7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Opryland</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484,104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495,552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474,884</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Palms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309,616</w:t>
            </w: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Texan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358,399</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National</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307,139</w:t>
            </w: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Rockies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266,737</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JW Marriott Hill Country</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92,813</w:t>
            </w: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JW Marriott Desert Ridge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 Hotel</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w:t>
            </w: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 at Opryland and other</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w:t>
            </w:r>
          </w:p>
        </w:tc>
      </w:tr>
      <w:tr>
        <w:trPr>
          <w:trHeight w:val="21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2,143,086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1,997,050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1,833,478</w:t>
            </w:r>
          </w:p>
        </w:tc>
      </w:tr>
      <w:tr>
        <w:trPr>
          <w:trHeight w:val="20"/>
        </w:trPr>
        <w:tc>
          <w:tcPr>
            <w:tcW w:w="4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Las Vegas, Nevada; and Austin, Texas.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in its Hospitality segment and advanced ticketing in its OEG venues. At December 31, 2025 and 2024, the Company had $220.6 million and $173.0 million, respectively, in deferred revenues, which are included in accounts payable and accrued liabilities in the accompanying consolidated balance sheets. Of the amount outstanding at December 31, 2024, approximately $134.6 million was recognized in revenues during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22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Company pays Marriott a base management fee based on the gross revenues from the applicable property for each fiscal year or portion thereof. The applicable percentage for the Gaylord Hotels properties, excluding Gaylord Rockies, is approximately 2% of gross revenues, Gaylord Rockies and JW Marriott Desert Ridge are approximately 3% of revenues, and JW Marriott Hill Country is approximately 3.5% of gross revenues. Additionally, the Company pays Marriott an incentive management fee based on the profitability of the properties. The Company incurred $52.4 million, $48.0 million and $42.8 million in base management fees to Marriott during 2025, 2024 and 2023, respectively. The Company incurred $27.4 million, $30.0 million and $28.5 million in incentive fees to Marriott during 2025, 2024 and 2023, respectively. Management fees are presented in the consolidated statements of operations net of the amortization of the deferred management rights proceeds discussed further in Note 5, “Deferred Management Rights Proceeds.”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were $78.5 million, $71.4 million, and $65.0 million for 2025,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9"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Company has equity-based employee compensation plans, which are described more fully in Note 7, “Stock Plans.” The Company accounts for its equity-based compensation plan under the provisions of Financial Accounting Standards Board (“FASB”) Accounting Standards Codification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expenses the costs associated with start-up activities and organization costs associated with its development or reopening of hotels and significant attractions as incurred. The Company’s preopening costs during 2025 include costs associated with Category 10 Las Vegas, which is expected to open in late 2026. The Company’s preopening costs during 2024 include costs associated with Category 10 Nashville, which opened in November 2024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Ole Red Las Vegas, which opened in January 2024. The Company’s preopening costs during 2023 include costs associated with Ole Red Las Vegas.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has entered into and may in the future enter into additional interest rate swap agreements to hedge against interest rate fluctuations. The Company does not use derivatives for trading or speculative purposes and currently does not hold any derivatives that are not designated as hedges.</w:t>
      </w:r>
    </w:p>
    <w:p>
      <w:pPr>
        <w:spacing w:after="0" w:line="14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$0.5 million will be reclassified from accumulated other comprehensive loss to a decrease in interest expense in the next twelve months.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and Other Assets</w:t>
      </w:r>
    </w:p>
    <w:p>
      <w:pPr>
        <w:spacing w:after="0" w:line="22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In accounting for the Company’s long-lived and other assets (including its property and equipment and intangible assets), the Company assesses its long-lived assets for impairment whenever events or changes in circumstances indicate that the carrying value of the assets or asset group may not be recoverable.</w:t>
      </w:r>
    </w:p>
    <w:p>
      <w:pPr>
        <w:spacing w:after="0" w:line="1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excess of the assets’ carrying amount over their fair value, which is estimated using discounted cash flow analyses that utilize comprehensive cash flow projections, as well as observable market data to the extent available. The Company recorded no impairment losses on property and equipment and definite-lived intangible assets during 2025, 2024 or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Income per share is measured as basic earnings per share and diluted earnings per share. Basic earnings per share is computed by dividing net income by the weighted average number of common shares outstanding during the year. Diluted earnings per share is computed by dividing net income by the weighted average number of common shares outstanding after considering the effect of conversion of dilutive instruments, calculated using the treasury stock method or if-converted method, as applicable. Net income per share amounts are calculated as follows for the years ended December 31 (income and share amounts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243,425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311,217</w:t>
            </w: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OEG</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stockholders - if-converted method</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248,344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278,398</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311,217</w:t>
            </w:r>
          </w:p>
        </w:tc>
      </w:tr>
      <w:tr>
        <w:trPr>
          <w:trHeight w:val="196"/>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equity-based compensation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63,632</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58,061</w:t>
            </w:r>
          </w:p>
        </w:tc>
      </w:tr>
      <w:tr>
        <w:trPr>
          <w:trHeight w:val="196"/>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As more fully discussed above in “OEG Investor,” although currently not exercisable, the OEG Investor has certain put rights (the “OEG Put Rights”) to require the Company to purchase the OEG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OEG Investor’s noncontrolling equity interest was redeemed in exchange for shares of the Company’s common stock. For 2023, the effect of the OEG Put Rights was the equivalent of 4.2 million shares of Company common stock outstanding. Because the OEG Put Rights were anti-dilutive for 2023, such incremental shares were excluded from the computation of dilutive earnings per share.</w:t>
      </w:r>
    </w:p>
    <w:p>
      <w:pPr>
        <w:spacing w:after="0" w:line="19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OP Units held by the noncontrolling interest holders in the Operating Partnership have been excluded from the denominator of the diluted income per share calculation as there would be no effect on the calculation of diluted earnings per share because the income or loss attributable to the OP Units held by the noncontrolling interest holders would also be added or subtracted to derive net income available to common stockholders.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periods. Actual results could differ from those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Newly Issued Accounting Standards</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requiring public entities to provide additional information in the rate reconciliation, to disclose annually income taxes paid disaggregated by federal, state and foreign taxes and to disaggregate the information by jurisdiction based on a quantitative threshold. The Company retrospectively adopted this guidance for fiscal year 2025, and such adoption did not have a material impact on the Company’s financial statements.</w:t>
      </w:r>
    </w:p>
    <w:p>
      <w:pPr>
        <w:spacing w:after="0" w:line="18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requiring public companies to disclose, on an annual and interim basis, disaggregated information about certain income statement line items, including employee compensation, purchases of inventory, depreciation, intangible asset amortization and depletion for each income statement line item that includes those expenses. The guidance is applied prospectively, but with the option to apply retrospectively, and will be effective for the Company for fiscal year 2027. The Company is currently evaluating the impact of this ASU but does not anticipate this adoption to have a material impact on the Company’s financial statements.</w:t>
      </w:r>
    </w:p>
    <w:p>
      <w:pPr>
        <w:spacing w:after="0" w:line="183"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No. 2025-11, “</w:t>
      </w:r>
      <w:r>
        <w:rPr>
          <w:rFonts w:ascii="Times New Roman" w:cs="Times New Roman" w:eastAsia="Times New Roman" w:hAnsi="Times New Roman"/>
          <w:sz w:val="18"/>
          <w:szCs w:val="18"/>
          <w:i w:val="1"/>
          <w:iCs w:val="1"/>
          <w:color w:val="auto"/>
        </w:rPr>
        <w:t>Interim Reporting – Narrow-Scope Improvements</w:t>
      </w:r>
      <w:r>
        <w:rPr>
          <w:rFonts w:ascii="Times New Roman" w:cs="Times New Roman" w:eastAsia="Times New Roman" w:hAnsi="Times New Roman"/>
          <w:sz w:val="18"/>
          <w:szCs w:val="18"/>
          <w:color w:val="auto"/>
        </w:rPr>
        <w:t>,” which is intended to improve the navigability of previous guidance and clarify when that guidance is applicable. Among other items, it establishes a principle under which an entity must disclose events since the end of the last annual reporting period that have a material impact on the entity. ASU 2025-11 is not intended to change the fundamental nature of interim reporting or expand or reduce current interim disclosure requirements. The guidance may be applied retrospectively or prospectively and will be effective for the Company for interim periods beginning in fiscal year 2028. The Company is currently evaluating the impact of this ASU but does not anticipate this adoption to have a material impact on the Company’s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Property and equipment at December 31 is recorded at cost, with the exception of right-of-use finance leases and the initial value assigned to assets acquired in an acquisition, and summarized as follows (amounts in thousands):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3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731,497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613,870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5,258,989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4,593,839</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1,329,039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110,897</w:t>
            </w:r>
          </w:p>
        </w:tc>
      </w:tr>
      <w:tr>
        <w:trPr>
          <w:trHeight w:val="210"/>
        </w:trPr>
        <w:tc>
          <w:tcPr>
            <w:tcW w:w="4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7,694,338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6,648,662</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(2,723,909)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(2,524,280)</w:t>
            </w: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4,970,429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4,124,382</w:t>
            </w:r>
          </w:p>
        </w:tc>
      </w:tr>
      <w:tr>
        <w:trPr>
          <w:trHeight w:val="20"/>
        </w:trPr>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Depreciation expense, including amortization of assets under finance lease obligations, during 2025, 2024 and 2023 was $262.2 million, $226.8 million, and $203.3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Notes Receivable</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connection with the development of Gaylord National, Prince George’s County, Maryland (“the County”) issued a bond with a face value of $95 million (“Series A Bond”) and an additional bond with a face value of $50 million (“Series B Bond”), which were delivered to the Company upon substantial completion and opening of Gaylord National in 2008. The interest rate on the Series A Bond and Series B Bond is 8.0% and 10.0%, respectively. The maturity dates of the Series A Bond and the Series B Bond are July 1, 2034 and September 1, 2037, respectively.</w:t>
      </w:r>
    </w:p>
    <w:p>
      <w:pPr>
        <w:spacing w:after="0" w:line="18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Upon receipt in 2008, the Company calculated the present value of the future debt service payments from the Series A Bond and Series B Bond based on their effective interest rates of 8.04% and 11.42%, respectively, and recorded the notes receivable at their discounted values of $93.8 million and $38.3 million, respectively. The Company records the amortization of discount on these notes receivable as interest income over the terms of the notes. The Company is currently holding the bonds, which have aggregate carrying values and approximate fair values of $53.5 million and $57.8 million at December 31, 2025 and 2024, respectively, net of a credit loss reserve of $38.0 million at each period. The Company earns interest income on the debt service on the notes receivable, which are payable from tax increments, hotel taxes and special hotel rental taxes generated from Gaylord National through the maturity dates. Interest income is recorded on an accrual basis to the extent that such amounts are expected to be collected. During the periods presented, the Company has accrued interest only on the Series A Bond. The Company’s estimate of credit loss reserves is sensitive to significant assumptions, which include the projections of hotel taxes (which are based on expected hotel revenues) and property taxes, both of which are affected by expectations about future market and economic conditions, particularly those in the Washington D.C. market. These assumptions are based on Level 3 inputs. Further, such assumptions are judgmental as the bonds and related projected cash flows continue for an extended period of time through 2037.</w:t>
      </w:r>
    </w:p>
    <w:p>
      <w:pPr>
        <w:spacing w:after="0" w:line="19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Company has the intent and ability to hold these bonds to maturity. The Company performs a quarterly assessment of credit losses, which considers the estimate of projected tax revenues that will service the bonds over their remaining terms. At December 31, 2025 and 2024, the Series B Bond is fully reserved. The Series A Bond is of higher priority than other tranches which fall between the Company’s two issuances.</w:t>
      </w:r>
    </w:p>
    <w:p>
      <w:pPr>
        <w:spacing w:after="0" w:line="180"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During 2025, 2024 and 2023, the Company recorded interest income of $4.3 million, $4.6 million and $4.9 million, respectively, on these bonds. The Company received payments of $8.8 million, $8.8 million and $11.0 million during 2025, 2024 and 2023, respectively, relating to these notes receivable, which include principal and interest payments.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December 31 consisted of (amounts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0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$700M Revolving Credit Facility</w:t>
            </w:r>
          </w:p>
        </w:tc>
        <w:tc>
          <w:tcPr>
            <w:tcW w:w="1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292,791</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Senior Notes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 Senior Notes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Senior Notes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Senior Notes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Senior Notes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$80M OEG Revolver</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299,250</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128,967</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(51,484)</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10"/>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9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3,976,913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3,378,396</w:t>
            </w:r>
          </w:p>
        </w:tc>
      </w:tr>
      <w:tr>
        <w:trPr>
          <w:trHeight w:val="20"/>
        </w:trPr>
        <w:tc>
          <w:tcPr>
            <w:tcW w:w="4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2025, there were no defaults under the covenants related to the Company’s outstanding debt.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maturities of long-term debt, excluding finance lease obligations, are as follows (amounts in thousands):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3"/>
                <w:szCs w:val="13"/>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$700M 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289,856</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Senior Notes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 Senior Notes</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Senior Notes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Senior Notes</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Senior Notes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$80M OEG Revolver</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425,270</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707,242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407,242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607,242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282,423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2,028,735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4,040,126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 May 18, 2023, the Company entered into a Credit Agreement (as modified pursuant to the First Incremental Agreement and the Second Incremental Agreement (each as hereinafter defined and as further supplemented,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replaced the Company’s previous credit facility. As of December 31, 2025, the Credit Agreement provides a $700.0 million revolving credit facility (the “Revolver”) and a senior secured term loan B (the “Term Loan B”) (in the original principal amount of $500.0 million), as well as an accordion feature that will allow the Company to increase the facilities by an aggregate total of up to $475 million, which may be allocated between the Revolver and the Term Loan B at the Company’s option. The Revolver replaced the Company’s previous $700 million revolving credit facility, and a portion of the proceeds from the Term Loan B were used to repay in full the approximately $370 million balance of the Company’s previous term loan B. The Revolver was undrawn at closing in 2023.</w:t>
      </w:r>
    </w:p>
    <w:p>
      <w:pPr>
        <w:spacing w:after="0" w:line="190" w:lineRule="exact"/>
        <w:rPr>
          <w:sz w:val="20"/>
          <w:szCs w:val="20"/>
          <w:color w:val="auto"/>
        </w:rPr>
      </w:pPr>
    </w:p>
    <w:p>
      <w:pPr>
        <w:ind w:left="60" w:right="339"/>
        <w:spacing w:after="0" w:line="312" w:lineRule="auto"/>
        <w:rPr>
          <w:sz w:val="20"/>
          <w:szCs w:val="20"/>
          <w:color w:val="auto"/>
        </w:rPr>
      </w:pPr>
      <w:r>
        <w:rPr>
          <w:rFonts w:ascii="Times New Roman" w:cs="Times New Roman" w:eastAsia="Times New Roman" w:hAnsi="Times New Roman"/>
          <w:sz w:val="17"/>
          <w:szCs w:val="17"/>
          <w:color w:val="auto"/>
        </w:rPr>
        <w:t>Each of the Revolver and Term Loan B is guaranteed by the Company, each of the Company’s subsidiaries that own the Gaylord Hotels properties, the JW Marriott properties and certain other of the Company’s subsidiaries. Each is secured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19"/>
        <w:spacing w:after="0" w:line="289" w:lineRule="auto"/>
        <w:rPr>
          <w:sz w:val="20"/>
          <w:szCs w:val="20"/>
          <w:color w:val="auto"/>
        </w:rPr>
      </w:pPr>
      <w:r>
        <w:rPr>
          <w:rFonts w:ascii="Times New Roman" w:cs="Times New Roman" w:eastAsia="Times New Roman" w:hAnsi="Times New Roman"/>
          <w:sz w:val="17"/>
          <w:szCs w:val="17"/>
          <w:color w:val="auto"/>
        </w:rPr>
        <w:t>by equity pledges of the Company’s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58"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w:t>
      </w:r>
    </w:p>
    <w:p>
      <w:pPr>
        <w:spacing w:after="0" w:line="1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$700 Million Revolving Credit Facility</w:t>
      </w:r>
    </w:p>
    <w:p>
      <w:pPr>
        <w:spacing w:after="0" w:line="227"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color w:val="auto"/>
        </w:rPr>
        <w:t>At December 31, 2025, the maturity of the Revolver was May 18, 2027, with the option to extend the maturity date for a maximum of one additional year through either (i) a single twelve-month extension option or (ii) two individual six-month extensions. Borrowings under the Revolver bore interest at an annual rate equal to, at the Company’s option, either</w:t>
      </w:r>
    </w:p>
    <w:p>
      <w:pPr>
        <w:spacing w:after="0" w:line="1" w:lineRule="exact"/>
        <w:rPr>
          <w:sz w:val="20"/>
          <w:szCs w:val="20"/>
          <w:color w:val="auto"/>
        </w:rPr>
      </w:pPr>
    </w:p>
    <w:p>
      <w:pPr>
        <w:jc w:val="both"/>
        <w:ind w:left="60" w:right="159" w:hanging="10"/>
        <w:spacing w:after="0" w:line="253" w:lineRule="auto"/>
        <w:tabs>
          <w:tab w:leader="none" w:pos="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Term SOFR plus the applicable margin ranging from 1.40% to 2.00%, (ii) Adjusted Daily Simple SOFR plus the applicable margin ranging from 1.40% to 2.00%, or (iii) a base rate as set in the Credit Agreement plus the applicable margin ranging from 0.40% to 1.00%, with each option dependent upon the Company’s consolidated net leverage ratio (as defined in the Credit Agreement). Principal was payable in full at maturity.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14, “Subsequent Event,” for further disclosure.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227" w:lineRule="exact"/>
        <w:rPr>
          <w:sz w:val="20"/>
          <w:szCs w:val="20"/>
          <w:color w:val="auto"/>
        </w:rPr>
      </w:pPr>
    </w:p>
    <w:p>
      <w:pPr>
        <w:jc w:val="both"/>
        <w:ind w:left="60" w:right="259"/>
        <w:spacing w:after="0" w:line="272" w:lineRule="auto"/>
        <w:rPr>
          <w:sz w:val="20"/>
          <w:szCs w:val="20"/>
          <w:color w:val="auto"/>
        </w:rPr>
      </w:pPr>
      <w:r>
        <w:rPr>
          <w:rFonts w:ascii="Times New Roman" w:cs="Times New Roman" w:eastAsia="Times New Roman" w:hAnsi="Times New Roman"/>
          <w:sz w:val="17"/>
          <w:szCs w:val="17"/>
          <w:color w:val="auto"/>
        </w:rPr>
        <w:t>The Term Loan B has a maturity date of May 18, 2030. Prior to the effectiveness of the First Incremental Agreement and the Second Incremental Agreement (as hereinafter defined), the applicable interest rate margin for borrowings under the Term Loan B was, at the Company’s option, either (i) Term SOFR plus 2.75%, (ii) Daily Simple SOFR plus 2.75%, or</w:t>
      </w:r>
    </w:p>
    <w:p>
      <w:pPr>
        <w:spacing w:after="0" w:line="2" w:lineRule="exact"/>
        <w:rPr>
          <w:sz w:val="20"/>
          <w:szCs w:val="20"/>
          <w:color w:val="auto"/>
        </w:rPr>
      </w:pPr>
    </w:p>
    <w:p>
      <w:pPr>
        <w:ind w:left="60" w:right="339" w:hanging="10"/>
        <w:spacing w:after="0" w:line="260" w:lineRule="auto"/>
        <w:tabs>
          <w:tab w:leader="none" w:pos="3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as set in the Credit Agreement plus 1.75%. Amounts borrowed under the Term Loan B that are repaid or prepaid may not be reborrowed.</w:t>
      </w:r>
    </w:p>
    <w:p>
      <w:pPr>
        <w:spacing w:after="0" w:line="181"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On April 12, 2024, the Company entered into an Incremental Tranche B Term Loan Agreement (the “First Incremental Agreement”), which supplemented the Credit Agreement and included the addition of certain new lenders and removal of certain other lenders. The First Incremental Agreement reduced the applicable interest rate margins for the loans advanced under the refinanced Term Loan B. The applicable interest rate margins for the refinanced Term Loan B under the First Incremental Agreement were (i) 2.25% for SOFR Loans (as defined in the Credit Agreement) and (ii) 1.25% for base rate loans.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December 19, 2024, the Company entered into an additional Incremental Tranche B Term Loan Agreement (the “Second Incremental Agreement”), which supplements the Credit Agreement. The Second Incremental Agreement reduces the applicable interest rate margins for the loans advanced under the refinanced Term Loan B. The applicable interest rate margins for the refinanced Term Loan B under the Second Incremental Agreement are (i) 2.00% for SOFR Loans (as defined in the Credit Agreement) and (ii) 1.00% for base rate loans. Further, the Second Incremental Agreement provides for the applicable interest rate margins to be further reduced by an additional 0.25% upon the Company meeting certain criteria as set forth in the Second Incremental Agreement, which criteria were met on December 22, 2025.</w:t>
      </w:r>
    </w:p>
    <w:p>
      <w:pPr>
        <w:spacing w:after="0" w:line="18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At December 31, 2025, the interest rate on the Term Loan B was Term SOFR plus 1.75%. Neither the First Incremental Agreement nor the Second Incremental Agreement changed the maturity dates under the Credit Agreement or resulted in any increase in principal indebtedness. In addition, the Second Incremental Agreement confirms that the annual amortization under the Term Loan B is 1.0% of the refinanced $293.5 million outstanding principal amount, with the balance due at maturity. If for any fiscal year there is Excess Cash Flow (as defined in the Credit Agreement), an additional principal payment is required.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For purposes of the Revolver and the Term Loan B, each of Term SOFR and Daily Simple SOFR are subject to a floor of 0.00%.</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 Billion 6.50% Senior Notes Due 2032</w:t>
      </w:r>
    </w:p>
    <w:p>
      <w:pPr>
        <w:spacing w:after="0" w:line="227"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On March 28, 2024, the Operating Partnership and Finco (collectively, the “issuing subsidiaries”) completed the private placement of $1.0 billion in aggregate principal amount of 6.50% senior notes due 2032 (the “$1 Billion 6.50% Senior Notes”), which are guaranteed by the Company and its subsidiaries that guarantee the Credit Agreement.</w:t>
      </w:r>
    </w:p>
    <w:p>
      <w:pPr>
        <w:spacing w:after="0" w:line="14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The $1 Billion 6.50% Senior Notes are general unsecured and unsubordinated obligations of the issuing subsidiaries and rank equal in right of payment with such subsidiaries’ existing and future senior unsecured indebtedness, including the Company’s $700 million 4.75% Senior Notes, the $625 Million 6.50% Senior Notes, the $600 Million 4.50% Senior Notes and the $400 Million 7.25% Senior Notes, and senior in right of payment to future subordinated indebtedness, if any.</w:t>
      </w:r>
    </w:p>
    <w:p>
      <w:pPr>
        <w:spacing w:after="0" w:line="151"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4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The Company used a portion of these net proceeds to prepay the indebtedness outstanding under the Company’s previous $800.0 million Gaylord Rockies term loan and used the remaining proceeds, together with cash on hand, to repay $200.0 million under the Term Loan B.</w:t>
      </w:r>
    </w:p>
    <w:p>
      <w:pPr>
        <w:spacing w:after="0" w:line="15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w:t>
      </w: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6.50% Senior Notes will be redeemable, in whole or in part, at any time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$700 Million 4.75% Senior Notes Due 2027</w:t>
      </w:r>
    </w:p>
    <w:p>
      <w:pPr>
        <w:spacing w:after="0" w:line="227"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In September 2019, the Operating Partnership and Finco completed the private placement of $500.0 million in aggregate principal amount of senior notes due 2027 (the “$500 Million 4.75% Senior Notes”), which are guaranteed by the Company and its subsidiaries that guarantee the Credit Agreement.</w:t>
      </w:r>
    </w:p>
    <w:p>
      <w:pPr>
        <w:spacing w:after="0" w:line="1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Company’s $1 Billion 6.50% Senior Notes, the $625 Million 6.50% Senior Notes, the $600 Million 4.50% Senior Notes and the $400 Million 7.25% Senior Notes, and senior in right of payment to future subordinated indebtedness, if any.</w:t>
      </w:r>
    </w:p>
    <w:p>
      <w:pPr>
        <w:spacing w:after="0" w:line="19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$500 Million 4.75% Senior Notes are effectively subordinated to the issuing subsidiaries’ secured indebtedness to the extent of the value of the assets securing such indebtedness. The guarantees rank equally in right of payment with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83"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October 2019, the Operating Partnership and Finco completed a tack-on private placement of $200.0 million in aggregate principal amount of 4.75% senior notes due 2027 (the “additional 2027 notes”) at an issue price of 101.250% of their aggregate principal amount plus accrued interest from the September 2019 issue date for the $500 Million 4.75% Senior Notes. The additional 2027 notes and the $500 Million 4.75% Senior Notes constitute a single class of securities (collectively, the “$700 Million 4.75% Senior Notes”). All other terms and conditions of the additional 2027 notes are identical to the $500 Million 4.75% Senior Notes.</w:t>
      </w:r>
    </w:p>
    <w:p>
      <w:pPr>
        <w:spacing w:after="0" w:line="187"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$700 Million 4.75% Senior Notes are redeemable, in whole or in part, at 100% of the principal amount thereof plus accrued and unpaid interest thereon to, but not including, the redemption date.</w:t>
      </w:r>
    </w:p>
    <w:p>
      <w:pPr>
        <w:spacing w:after="0" w:line="135"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Company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$625 Million 6.50% Senior Notes Due 2033</w:t>
      </w:r>
    </w:p>
    <w:p>
      <w:pPr>
        <w:spacing w:after="0" w:line="227" w:lineRule="exact"/>
        <w:rPr>
          <w:sz w:val="20"/>
          <w:szCs w:val="20"/>
          <w:color w:val="auto"/>
        </w:rPr>
      </w:pPr>
    </w:p>
    <w:p>
      <w:pPr>
        <w:ind w:left="60" w:right="579"/>
        <w:spacing w:after="0" w:line="276" w:lineRule="auto"/>
        <w:rPr>
          <w:sz w:val="20"/>
          <w:szCs w:val="20"/>
          <w:color w:val="auto"/>
        </w:rPr>
      </w:pPr>
      <w:r>
        <w:rPr>
          <w:rFonts w:ascii="Times New Roman" w:cs="Times New Roman" w:eastAsia="Times New Roman" w:hAnsi="Times New Roman"/>
          <w:sz w:val="17"/>
          <w:szCs w:val="17"/>
          <w:color w:val="auto"/>
        </w:rPr>
        <w:t>On June 4, 2025, the Operating Partnership and Finco (collectively, the “issuing subsidiaries”) completed the private placement of $625.0 million in aggregate principal amount of 6.50% senior notes due 2033 (the “$625 Million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6.50% Senior Notes”), which are guaranteed by the Company and its subsidiaries that guarantee the Credit Agreement.</w:t>
      </w:r>
    </w:p>
    <w:p>
      <w:pPr>
        <w:spacing w:after="0" w:line="166" w:lineRule="exact"/>
        <w:rPr>
          <w:sz w:val="20"/>
          <w:szCs w:val="20"/>
          <w:color w:val="auto"/>
        </w:rPr>
      </w:pPr>
    </w:p>
    <w:p>
      <w:pPr>
        <w:ind w:left="60" w:right="519"/>
        <w:spacing w:after="0" w:line="276" w:lineRule="auto"/>
        <w:rPr>
          <w:sz w:val="20"/>
          <w:szCs w:val="20"/>
          <w:color w:val="auto"/>
        </w:rPr>
      </w:pPr>
      <w:r>
        <w:rPr>
          <w:rFonts w:ascii="Times New Roman" w:cs="Times New Roman" w:eastAsia="Times New Roman" w:hAnsi="Times New Roman"/>
          <w:sz w:val="17"/>
          <w:szCs w:val="17"/>
          <w:color w:val="auto"/>
        </w:rPr>
        <w:t>The $625 Million 6.50% Senior Notes and guarantees were issued pursuant to an indenture by and among the issuing subsidiaries, the guarantors and U.S. Bank Trust Company, National Association, as trustee. The $625 Million</w:t>
      </w:r>
    </w:p>
    <w:p>
      <w:pPr>
        <w:spacing w:after="0" w:line="1"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6.50% Senior Notes have a maturity date of June 15, 2033 and bear interest at 6.50% per annum, payable semi-annually in cash in arrears on June 15 and December 15 each year, beginning on December 15, 2025. The $625 Million 6.50% Senior Notes are general unsecured and unsubordinated obligations of the issuing subsidiaries and rank equal in right of payment with such subsidiaries’ existing and future senior unsecured indebtedness, including the Company’s $1 Billion 6.50% Senior Notes, the $700 million 4.75% Senior Notes, the $600 Million 4.50% Senior Notes and the $400 Million 7.25% Senior Notes, and senior in right of payment to future subordinated indebtedness, if any.</w:t>
      </w:r>
    </w:p>
    <w:p>
      <w:pPr>
        <w:spacing w:after="0" w:line="163"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The $625 Million 6.50% Senior Notes are effectively subordinated to the issuing subsidiaries’ secured indebtedness, including the Operating Partnership’s existing credit facility, to the extent of the value of the assets securing such indebtedness and structurally subordinated to all indebtedness and other obligations of the Operating Partnership’s subsidiaries that do not guarantee the $625 Million 6.50% Senior Notes. The guarantees rank equally in right of payment with the applicable guarantor’s existing and future senior unsecured indebtedness and senior in right of payment to any future subordinated indebtedness of such guarantor. The $625 Million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$625 Million 6.50% Senior Notes.</w:t>
      </w:r>
    </w:p>
    <w:p>
      <w:pPr>
        <w:spacing w:after="0" w:line="148"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$625 Million 6.50% Senior Notes totaled approximately $614 million, after deducting the initial purchasers’ discounts, commissions and offering expenses. The Company used these net proceeds to fund a portion of the purchase price for JW Marriott Desert Ridge discussed in Note 1.</w:t>
      </w:r>
    </w:p>
    <w:p>
      <w:pPr>
        <w:spacing w:after="0" w:line="135"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$625 Million 6.50% Senior Notes are redeemable before June 15, 2028, in whole or in part, at 100.00%, plus accrued and unpaid interest thereon to, but not including, the redemption date, plus a make-whole premium. The $625 Million 6.50% Senior Notes will be redeemable, in whole or in part, at any time after June 15, 2028 at a redemption price expressed as a percentage of the principal amount thereof, which percentage is 103.250%, 101.625%,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100.000% beginning on June 15 of 2028, 2029, and 2030, respectively, plus accrued and unpaid interest thereon to, but not including, the redemption date.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$600 Million 4.50% Senior Notes Due 2029</w:t>
      </w:r>
    </w:p>
    <w:p>
      <w:pPr>
        <w:spacing w:after="0" w:line="22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On February 17, 2021, the Operating Partnership and Finco completed the private placement of $600.0 million in aggregate principal amount of 4.50% senior notes due 2029 (the “$600 Million 4.50% Senior Notes”), which are guaranteed by the Company and its subsidiaries that guarantee the Credit Agreement.</w:t>
      </w:r>
    </w:p>
    <w:p>
      <w:pPr>
        <w:spacing w:after="0" w:line="14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$600 Million 4.50% Senior Notes and guarantees were issued pursuant to an indenture by and among the issuing subsidiaries, the guarantors and U.S. Bank National Association, as trustee. The $600 Million 4.50% Senior Notes have 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Company’s $1 Billion 6.50% Senior Notes, the $700 Million 4.75% Senior Notes, the $625 Million 6.50% Senior Notes and the $400 Million 7.25% Senior Notes, and senior in right of payment to future subordinated indebtedness, if any.</w:t>
      </w:r>
    </w:p>
    <w:p>
      <w:pPr>
        <w:spacing w:after="0" w:line="151"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8"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$600 Million 4.50% Senior Notes are redeemable, in whole or in part, at a redemption price expressed as a percentage of the principal amount thereof, which percentage is currently 100.750% and will be 100.000% beginning on February 15 of 2027 plus accrued and unpaid interest thereon to, but not including, the redemption date.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$400 Million 7.25% Senior Notes Due 2028</w:t>
      </w:r>
    </w:p>
    <w:p>
      <w:pPr>
        <w:spacing w:after="0" w:line="227" w:lineRule="exact"/>
        <w:rPr>
          <w:sz w:val="20"/>
          <w:szCs w:val="20"/>
          <w:color w:val="auto"/>
        </w:rPr>
      </w:pPr>
    </w:p>
    <w:p>
      <w:pPr>
        <w:jc w:val="both"/>
        <w:ind w:left="60" w:right="479"/>
        <w:spacing w:after="0" w:line="289" w:lineRule="auto"/>
        <w:rPr>
          <w:sz w:val="20"/>
          <w:szCs w:val="20"/>
          <w:color w:val="auto"/>
        </w:rPr>
      </w:pPr>
      <w:r>
        <w:rPr>
          <w:rFonts w:ascii="Times New Roman" w:cs="Times New Roman" w:eastAsia="Times New Roman" w:hAnsi="Times New Roman"/>
          <w:sz w:val="17"/>
          <w:szCs w:val="17"/>
          <w:color w:val="auto"/>
        </w:rPr>
        <w:t>On June 22, 2023, the Operating Partnership and Finco (collectively, the “issuing subsidiaries”) completed the private placement of $400.0 million in aggregate principal amount of 7.25% senior notes due 2028 (the “$400 Million 7.25% Senior Notes”), which are guaranteed by the Company and its subsidiaries that guarantee the Credit Agreement.</w:t>
      </w:r>
    </w:p>
    <w:p>
      <w:pPr>
        <w:spacing w:after="0" w:line="11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 7.25% per annum, payable semi-annually in cash in arrears on January 15 and July 15 each year. The $400 Million 7.25% Senior Notes are general unsecured and unsubordinated obligations of the issuing subsidiaries and rank equal in right of payment with such subsidiaries’ existing and future senior unsecured indebtedness, including the Company’s $1 Billion 6.50% Senior Notes, the $700 Million</w:t>
      </w:r>
    </w:p>
    <w:p>
      <w:pPr>
        <w:spacing w:after="0" w:line="5"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color w:val="auto"/>
        </w:rPr>
        <w:t>4.75% Senior Notes, the $625 Million 6.50% Senior Notes and $600 Million 4.50% Senior Notes, and senior in right of payment to future subordinated indebtedness, if any.</w:t>
      </w:r>
    </w:p>
    <w:p>
      <w:pPr>
        <w:spacing w:after="0" w:line="141"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6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$400 Million 7.25% Senior Notes are redeemable, in whole or in part, at a redemption price expressed as a percentage of the principal amount thereof, which percentage is currently 103.625% and will be 101.813%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100.000% beginning on July 15 of 2026 and 2027, respectively, plus accrued and unpaid interest thereon to, but not including, the redemption date.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 Credit Agreement</w:t>
      </w:r>
    </w:p>
    <w:p>
      <w:pPr>
        <w:spacing w:after="0" w:line="22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June 28, 2024, OEG Borrower, LLC (“OEG Borrower”) and OEG Finance, LLC (“OEG Finance”), each a wholly owned direct or indirect subsidiary of OEG, entered into a First Amendment, which amends the Credit Agreement dated as of June 16, 2022 among OEG Borrower, as borrower, OEG Finance, certain subsidiaries of OEG Borrower from time to time party thereto as guarantors, the lenders party thereto and JP Morgan Chase Bank, N.A., as administrative agent (as amended, the “2024 OEG Credit Agreement”).</w:t>
      </w:r>
    </w:p>
    <w:p>
      <w:pPr>
        <w:spacing w:after="0" w:line="183"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The 2024 OEG Credit Agreement provides for (i) a senior secured term loan facility in the aggregate principal amount of $300.0 million (the “2024 OEG Term Loan”) and (ii) a senior secured revolving credit facility in an aggregate principal amount not to exceed $80.0 million (the “OEG Revolver”). The 2024 OEG Term Loan refinanced and replaced the former term loan in the outstanding principal amount of $294.8 million as of June 28, 2024 and the OEG Revolver refinanced and replaced the former senior secured revolving credit facility in an aggregate principal amount not to exceed $65.0 million.</w:t>
      </w:r>
    </w:p>
    <w:p>
      <w:pPr>
        <w:spacing w:after="0" w:line="16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April 28, 2025, OEG Borrower and OEG Finance entered into a Second Amendment, which amended the 2024 OEG Credit Agreement (as amended, the “OEG Credit Agreement”) in which OEG Borrower obtained an incremental term loan in an aggregate principal amount equal to $130.0 million (the “Incremental OEG Loan”) on the same terms as the 2024 OEG Term Loan. The net proceeds of the Incremental OEG Loan, together with cash on hand, were used to defease the Block 21 CMBS Loan (as defined below) in full, which released the borrower thereunder from the $127.9 million amount outstanding under the Block 21 CMBS Loan. The OEG Credit Agreement provides for (i) a senior secured term loan facility in an aggregate principal amount equal to $428.5 million (the “OEG Term Loan”) and (ii) the OEG Revolver. The Incremental OEG Loan did not change any applicable interest rates or maturity dates of any indebtedness under the 2024 OEG Credit Agreement. In addition, the terms of the Incremental OEG Loan confirm that the annual amortization under the OEG Term Loan is approximately 1% of the refinanced $428.5 million outstanding principal amount, with the balance due at maturity.</w:t>
      </w:r>
    </w:p>
    <w:p>
      <w:pPr>
        <w:spacing w:after="0" w:line="19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OEG Term Loan and OEG Revolver are each secured by substantially all of the assets of OEG Finance and each of its subsidiaries. The OEG Term Loan bears interest at a rate equal to either, at OEG Borrower’s election, as of the closing date contemplated by the OEG Credit Agreement, (a) the Alternate Base Rate plus 2.50% or (b) Adjusted Term SOFR plus 3.50% (all as more specifically described in the Amended OEG Credit Agreement).</w:t>
      </w:r>
    </w:p>
    <w:p>
      <w:pPr>
        <w:spacing w:after="0" w:line="180"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The OEG Revolver bears interest at a rate equal to either, at OEG Borrower’s election, as of the closing contemplated by the OEG Credit Agreement, (a) the Alternate Base Rate plus the Applicable Rate (as defined in the OEG Credit Agreement) or (b) Adjusted Term SOFR plus the Applicable Rate. Under the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OEG Credit Agreement).</w:t>
      </w:r>
    </w:p>
    <w:p>
      <w:pPr>
        <w:spacing w:after="0" w:line="187"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The Applicable Rate for borrowings under the OEG Revolver at December 31, 2025 is 2.50% for Alternative Base Rate Loans and 3.50% for Adjusted Term SOFR loans. The Applicable Rate for borrowings under the OEG Term Loan as of December 31, 2025 is 2.50% for Alternative Base Rate Loans and 3.50% for Adjusted Term SOFR loans.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Block 21 CMBS Loan</w:t>
      </w:r>
    </w:p>
    <w:p>
      <w:pPr>
        <w:spacing w:after="0" w:line="227"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At the closing of the purchase of Block 21, a subsidiary of the Company assumed a $136 million, ten-year, non-recourse term loan secured by a mortgage on Block 21 (the “Block 21 CMBS Loan”). The proceeds of the Incremental OEG Loan described above were used to defease the Block 21 CMBS Loan in full in April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22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Company has entered into interest rate swaps to manage interest rate risk associated with a portion of the OEG Term Loan. In November 2022, OEG entered into an interest rate swap to fix the SOFR portion of the interest rate on $100.0 million of borrowings at 4.533% through December 2025. In August 2025, OEG entered into an interest rate swap to fix the SOFR portion of the interest rate on $100.0 million of borrowings at 3.214% from December 2025 through December 2028. In September 2025, OEG entered into an additional interest rate swap to fix the SOFR portion of the interest rate on $125.0 million of borrowings at 3.17% through December 2028. These swaps have been designated as cash flow hedges whereby the Company receives variable-rate amounts in exchange for fixed-rate payments over the life of the agreement without exchange of the underlying principal amount.</w:t>
      </w:r>
    </w:p>
    <w:p>
      <w:pPr>
        <w:spacing w:after="0" w:line="19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December 31, 2025 and 2024 was $0.7 million and $(0.4) million, respectively. Derivative financial instruments in an asset position are included in prepaid expenses and other assets and those in a liability position are included in other liabilities in the accompanying consolidated balance sheets.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Deferred Management Rights Proceeds</w:t>
      </w:r>
    </w:p>
    <w:p>
      <w:pPr>
        <w:spacing w:after="0" w:line="229" w:lineRule="exact"/>
        <w:rPr>
          <w:sz w:val="20"/>
          <w:szCs w:val="20"/>
          <w:color w:val="auto"/>
        </w:rPr>
      </w:pPr>
    </w:p>
    <w:p>
      <w:pPr>
        <w:ind w:left="60" w:right="31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its Gaylord Hotels properties (the “Management Rights”) to Marriott for $210.0 million in cash. Effective October 1, 2012, Marriott assumed responsibility for managing the day-to-day operations of the Gaylord Hotels properties pursuant to a management agreement for each such property. The Company allocated $190.0 million of the purchase price to the Management Rights, based on the Company’s estimates of the fair values for the respective components. For financial reporting purposes, the amount related to the Management Rights was deferred and is amortized on a straight-line basis over the 65-year term of the hotel management agreements, including extensions, as a reduction in management fee expense.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Company is a lessee of a 65.3 acre site in Osceola County, Florida on which Gaylord Palms is located; a 237-acre site in Maricopa County, Arizona on which a portion of JW Marriott Desert Ridge is located; building or land leases for Ole Red Gatlinburg, Ole Red Orlando, Ole Red Tishomingo, Ole Red Nashville International Airport, Ole Red Las Vegas and Category 10 Las Vegas; and various warehouse, general office and other equipment leases. The Gaylord Palms land lease has a term through 2074, which may be extended through January 2101, at the Company’s discretion. The JW Marriott Desert Ridge land lease has a term through 2092. The leases for Ole Red locations and Category 10 Las Vegas range from five to twelve years, with renewal options ranging from five to fifty-five years, at the Company’s discretion, with the exception of Ole Red Nashville International Airport, which has no extension option. Extension options were not considered reasonably assured as of the date of the agreement and, as a result, are not included in the Company’s calculation of its right-of-use assets and lease liabilities. The Company’s lease agreements do not contain any material residual value guarantees or material restrictive covenants.</w:t>
      </w:r>
    </w:p>
    <w:p>
      <w:pPr>
        <w:spacing w:after="0" w:line="192"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variable lease payments based upon net revenues of the respective business and certain other of the Company’s leases include rental payments adjusted periodically for inflation. The Company recorded $5.3 million, $5.2 million and $4.3 million of contingent rental expense in 2025, 2024 and 2023, respectively.</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 for the years ended December 31 is as follows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w:t>
            </w: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December 31, 2025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52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940" w:type="dxa"/>
            <w:vAlign w:val="bottom"/>
            <w:tcBorders>
              <w:right w:val="single" w:sz="8" w:color="CCEEFF"/>
            </w:tcBorders>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940" w:type="dxa"/>
            <w:vAlign w:val="bottom"/>
            <w:tcBorders>
              <w:right w:val="single" w:sz="8" w:color="CCEEFF"/>
            </w:tcBorders>
          </w:tcPr>
          <w:p>
            <w:pPr>
              <w:spacing w:after="0"/>
              <w:rPr>
                <w:sz w:val="18"/>
                <w:szCs w:val="18"/>
                <w:color w:val="auto"/>
              </w:rPr>
            </w:pPr>
          </w:p>
        </w:tc>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(524,851)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940" w:type="dxa"/>
            <w:vAlign w:val="bottom"/>
            <w:tcBorders>
              <w:right w:val="single" w:sz="8" w:color="CCEEFF"/>
            </w:tcBorders>
          </w:tcPr>
          <w:p>
            <w:pPr>
              <w:spacing w:after="0"/>
              <w:rPr>
                <w:sz w:val="18"/>
                <w:szCs w:val="18"/>
                <w:color w:val="auto"/>
              </w:rPr>
            </w:pPr>
          </w:p>
        </w:tc>
        <w:tc>
          <w:tcPr>
            <w:tcW w:w="5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40.2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2.2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7.2 %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5.9 %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 Plans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May 9, 2024, the Company’s shareholders approved the Company’s 2024 Omnibus Incentive Plan (the “2024 Plan”). The 2024 Plan replaces the Company’s previous 2016 Omnibus Incentive Plan (the “2016 Plan”) and no new awards will be made under the 2016 Plan; however, awards granted under the 2016 Plan will continue to be governed by the 2016 Plan. The 2024 Plan permits the grant of stock options, stock appreciation rights, restricted stock, restricted stock units, performance awards and other equity-based awards to its directors, employees and consultants. At December 31, 2025, approximately 1.7 million shares of common stock remained available for issuance pursuant to future grants of awards under the 2024 Plan.</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Restricted stock units granted to employees vest one to four years from the date of grant, subject to any applicable performance targets, and restricted stock units granted to non-employee directors vest one year from the date of grant, unless the recipient chooses to defer the vesting for a period of time. Depending on the type of award, the fair value of restricted stock units is determined either based on the market price of the Company’s stock at the date of grant or based on a Monte-Carlo valuation. Forfeitures are estimated based on historical experience. The Company generally records compensation expense equal to the fair value of each restricted stock unit granted over the vesting period. The weighted-average grant-date fair value of restricted stock units granted during 2025, 2024, and 2023 was $98.55, $113.10, and $85.25,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units as of December 31, 2025 and changes during the year ended December 31, 2025, is presented below:</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9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860" w:type="dxa"/>
            <w:vAlign w:val="bottom"/>
            <w:gridSpan w:val="2"/>
          </w:tcPr>
          <w:p>
            <w:pPr>
              <w:jc w:val="center"/>
              <w:ind w:left="56"/>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36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January 1, 2025</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448,465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206,803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December 31, 2025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465,459</w:t>
            </w:r>
          </w:p>
        </w:tc>
        <w:tc>
          <w:tcPr>
            <w:tcW w:w="8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fair value of all restricted stock units that vested during 2025, 2024 and 2023 was $16.7 million, $34.4 million and $14.9 million, respectively.</w:t>
      </w:r>
    </w:p>
    <w:p>
      <w:pPr>
        <w:spacing w:after="0" w:line="162"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At December 31, 2025, there was $24.2 million of total unrecognized compensation cost related to restricted stock units granted under the Company’s equity incentive plans. That cost is expected to be recognized over a weighted-average period of 2.3 years.</w:t>
      </w:r>
    </w:p>
    <w:p>
      <w:pPr>
        <w:spacing w:after="0" w:line="1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compensation cost that has been charged against pre-tax income for all of the Company’s equity-based compensation plans was $14.1 million, $13.9 million, and $15.4 million for 2025,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Plans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Prior to January 1, 2001, the Company maintained a noncontributory defined benefit pension plan in which substantially all of its employees were eligible to participate upon meeting the pension plan’s participation requirements. The benefits were based on years of service and compensation levels. On December 31, 2000, benefits credited under the plan’s previous formula were frozen. On January 1, 2001, the Company amended its defined benefit pension plan to determine future benefits using a cash balance formula. Under the cash formula, each participant had an account which was credited monthly with 3% of qualified earnings and the interest earned on their previous month-end cash balance. In addition, the Company included a “grandfather” clause which assures that those participating at January 1, 2001 will receive the greater of the benefit calculated under the cash balance plan and the benefit that would have been payable if the defined benefit plan had remained in existence. The benefit payable to a terminated vested participant upon retirement at age 65, or as early as age 55 if the participant had 15 years of service at the time the plan was frozen, is equal to the participant’s account balance, which increases with interest credits over time. At retirement, the employee generally receives the balance in the account as a lump sum. The funding policy of the Company is to contribute annually an amount which equals or exceeds the minimum required by applicable law. On December 31, 2001, the plan was frozen such that no new participants were allowed to enter the plan and existing participants were no longer eligible to earn service credits.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funded status of the retirement plan at December 31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52,348</w:t>
            </w:r>
          </w:p>
        </w:tc>
        <w:tc>
          <w:tcPr>
            <w:tcW w:w="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 loss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Funded status (accrued pension liability)</w:t>
            </w:r>
          </w:p>
        </w:tc>
        <w:tc>
          <w:tcPr>
            <w:tcW w:w="1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312" w:lineRule="auto"/>
        <w:rPr>
          <w:sz w:val="20"/>
          <w:szCs w:val="20"/>
          <w:color w:val="auto"/>
        </w:rPr>
      </w:pPr>
      <w:r>
        <w:rPr>
          <w:rFonts w:ascii="Times New Roman" w:cs="Times New Roman" w:eastAsia="Times New Roman" w:hAnsi="Times New Roman"/>
          <w:sz w:val="17"/>
          <w:szCs w:val="17"/>
          <w:color w:val="auto"/>
        </w:rPr>
        <w:t>The funded status as of December 31, 2025 is included in prepaid expenses and other assets and the accrued pension liability as of December 31, 2024 is included in other liabilities in the accompanying consolidated balance sheets.</w:t>
      </w:r>
    </w:p>
    <w:p>
      <w:pPr>
        <w:spacing w:after="0" w:line="14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Net settlement losses and net periodic pension expense were immaterial for all periods presented. The discount rate assumption used to determine the benefit obligation at December 31, 2025, 2024 and 2023 was 4.97%, 5.28% and 4.66%, respectively.</w:t>
      </w:r>
    </w:p>
    <w:p>
      <w:pPr>
        <w:spacing w:after="0" w:line="1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Company determines the overall expected long-term rate of return on plan assets, which was determined to be 6% in each of the three years in the period ended December 31, 2025, based on its estimate of the return that plan assets will provide over the period that benefits are expected to be paid out. In preparing this estimate, the Company assesses the rates of return on each current allocation of plan assets and advice from its third-party actuary and investment consultants. The expected return on plan assets is a long-term assumption and generally does not significantly change annually. While historical returns are considered, the rate of return assumption is primarily based on projections of expected returns based on fair value,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the Company’s pension obligations and expense.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227"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plan’s overall strategy is to achieve a rate of return necessary to fund benefit payments by utilizing a variety of asset types, investment strategies and investment managers. The plan seeks to achieve a long-term rate of return over inflation resulting from income, capital gains, or both, which assists the plan in meeting its long-term objectives.</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long-term target allocations for the plan’s assets are managed dynamically according to a sliding scale correlating with the funded status of the plan. As the plan’s funded status increases, allocations are moved away from equity securities toward fixed income securities. Equity securities primarily include large cap and mid cap companies. Fixed income securities primarily include corporate bonds of companies in diversified industries, mortgage-backed securities and U.S. Treasuries. Investments in hedge funds and private equity funds are not held by the plan.</w:t>
      </w:r>
    </w:p>
    <w:p>
      <w:pPr>
        <w:spacing w:after="0" w:line="183"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All of the assets held by the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5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Periodically, and based on market conditions, the entire account is rebalanced to maintain the desired allocation and the investment policy is reviewed. Within each asset class, plan assets are allocated to various investment styles.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Professional managers manage all assets of the plan, and professional advisors assist the plan in the attainment of its objectives.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Expected Contributions and Benefit Payments</w:t>
      </w:r>
    </w:p>
    <w:p>
      <w:pPr>
        <w:spacing w:after="0" w:line="227"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$0.6 million to its defined benefit pension plan in 2026. Based on the Company’s assumptions discussed above, the Company expects to make the following estimated future benefit payments under the plan during the years ending December 31 (amounts in thousands):</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9,061</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2031 - 2035</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also maintains non-qualified pension plans (the “Non-Qualified Plans”) to provide benefits to certain key employees. The Non-Qualified Plans are not funded, and the beneficiaries’ rights to receive distributions under these plans constitute unsecured claims to be paid from the Company’s general assets. At December 31, 2025 and 2024, the Non-Qualified Plans’ projected benefit obligations and accumulated benefit obligations were $10.1 million and $10.2 million, respectively, and are included in other liabilities in the accompanying consolidated balance sheets.</w:t>
      </w:r>
    </w:p>
    <w:p>
      <w:pPr>
        <w:spacing w:after="0" w:line="183"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Included in accumulated other comprehensive loss at December 31, 2025 and 2024 are unrecognized actuarial losses of $13.6 million and $16.4 million ($10.3 million and $12.4 million net of tax), respectively, that have not yet been recognized in net periodic pension expense. Net losses are amortized into net periodic pension expense based on the life expectancy of plan participants expected to receive benefits, using a corridor approach based on the greater of projected benefit obligation or fair value of plan assets.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227" w:lineRule="exact"/>
        <w:rPr>
          <w:sz w:val="20"/>
          <w:szCs w:val="20"/>
          <w:color w:val="auto"/>
        </w:rPr>
      </w:pPr>
    </w:p>
    <w:p>
      <w:pPr>
        <w:jc w:val="both"/>
        <w:ind w:left="60" w:right="159"/>
        <w:spacing w:after="0" w:line="272" w:lineRule="auto"/>
        <w:rPr>
          <w:sz w:val="20"/>
          <w:szCs w:val="20"/>
          <w:color w:val="auto"/>
        </w:rPr>
      </w:pPr>
      <w:r>
        <w:rPr>
          <w:rFonts w:ascii="Times New Roman" w:cs="Times New Roman" w:eastAsia="Times New Roman" w:hAnsi="Times New Roman"/>
          <w:sz w:val="17"/>
          <w:szCs w:val="17"/>
          <w:color w:val="auto"/>
        </w:rPr>
        <w:t>In May 2025, the Company completed an underwritten public offering of approximately 3.0 million shares of its common stock, par value $0.01 per share, at a price to the public of $96.20 per share. Net proceeds to the Company, after deducting underwriting discounts and commissions and other expenses paid by the Company, were approximately $275.5 million.</w:t>
      </w:r>
    </w:p>
    <w:p>
      <w:pPr>
        <w:spacing w:after="0" w:line="2" w:lineRule="exact"/>
        <w:rPr>
          <w:sz w:val="20"/>
          <w:szCs w:val="20"/>
          <w:color w:val="auto"/>
        </w:rPr>
      </w:pPr>
    </w:p>
    <w:p>
      <w:pPr>
        <w:ind w:left="60" w:right="619"/>
        <w:spacing w:after="0" w:line="260" w:lineRule="auto"/>
        <w:rPr>
          <w:sz w:val="20"/>
          <w:szCs w:val="20"/>
          <w:color w:val="auto"/>
        </w:rPr>
      </w:pPr>
      <w:r>
        <w:rPr>
          <w:rFonts w:ascii="Times New Roman" w:cs="Times New Roman" w:eastAsia="Times New Roman" w:hAnsi="Times New Roman"/>
          <w:sz w:val="18"/>
          <w:szCs w:val="18"/>
          <w:color w:val="auto"/>
        </w:rPr>
        <w:t>The Company used a portion of these proceeds to fund a portion of the purchase price for JW Marriott Desert Ridge discussed in Note 1.</w:t>
      </w:r>
    </w:p>
    <w:p>
      <w:pPr>
        <w:spacing w:after="0" w:line="181" w:lineRule="exact"/>
        <w:rPr>
          <w:sz w:val="20"/>
          <w:szCs w:val="20"/>
          <w:color w:val="auto"/>
        </w:rPr>
      </w:pPr>
    </w:p>
    <w:p>
      <w:pPr>
        <w:jc w:val="both"/>
        <w:ind w:left="60" w:right="159"/>
        <w:spacing w:after="0" w:line="281" w:lineRule="auto"/>
        <w:rPr>
          <w:sz w:val="20"/>
          <w:szCs w:val="20"/>
          <w:color w:val="auto"/>
        </w:rPr>
      </w:pPr>
      <w:r>
        <w:rPr>
          <w:rFonts w:ascii="Times New Roman" w:cs="Times New Roman" w:eastAsia="Times New Roman" w:hAnsi="Times New Roman"/>
          <w:sz w:val="17"/>
          <w:szCs w:val="17"/>
          <w:color w:val="auto"/>
        </w:rPr>
        <w:t>In June 2023, the Company completed an underwritten public offering of approximately 4.4 million shares of its common stock, par value $0.01 per share, at a price to the public of $93.25 per share. Net proceeds to the Company, after deducting underwriting discounts and commissions and other expenses paid by the Company, were approximately $395 million. The Company used the proceeds to fund a portion of the purchase price for JW Marriott Hill Country discussed in Note 1.</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During 2025, the Company’s board of directors declared quarterly dividends and distributions totaling $4.65 per share of common stock/OP Unit for the full year, or an aggregate of $291.3 million in cash.</w:t>
      </w:r>
    </w:p>
    <w:p>
      <w:pPr>
        <w:spacing w:after="0" w:line="16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During 2024, the Company’s board of directors declared quarterly dividends and distributions totaling $4.45 per share of common stock/OP Unit for the full year, or an aggregate of $268.3 million in cash.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During 2023, the Company’s board of directors declared quarterly dividends and distributions totaling $3.85 per share of common stock/OP Unit for the full year, or an aggregate of $228.1 million in cash.</w:t>
      </w:r>
    </w:p>
    <w:p>
      <w:pPr>
        <w:spacing w:after="0" w:line="16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To maintain its qualification as a REIT for federal income tax purposes, the Company must distribute at least 90% of its REIT taxable income each year. The Company’s dividend policy provides that the Company will make minimum dividends of 100% of REIT taxable income annually, subject to the Company’s board of directors’ future determinations as to the amount of any distributions and the timing thereof. The dividend policy may be altered at any time by the Company’s board of directors.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December 18, 2008, following approval by the Human Resources Committee and the Board of Directors, the Company and the Company’s Chairman of the Board of Directors and then-Chief Executive Officer (“Executive”) entered into an amendment to Executive’s employment agreement. The amendment provided Executive with the option of making an irrevocable election to invest his existing Supplemental Employee Retirement Plan (“SERP”) benefit in Company common stock, which election Executive subsequently made. The investment was made by a rabbi trust in which, during</w:t>
      </w:r>
    </w:p>
    <w:p>
      <w:pPr>
        <w:spacing w:after="0" w:line="3"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January 2009, the independent trustee of the rabbi trust purchased shares of Company common stock in the open market in compliance with applicable law. Executive is only entitled to a distribution of the Company common stock held by the rabbi trust in satisfaction of his SERP benefit. As such, the Company believes that the ownership of shares of common stock by the rabbi trust and the distribution of those shares to Executive in satisfaction of his SERP benefit meets the requirements necessary so that the Company will not recognize any increase or decrease in expense as a result of subsequent changes in the value of the Company common stock, and the purchased shares are treated as treasury stock and the SERP benefit is included in additional paid-in capital in the Company’s accompanying consolidated financial statements. The increase in treasury stock for a particular year represents dividends received on shares of Company common stock held by the rabbi trust.</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consisted of the following (amounts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Other-Than-</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10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(12,276)</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4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(15,172)</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2025</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Company has elected to be taxed as a REIT effective January 1, 2013, pursuant to the U.S. Internal Revenue Code of 1986, as amended. As a REIT, the Company generally will not be subject to federal corporate income taxes 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ordinary taxable income and capital gains income from real estate investments that it distributes to its stockholders. The Company pays federal and state corporate income taxes on earnings of its taxable REIT subsidiaries (“TRSs”).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(provision) benefit for continuing operations consists of the following (amounts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20" w:type="dxa"/>
            <w:vAlign w:val="bottom"/>
          </w:tcPr>
          <w:p>
            <w:pPr>
              <w:spacing w:after="0"/>
              <w:rPr>
                <w:sz w:val="15"/>
                <w:szCs w:val="15"/>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(1,147)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current provision</w:t>
            </w:r>
          </w:p>
        </w:tc>
        <w:tc>
          <w:tcPr>
            <w:tcW w:w="7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7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7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(7,324)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evaluates its deferred tax assets each reporting period to determine if it is more likely than not that those assets will be realized or if a valuation allowance is needed. In the fourth quarter of 2023, due to continued improvement in the Company’s financial results coming out of the COVID-19 pandemic and the projected future taxable income of its TRSs, the Company determined that the release of a significant portion of its federal and state valuation allowance was appropriate. This release of valuation allowance of $112.5 million was the primary factor in the income tax benefit for 2023.</w:t>
      </w:r>
    </w:p>
    <w:p>
      <w:pPr>
        <w:spacing w:after="0" w:line="187"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The Company is required to distribute at least 90% of its annual taxable income, excluding net capital gains, to its stockholders in order to maintain its qualification as a REIT. The taxability of distributions to stockholders is determined by the Company’s earnings and profits, which differs from net income reported for financial reporting purposes. The estimated taxability of cash distributions paid to common stockholders is shown in the table below (per common share):</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5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20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$ 4.21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$ 4.28</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$ 3.75</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20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$ 4.28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$ 4.35</w:t>
            </w:r>
          </w:p>
        </w:tc>
        <w:tc>
          <w:tcPr>
            <w:tcW w:w="16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$ 3.85</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differences between the income tax provision calculated at the statutory U.S. federal income tax rate of 21% and the actual income tax (provision) benefit recorded for continuing operations are as follows (amounts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statutory federal income tax provision</w:t>
            </w:r>
          </w:p>
        </w:tc>
        <w:tc>
          <w:tcPr>
            <w:tcW w:w="5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(53,474) 21.0%</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(61,746) 21.0%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(52,101)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nontaxable income of the REIT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49,378 (19.4)%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2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 taxes, net (1)(2)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902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(13,836)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3" w:lineRule="exact"/>
        <w:rPr>
          <w:sz w:val="20"/>
          <w:szCs w:val="20"/>
          <w:color w:val="auto"/>
        </w:rPr>
      </w:pPr>
    </w:p>
    <w:p>
      <w:pPr>
        <w:ind w:left="720" w:right="259" w:hanging="319"/>
        <w:spacing w:after="0" w:line="261"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that contributes to the majority (greater than 50 percent) of the tax effect in this category for 2025 and 2024 is Texas and for 2023 is Tennessee.</w:t>
      </w:r>
    </w:p>
    <w:p>
      <w:pPr>
        <w:ind w:left="720" w:right="739" w:hanging="319"/>
        <w:spacing w:after="0" w:line="260"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taxes in 2023 include an income tax benefit of $25.2 million related to the release of state valuation allowance.</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taxes paid (net of refunds received) consist of the following (in thousands):</w:t>
      </w:r>
    </w:p>
    <w:p>
      <w:pPr>
        <w:spacing w:after="0" w:line="23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Texas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2,731</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16"/>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Tennessee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16"/>
        </w:trPr>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9"/>
        </w:trPr>
        <w:tc>
          <w:tcPr>
            <w:tcW w:w="2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3,019</w:t>
            </w:r>
          </w:p>
        </w:tc>
        <w:tc>
          <w:tcPr>
            <w:tcW w:w="160" w:type="dxa"/>
            <w:vAlign w:val="bottom"/>
            <w:gridSpan w:val="2"/>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$ 6,490</w:t>
            </w:r>
          </w:p>
        </w:tc>
      </w:tr>
      <w:tr>
        <w:trPr>
          <w:trHeight w:val="20"/>
        </w:trPr>
        <w:tc>
          <w:tcPr>
            <w:tcW w:w="2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at December 31 are as follows (amounts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8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reserves and accruals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27,380</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Pension plans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management rights proceeds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137,064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credits and other carryforwards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228,661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223,077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205,148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142,913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155,408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tax assets</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67,669</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TRS federal net operating loss carryforwards at December 31, 2025 totaled $533.5 million, resulting in a deferred tax asset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$112.0 million, and do not expire. The REIT has no federal net operating losses as of December 31, 2025. The TRS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federal interest limitation carryforward at December 31, 2025 totaled $71.4 million, resulting in a deferred tax asset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 million that does not expire. The Company has assessed the need for a valuation allowance and determined that it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more likely than not that its deferred tax assets will be realized; therefore, no valuation allowance has been recorded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federal purposes.</w:t>
      </w:r>
    </w:p>
    <w:p>
      <w:pPr>
        <w:spacing w:after="0" w:line="20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State net operating loss carryforwards at December 31, 2025 totaled $608.7 million, resulting in a deferred tax benefit of $25.0 million, which will expire between 2026 and 2045. The use of certain state net operating losses, credits and other state deferred tax assets is subject to limitations based on the future taxable earnings of separate legal entities. As a result, a valuation allowance has been provided for certain state deferred tax assets, including loss carryforwards. The valuation allowance related to state deferred tax assets decreased $0, $0 and $(25.1) million in 2025, 2024 and 2023, respectively.</w:t>
      </w:r>
    </w:p>
    <w:p>
      <w:pPr>
        <w:spacing w:after="0" w:line="18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Company has concluded IRS examinations of the TRS through the 2015 tax year. For federal income tax purposes and substantially all the states with which the Company has nexus, the statute of limitations has expired through 2021. However, the Company has federal and state net operating loss carryforwards from closed years, which could be adjusted upon audit. The Company is routinely subject to other various jurisdictional income tax audits; however, there were no outstanding state or local audits at December 31, 2025.</w:t>
      </w:r>
    </w:p>
    <w:p>
      <w:pPr>
        <w:spacing w:after="0" w:line="183"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Company had no accruals for unrecognized tax benefits. The Company recognizes interest and penalties related to uncertain tax positions, if any, in income tax expense. At December 31, 2025 and 2024, the Company has accrued no interest or penalties related to uncertain tax positions.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9" w:lineRule="exact"/>
        <w:rPr>
          <w:sz w:val="20"/>
          <w:szCs w:val="20"/>
          <w:color w:val="auto"/>
        </w:rPr>
      </w:pPr>
    </w:p>
    <w:p>
      <w:pPr>
        <w:ind w:left="60" w:right="219"/>
        <w:spacing w:after="0" w:line="273" w:lineRule="auto"/>
        <w:rPr>
          <w:sz w:val="20"/>
          <w:szCs w:val="20"/>
          <w:color w:val="auto"/>
        </w:rPr>
      </w:pPr>
      <w:r>
        <w:rPr>
          <w:rFonts w:ascii="Times New Roman" w:cs="Times New Roman" w:eastAsia="Times New Roman" w:hAnsi="Times New Roman"/>
          <w:sz w:val="17"/>
          <w:szCs w:val="17"/>
          <w:color w:val="auto"/>
        </w:rPr>
        <w:t>On April 9, 2024, the Company received service of process in a lawsuit naming the Company and a subsidiary as co-defendants with Marriott, as the manager, and multiple contractors in a personal injury lawsuit filed by the individual plaintiffs in Colorado state court. The lawsuit relates to a May 2023 incident at the Gaylord Rockies indoor pool amenity involving the collapse of HVAC equipment. The complaint requests an unspecified amount of damages related to alleged injuries to two guests. The discovery phase of the litigation is ongoing at this time. The Company cannot predict its likely outcome or estimate the range of possible loss but does not believe that the outcome will have a material impact on the Company’s financial position. The Company intends to vigorously defend the lawsuit and believes it has strong defenses.</w:t>
      </w:r>
    </w:p>
    <w:p>
      <w:pPr>
        <w:spacing w:after="0" w:line="171"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As of January 1, 2022, the Company is self-insured for certain losses related to employee medical benefits. The Company has purchased stop-loss coverage in order to limit its exposure to any significant levels of claims relating to workers’ compensation and employee medical benefits for which it is self-insured.</w:t>
      </w:r>
    </w:p>
    <w:p>
      <w:pPr>
        <w:spacing w:after="0" w:line="1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after a change of control.</w:t>
      </w:r>
    </w:p>
    <w:p>
      <w:pPr>
        <w:spacing w:after="0" w:line="16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other matters. It is the opinion of management that such legal actions will not have a material effect on the financial statements of the Company.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83"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these valuation techniques in all periods presented and believes it has obtained the most accurate information available for the types of instruments it holds.</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at fair value on a recurring basis at December 31, were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Observable</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49"/>
        </w:trPr>
        <w:tc>
          <w:tcPr>
            <w:tcW w:w="3840" w:type="dxa"/>
            <w:vAlign w:val="bottom"/>
          </w:tcPr>
          <w:p>
            <w:pPr>
              <w:spacing w:after="0"/>
              <w:rPr>
                <w:sz w:val="12"/>
                <w:szCs w:val="12"/>
                <w:color w:val="auto"/>
              </w:rPr>
            </w:pPr>
          </w:p>
        </w:tc>
        <w:tc>
          <w:tcPr>
            <w:tcW w:w="1880" w:type="dxa"/>
            <w:vAlign w:val="bottom"/>
            <w:gridSpan w:val="3"/>
          </w:tcPr>
          <w:p>
            <w:pPr>
              <w:ind w:left="10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r>
      <w:tr>
        <w:trPr>
          <w:trHeight w:val="173"/>
        </w:trPr>
        <w:tc>
          <w:tcPr>
            <w:tcW w:w="38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(Level 3)</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8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Observable</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fair value of notes receivable is discussed in Note 3, “Notes Receivable.” The remainder of the assets and liabilities held by the Company at December 31, 2025 are not required to be recorded at fair value, and financial assets and liabilities approximate fair value, except as described below.</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has outstanding $625.0 million of the $625 Million 6.50% Senior Notes. The carrying value of these notes at December 31, 2025 was $615.3 million, net of unamortized DFCs. The fair value of these notes, based upon quoted market prices (Level 1), was $650.0 million at December 31, 2025.</w:t>
      </w:r>
    </w:p>
    <w:p>
      <w:pPr>
        <w:spacing w:after="0" w:line="1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Company has outstanding $1.0 billion of the $1 Billion 6.50% Senior Notes. The carrying value of these notes at December 31, 2025 was $986.2 million, net of unamortized DFCs. The fair value of these notes, based upon quoted market prices (Level 1), was $1.04 billion at December 31, 2025.</w:t>
      </w:r>
    </w:p>
    <w:p>
      <w:pPr>
        <w:spacing w:after="0" w:line="1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See the “JW Marriott Hill Country Transaction” and the “JW Marriott Desert Ridge Transaction” sections of Note 1 for additional disclosures related to the fair value measurements used in accounting for the purchase of JW Marriott Hill Country and JW Marriott Desert Ridge.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Financial Reporting By Business 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the following principal business segments:</w:t>
      </w:r>
    </w:p>
    <w:p>
      <w:pPr>
        <w:spacing w:after="0" w:line="223" w:lineRule="exact"/>
        <w:rPr>
          <w:sz w:val="20"/>
          <w:szCs w:val="20"/>
          <w:color w:val="auto"/>
        </w:rPr>
      </w:pPr>
    </w:p>
    <w:p>
      <w:pPr>
        <w:ind w:left="720" w:right="179" w:hanging="319"/>
        <w:spacing w:after="0" w:line="267"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JW Marriott properties (including, effective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2025, JW Marriott Desert Ridge and effective June 30, 2023, JW Marriott Hill Country), the Inn at Opryland and the AC Hotel;</w:t>
      </w:r>
    </w:p>
    <w:p>
      <w:pPr>
        <w:spacing w:after="0" w:line="173" w:lineRule="exact"/>
        <w:rPr>
          <w:rFonts w:ascii="Times New Roman" w:cs="Times New Roman" w:eastAsia="Times New Roman" w:hAnsi="Times New Roman"/>
          <w:sz w:val="18"/>
          <w:szCs w:val="18"/>
          <w:color w:val="auto"/>
        </w:rPr>
      </w:pPr>
    </w:p>
    <w:p>
      <w:pPr>
        <w:ind w:left="720" w:right="539" w:hanging="319"/>
        <w:spacing w:after="0" w:line="284"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Category 10, Block 21, and Southern Entertainment; and</w:t>
      </w:r>
    </w:p>
    <w:p>
      <w:pPr>
        <w:spacing w:after="0" w:line="158" w:lineRule="exact"/>
        <w:rPr>
          <w:rFonts w:ascii="Times New Roman" w:cs="Times New Roman" w:eastAsia="Times New Roman" w:hAnsi="Times New Roman"/>
          <w:sz w:val="18"/>
          <w:szCs w:val="18"/>
          <w:color w:val="auto"/>
        </w:rPr>
      </w:pPr>
    </w:p>
    <w:p>
      <w:pPr>
        <w:ind w:left="720" w:right="379" w:hanging="319"/>
        <w:spacing w:after="0" w:line="284"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operating and general and administrative expenses related to the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the Company which are not allocated to the other reportable segments.</w:t>
      </w:r>
    </w:p>
    <w:p>
      <w:pPr>
        <w:spacing w:after="0" w:line="160"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comprised of the Company’s chief executive officer and the Company’s chief financial officer. The CODM uses segment operating income (loss) to evaluate the performance of each segment and to allocate resources.</w:t>
      </w:r>
    </w:p>
    <w:p>
      <w:pPr>
        <w:spacing w:after="0" w:line="1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accounting policies for each segment are the same as those described in Note 1, “Description of the Business and Summary of Significant Accounting Policies.” The Company does not have intersegment sales or transfers. The following information (amounts in thousands) is derived directly from the segments’ internal financial reports used by the CODM and for corporate management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0"/>
          </w:tcPr>
          <w:p>
            <w:pPr>
              <w:jc w:val="right"/>
              <w:ind w:right="390"/>
              <w:spacing w:after="0"/>
              <w:rPr>
                <w:sz w:val="20"/>
                <w:szCs w:val="20"/>
                <w:color w:val="auto"/>
              </w:rPr>
            </w:pPr>
            <w:r>
              <w:rPr>
                <w:rFonts w:ascii="Times New Roman" w:cs="Times New Roman" w:eastAsia="Times New Roman" w:hAnsi="Times New Roman"/>
                <w:sz w:val="18"/>
                <w:szCs w:val="18"/>
                <w:color w:val="auto"/>
              </w:rPr>
              <w:t>For the Year Ended December 31, 2025</w:t>
            </w:r>
          </w:p>
        </w:tc>
      </w:tr>
      <w:tr>
        <w:trPr>
          <w:trHeight w:val="191"/>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1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$ 2,143,086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433,975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2,577,061</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190,686</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561,980</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613,304</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75,082</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121,209</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56,164</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67,391</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27,543</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94,412</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sale of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239,857</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278,100</w:t>
            </w: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462,177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487,012</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(36,995)</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(204,228)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(241,270)</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20,299</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r>
      <w:tr>
        <w:trPr>
          <w:trHeight w:val="216"/>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254,634</w:t>
            </w: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r>
      <w:tr>
        <w:trPr>
          <w:trHeight w:val="426"/>
        </w:trPr>
        <w:tc>
          <w:tcPr>
            <w:tcW w:w="5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0"/>
          </w:tcPr>
          <w:p>
            <w:pPr>
              <w:jc w:val="right"/>
              <w:ind w:right="390"/>
              <w:spacing w:after="0"/>
              <w:rPr>
                <w:sz w:val="20"/>
                <w:szCs w:val="20"/>
                <w:color w:val="auto"/>
              </w:rPr>
            </w:pPr>
            <w:r>
              <w:rPr>
                <w:rFonts w:ascii="Times New Roman" w:cs="Times New Roman" w:eastAsia="Times New Roman" w:hAnsi="Times New Roman"/>
                <w:sz w:val="18"/>
                <w:szCs w:val="18"/>
                <w:color w:val="auto"/>
              </w:rPr>
              <w:t>For the Year Ended December 31, 2024</w:t>
            </w:r>
          </w:p>
        </w:tc>
      </w:tr>
      <w:tr>
        <w:trPr>
          <w:trHeight w:val="191"/>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1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$ 1,997,050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342,176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2,339,226</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179,358</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516,309</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555,554</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73,531</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102,653</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46,112</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83,192</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assts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205,189</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235,626</w:t>
            </w: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467,109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490,834</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(14,611)</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(38,283)</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(172,501)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(225,395)</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unconsolidated joint ventures (2)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294,026</w:t>
            </w: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10"/>
          </w:tcPr>
          <w:p>
            <w:pPr>
              <w:jc w:val="right"/>
              <w:ind w:right="390"/>
              <w:spacing w:after="0"/>
              <w:rPr>
                <w:sz w:val="20"/>
                <w:szCs w:val="20"/>
                <w:color w:val="auto"/>
              </w:rPr>
            </w:pPr>
            <w:r>
              <w:rPr>
                <w:rFonts w:ascii="Times New Roman" w:cs="Times New Roman" w:eastAsia="Times New Roman" w:hAnsi="Times New Roman"/>
                <w:sz w:val="18"/>
                <w:szCs w:val="18"/>
                <w:color w:val="auto"/>
              </w:rPr>
              <w:t>For the Year Ended December 31, 2023</w:t>
            </w:r>
          </w:p>
        </w:tc>
      </w:tr>
      <w:tr>
        <w:trPr>
          <w:trHeight w:val="191"/>
        </w:trPr>
        <w:tc>
          <w:tcPr>
            <w:tcW w:w="2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1,833,478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2,158,136</w:t>
            </w: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173,749</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465,963</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519,328</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66,425</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91,317</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43,544</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32,925</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81,021</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186,749</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211,227</w:t>
            </w:r>
          </w:p>
        </w:tc>
      </w:tr>
      <w:tr>
        <w:trPr>
          <w:trHeight w:val="20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421,264</w:t>
            </w:r>
          </w:p>
        </w:tc>
        <w:tc>
          <w:tcPr>
            <w:tcW w:w="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76,076</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453,684</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(55,865)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(40,988)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(211,370)</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1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248,098</w:t>
            </w: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63" w:lineRule="exact"/>
        <w:rPr>
          <w:sz w:val="20"/>
          <w:szCs w:val="20"/>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include:</w:t>
      </w:r>
    </w:p>
    <w:p>
      <w:pPr>
        <w:spacing w:after="0" w:line="27" w:lineRule="exact"/>
        <w:rPr>
          <w:rFonts w:ascii="Times New Roman" w:cs="Times New Roman" w:eastAsia="Times New Roman" w:hAnsi="Times New Roman"/>
          <w:sz w:val="18"/>
          <w:szCs w:val="18"/>
          <w:color w:val="auto"/>
        </w:rPr>
      </w:pPr>
    </w:p>
    <w:p>
      <w:pPr>
        <w:ind w:left="720" w:right="9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 administrative employment costs, utilities, property taxes, supplies, advertising, maintenance and consulting expenses</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 advertising, utilities, maintenance and certain overhead expenses</w:t>
      </w:r>
    </w:p>
    <w:p>
      <w:pPr>
        <w:spacing w:after="0" w:line="9" w:lineRule="exact"/>
        <w:rPr>
          <w:rFonts w:ascii="Times New Roman" w:cs="Times New Roman" w:eastAsia="Times New Roman" w:hAnsi="Times New Roman"/>
          <w:sz w:val="18"/>
          <w:szCs w:val="18"/>
          <w:color w:val="auto"/>
        </w:rPr>
      </w:pPr>
    </w:p>
    <w:p>
      <w:pPr>
        <w:ind w:left="720" w:right="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 information technology, human resources, accounting, equity-based compensation and other administrative expenses</w:t>
      </w: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from unconsolidated joint ventures relates to the Entertainment segment.</w:t>
      </w:r>
    </w:p>
    <w:p>
      <w:pPr>
        <w:spacing w:after="0" w:line="20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7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0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$ 4,996,594</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$ 4,081,754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745,755</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438,834</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$ 6,181,183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$ 5,217,573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capital expenditures by segment for the years ended December 31 (amounts in thousands):</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0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9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209"/>
        </w:trPr>
        <w:tc>
          <w:tcPr>
            <w:tcW w:w="32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$ 325,156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$ 300,867</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$ 145,805</w:t>
            </w:r>
          </w:p>
        </w:tc>
      </w:tr>
      <w:tr>
        <w:trPr>
          <w:trHeight w:val="216"/>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106,828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60,428</w:t>
            </w:r>
          </w:p>
        </w:tc>
      </w:tr>
      <w:tr>
        <w:trPr>
          <w:trHeight w:val="216"/>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10"/>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$ 358,235</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$ 407,905</w:t>
            </w:r>
          </w:p>
        </w:tc>
        <w:tc>
          <w:tcPr>
            <w:tcW w:w="160" w:type="dxa"/>
            <w:vAlign w:val="bottom"/>
            <w:gridSpan w:val="2"/>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$ 206,776</w:t>
            </w:r>
          </w:p>
        </w:tc>
      </w:tr>
      <w:tr>
        <w:trPr>
          <w:trHeight w:val="20"/>
        </w:trPr>
        <w:tc>
          <w:tcPr>
            <w:tcW w:w="3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On January 28, 2026, we entered into an Amendment No. 1 to Credit Agreement (“the First Amendment”) which amended the Credit Agreement to, among other things, increase the Revolver from the original aggregate principal amount of $700.0 million to $850.0 million, remove the “SOFR Adjustment” applicable to borrowing under the Revolver, extend the initial maturity date of the Revolver to January 28, 2030 and modify certain financial covenants applicable to the Revolver.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1500" w:right="176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SCHEDULE II – VALUATION AND QUALIFYING ACCOUNTS (Amounts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12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Net (Deductions)</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4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Expenses/Other</w:t>
            </w:r>
          </w:p>
        </w:tc>
        <w:tc>
          <w:tcPr>
            <w:tcW w:w="1260" w:type="dxa"/>
            <w:vAlign w:val="bottom"/>
            <w:gridSpan w:val="4"/>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19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reserve on notes receivable:</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118,015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(112,458)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III – REAL ESTATE AND ACCUMULATED DEPRECIATION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Costs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8"/>
              </w:rPr>
              <w:t>Initial Cost to Company</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Capitalized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9"/>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Gross Amount at End of Year</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Date Acq/</w:t>
            </w:r>
          </w:p>
        </w:tc>
        <w:tc>
          <w:tcPr>
            <w:tcW w:w="1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Depr Life</w:t>
            </w: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​​​Encmbr ​​​</w:t>
            </w:r>
          </w:p>
        </w:tc>
        <w:tc>
          <w:tcPr>
            <w:tcW w:w="100" w:type="dxa"/>
            <w:vAlign w:val="bottom"/>
          </w:tcPr>
          <w:p>
            <w:pPr>
              <w:spacing w:after="0"/>
              <w:rPr>
                <w:sz w:val="11"/>
                <w:szCs w:val="11"/>
                <w:color w:val="auto"/>
              </w:rPr>
            </w:pPr>
          </w:p>
        </w:tc>
        <w:tc>
          <w:tcPr>
            <w:tcW w:w="5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9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 Bldgs &amp; Impr</w:t>
            </w:r>
          </w:p>
        </w:tc>
        <w:tc>
          <w:tcPr>
            <w:tcW w:w="92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 Subs to Acq</w:t>
            </w:r>
          </w:p>
        </w:tc>
        <w:tc>
          <w:tcPr>
            <w:tcW w:w="1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90"/>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9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 Bldgs &amp; Impr</w:t>
            </w:r>
          </w:p>
        </w:tc>
        <w:tc>
          <w:tcPr>
            <w:tcW w:w="2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ind w:right="103"/>
              <w:spacing w:after="0" w:line="129" w:lineRule="exact"/>
              <w:rPr>
                <w:sz w:val="20"/>
                <w:szCs w:val="20"/>
                <w:color w:val="auto"/>
              </w:rPr>
            </w:pPr>
            <w:r>
              <w:rPr>
                <w:rFonts w:ascii="Times New Roman" w:cs="Times New Roman" w:eastAsia="Times New Roman" w:hAnsi="Times New Roman"/>
                <w:sz w:val="13"/>
                <w:szCs w:val="13"/>
                <w:b w:val="1"/>
                <w:bCs w:val="1"/>
                <w:color w:val="auto"/>
                <w:w w:val="99"/>
              </w:rPr>
              <w:t>Total (2)</w:t>
            </w:r>
          </w:p>
        </w:tc>
        <w:tc>
          <w:tcPr>
            <w:tcW w:w="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43"/>
              <w:spacing w:after="0" w:line="129" w:lineRule="exact"/>
              <w:rPr>
                <w:sz w:val="20"/>
                <w:szCs w:val="20"/>
                <w:color w:val="auto"/>
              </w:rPr>
            </w:pPr>
            <w:r>
              <w:rPr>
                <w:rFonts w:ascii="Times New Roman" w:cs="Times New Roman" w:eastAsia="Times New Roman" w:hAnsi="Times New Roman"/>
                <w:sz w:val="13"/>
                <w:szCs w:val="13"/>
                <w:b w:val="1"/>
                <w:bCs w:val="1"/>
                <w:color w:val="auto"/>
                <w:w w:val="99"/>
              </w:rPr>
              <w:t>Acc Depr</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center"/>
              <w:ind w:right="46"/>
              <w:spacing w:after="0" w:line="129" w:lineRule="exact"/>
              <w:rPr>
                <w:sz w:val="20"/>
                <w:szCs w:val="20"/>
                <w:color w:val="auto"/>
              </w:rPr>
            </w:pPr>
            <w:r>
              <w:rPr>
                <w:rFonts w:ascii="Times New Roman" w:cs="Times New Roman" w:eastAsia="Times New Roman" w:hAnsi="Times New Roman"/>
                <w:sz w:val="13"/>
                <w:szCs w:val="13"/>
                <w:b w:val="1"/>
                <w:bCs w:val="1"/>
                <w:color w:val="auto"/>
                <w:w w:val="93"/>
              </w:rPr>
              <w:t>Constr</w:t>
            </w:r>
          </w:p>
        </w:tc>
        <w:tc>
          <w:tcPr>
            <w:tcW w:w="66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  (yrs)</w:t>
            </w:r>
          </w:p>
        </w:tc>
        <w:tc>
          <w:tcPr>
            <w:tcW w:w="0" w:type="dxa"/>
            <w:vAlign w:val="bottom"/>
          </w:tcPr>
          <w:p>
            <w:pPr>
              <w:spacing w:after="0"/>
              <w:rPr>
                <w:sz w:val="1"/>
                <w:szCs w:val="1"/>
                <w:color w:val="auto"/>
              </w:rPr>
            </w:pPr>
          </w:p>
        </w:tc>
      </w:tr>
      <w:tr>
        <w:trPr>
          <w:trHeight w:val="20"/>
        </w:trPr>
        <w:tc>
          <w:tcPr>
            <w:tcW w:w="1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Gaylord Opryland</w:t>
            </w: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    (1) ​​​$</w:t>
            </w:r>
          </w:p>
        </w:tc>
        <w:tc>
          <w:tcPr>
            <w:tcW w:w="5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11,482</w:t>
            </w:r>
          </w:p>
        </w:tc>
        <w:tc>
          <w:tcPr>
            <w:tcW w:w="28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77,125</w:t>
            </w:r>
          </w:p>
        </w:tc>
        <w:tc>
          <w:tcPr>
            <w:tcW w:w="18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771,790</w:t>
            </w:r>
          </w:p>
        </w:tc>
        <w:tc>
          <w:tcPr>
            <w:tcW w:w="2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75,051</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785,346</w:t>
            </w:r>
          </w:p>
        </w:tc>
        <w:tc>
          <w:tcPr>
            <w:tcW w:w="2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860,397</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493,671</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shd w:val="clear" w:color="auto" w:fill="CCEEFF"/>
          </w:tcPr>
          <w:p>
            <w:pPr>
              <w:jc w:val="center"/>
              <w:ind w:right="46"/>
              <w:spacing w:after="0" w:line="142" w:lineRule="exact"/>
              <w:rPr>
                <w:sz w:val="20"/>
                <w:szCs w:val="20"/>
                <w:color w:val="auto"/>
              </w:rPr>
            </w:pPr>
            <w:r>
              <w:rPr>
                <w:rFonts w:ascii="Times New Roman" w:cs="Times New Roman" w:eastAsia="Times New Roman" w:hAnsi="Times New Roman"/>
                <w:sz w:val="14"/>
                <w:szCs w:val="14"/>
                <w:color w:val="auto"/>
                <w:w w:val="99"/>
              </w:rPr>
              <w:t>1983</w:t>
            </w:r>
          </w:p>
        </w:tc>
        <w:tc>
          <w:tcPr>
            <w:tcW w:w="620" w:type="dxa"/>
            <w:vAlign w:val="bottom"/>
            <w:gridSpan w:val="2"/>
            <w:shd w:val="clear" w:color="auto" w:fill="CCEEFF"/>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 20-40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Palms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21,564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314,661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303,839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41,812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598,252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640,064</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260,338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620" w:type="dxa"/>
            <w:vAlign w:val="bottom"/>
            <w:gridSpan w:val="2"/>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Texan</w:t>
            </w: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21,235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388,030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221,663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579,712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630,928</w:t>
            </w: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280,454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center"/>
              <w:ind w:right="46"/>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620" w:type="dxa"/>
            <w:vAlign w:val="bottom"/>
            <w:gridSpan w:val="2"/>
            <w:shd w:val="clear" w:color="auto" w:fill="CCEEFF"/>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National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43,212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840,261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74,951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48,608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909,816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958,424</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392,578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620" w:type="dxa"/>
            <w:vAlign w:val="bottom"/>
            <w:gridSpan w:val="2"/>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Rockies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53,374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760,898</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844,123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914,861</w:t>
            </w: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center"/>
              <w:ind w:right="46"/>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620" w:type="dxa"/>
            <w:vAlign w:val="bottom"/>
            <w:gridSpan w:val="2"/>
            <w:shd w:val="clear" w:color="auto" w:fill="CCEEFF"/>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JW Marriott Hill</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139,196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558,584</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26,229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156,416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567,593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724,009</w:t>
            </w:r>
          </w:p>
        </w:tc>
        <w:tc>
          <w:tcPr>
            <w:tcW w:w="2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41,310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center"/>
              <w:ind w:right="46"/>
              <w:spacing w:after="0"/>
              <w:rPr>
                <w:sz w:val="20"/>
                <w:szCs w:val="20"/>
                <w:color w:val="auto"/>
              </w:rPr>
            </w:pPr>
            <w:r>
              <w:rPr>
                <w:rFonts w:ascii="Times New Roman" w:cs="Times New Roman" w:eastAsia="Times New Roman" w:hAnsi="Times New Roman"/>
                <w:sz w:val="14"/>
                <w:szCs w:val="14"/>
                <w:color w:val="auto"/>
                <w:w w:val="99"/>
              </w:rPr>
              <w:t>2023</w:t>
            </w:r>
          </w:p>
        </w:tc>
        <w:tc>
          <w:tcPr>
            <w:tcW w:w="62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20-40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Country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JW Marriott Desert</w:t>
            </w: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109,013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520,684</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109,350</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524,005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tcBorders>
              <w:right w:val="single" w:sz="8" w:color="CCEEFF"/>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633,355</w:t>
            </w:r>
          </w:p>
        </w:tc>
        <w:tc>
          <w:tcPr>
            <w:tcW w:w="220" w:type="dxa"/>
            <w:vAlign w:val="bottom"/>
            <w:tcBorders>
              <w:right w:val="single" w:sz="8" w:color="CCEEFF"/>
            </w:tcBorders>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jc w:val="center"/>
              <w:ind w:right="46"/>
              <w:spacing w:after="0"/>
              <w:rPr>
                <w:sz w:val="20"/>
                <w:szCs w:val="20"/>
                <w:color w:val="auto"/>
              </w:rPr>
            </w:pPr>
            <w:r>
              <w:rPr>
                <w:rFonts w:ascii="Times New Roman" w:cs="Times New Roman" w:eastAsia="Times New Roman" w:hAnsi="Times New Roman"/>
                <w:sz w:val="14"/>
                <w:szCs w:val="14"/>
                <w:color w:val="auto"/>
                <w:w w:val="99"/>
              </w:rPr>
              <w:t>2025</w:t>
            </w:r>
          </w:p>
        </w:tc>
        <w:tc>
          <w:tcPr>
            <w:tcW w:w="62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20-40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Ridge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Inn at Opryland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7,248</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3,483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38,146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41,629</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color w:val="auto"/>
                <w:w w:val="99"/>
              </w:rPr>
              <w:t>1998</w:t>
            </w:r>
          </w:p>
        </w:tc>
        <w:tc>
          <w:tcPr>
            <w:tcW w:w="620" w:type="dxa"/>
            <w:vAlign w:val="bottom"/>
            <w:gridSpan w:val="2"/>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 Hotel</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9,101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30,851</w:t>
            </w: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center"/>
              <w:ind w:right="46"/>
              <w:spacing w:after="0" w:line="149" w:lineRule="exact"/>
              <w:rPr>
                <w:sz w:val="20"/>
                <w:szCs w:val="20"/>
                <w:color w:val="auto"/>
              </w:rPr>
            </w:pPr>
            <w:r>
              <w:rPr>
                <w:rFonts w:ascii="Times New Roman" w:cs="Times New Roman" w:eastAsia="Times New Roman" w:hAnsi="Times New Roman"/>
                <w:sz w:val="14"/>
                <w:szCs w:val="14"/>
                <w:color w:val="auto"/>
                <w:w w:val="99"/>
              </w:rPr>
              <w:t>2014</w:t>
            </w:r>
          </w:p>
        </w:tc>
        <w:tc>
          <w:tcPr>
            <w:tcW w:w="620" w:type="dxa"/>
            <w:vAlign w:val="bottom"/>
            <w:gridSpan w:val="2"/>
            <w:shd w:val="clear" w:color="auto" w:fill="CCEEFF"/>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Miscellaneous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43,337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6,717</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53,481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58,686</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620" w:type="dxa"/>
            <w:vAlign w:val="bottom"/>
            <w:gridSpan w:val="2"/>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$ 454,167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3,491,548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$ 1,547,489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$ 619,256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4,873,948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$ 5,493,204</w:t>
            </w:r>
          </w:p>
        </w:tc>
        <w:tc>
          <w:tcPr>
            <w:tcW w:w="2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7"/>
              </w:rPr>
              <w:t>$ 1,682,033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right w:val="single" w:sz="8" w:color="CCEEFF"/>
            </w:tcBorders>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9"/>
            <w:vMerge w:val="restart"/>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w w:val="98"/>
              </w:rPr>
              <w:t>Investment in real estate:</w:t>
            </w: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9"/>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$ 4,725,582</w:t>
            </w:r>
          </w:p>
        </w:tc>
        <w:tc>
          <w:tcPr>
            <w:tcW w:w="180" w:type="dxa"/>
            <w:vAlign w:val="bottom"/>
          </w:tcPr>
          <w:p>
            <w:pPr>
              <w:spacing w:after="0"/>
              <w:rPr>
                <w:sz w:val="18"/>
                <w:szCs w:val="18"/>
                <w:color w:val="auto"/>
              </w:rPr>
            </w:pPr>
          </w:p>
        </w:tc>
        <w:tc>
          <w:tcPr>
            <w:tcW w:w="940" w:type="dxa"/>
            <w:vAlign w:val="bottom"/>
            <w:gridSpan w:val="3"/>
          </w:tcPr>
          <w:p>
            <w:pPr>
              <w:jc w:val="right"/>
              <w:ind w:right="3"/>
              <w:spacing w:after="0"/>
              <w:rPr>
                <w:sz w:val="20"/>
                <w:szCs w:val="20"/>
                <w:color w:val="auto"/>
              </w:rPr>
            </w:pPr>
            <w:r>
              <w:rPr>
                <w:rFonts w:ascii="Times New Roman" w:cs="Times New Roman" w:eastAsia="Times New Roman" w:hAnsi="Times New Roman"/>
                <w:sz w:val="18"/>
                <w:szCs w:val="18"/>
                <w:color w:val="auto"/>
                <w:w w:val="98"/>
              </w:rPr>
              <w:t>$ 4,570,055</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$ 3,810,923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acquisitions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697,780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Improvements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139,514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w w:val="99"/>
              </w:rPr>
              <w:t>156,267</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61,440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Disposals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Borders>
              <w:bottom w:val="single" w:sz="8" w:color="CCEEFF"/>
            </w:tcBorders>
            <w:gridSpan w:val="8"/>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6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$ 5,493,204</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8"/>
                <w:szCs w:val="18"/>
                <w:color w:val="auto"/>
                <w:w w:val="98"/>
              </w:rPr>
              <w:t>$ 4,725,582</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$ 4,570,055</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400" w:type="dxa"/>
            <w:vAlign w:val="bottom"/>
            <w:gridSpan w:val="9"/>
          </w:tcPr>
          <w:p>
            <w:pPr>
              <w:jc w:val="right"/>
              <w:ind w:right="388"/>
              <w:spacing w:after="0"/>
              <w:rPr>
                <w:sz w:val="20"/>
                <w:szCs w:val="20"/>
                <w:color w:val="auto"/>
              </w:rPr>
            </w:pPr>
            <w:r>
              <w:rPr>
                <w:rFonts w:ascii="Times New Roman" w:cs="Times New Roman" w:eastAsia="Times New Roman" w:hAnsi="Times New Roman"/>
                <w:sz w:val="18"/>
                <w:szCs w:val="18"/>
                <w:color w:val="auto"/>
                <w:w w:val="98"/>
              </w:rPr>
              <w:t>Accumulated depreciation: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$ 1,554,172</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w w:val="98"/>
              </w:rPr>
              <w:t>$ 1,436,672</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$ 1,327,833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129,401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w w:val="99"/>
              </w:rPr>
              <w:t>117,674</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108,846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Disposals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$ 1,682,033</w:t>
            </w:r>
          </w:p>
        </w:tc>
        <w:tc>
          <w:tcPr>
            <w:tcW w:w="180" w:type="dxa"/>
            <w:vAlign w:val="bottom"/>
          </w:tcPr>
          <w:p>
            <w:pPr>
              <w:spacing w:after="0"/>
              <w:rPr>
                <w:sz w:val="18"/>
                <w:szCs w:val="18"/>
                <w:color w:val="auto"/>
              </w:rPr>
            </w:pPr>
          </w:p>
        </w:tc>
        <w:tc>
          <w:tcPr>
            <w:tcW w:w="940" w:type="dxa"/>
            <w:vAlign w:val="bottom"/>
            <w:gridSpan w:val="3"/>
          </w:tcPr>
          <w:p>
            <w:pPr>
              <w:jc w:val="right"/>
              <w:ind w:right="3"/>
              <w:spacing w:after="0"/>
              <w:rPr>
                <w:sz w:val="20"/>
                <w:szCs w:val="20"/>
                <w:color w:val="auto"/>
              </w:rPr>
            </w:pPr>
            <w:r>
              <w:rPr>
                <w:rFonts w:ascii="Times New Roman" w:cs="Times New Roman" w:eastAsia="Times New Roman" w:hAnsi="Times New Roman"/>
                <w:sz w:val="18"/>
                <w:szCs w:val="18"/>
                <w:color w:val="auto"/>
                <w:w w:val="98"/>
              </w:rPr>
              <w:t>$ 1,554,172</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$ 1,436,672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80" w:right="660" w:hanging="330"/>
        <w:spacing w:after="0" w:line="261"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pledges under the Company’s credit facility. At December 31, 2025, $289.9 million in borrowings were outstanding under such facility.</w:t>
      </w:r>
    </w:p>
    <w:p>
      <w:pPr>
        <w:ind w:left="580" w:right="940" w:hanging="330"/>
        <w:spacing w:after="0" w:line="260"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cost of these assets for federal income tax purposes (unaudited) is approximately $4.2 billion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40"/>
          </w:cols>
          <w:pgMar w:left="1240" w:top="513" w:right="1219" w:bottom="1440" w:gutter="0" w:footer="0" w:header="0"/>
        </w:sectPr>
      </w:pPr>
    </w:p>
    <w:bookmarkStart w:id="120" w:name="page121"/>
    <w:bookmarkEnd w:id="120"/>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10.30</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Ryman Hospitality Properties, Inc. (the “Company”)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Summary of Director and Executive Officer Compensation</w:t>
      </w:r>
    </w:p>
    <w:p>
      <w:pPr>
        <w:spacing w:after="0" w:line="237" w:lineRule="exact"/>
        <w:rPr>
          <w:sz w:val="20"/>
          <w:szCs w:val="20"/>
          <w:color w:val="auto"/>
        </w:rPr>
      </w:pPr>
    </w:p>
    <w:p>
      <w:pPr>
        <w:jc w:val="both"/>
        <w:ind w:left="200" w:right="439" w:firstLine="9"/>
        <w:spacing w:after="0" w:line="263" w:lineRule="auto"/>
        <w:tabs>
          <w:tab w:leader="none" w:pos="848"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 Compensation</w:t>
      </w:r>
      <w:r>
        <w:rPr>
          <w:rFonts w:ascii="Times New Roman" w:cs="Times New Roman" w:eastAsia="Times New Roman" w:hAnsi="Times New Roman"/>
          <w:sz w:val="20"/>
          <w:szCs w:val="20"/>
          <w:color w:val="auto"/>
        </w:rPr>
        <w:t>. Directors who are employees of the Company do not receive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for serving as directors of the Company. The following table sets forth current rates of cash compensation for the Company’s non-employee directors.</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Retainers</w:t>
            </w:r>
          </w:p>
        </w:tc>
        <w:tc>
          <w:tcPr>
            <w:tcW w:w="1820" w:type="dxa"/>
            <w:vAlign w:val="bottom"/>
            <w:gridSpan w:val="2"/>
          </w:tcPr>
          <w:p>
            <w:pPr>
              <w:jc w:val="center"/>
              <w:ind w:left="1321"/>
              <w:spacing w:after="0"/>
              <w:rPr>
                <w:sz w:val="20"/>
                <w:szCs w:val="20"/>
                <w:color w:val="auto"/>
              </w:rPr>
            </w:pPr>
            <w:r>
              <w:rPr>
                <w:rFonts w:ascii="Times New Roman" w:cs="Times New Roman" w:eastAsia="Times New Roman" w:hAnsi="Times New Roman"/>
                <w:sz w:val="20"/>
                <w:szCs w:val="20"/>
                <w:b w:val="1"/>
                <w:bCs w:val="1"/>
                <w:color w:val="auto"/>
                <w:w w:val="99"/>
              </w:rPr>
              <w:t>2026</w:t>
            </w:r>
          </w:p>
        </w:tc>
        <w:tc>
          <w:tcPr>
            <w:tcW w:w="660" w:type="dxa"/>
            <w:vAlign w:val="bottom"/>
          </w:tcPr>
          <w:p>
            <w:pPr>
              <w:spacing w:after="0"/>
              <w:rPr>
                <w:sz w:val="19"/>
                <w:szCs w:val="19"/>
                <w:color w:val="auto"/>
              </w:rPr>
            </w:pPr>
          </w:p>
        </w:tc>
      </w:tr>
      <w:tr>
        <w:trPr>
          <w:trHeight w:val="21"/>
        </w:trPr>
        <w:tc>
          <w:tcPr>
            <w:tcW w:w="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Board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$ 80,000</w:t>
            </w:r>
          </w:p>
        </w:tc>
      </w:tr>
      <w:tr>
        <w:trPr>
          <w:trHeight w:val="229"/>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Lead Non-Management Director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$ 30,000</w:t>
            </w:r>
          </w:p>
        </w:tc>
      </w:tr>
      <w:tr>
        <w:trPr>
          <w:trHeight w:val="230"/>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Audit chair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$ 30,000</w:t>
            </w:r>
          </w:p>
        </w:tc>
      </w:tr>
      <w:tr>
        <w:trPr>
          <w:trHeight w:val="229"/>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Human Resources chair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$ 20,000</w:t>
            </w:r>
          </w:p>
        </w:tc>
      </w:tr>
      <w:tr>
        <w:trPr>
          <w:trHeight w:val="230"/>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Nominating and Corporate Governance chair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$ 20,000</w:t>
            </w:r>
          </w:p>
        </w:tc>
      </w:tr>
      <w:tr>
        <w:trPr>
          <w:trHeight w:val="229"/>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 chair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$ 20,000</w:t>
            </w:r>
          </w:p>
        </w:tc>
      </w:tr>
      <w:tr>
        <w:trPr>
          <w:trHeight w:val="229"/>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Audit member retainer</w:t>
            </w:r>
          </w:p>
        </w:tc>
        <w:tc>
          <w:tcPr>
            <w:tcW w:w="2480" w:type="dxa"/>
            <w:vAlign w:val="bottom"/>
            <w:gridSpan w:val="3"/>
            <w:shd w:val="clear" w:color="auto" w:fill="CCEEFF"/>
          </w:tcPr>
          <w:p>
            <w:pPr>
              <w:jc w:val="center"/>
              <w:ind w:left="641"/>
              <w:spacing w:after="0"/>
              <w:rPr>
                <w:sz w:val="20"/>
                <w:szCs w:val="20"/>
                <w:color w:val="auto"/>
              </w:rPr>
            </w:pPr>
            <w:r>
              <w:rPr>
                <w:rFonts w:ascii="Times New Roman" w:cs="Times New Roman" w:eastAsia="Times New Roman" w:hAnsi="Times New Roman"/>
                <w:sz w:val="20"/>
                <w:szCs w:val="20"/>
                <w:color w:val="auto"/>
                <w:w w:val="99"/>
              </w:rPr>
              <w:t>$ 10,000</w:t>
            </w:r>
          </w:p>
        </w:tc>
      </w:tr>
      <w:tr>
        <w:trPr>
          <w:trHeight w:val="230"/>
        </w:trPr>
        <w:tc>
          <w:tcPr>
            <w:tcW w:w="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Human Resources member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$ 10,000</w:t>
            </w:r>
          </w:p>
        </w:tc>
      </w:tr>
      <w:tr>
        <w:trPr>
          <w:trHeight w:val="229"/>
        </w:trPr>
        <w:tc>
          <w:tcPr>
            <w:tcW w:w="8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Nominating and Corporate Governance member retainer</w:t>
            </w:r>
          </w:p>
        </w:tc>
        <w:tc>
          <w:tcPr>
            <w:tcW w:w="2480" w:type="dxa"/>
            <w:vAlign w:val="bottom"/>
            <w:gridSpan w:val="3"/>
            <w:shd w:val="clear" w:color="auto" w:fill="CCEEFF"/>
          </w:tcPr>
          <w:p>
            <w:pPr>
              <w:jc w:val="center"/>
              <w:ind w:left="661"/>
              <w:spacing w:after="0"/>
              <w:rPr>
                <w:sz w:val="20"/>
                <w:szCs w:val="20"/>
                <w:color w:val="auto"/>
              </w:rPr>
            </w:pPr>
            <w:r>
              <w:rPr>
                <w:rFonts w:ascii="Times New Roman" w:cs="Times New Roman" w:eastAsia="Times New Roman" w:hAnsi="Times New Roman"/>
                <w:sz w:val="20"/>
                <w:szCs w:val="20"/>
                <w:color w:val="auto"/>
                <w:w w:val="99"/>
              </w:rPr>
              <w:t>$ 7,500</w:t>
            </w:r>
          </w:p>
        </w:tc>
      </w:tr>
      <w:tr>
        <w:trPr>
          <w:trHeight w:val="258"/>
        </w:trPr>
        <w:tc>
          <w:tcPr>
            <w:tcW w:w="80" w:type="dxa"/>
            <w:vAlign w:val="bottom"/>
          </w:tcPr>
          <w:p>
            <w:pPr>
              <w:spacing w:after="0"/>
              <w:rPr>
                <w:sz w:val="22"/>
                <w:szCs w:val="22"/>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Risk member retainer</w:t>
            </w:r>
          </w:p>
        </w:tc>
        <w:tc>
          <w:tcPr>
            <w:tcW w:w="248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9"/>
              </w:rPr>
              <w:t>$ 10,000</w:t>
            </w:r>
          </w:p>
        </w:tc>
      </w:tr>
    </w:tbl>
    <w:p>
      <w:pPr>
        <w:spacing w:after="0" w:line="205"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20"/>
          <w:szCs w:val="20"/>
          <w:color w:val="auto"/>
        </w:rPr>
        <w:t>Non-employee directors may elect payments in cash or defer a portion of their cash compensation and receive restricted stock units pursuant to the Company’s 2024 Omnibus Incentive Plan with a value equal to the fees, based on the fair market value of the Company’s common stock on the date of issuance. Such restricted stock units will be deferred until a specified date or the end of the director’s service on the Board of Directors. All directors are reimbursed for expenses incurred in attending meetings.</w:t>
      </w:r>
    </w:p>
    <w:p>
      <w:pPr>
        <w:spacing w:after="0" w:line="219" w:lineRule="exact"/>
        <w:rPr>
          <w:sz w:val="20"/>
          <w:szCs w:val="20"/>
          <w:color w:val="auto"/>
        </w:rPr>
      </w:pPr>
    </w:p>
    <w:p>
      <w:pPr>
        <w:jc w:val="both"/>
        <w:ind w:left="200" w:right="379"/>
        <w:spacing w:after="0" w:line="251" w:lineRule="auto"/>
        <w:rPr>
          <w:sz w:val="20"/>
          <w:szCs w:val="20"/>
          <w:color w:val="auto"/>
        </w:rPr>
      </w:pPr>
      <w:r>
        <w:rPr>
          <w:rFonts w:ascii="Times New Roman" w:cs="Times New Roman" w:eastAsia="Times New Roman" w:hAnsi="Times New Roman"/>
          <w:sz w:val="20"/>
          <w:szCs w:val="20"/>
          <w:color w:val="auto"/>
        </w:rPr>
        <w:t>In addition, each non-employee director receives, as of the date of our board meeting following our annual meeting of stockholders, an annual grant of restricted stock units having a dollar value of $120,000, based upon the fair market value of the Company’s common stock on the date of grant. The restricted stock units vest fully on the first anniversary of the date of grant, pursuant to the Company’s 2024 Omnibus Incentive Plan, unless deferred by the director until a specified date or the end of the director’s service on the Board of Directors. Directors do not receive fees for attending meetings.</w:t>
      </w:r>
    </w:p>
    <w:p>
      <w:pPr>
        <w:spacing w:after="0" w:line="213" w:lineRule="exact"/>
        <w:rPr>
          <w:sz w:val="20"/>
          <w:szCs w:val="20"/>
          <w:color w:val="auto"/>
        </w:rPr>
      </w:pPr>
    </w:p>
    <w:p>
      <w:pPr>
        <w:ind w:left="200" w:right="279" w:firstLine="9"/>
        <w:spacing w:after="0" w:line="254" w:lineRule="auto"/>
        <w:tabs>
          <w:tab w:leader="none" w:pos="84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Executive Officer Compensation</w:t>
      </w:r>
      <w:r>
        <w:rPr>
          <w:rFonts w:ascii="Times New Roman" w:cs="Times New Roman" w:eastAsia="Times New Roman" w:hAnsi="Times New Roman"/>
          <w:sz w:val="20"/>
          <w:szCs w:val="20"/>
          <w:color w:val="auto"/>
        </w:rPr>
        <w:t>. The following table sets forth the 2026 annual base salaries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fiscal 2025 short-term incentive compensation provided to the Company’s Chief Executive Officer, Chief Financial Officer and the three other most highly compensated executive officers to be named in the Company’s proxy statement to be filed in connection with the 2026 annual meeting of stockholders (the “Named Executive Officers”).</w:t>
      </w:r>
    </w:p>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gridSpan w:val="2"/>
          </w:tcPr>
          <w:p>
            <w:pPr>
              <w:jc w:val="center"/>
              <w:ind w:right="1340"/>
              <w:spacing w:after="0"/>
              <w:rPr>
                <w:sz w:val="20"/>
                <w:szCs w:val="20"/>
                <w:color w:val="auto"/>
              </w:rPr>
            </w:pPr>
            <w:r>
              <w:rPr>
                <w:rFonts w:ascii="Times New Roman" w:cs="Times New Roman" w:eastAsia="Times New Roman" w:hAnsi="Times New Roman"/>
                <w:sz w:val="20"/>
                <w:szCs w:val="20"/>
                <w:b w:val="1"/>
                <w:bCs w:val="1"/>
                <w:color w:val="auto"/>
                <w:w w:val="99"/>
              </w:rPr>
              <w:t>Fiscal</w:t>
            </w:r>
          </w:p>
        </w:tc>
      </w:tr>
      <w:tr>
        <w:trPr>
          <w:trHeight w:val="243"/>
        </w:trPr>
        <w:tc>
          <w:tcPr>
            <w:tcW w:w="3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340" w:type="dxa"/>
            <w:vAlign w:val="bottom"/>
          </w:tcPr>
          <w:p>
            <w:pPr>
              <w:spacing w:after="0"/>
              <w:rPr>
                <w:sz w:val="21"/>
                <w:szCs w:val="21"/>
                <w:color w:val="auto"/>
              </w:rPr>
            </w:pPr>
          </w:p>
        </w:tc>
      </w:tr>
      <w:tr>
        <w:trPr>
          <w:trHeight w:val="230"/>
        </w:trPr>
        <w:tc>
          <w:tcPr>
            <w:tcW w:w="3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2026</w:t>
            </w:r>
          </w:p>
        </w:tc>
        <w:tc>
          <w:tcPr>
            <w:tcW w:w="460" w:type="dxa"/>
            <w:vAlign w:val="bottom"/>
          </w:tcPr>
          <w:p>
            <w:pPr>
              <w:spacing w:after="0"/>
              <w:rPr>
                <w:sz w:val="19"/>
                <w:szCs w:val="19"/>
                <w:color w:val="auto"/>
              </w:rPr>
            </w:pPr>
          </w:p>
        </w:tc>
        <w:tc>
          <w:tcPr>
            <w:tcW w:w="2440" w:type="dxa"/>
            <w:vAlign w:val="bottom"/>
            <w:gridSpan w:val="2"/>
          </w:tcPr>
          <w:p>
            <w:pPr>
              <w:jc w:val="center"/>
              <w:ind w:right="1360"/>
              <w:spacing w:after="0"/>
              <w:rPr>
                <w:sz w:val="20"/>
                <w:szCs w:val="20"/>
                <w:color w:val="auto"/>
              </w:rPr>
            </w:pPr>
            <w:r>
              <w:rPr>
                <w:rFonts w:ascii="Times New Roman" w:cs="Times New Roman" w:eastAsia="Times New Roman" w:hAnsi="Times New Roman"/>
                <w:sz w:val="20"/>
                <w:szCs w:val="20"/>
                <w:b w:val="1"/>
                <w:bCs w:val="1"/>
                <w:color w:val="auto"/>
                <w:w w:val="97"/>
              </w:rPr>
              <w:t>Bonus</w:t>
            </w:r>
          </w:p>
        </w:tc>
      </w:tr>
      <w:tr>
        <w:trPr>
          <w:trHeight w:val="270"/>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Salary</w:t>
            </w:r>
          </w:p>
        </w:tc>
        <w:tc>
          <w:tcPr>
            <w:tcW w:w="2440" w:type="dxa"/>
            <w:vAlign w:val="bottom"/>
            <w:gridSpan w:val="2"/>
          </w:tcPr>
          <w:p>
            <w:pPr>
              <w:jc w:val="center"/>
              <w:ind w:right="1340"/>
              <w:spacing w:after="0"/>
              <w:rPr>
                <w:sz w:val="20"/>
                <w:szCs w:val="20"/>
                <w:color w:val="auto"/>
              </w:rPr>
            </w:pPr>
            <w:r>
              <w:rPr>
                <w:rFonts w:ascii="Times New Roman" w:cs="Times New Roman" w:eastAsia="Times New Roman" w:hAnsi="Times New Roman"/>
                <w:sz w:val="20"/>
                <w:szCs w:val="20"/>
                <w:b w:val="1"/>
                <w:bCs w:val="1"/>
                <w:color w:val="auto"/>
                <w:w w:val="99"/>
              </w:rPr>
              <w:t>Amount</w:t>
            </w:r>
          </w:p>
        </w:tc>
      </w:tr>
      <w:tr>
        <w:trPr>
          <w:trHeight w:val="223"/>
        </w:trPr>
        <w:tc>
          <w:tcPr>
            <w:tcW w:w="390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Mark Fioravanti</w:t>
            </w:r>
          </w:p>
        </w:tc>
        <w:tc>
          <w:tcPr>
            <w:tcW w:w="7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$1,000,000</w:t>
            </w:r>
          </w:p>
        </w:tc>
        <w:tc>
          <w:tcPr>
            <w:tcW w:w="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$1,847,533</w:t>
            </w:r>
          </w:p>
        </w:tc>
        <w:tc>
          <w:tcPr>
            <w:tcW w:w="1340" w:type="dxa"/>
            <w:vAlign w:val="bottom"/>
          </w:tcPr>
          <w:p>
            <w:pPr>
              <w:spacing w:after="0"/>
              <w:rPr>
                <w:sz w:val="19"/>
                <w:szCs w:val="19"/>
                <w:color w:val="auto"/>
              </w:rPr>
            </w:pPr>
          </w:p>
        </w:tc>
      </w:tr>
      <w:tr>
        <w:trPr>
          <w:trHeight w:val="230"/>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Colin Reed</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$600,000</w:t>
            </w:r>
          </w:p>
        </w:tc>
        <w:tc>
          <w:tcPr>
            <w:tcW w:w="4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$1,050,084</w:t>
            </w:r>
          </w:p>
        </w:tc>
        <w:tc>
          <w:tcPr>
            <w:tcW w:w="1340" w:type="dxa"/>
            <w:vAlign w:val="bottom"/>
          </w:tcPr>
          <w:p>
            <w:pPr>
              <w:spacing w:after="0"/>
              <w:rPr>
                <w:sz w:val="19"/>
                <w:szCs w:val="19"/>
                <w:color w:val="auto"/>
              </w:rPr>
            </w:pPr>
          </w:p>
        </w:tc>
      </w:tr>
      <w:tr>
        <w:trPr>
          <w:trHeight w:val="229"/>
        </w:trPr>
        <w:tc>
          <w:tcPr>
            <w:tcW w:w="4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$600,000</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$768,258</w:t>
            </w:r>
          </w:p>
        </w:tc>
        <w:tc>
          <w:tcPr>
            <w:tcW w:w="1340" w:type="dxa"/>
            <w:vAlign w:val="bottom"/>
          </w:tcPr>
          <w:p>
            <w:pPr>
              <w:spacing w:after="0"/>
              <w:rPr>
                <w:sz w:val="19"/>
                <w:szCs w:val="19"/>
                <w:color w:val="auto"/>
              </w:rPr>
            </w:pPr>
          </w:p>
        </w:tc>
      </w:tr>
      <w:tr>
        <w:trPr>
          <w:trHeight w:val="230"/>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$625,000</w:t>
            </w:r>
          </w:p>
        </w:tc>
        <w:tc>
          <w:tcPr>
            <w:tcW w:w="4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$837,616</w:t>
            </w:r>
          </w:p>
        </w:tc>
        <w:tc>
          <w:tcPr>
            <w:tcW w:w="1340" w:type="dxa"/>
            <w:vAlign w:val="bottom"/>
          </w:tcPr>
          <w:p>
            <w:pPr>
              <w:spacing w:after="0"/>
              <w:rPr>
                <w:sz w:val="19"/>
                <w:szCs w:val="19"/>
                <w:color w:val="auto"/>
              </w:rPr>
            </w:pPr>
          </w:p>
        </w:tc>
      </w:tr>
      <w:tr>
        <w:trPr>
          <w:trHeight w:val="230"/>
        </w:trPr>
        <w:tc>
          <w:tcPr>
            <w:tcW w:w="4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$530,000</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$712,773</w:t>
            </w:r>
          </w:p>
        </w:tc>
        <w:tc>
          <w:tcPr>
            <w:tcW w:w="1340" w:type="dxa"/>
            <w:vAlign w:val="bottom"/>
          </w:tcPr>
          <w:p>
            <w:pPr>
              <w:spacing w:after="0"/>
              <w:rPr>
                <w:sz w:val="19"/>
                <w:szCs w:val="19"/>
                <w:color w:val="auto"/>
              </w:rPr>
            </w:pPr>
          </w:p>
        </w:tc>
      </w:tr>
      <w:tr>
        <w:trPr>
          <w:trHeight w:val="560"/>
        </w:trPr>
        <w:tc>
          <w:tcPr>
            <w:tcW w:w="3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121" w:name="page122"/>
    <w:bookmarkEnd w:id="121"/>
    <w:p>
      <w:pPr>
        <w:ind w:left="200"/>
        <w:spacing w:after="0"/>
        <w:rPr>
          <w:sz w:val="20"/>
          <w:szCs w:val="20"/>
          <w:color w:val="auto"/>
        </w:rPr>
      </w:pPr>
      <w:r>
        <w:rPr>
          <w:rFonts w:ascii="Times New Roman" w:cs="Times New Roman" w:eastAsia="Times New Roman" w:hAnsi="Times New Roman"/>
          <w:sz w:val="20"/>
          <w:szCs w:val="20"/>
          <w:color w:val="auto"/>
        </w:rPr>
        <w:t>The following table sets forth the fiscal 2026 bonus targets as a percentage of 2026 base salary set for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Company’s Named Executive Officers:</w:t>
      </w:r>
    </w:p>
    <w:p>
      <w:pPr>
        <w:spacing w:after="0" w:line="271"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7"/>
              </w:rPr>
              <w:t>Threshold</w:t>
            </w: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r>
      <w:tr>
        <w:trPr>
          <w:trHeight w:val="223"/>
        </w:trPr>
        <w:tc>
          <w:tcPr>
            <w:tcW w:w="396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Mark Fioravanti</w:t>
            </w:r>
          </w:p>
        </w:tc>
        <w:tc>
          <w:tcPr>
            <w:tcW w:w="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87.5%</w:t>
            </w:r>
          </w:p>
        </w:tc>
        <w:tc>
          <w:tcPr>
            <w:tcW w:w="4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175%</w:t>
            </w:r>
          </w:p>
        </w:tc>
        <w:tc>
          <w:tcPr>
            <w:tcW w:w="4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350%</w:t>
            </w:r>
          </w:p>
        </w:tc>
      </w:tr>
      <w:tr>
        <w:trPr>
          <w:trHeight w:val="229"/>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Colin Reed</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87.5%</w:t>
            </w:r>
          </w:p>
        </w:tc>
        <w:tc>
          <w:tcPr>
            <w:tcW w:w="4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175%</w:t>
            </w:r>
          </w:p>
        </w:tc>
        <w:tc>
          <w:tcPr>
            <w:tcW w:w="4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350%</w:t>
            </w:r>
          </w:p>
        </w:tc>
      </w:tr>
      <w:tr>
        <w:trPr>
          <w:trHeight w:val="229"/>
        </w:trPr>
        <w:tc>
          <w:tcPr>
            <w:tcW w:w="4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30"/>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4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4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29"/>
        </w:trPr>
        <w:tc>
          <w:tcPr>
            <w:tcW w:w="4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62.5%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bl>
    <w:p>
      <w:pPr>
        <w:spacing w:after="0" w:line="220"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20"/>
          <w:szCs w:val="20"/>
          <w:color w:val="auto"/>
        </w:rPr>
        <w:t>These amounts were unchanged from fiscal year 2025. The fiscal 2026 bonuses will be determined based upon the achievement of certain financial goals, and, if earned, will be paid pursuant to the Company’s cash incentive compensation program under the Company’s 2026 Incentive Compensation Plan.</w:t>
      </w:r>
    </w:p>
    <w:p>
      <w:pPr>
        <w:spacing w:after="0" w:line="208" w:lineRule="exact"/>
        <w:rPr>
          <w:sz w:val="20"/>
          <w:szCs w:val="20"/>
          <w:color w:val="auto"/>
        </w:rPr>
      </w:pPr>
    </w:p>
    <w:p>
      <w:pPr>
        <w:ind w:left="200" w:right="319"/>
        <w:spacing w:after="0" w:line="261" w:lineRule="auto"/>
        <w:rPr>
          <w:sz w:val="20"/>
          <w:szCs w:val="20"/>
          <w:color w:val="auto"/>
        </w:rPr>
      </w:pPr>
      <w:r>
        <w:rPr>
          <w:rFonts w:ascii="Times New Roman" w:cs="Times New Roman" w:eastAsia="Times New Roman" w:hAnsi="Times New Roman"/>
          <w:sz w:val="20"/>
          <w:szCs w:val="20"/>
          <w:color w:val="auto"/>
        </w:rPr>
        <w:t>On February 18, 2026, as part of an annual grant to designated management-level employees, including the Named Executive Officers, the Named Executive Officers received the following long-term incentive awards pursuant to the Company’s 2024 Omnibus Incentive Plan:</w:t>
      </w:r>
    </w:p>
    <w:p>
      <w:pPr>
        <w:spacing w:after="0" w:line="235" w:lineRule="exact"/>
        <w:rPr>
          <w:sz w:val="20"/>
          <w:szCs w:val="20"/>
          <w:color w:val="auto"/>
        </w:rPr>
      </w:pPr>
    </w:p>
    <w:p>
      <w:pPr>
        <w:ind w:left="880" w:right="719" w:hanging="347"/>
        <w:spacing w:after="0" w:line="254" w:lineRule="auto"/>
        <w:tabs>
          <w:tab w:leader="none" w:pos="8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of performance-based restricted stock units for the 2026-2028 performance period, as listed in the table below, of which up to 150% will vest on March 15, 2029 based on the achievement of Total Stockholder Return (“TSR”) against a designated peer group (the “Performance-Based RSUs”).</w:t>
      </w:r>
    </w:p>
    <w:p>
      <w:pPr>
        <w:spacing w:after="0" w:line="241" w:lineRule="exact"/>
        <w:rPr>
          <w:rFonts w:ascii="Times New Roman" w:cs="Times New Roman" w:eastAsia="Times New Roman" w:hAnsi="Times New Roman"/>
          <w:sz w:val="20"/>
          <w:szCs w:val="20"/>
          <w:color w:val="auto"/>
        </w:rPr>
      </w:pPr>
    </w:p>
    <w:p>
      <w:pPr>
        <w:ind w:left="880" w:right="479" w:hanging="347"/>
        <w:spacing w:after="0" w:line="269" w:lineRule="auto"/>
        <w:tabs>
          <w:tab w:leader="none" w:pos="8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of time-based restricted stock units, as listed in the table below, vesting ratably over four years beginning on March 15, 2027 (the “Time-Based RSUs”).</w:t>
      </w: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long-term incentive awards to each Named Executive Officer were as follows:</w:t>
      </w:r>
    </w:p>
    <w:p>
      <w:pPr>
        <w:spacing w:after="0" w:line="279"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2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7"/>
              </w:rPr>
              <w:t>Time-Based</w:t>
            </w:r>
          </w:p>
        </w:tc>
        <w:tc>
          <w:tcPr>
            <w:tcW w:w="254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8"/>
              </w:rPr>
              <w:t>Performance-Based</w:t>
            </w:r>
          </w:p>
        </w:tc>
      </w:tr>
      <w:tr>
        <w:trPr>
          <w:trHeight w:val="270"/>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2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RSUs</w:t>
            </w:r>
          </w:p>
        </w:tc>
        <w:tc>
          <w:tcPr>
            <w:tcW w:w="254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6"/>
              </w:rPr>
              <w:t>RSUs</w:t>
            </w:r>
          </w:p>
        </w:tc>
      </w:tr>
      <w:tr>
        <w:trPr>
          <w:trHeight w:val="223"/>
        </w:trPr>
        <w:tc>
          <w:tcPr>
            <w:tcW w:w="2980" w:type="dxa"/>
            <w:vAlign w:val="bottom"/>
            <w:tcBorders>
              <w:top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Mark Fioravanti</w:t>
            </w:r>
          </w:p>
        </w:tc>
        <w:tc>
          <w:tcPr>
            <w:tcW w:w="5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20,808</w:t>
            </w:r>
          </w:p>
        </w:tc>
        <w:tc>
          <w:tcPr>
            <w:tcW w:w="5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20,919</w:t>
            </w:r>
          </w:p>
        </w:tc>
        <w:tc>
          <w:tcPr>
            <w:tcW w:w="520" w:type="dxa"/>
            <w:vAlign w:val="bottom"/>
            <w:tcBorders>
              <w:top w:val="single" w:sz="8" w:color="CCEEFF"/>
            </w:tcBorders>
            <w:shd w:val="clear" w:color="auto" w:fill="CCEEFF"/>
          </w:tcPr>
          <w:p>
            <w:pPr>
              <w:spacing w:after="0"/>
              <w:rPr>
                <w:sz w:val="19"/>
                <w:szCs w:val="19"/>
                <w:color w:val="auto"/>
              </w:rPr>
            </w:pPr>
          </w:p>
        </w:tc>
      </w:tr>
      <w:tr>
        <w:trPr>
          <w:trHeight w:val="230"/>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Colin Reed</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10,284</w:t>
            </w:r>
          </w:p>
        </w:tc>
        <w:tc>
          <w:tcPr>
            <w:tcW w:w="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10,337</w:t>
            </w:r>
          </w:p>
        </w:tc>
        <w:tc>
          <w:tcPr>
            <w:tcW w:w="520" w:type="dxa"/>
            <w:vAlign w:val="bottom"/>
          </w:tcPr>
          <w:p>
            <w:pPr>
              <w:spacing w:after="0"/>
              <w:rPr>
                <w:sz w:val="19"/>
                <w:szCs w:val="19"/>
                <w:color w:val="auto"/>
              </w:rPr>
            </w:pPr>
          </w:p>
        </w:tc>
      </w:tr>
      <w:tr>
        <w:trPr>
          <w:trHeight w:val="230"/>
        </w:trPr>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Jennifer Hutcheson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5,876</w:t>
            </w: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5,907</w:t>
            </w:r>
          </w:p>
        </w:tc>
        <w:tc>
          <w:tcPr>
            <w:tcW w:w="520" w:type="dxa"/>
            <w:vAlign w:val="bottom"/>
            <w:shd w:val="clear" w:color="auto" w:fill="CCEEFF"/>
          </w:tcPr>
          <w:p>
            <w:pPr>
              <w:spacing w:after="0"/>
              <w:rPr>
                <w:sz w:val="19"/>
                <w:szCs w:val="19"/>
                <w:color w:val="auto"/>
              </w:rPr>
            </w:pPr>
          </w:p>
        </w:tc>
      </w:tr>
      <w:tr>
        <w:trPr>
          <w:trHeight w:val="230"/>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Patrick Chaffin</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6,120</w:t>
            </w:r>
          </w:p>
        </w:tc>
        <w:tc>
          <w:tcPr>
            <w:tcW w:w="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6,153</w:t>
            </w:r>
          </w:p>
        </w:tc>
        <w:tc>
          <w:tcPr>
            <w:tcW w:w="520" w:type="dxa"/>
            <w:vAlign w:val="bottom"/>
          </w:tcPr>
          <w:p>
            <w:pPr>
              <w:spacing w:after="0"/>
              <w:rPr>
                <w:sz w:val="19"/>
                <w:szCs w:val="19"/>
                <w:color w:val="auto"/>
              </w:rPr>
            </w:pPr>
          </w:p>
        </w:tc>
      </w:tr>
      <w:tr>
        <w:trPr>
          <w:trHeight w:val="230"/>
        </w:trPr>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Scott Lynn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3,892</w:t>
            </w: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3,913</w:t>
            </w:r>
          </w:p>
        </w:tc>
        <w:tc>
          <w:tcPr>
            <w:tcW w:w="520" w:type="dxa"/>
            <w:vAlign w:val="bottom"/>
            <w:shd w:val="clear" w:color="auto" w:fill="CCEEFF"/>
          </w:tcPr>
          <w:p>
            <w:pPr>
              <w:spacing w:after="0"/>
              <w:rPr>
                <w:sz w:val="19"/>
                <w:szCs w:val="19"/>
                <w:color w:val="auto"/>
              </w:rPr>
            </w:pPr>
          </w:p>
        </w:tc>
      </w:tr>
    </w:tbl>
    <w:p>
      <w:pPr>
        <w:spacing w:after="0" w:line="234" w:lineRule="exact"/>
        <w:rPr>
          <w:sz w:val="20"/>
          <w:szCs w:val="20"/>
          <w:color w:val="auto"/>
        </w:rPr>
      </w:pPr>
    </w:p>
    <w:p>
      <w:pPr>
        <w:jc w:val="both"/>
        <w:ind w:left="200" w:right="299"/>
        <w:spacing w:after="0" w:line="281" w:lineRule="auto"/>
        <w:rPr>
          <w:sz w:val="20"/>
          <w:szCs w:val="20"/>
          <w:color w:val="auto"/>
        </w:rPr>
      </w:pPr>
      <w:r>
        <w:rPr>
          <w:rFonts w:ascii="Times New Roman" w:cs="Times New Roman" w:eastAsia="Times New Roman" w:hAnsi="Times New Roman"/>
          <w:sz w:val="19"/>
          <w:szCs w:val="19"/>
          <w:color w:val="auto"/>
        </w:rPr>
        <w:t>Certain performance-based restricted stock unit awards under the Company’s 2016 Omnibus Incentive Plan previously granted to the Named Executive Officers, with respect to performance periods ended December 31, 2025, will vest on March 15, 2026 as will be reflected in Form 4 filings to be made with the SEC.</w:t>
      </w:r>
    </w:p>
    <w:p>
      <w:pPr>
        <w:spacing w:after="0" w:line="187" w:lineRule="exact"/>
        <w:rPr>
          <w:sz w:val="20"/>
          <w:szCs w:val="20"/>
          <w:color w:val="auto"/>
        </w:rPr>
      </w:pPr>
    </w:p>
    <w:p>
      <w:pPr>
        <w:jc w:val="both"/>
        <w:ind w:left="200" w:right="319" w:firstLine="9"/>
        <w:spacing w:after="0" w:line="260" w:lineRule="auto"/>
        <w:tabs>
          <w:tab w:leader="none" w:pos="848"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The foregoing information is summary in nature. Additional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the compensation of directors and Named Executive Officers will be provided in the Company’s filings with the SEC, including the proxy statement to be filed in connection with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67" w:right="1440" w:bottom="1440" w:gutter="0" w:footer="0" w:header="0"/>
        </w:sectPr>
      </w:pPr>
    </w:p>
    <w:bookmarkStart w:id="122" w:name="page123"/>
    <w:bookmarkEnd w:id="122"/>
    <w:p>
      <w:pPr>
        <w:ind w:left="7840"/>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62"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 Name</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188"/>
        </w:trPr>
        <w:tc>
          <w:tcPr>
            <w:tcW w:w="180" w:type="dxa"/>
            <w:vAlign w:val="bottom"/>
          </w:tcPr>
          <w:p>
            <w:pPr>
              <w:spacing w:after="0"/>
              <w:rPr>
                <w:sz w:val="16"/>
                <w:szCs w:val="16"/>
                <w:color w:val="auto"/>
              </w:rPr>
            </w:pPr>
          </w:p>
        </w:tc>
        <w:tc>
          <w:tcPr>
            <w:tcW w:w="3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2644 McGavock, LLC</w:t>
            </w:r>
          </w:p>
        </w:tc>
        <w:tc>
          <w:tcPr>
            <w:tcW w:w="40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Delaware</w:t>
            </w:r>
          </w:p>
        </w:tc>
        <w:tc>
          <w:tcPr>
            <w:tcW w:w="420" w:type="dxa"/>
            <w:vAlign w:val="bottom"/>
          </w:tcPr>
          <w:p>
            <w:pPr>
              <w:spacing w:after="0"/>
              <w:rPr>
                <w:sz w:val="16"/>
                <w:szCs w:val="16"/>
                <w:color w:val="auto"/>
              </w:rPr>
            </w:pP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MidCo,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300 Broadway Operations, Inc.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Amphitheater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Attractions IP,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10,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Investors,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Lessee,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Aurora Convention Center Hotel Lessee HoldCo,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Block 21 Service Company,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Texas</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Category 10 Las Vegas,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Category 10 Orlando,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Country Music Television International,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Cumberland Depot,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GN Bond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GOO Broadway,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GOOSPK 1604 Broadway,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New York</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GPSI, Inc.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Grand Ole Opry,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Grand Ole Opry IP,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2"/>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GSD River North,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GSD River South,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Nashville Riverfront Amphitheater,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Block 21,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Block 21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Corporate Properties,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Creative Group,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Finance Corporation</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High Point Land,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Hotel Properties, LP</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Hotels,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N451A Invesco, Inc.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AR,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DC,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2"/>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GP,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GT,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Inn at Opryland,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NH,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OH,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Operations SA,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Partner,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AR,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DC,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GP, LP</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Florida</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GT, LP</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GT,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NH,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Maryland</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Property SA,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 Sub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RHPA Management,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RHPAHP,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RHPAHO,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Ryman Corporate Properties,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Ryman Hotel Operations HoldCo,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2"/>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OEG Attractions Holdings,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OEG Borrower,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OEG Finance,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OEG HoldCo,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Ole Red Gatlinburg, LLC</w:t>
            </w: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Tennessee</w:t>
            </w:r>
          </w:p>
        </w:tc>
      </w:tr>
      <w:tr>
        <w:trPr>
          <w:trHeight w:val="505"/>
        </w:trPr>
        <w:tc>
          <w:tcPr>
            <w:tcW w:w="18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784"/>
        </w:trPr>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123" w:name="page124"/>
    <w:bookmarkEnd w:id="123"/>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Holdings, Inc.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Las Vegas,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Nashville Airport,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Ole Red Orlando,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OLH,GP</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OLH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 Attractions HoldCo,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 Entertainment Group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Opryland Attractions,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Opryland Hospitality,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Park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SE Invesco,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SENT Group,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Springhouse Golf,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Wildhorse Saloon Entertainment Ventures,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Tennessee</w:t>
            </w:r>
          </w:p>
        </w:tc>
      </w:tr>
      <w:tr>
        <w:trPr>
          <w:trHeight w:val="203"/>
        </w:trPr>
        <w:tc>
          <w:tcPr>
            <w:tcW w:w="1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WR Invesco,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1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WSM-AM,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1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NCV Holdings, LLC</w:t>
            </w:r>
          </w:p>
        </w:tc>
        <w:tc>
          <w:tcPr>
            <w:tcW w:w="46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Delaware</w:t>
            </w:r>
          </w:p>
        </w:tc>
      </w:tr>
      <w:tr>
        <w:trPr>
          <w:trHeight w:val="735"/>
        </w:trPr>
        <w:tc>
          <w:tcPr>
            <w:tcW w:w="18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783"/>
        </w:trPr>
        <w:tc>
          <w:tcPr>
            <w:tcW w:w="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right="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333-238530-09) pertaining to the $700,000,000 4.75% Senior Notes Due 2027 of Ryman Hospitality Properties, Inc.,</w:t>
      </w:r>
    </w:p>
    <w:p>
      <w:pPr>
        <w:spacing w:after="0" w:line="16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333-211214) pertaining to the Ryman Hospitality Properties, Inc. 2016 Omnibus Incentive Plan,</w:t>
      </w:r>
    </w:p>
    <w:p>
      <w:pPr>
        <w:spacing w:after="0" w:line="16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333-272429) pertaining to the offering of common stock of Ryman Hospitality Properties, Inc., and</w:t>
      </w:r>
    </w:p>
    <w:p>
      <w:pPr>
        <w:spacing w:after="0" w:line="16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333-279248) pertaining to the Ryman Hospitality Properties, Inc. 2024 Omnibus Incentive Plan,</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of our reports dated February 24, 2026 with respect to the consolidated financial statements and schedules of Ryman Hospitality Properties, Inc. and subsidiaries and the effectiveness of internal control over financial reporting of Ryman Hospitality Properties, Inc. and subsidiaries, included in this Annual Report (Form 10-K) of Ryman Hospitality Properties, Inc. for the year ended December 31, 2025.</w:t>
      </w:r>
    </w:p>
    <w:p>
      <w:pPr>
        <w:spacing w:after="0" w:line="1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07" w:lineRule="exact"/>
        <w:rPr>
          <w:sz w:val="20"/>
          <w:szCs w:val="20"/>
          <w:color w:val="auto"/>
        </w:rPr>
      </w:pPr>
    </w:p>
    <w:p>
      <w:pPr>
        <w:ind w:left="820" w:hanging="488"/>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Ryman Hospitality Properties, Inc.;</w:t>
      </w:r>
    </w:p>
    <w:p>
      <w:pPr>
        <w:spacing w:after="0" w:line="225" w:lineRule="exact"/>
        <w:rPr>
          <w:rFonts w:ascii="Times New Roman" w:cs="Times New Roman" w:eastAsia="Times New Roman" w:hAnsi="Times New Roman"/>
          <w:sz w:val="18"/>
          <w:szCs w:val="18"/>
          <w:color w:val="auto"/>
        </w:rPr>
      </w:pPr>
    </w:p>
    <w:p>
      <w:pPr>
        <w:ind w:left="820" w:right="40" w:hanging="488"/>
        <w:spacing w:after="0" w:line="266" w:lineRule="auto"/>
        <w:tabs>
          <w:tab w:leader="none" w:pos="82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20" w:hanging="488"/>
        <w:spacing w:after="0" w:line="266" w:lineRule="auto"/>
        <w:tabs>
          <w:tab w:leader="none" w:pos="82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20" w:right="460" w:hanging="488"/>
        <w:spacing w:after="0" w:line="266" w:lineRule="auto"/>
        <w:tabs>
          <w:tab w:leader="none" w:pos="8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40" w:right="40" w:hanging="356"/>
        <w:spacing w:after="0" w:line="261" w:lineRule="auto"/>
        <w:tabs>
          <w:tab w:leader="none" w:pos="144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80" w:hanging="356"/>
        <w:spacing w:after="0" w:line="261" w:lineRule="auto"/>
        <w:tabs>
          <w:tab w:leader="none" w:pos="145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120" w:hanging="356"/>
        <w:spacing w:after="0" w:line="266" w:lineRule="auto"/>
        <w:tabs>
          <w:tab w:leader="none" w:pos="144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20" w:hanging="356"/>
        <w:spacing w:after="0" w:line="261" w:lineRule="auto"/>
        <w:tabs>
          <w:tab w:leader="none" w:pos="145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20" w:right="200" w:hanging="488"/>
        <w:spacing w:after="0" w:line="266" w:lineRule="auto"/>
        <w:tabs>
          <w:tab w:leader="none" w:pos="8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40" w:right="300" w:hanging="356"/>
        <w:spacing w:after="0" w:line="266" w:lineRule="auto"/>
        <w:tabs>
          <w:tab w:leader="none" w:pos="143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40" w:right="160" w:hanging="356"/>
        <w:spacing w:after="0" w:line="282" w:lineRule="auto"/>
        <w:tabs>
          <w:tab w:leader="none" w:pos="139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Mark Fioravanti</w:t>
            </w:r>
          </w:p>
        </w:tc>
      </w:tr>
      <w:tr>
        <w:trPr>
          <w:trHeight w:val="191"/>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07" w:lineRule="exact"/>
        <w:rPr>
          <w:sz w:val="20"/>
          <w:szCs w:val="20"/>
          <w:color w:val="auto"/>
        </w:rPr>
      </w:pPr>
    </w:p>
    <w:p>
      <w:pPr>
        <w:ind w:left="820" w:hanging="488"/>
        <w:spacing w:after="0"/>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Ryman Hospitality Properties, Inc.;</w:t>
      </w:r>
    </w:p>
    <w:p>
      <w:pPr>
        <w:spacing w:after="0" w:line="225" w:lineRule="exact"/>
        <w:rPr>
          <w:rFonts w:ascii="Times New Roman" w:cs="Times New Roman" w:eastAsia="Times New Roman" w:hAnsi="Times New Roman"/>
          <w:sz w:val="18"/>
          <w:szCs w:val="18"/>
          <w:color w:val="auto"/>
        </w:rPr>
      </w:pPr>
    </w:p>
    <w:p>
      <w:pPr>
        <w:ind w:left="820" w:right="40" w:hanging="488"/>
        <w:spacing w:after="0" w:line="266" w:lineRule="auto"/>
        <w:tabs>
          <w:tab w:leader="none" w:pos="8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20" w:hanging="488"/>
        <w:spacing w:after="0" w:line="266" w:lineRule="auto"/>
        <w:tabs>
          <w:tab w:leader="none" w:pos="8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20" w:right="460" w:hanging="488"/>
        <w:spacing w:after="0" w:line="266" w:lineRule="auto"/>
        <w:tabs>
          <w:tab w:leader="none" w:pos="8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40" w:right="40" w:hanging="356"/>
        <w:spacing w:after="0" w:line="261" w:lineRule="auto"/>
        <w:tabs>
          <w:tab w:leader="none" w:pos="144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80" w:hanging="356"/>
        <w:spacing w:after="0" w:line="261" w:lineRule="auto"/>
        <w:tabs>
          <w:tab w:leader="none" w:pos="14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120" w:hanging="356"/>
        <w:spacing w:after="0" w:line="266" w:lineRule="auto"/>
        <w:tabs>
          <w:tab w:leader="none" w:pos="144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20" w:hanging="356"/>
        <w:spacing w:after="0" w:line="261" w:lineRule="auto"/>
        <w:tabs>
          <w:tab w:leader="none" w:pos="14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20" w:right="200" w:hanging="488"/>
        <w:spacing w:after="0" w:line="266" w:lineRule="auto"/>
        <w:tabs>
          <w:tab w:leader="none" w:pos="8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40" w:right="300" w:hanging="356"/>
        <w:spacing w:after="0" w:line="266" w:lineRule="auto"/>
        <w:tabs>
          <w:tab w:leader="none" w:pos="143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40" w:right="160" w:hanging="356"/>
        <w:spacing w:after="0" w:line="282" w:lineRule="auto"/>
        <w:tabs>
          <w:tab w:leader="none" w:pos="13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Jennifer Hutcheson</w:t>
            </w:r>
          </w:p>
        </w:tc>
      </w:tr>
      <w:tr>
        <w:trPr>
          <w:trHeight w:val="191"/>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10-K for the period ended December 31, 2025, as filed with the Securities and Exchange Commission on the date hereof (the "Report"), I, Mark Fioravanti, President and Chief Executive Officer of the Company, certify, pursuant to 18 U.S.C. Section 1350, as adopted pursuant to Section 906 of the Sarbanes-Oxley Act of 2002, to the best of my knowledge, that:</w:t>
      </w:r>
    </w:p>
    <w:p>
      <w:pPr>
        <w:spacing w:after="0" w:line="180" w:lineRule="exact"/>
        <w:rPr>
          <w:sz w:val="20"/>
          <w:szCs w:val="20"/>
          <w:color w:val="auto"/>
        </w:rPr>
      </w:pPr>
    </w:p>
    <w:p>
      <w:pPr>
        <w:ind w:left="860" w:hanging="528"/>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60" w:hanging="548"/>
        <w:spacing w:after="0" w:line="282" w:lineRule="auto"/>
        <w:tabs>
          <w:tab w:leader="none" w:pos="8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10-K for the period ended December 31, 2025, as filed with the Securities and Exchange Commission on the date hereof (the "Report"), I, Jennifer Hutcheson, Executive Vice President, Chief Financial Officer and Chief Accounting Officer of the Company, certify, pursuant to 18 U.S.C. Section 1350, as adopted pursuant to Section 906 of the Sarbanes-Oxley Act of 2002, to the best of my knowledge, that:</w:t>
      </w:r>
    </w:p>
    <w:p>
      <w:pPr>
        <w:spacing w:after="0" w:line="180" w:lineRule="exact"/>
        <w:rPr>
          <w:sz w:val="20"/>
          <w:szCs w:val="20"/>
          <w:color w:val="auto"/>
        </w:rPr>
      </w:pPr>
    </w:p>
    <w:p>
      <w:pPr>
        <w:ind w:left="860" w:hanging="528"/>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60" w:hanging="548"/>
        <w:spacing w:after="0" w:line="282" w:lineRule="auto"/>
        <w:tabs>
          <w:tab w:leader="none" w:pos="8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lowerRoman"/>
      <w:start w:val="7"/>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9"/>
    </w:lvl>
  </w:abstractNum>
  <w:abstractNum w:abstractNumId="45">
    <w:nsid w:val="649BB77C"/>
    <w:multiLevelType w:val="hybridMultilevel"/>
    <w:lvl w:ilvl="0">
      <w:lvlJc w:val="left"/>
      <w:lvlText w:val="%1"/>
      <w:numFmt w:val="decimal"/>
      <w:start w:val="22"/>
    </w:lvl>
  </w:abstractNum>
  <w:abstractNum w:abstractNumId="46">
    <w:nsid w:val="275AC794"/>
    <w:multiLevelType w:val="hybridMultilevel"/>
    <w:lvl w:ilvl="0">
      <w:lvlJc w:val="left"/>
      <w:lvlText w:val="%1"/>
      <w:numFmt w:val="decimal"/>
      <w:start w:val="97"/>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lowerRoman"/>
      <w:start w:val="1"/>
    </w:lvl>
  </w:abstractNum>
  <w:abstractNum w:abstractNumId="51">
    <w:nsid w:val="47398C89"/>
    <w:multiLevelType w:val="hybridMultilevel"/>
    <w:lvl w:ilvl="0">
      <w:lvlJc w:val="left"/>
      <w:lvlText w:val="(%1)"/>
      <w:numFmt w:val="lowerRoman"/>
      <w:start w:val="3"/>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upperLetter"/>
      <w:start w:val="9"/>
    </w:lvl>
  </w:abstractNum>
  <w:abstractNum w:abstractNumId="57">
    <w:nsid w:val="3F6AB60F"/>
    <w:multiLevelType w:val="hybridMultilevel"/>
    <w:lvl w:ilvl="0">
      <w:lvlJc w:val="left"/>
      <w:lvlText w:val="%1."/>
      <w:numFmt w:val="upperLetter"/>
      <w:start w:val="35"/>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upperLetter"/>
      <w:start w:val="6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28" Type="http://schemas.openxmlformats.org/officeDocument/2006/relationships/image" Target="media/image78.png"/><Relationship Id="rId139" Type="http://schemas.openxmlformats.org/officeDocument/2006/relationships/image" Target="media/image79.png"/><Relationship Id="rId140" Type="http://schemas.openxmlformats.org/officeDocument/2006/relationships/image" Target="media/image80.png"/><Relationship Id="rId141" Type="http://schemas.openxmlformats.org/officeDocument/2006/relationships/image" Target="media/image81.png"/><Relationship Id="rId142" Type="http://schemas.openxmlformats.org/officeDocument/2006/relationships/image" Target="media/image82.png"/><Relationship Id="rId143" Type="http://schemas.openxmlformats.org/officeDocument/2006/relationships/image" Target="media/image83.png"/><Relationship Id="rId144" Type="http://schemas.openxmlformats.org/officeDocument/2006/relationships/image" Target="media/image84.png"/><Relationship Id="rId145" Type="http://schemas.openxmlformats.org/officeDocument/2006/relationships/image" Target="media/image85.png"/><Relationship Id="rId146" Type="http://schemas.openxmlformats.org/officeDocument/2006/relationships/image" Target="media/image86.png"/><Relationship Id="rId147" Type="http://schemas.openxmlformats.org/officeDocument/2006/relationships/image" Target="media/image87.png"/><Relationship Id="rId148" Type="http://schemas.openxmlformats.org/officeDocument/2006/relationships/image" Target="media/image88.png"/><Relationship Id="rId149" Type="http://schemas.openxmlformats.org/officeDocument/2006/relationships/image" Target="media/image89.png"/><Relationship Id="rId150" Type="http://schemas.openxmlformats.org/officeDocument/2006/relationships/image" Target="media/image90.png"/><Relationship Id="rId151" Type="http://schemas.openxmlformats.org/officeDocument/2006/relationships/image" Target="media/image91.png"/><Relationship Id="rId152" Type="http://schemas.openxmlformats.org/officeDocument/2006/relationships/image" Target="media/image92.png"/><Relationship Id="rId153"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5.png"/><Relationship Id="rId156"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85" Type="http://schemas.openxmlformats.org/officeDocument/2006/relationships/hyperlink" Target="http://www.sec.gov/Archives/edgar/data/1040829/000119312512410191/d419132dex31.htm" TargetMode="External"/><Relationship Id="rId86" Type="http://schemas.openxmlformats.org/officeDocument/2006/relationships/hyperlink" Target="https://www.sec.gov/Archives/edgar/data/1040829/000155837023002012/rhp-20221231xex3d2.htm" TargetMode="External"/><Relationship Id="rId87" Type="http://schemas.openxmlformats.org/officeDocument/2006/relationships/hyperlink" Target="http://www.sec.gov/Archives/edgar/data/1040829/000119312512401709/d415216dex41.htm" TargetMode="External"/><Relationship Id="rId88" Type="http://schemas.openxmlformats.org/officeDocument/2006/relationships/hyperlink" Target="https://www.sec.gov/Archives/edgar/data/1040829/000155837020001342/ex-4d3.htm" TargetMode="External"/><Relationship Id="rId89" Type="http://schemas.openxmlformats.org/officeDocument/2006/relationships/hyperlink" Target="http://www.sec.gov/Archives/edgar/data/1040829/000141057819001323/tv529738_ex4-1.htm" TargetMode="External"/><Relationship Id="rId90" Type="http://schemas.openxmlformats.org/officeDocument/2006/relationships/hyperlink" Target="http://www.sec.gov/Archives/edgar/data/1040829/000141057819001570/tv530763_ex4-3.htm" TargetMode="External"/><Relationship Id="rId91" Type="http://schemas.openxmlformats.org/officeDocument/2006/relationships/hyperlink" Target="https://www.sec.gov/Archives/edgar/data/1040829/000114036121005258/nt10019727x5_ex4-1.htm" TargetMode="External"/><Relationship Id="rId92" Type="http://schemas.openxmlformats.org/officeDocument/2006/relationships/hyperlink" Target="https://www.sec.gov/ix?doc=/Archives/edgar/data/1040829/000114036121005258/nt10019727x5_8k.htm" TargetMode="External"/><Relationship Id="rId93" Type="http://schemas.openxmlformats.org/officeDocument/2006/relationships/hyperlink" Target="https://www.sec.gov/Archives/edgar/data/1040829/000114036123030947/brhc20054708_ex4-1.htm" TargetMode="External"/><Relationship Id="rId94" Type="http://schemas.openxmlformats.org/officeDocument/2006/relationships/hyperlink" Target="https://www.sec.gov/ix?doc=/Archives/edgar/data/1040829/000114036123030947/brhc20054708_8k.htm" TargetMode="External"/><Relationship Id="rId95" Type="http://schemas.openxmlformats.org/officeDocument/2006/relationships/hyperlink" Target="https://www.sec.gov/Archives/edgar/data/1040829/000114036124016193/ny20024154x2_ex4-1.htm" TargetMode="External"/><Relationship Id="rId96" Type="http://schemas.openxmlformats.org/officeDocument/2006/relationships/hyperlink" Target="https://www.sec.gov/ix?doc=/Archives/edgar/data/1040829/000114036124016193/ny20024154x2_8k.htm" TargetMode="External"/><Relationship Id="rId97" Type="http://schemas.openxmlformats.org/officeDocument/2006/relationships/hyperlink" Target="https://www.sec.gov/Archives/edgar/data/1040829/000110465925056397/tm2516966d1_ex4-1.htm" TargetMode="External"/><Relationship Id="rId98" Type="http://schemas.openxmlformats.org/officeDocument/2006/relationships/hyperlink" Target="https://www.sec.gov/Archives/edgar/data/1040829/000110465925056397/tm2516966d1_ex4-1.htm#a_001" TargetMode="External"/><Relationship Id="rId99" Type="http://schemas.openxmlformats.org/officeDocument/2006/relationships/hyperlink" Target="https://www.sec.gov/Archives/edgar/data/1040829/000110465923062700/tm2316305d1_ex10-1.htm" TargetMode="External"/><Relationship Id="rId100" Type="http://schemas.openxmlformats.org/officeDocument/2006/relationships/hyperlink" Target="https://www.sec.gov/Archives/edgar/data/1040829/000110465926007488/tm264231d1_ex10-1.htm" TargetMode="External"/><Relationship Id="rId101" Type="http://schemas.openxmlformats.org/officeDocument/2006/relationships/hyperlink" Target="https://www.sec.gov/Archives/edgar/data/1040829/000114036124019606/ef20026843_ex10-1.htm" TargetMode="External"/><Relationship Id="rId102" Type="http://schemas.openxmlformats.org/officeDocument/2006/relationships/hyperlink" Target="https://www.sec.gov/Archives/edgar/data/1040829/000114036124049940/ef20040400_ex10-1.htm" TargetMode="External"/><Relationship Id="rId103" Type="http://schemas.openxmlformats.org/officeDocument/2006/relationships/hyperlink" Target="http://www.sec.gov/Archives/edgar/data/1040829/0000950144-00-004089-index.html" TargetMode="External"/><Relationship Id="rId104" Type="http://schemas.openxmlformats.org/officeDocument/2006/relationships/hyperlink" Target="http://www.sec.gov/Archives/edgar/data/1040829/000095014403004173/g81512exv10w21.txt" TargetMode="External"/><Relationship Id="rId105" Type="http://schemas.openxmlformats.org/officeDocument/2006/relationships/hyperlink" Target="http://www.sec.gov/Archives/edgar/data/1040829/000095014403004173/g81512exv10w22.txt" TargetMode="External"/><Relationship Id="rId106" Type="http://schemas.openxmlformats.org/officeDocument/2006/relationships/hyperlink" Target="http://www.sec.gov/Archives/edgar/data/1040829/000119312519003774/d682468dex101.htm" TargetMode="External"/><Relationship Id="rId107" Type="http://schemas.openxmlformats.org/officeDocument/2006/relationships/hyperlink" Target="https://www.sec.gov/Archives/edgar/data/1040829/000110465922071928/tm2218606d1_ex10-1.htm" TargetMode="External"/><Relationship Id="rId108" Type="http://schemas.openxmlformats.org/officeDocument/2006/relationships/hyperlink" Target="https://www.sec.gov/Archives/edgar/data/1040829/000155837024001613/rhp-20231231xex10d14.htm" TargetMode="External"/><Relationship Id="rId109" Type="http://schemas.openxmlformats.org/officeDocument/2006/relationships/hyperlink" Target="http://www.sec.gov/Archives/edgar/data/1040829/000095014401004631/g68099ex10-19.txt" TargetMode="External"/><Relationship Id="rId110" Type="http://schemas.openxmlformats.org/officeDocument/2006/relationships/hyperlink" Target="http://www.sec.gov/Archives/edgar/data/1040829/000095014408001431/g11970exv10w1.htm" TargetMode="External"/><Relationship Id="rId111" Type="http://schemas.openxmlformats.org/officeDocument/2006/relationships/hyperlink" Target="http://www.sec.gov/Archives/edgar/data/1040829/000095014408009526/g17124exv10w3.htm" TargetMode="External"/><Relationship Id="rId112" Type="http://schemas.openxmlformats.org/officeDocument/2006/relationships/hyperlink" Target="http://www.sec.gov/Archives/edgar/data/1040829/000095012310101559/g25095exv10w2.htm" TargetMode="External"/><Relationship Id="rId113" Type="http://schemas.openxmlformats.org/officeDocument/2006/relationships/hyperlink" Target="http://www.sec.gov/Archives/edgar/data/1040829/000119312512456947/d412761dex105.htm" TargetMode="External"/><Relationship Id="rId114" Type="http://schemas.openxmlformats.org/officeDocument/2006/relationships/hyperlink" Target="https://www.sec.gov/Archives/edgar/data/1040829/000155837021001956/rhp-20201231xex10d17.htm" TargetMode="External"/><Relationship Id="rId115" Type="http://schemas.openxmlformats.org/officeDocument/2006/relationships/hyperlink" Target="https://www.sec.gov/Archives/edgar/data/1040829/000110465922107763/tm2227868d1_ex10-1.htm" TargetMode="External"/><Relationship Id="rId116" Type="http://schemas.openxmlformats.org/officeDocument/2006/relationships/hyperlink" Target="http://www.sec.gov/Archives/edgar/data/1040829/000095014402003186/g74977ex10-30.txt" TargetMode="External"/><Relationship Id="rId117" Type="http://schemas.openxmlformats.org/officeDocument/2006/relationships/hyperlink" Target="http://www.sec.gov/Archives/edgar/data/1040829/000095014408001431/g11970exv10w3.htm" TargetMode="External"/><Relationship Id="rId118" Type="http://schemas.openxmlformats.org/officeDocument/2006/relationships/hyperlink" Target="http://www.sec.gov/Archives/edgar/data/1040829/000095012310017849/g22218exv10w38.htm" TargetMode="External"/><Relationship Id="rId119" Type="http://schemas.openxmlformats.org/officeDocument/2006/relationships/hyperlink" Target="http://www.sec.gov/Archives/edgar/data/1040829/000095012310101559/g25095exv10w5.htm" TargetMode="External"/><Relationship Id="rId120" Type="http://schemas.openxmlformats.org/officeDocument/2006/relationships/hyperlink" Target="http://www.sec.gov/Archives/edgar/data/1040829/000119312512456947/d412761dex106.htm" TargetMode="External"/><Relationship Id="rId121" Type="http://schemas.openxmlformats.org/officeDocument/2006/relationships/hyperlink" Target="https://www.sec.gov/Archives/edgar/data/1040829/000110465922028770/tm227976d1_ex10-1.htm" TargetMode="External"/><Relationship Id="rId122" Type="http://schemas.openxmlformats.org/officeDocument/2006/relationships/hyperlink" Target="https://www.sec.gov/Archives/edgar/data/1040829/000110465922107763/tm2227868d1_ex10-2.htm" TargetMode="External"/><Relationship Id="rId123" Type="http://schemas.openxmlformats.org/officeDocument/2006/relationships/hyperlink" Target="https://www.sec.gov/Archives/edgar/data/1040829/000119312518060772/d503192dex1021.htm" TargetMode="External"/><Relationship Id="rId124" Type="http://schemas.openxmlformats.org/officeDocument/2006/relationships/hyperlink" Target="http://www.sec.gov/Archives/edgar/data/1040829/000119312518060772/d503192dex1022.htm" TargetMode="External"/><Relationship Id="rId125" Type="http://schemas.openxmlformats.org/officeDocument/2006/relationships/hyperlink" Target="https://www.sec.gov/Archives/edgar/data/1040829/000110465922028770/tm227976d1_ex10-2.htm" TargetMode="External"/><Relationship Id="rId126" Type="http://schemas.openxmlformats.org/officeDocument/2006/relationships/hyperlink" Target="http://www.sec.gov/Archives/edgar/data/1040829/000095014403004173/g81512exv10w36.txt" TargetMode="External"/><Relationship Id="rId127" Type="http://schemas.openxmlformats.org/officeDocument/2006/relationships/hyperlink" Target="http://www.sec.gov/Archives/edgar/data/1040829/000119312516582078/d92622dex101.htm" TargetMode="External"/><Relationship Id="rId129" Type="http://schemas.openxmlformats.org/officeDocument/2006/relationships/hyperlink" Target="http://www.sec.gov/Archives/edgar/data/1040829/000119312517061161/d285683dex1043.htm" TargetMode="External"/><Relationship Id="rId130" Type="http://schemas.openxmlformats.org/officeDocument/2006/relationships/hyperlink" Target="http://www.sec.gov/Archives/edgar/data/1040829/000119312516671549/d199388dex101.htm" TargetMode="External"/><Relationship Id="rId131" Type="http://schemas.openxmlformats.org/officeDocument/2006/relationships/hyperlink" Target="http://www.sec.gov/Archives/edgar/data/1040829/000119312516671549/d199388dex102.htm" TargetMode="External"/><Relationship Id="rId132" Type="http://schemas.openxmlformats.org/officeDocument/2006/relationships/hyperlink" Target="https://www.sec.gov/Archives/edgar/data/1040829/000110465924059212/tm2413770d3_ex10-1.htm" TargetMode="External"/><Relationship Id="rId133" Type="http://schemas.openxmlformats.org/officeDocument/2006/relationships/hyperlink" Target="https://www.sec.gov/Archives/edgar/data/1040829/000155837024010587/rhp-20240630xex10d3.htm" TargetMode="External"/><Relationship Id="rId134" Type="http://schemas.openxmlformats.org/officeDocument/2006/relationships/hyperlink" Target="https://www.sec.gov/Archives/edgar/data/1040829/000155837024010587/rhp-20240630xex10d4.htm" TargetMode="External"/><Relationship Id="rId135" Type="http://schemas.openxmlformats.org/officeDocument/2006/relationships/hyperlink" Target="https://www.sec.gov/Archives/edgar/data/1040829/000110465925050453/tm2515496d1_ex10-1.htm" TargetMode="External"/><Relationship Id="rId136" Type="http://schemas.openxmlformats.org/officeDocument/2006/relationships/hyperlink" Target="https://www.sec.gov/Archives/edgar/data/1040829/000155837025001286/rhp-20241231xex19.htm" TargetMode="External"/><Relationship Id="rId137" Type="http://schemas.openxmlformats.org/officeDocument/2006/relationships/hyperlink" Target="https://www.sec.gov/Archives/edgar/data/1040829/000155837025010229/rhp-20250630xex22.htm" TargetMode="External"/><Relationship Id="rId138" Type="http://schemas.openxmlformats.org/officeDocument/2006/relationships/hyperlink" Target="https://www.sec.gov/Archives/edgar/data/1040829/000155837024001613/rhp-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2026-02-24T13:22:08Z</dcterms:created>
  <dcterms:modified xsi:type="dcterms:W3CDTF">2026-02-24T13:22:08Z</dcterms:modified>
</cp:coreProperties>
</file>