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120" w:right="980" w:hanging="311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2022</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680"/>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3" w:lineRule="exact"/>
        <w:rPr>
          <w:sz w:val="24"/>
          <w:szCs w:val="24"/>
          <w:color w:val="auto"/>
        </w:rPr>
      </w:pPr>
    </w:p>
    <w:p>
      <w:pPr>
        <w:ind w:right="7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October 31, 2022</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55,163,324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4"/>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–September 30, 2022 and</w:t>
            </w:r>
          </w:p>
        </w:tc>
        <w:tc>
          <w:tcPr>
            <w:tcW w:w="11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w:t>
            </w:r>
          </w:p>
        </w:tc>
        <w:tc>
          <w:tcPr>
            <w:tcW w:w="5500" w:type="dxa"/>
            <w:vAlign w:val="bottom"/>
            <w:gridSpan w:val="1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w:t>
            </w:r>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and Nine Months Ended September 30, 2022 and 2021</w:t>
            </w:r>
          </w:p>
        </w:tc>
        <w:tc>
          <w:tcPr>
            <w:tcW w:w="3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For the Nine Months</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2022 and 2021</w:t>
            </w:r>
          </w:p>
        </w:tc>
        <w:tc>
          <w:tcPr>
            <w:tcW w:w="3620" w:type="dxa"/>
            <w:vAlign w:val="bottom"/>
            <w:tcBorders>
              <w:top w:val="single" w:sz="8" w:color="0000EE"/>
            </w:tcBorders>
            <w:gridSpan w:val="7"/>
          </w:tcPr>
          <w:p>
            <w:pPr>
              <w:spacing w:after="0"/>
              <w:rPr>
                <w:sz w:val="17"/>
                <w:szCs w:val="17"/>
                <w:color w:val="auto"/>
              </w:rPr>
            </w:pPr>
          </w:p>
        </w:tc>
        <w:tc>
          <w:tcPr>
            <w:tcW w:w="64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(Deficit) and Noncontrolling Interest</w:t>
            </w:r>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and Nine Months Ended September 30, 2022 and 2021</w:t>
            </w:r>
          </w:p>
        </w:tc>
        <w:tc>
          <w:tcPr>
            <w:tcW w:w="3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412"/>
        </w:trPr>
        <w:tc>
          <w:tcPr>
            <w:tcW w:w="1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8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3,178,104</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107,199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3,947,280</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EQUITY (DEFICIT):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2,863,081</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364,229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Dividends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168,274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65,802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3,591,545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 (deficit):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55,163 and 55,072 shares issued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1,104,189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648 and 648 shares, at cost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(1,022,770)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51,578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 (deficit)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 (deficit)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3,947,280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55"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(LOSS)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Rooms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154,940</w:t>
            </w:r>
          </w:p>
        </w:tc>
        <w:tc>
          <w:tcPr>
            <w:tcW w:w="2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113,192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418,039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203,391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Food and beverage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169,597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hotel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149,089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Entertainment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49,053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183,579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revenues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467,755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306,906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1,237,094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561,942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Rooms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Food and beverage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118,282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hotel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196,125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Management fees,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7,809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hotel operating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259,184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181,117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701,569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377,534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Entertainment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131,549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Corporate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Preopening costs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(Gain) loss on sale of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160,712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164,081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370,750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281,211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1,026,247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646,751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unconsolidated joint ventures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gains and (losses),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57,629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101,325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(182,137)</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47,451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73,578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(188,777)</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0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(income) loss attributable to noncontrolling interest in consolidated joint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venture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 in Operating Partnership</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income (loss) available to common stockholders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45,241</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(170,986)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income (loss) per share available to common stockholders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Diluted income (loss) per share available to common stockholders</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0.79</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(0.16)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Comprehensive income (loss), net of taxes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55,917</w:t>
            </w:r>
          </w:p>
        </w:tc>
        <w:tc>
          <w:tcPr>
            <w:tcW w:w="2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Comprehensive (income) loss, net of taxes, attributable to noncontrolling interest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 consolidated joint venture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Comprehensive (income) loss, net of taxes, attributable to noncontrolling interest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 Operating Partnership</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(loss), net of taxes, available to common stockholders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53,647</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(150,845)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7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73,578</w:t>
            </w:r>
          </w:p>
        </w:tc>
        <w:tc>
          <w:tcPr>
            <w:tcW w:w="200" w:type="dxa"/>
            <w:vAlign w:val="bottom"/>
          </w:tcPr>
          <w:p>
            <w:pPr>
              <w:spacing w:after="0"/>
              <w:rPr>
                <w:sz w:val="14"/>
                <w:szCs w:val="14"/>
                <w:color w:val="auto"/>
              </w:rPr>
            </w:pPr>
          </w:p>
        </w:tc>
        <w:tc>
          <w:tcPr>
            <w:tcW w:w="1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(188,777)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(loss) to net cash flows provided by operating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4,545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5,991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160,712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7,178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6,579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8,348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5,831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11,134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8,944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(55,346)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(52,930)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44,094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73,370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(8,273)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5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245,970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22,670</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(48,219)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(66,162)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land adjacent to Gaylord Rockies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Block 21, net of cash acquired</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(93,992)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additional interest in Gaylord Rockies joint venture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other joint ventures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(10,207)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(7,168)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838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5,482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5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(147,862)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(277,004)</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(repayments) under revolving credit facility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A</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 B</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(15,212)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noncontrolling interest in Operating Partnership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Sale of noncontrolling interest in OEG</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286,218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(4,361)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(3,428)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financing activities</w:t>
            </w:r>
          </w:p>
        </w:tc>
        <w:tc>
          <w:tcPr>
            <w:tcW w:w="5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59,595</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253,083</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157,703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79,754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320,703</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78,503</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7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224,696</w:t>
            </w:r>
          </w:p>
        </w:tc>
        <w:tc>
          <w:tcPr>
            <w:tcW w:w="200" w:type="dxa"/>
            <w:vAlign w:val="bottom"/>
          </w:tcPr>
          <w:p>
            <w:pPr>
              <w:spacing w:after="0"/>
              <w:rPr>
                <w:sz w:val="14"/>
                <w:szCs w:val="14"/>
                <w:color w:val="auto"/>
              </w:rPr>
            </w:pPr>
          </w:p>
        </w:tc>
        <w:tc>
          <w:tcPr>
            <w:tcW w:w="1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53,155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96,007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25,348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58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320,703</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78,503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9"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CONSOLIDATED STATEMENTS OF EQUITY (DEFICIT) AND NONCONTROLLING INTEREST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11"/>
                <w:szCs w:val="11"/>
                <w:color w:val="auto"/>
              </w:rPr>
            </w:pPr>
          </w:p>
        </w:tc>
        <w:tc>
          <w:tcPr>
            <w:tcW w:w="7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6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9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6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2021</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$ 1,112,867</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(1,088,105)</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(29,080)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(22,393)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(24,797)</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(3,761)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(3,761)</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(3,761)</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6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2022</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$ 1,112,892</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(1,112,726)</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(19,094)</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(36,844)</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(37,179)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50,284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50,284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(1,298)</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(1,298)</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(1,298)</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Sale of noncontrolling interest in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OEG</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(9,467)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(9,467)</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(9,467)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295,956</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2022</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$ 1,106,955</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(1,062,442)</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(20,392)</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6,206</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6,231</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296,236</w:t>
            </w:r>
          </w:p>
        </w:tc>
      </w:tr>
      <w:tr>
        <w:trPr>
          <w:trHeight w:val="128"/>
        </w:trPr>
        <w:tc>
          <w:tcPr>
            <w:tcW w:w="19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45,241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45,241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45,564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(5,726)</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(5,726)</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(5,726)</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5,726</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Sale of noncontrolling interest in</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OEG</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($0.10 per</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(5,569)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(5,556)</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(5,596)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2022</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$ 1,104,189</w:t>
            </w: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(1,022,770)</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(11,926)</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51,578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308</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51,886</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303,849</w:t>
            </w:r>
          </w:p>
        </w:tc>
      </w:tr>
      <w:tr>
        <w:trPr>
          <w:trHeight w:val="20"/>
        </w:trPr>
        <w:tc>
          <w:tcPr>
            <w:tcW w:w="1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40" w:right="99"/>
        <w:spacing w:after="0" w:line="259"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CONSOLIDATED STATEMENTS OF EQUITY (DEFICIT) AND NONCONTROLLING INTEREST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88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Operating</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Partnership</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18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2020</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$ 1,192,261</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(911,092)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(57,951)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205,301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219,817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100,969</w:t>
            </w: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(104,521)</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(104,521)</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(105,328)</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(11,793)</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of income taxes</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in Operating</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Partnership</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(1,352)</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(1,352)</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(2,438)</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Contribution to consolidated</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joint venture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(3,357)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(3,345)</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(3,345)</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88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2021</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$ 1,191,426</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(1,016,953)</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(51,851)</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104,705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12,623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117,328</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93,601</w:t>
            </w:r>
          </w:p>
        </w:tc>
      </w:tr>
      <w:tr>
        <w:trPr>
          <w:trHeight w:val="128"/>
        </w:trPr>
        <w:tc>
          <w:tcPr>
            <w:tcW w:w="188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(57,919)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(4,708)</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income taxes</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remaining interest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 consolidated joint venture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(99,107)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(88,893)</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88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2021</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$ 1,095,415</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(1,074,872)</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(40,647)</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(38,020)</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12,201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(25,819)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188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(8,546)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(8,546)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income taxes</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8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8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2021</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$ 1,098,669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(1,083,411)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(36,574)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(39,232)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12,140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(27,092)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prior to May 2021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condensed consolidated financial statements.</w:t>
      </w:r>
    </w:p>
    <w:p>
      <w:pPr>
        <w:spacing w:after="0" w:line="14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2021, for periods prior to its ownership of 100% ownership of the asset in May 2021, management concluded that the Company was the primary beneficiary of the Gaylord Rockies joint venture, which was a variable interest entity (“VIE”). As such, the Company consolidated the assets, liabilities and results of operations of the Gaylord Rockies joint venture in the accompanying condensed consolidated financial statements. The portion of the Gaylord Rockies joint venture that the Company did not previously own was recorded as noncontrolling interest in consolidated joint venture in the accompanying condensed consolidated balance sheet, and any previous adjustment necessary to reflect the noncontrolling interest at its redemption value is shown in the accompanying condensed consolidated statements of equity. As the Gaylord Rockies joint venture is wholly-owned by the Company as of May 2021, it is no longer considered a VIE.</w:t>
      </w:r>
    </w:p>
    <w:p>
      <w:pPr>
        <w:spacing w:after="0" w:line="16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also owns a business holding a number of media and entertainment assets, known as the Opry Entertainment Group, reported as the Company’s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managed by Marriott – the Wildhorse Saloon and the General Jackson Showboat; and as of May 31, 2022, Block 21, a mixed-use entertainment, lodging, office, and retail complex located in Austin, Texas (“Block 21”). The Company also owns a 50% interest in a joint venture that creates and distributes a linear multicast and over-the-top channel dedicated to the country music lifestyle (“Circle”), which launched its broadcast network on January 1, 2020. Beginning June 16, 2022, the Company owns 70% of Opry Entertainment Group. See Note 2, “OEG Transaction,” Note 3, “Block 21 Transaction,” and Note 15, “Commitments and Contingencies,” to the condensed consolidated financial statements included herein for further disclosure.</w:t>
      </w:r>
    </w:p>
    <w:p>
      <w:pPr>
        <w:spacing w:after="0" w:line="15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 the audited consolidated financial statements and the notes thereto included in the Company’s Annual Report on Form 10-K for the year ended December 31, 2021.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Ongoing Recovery from the COVID-19 Pandemic; Current Economic Environment</w:t>
      </w:r>
    </w:p>
    <w:p>
      <w:pPr>
        <w:spacing w:after="0" w:line="187"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The novel coronavirus disease (COVID-19) pandemic has been and continues to be a complex and evolving situation, causing unprecedented levels of disruption to the Company’s business. The Company’s assets are currently open and operating without capacity restrictions and business levels continue to recover, though there remains significant uncertainty surrounding the full extent of the impact of the COVID-19 pandemic on the Company’s future results of operations and financial position, as increased labor costs and broad inflationary pressures continue to impact the economy.</w:t>
      </w:r>
    </w:p>
    <w:p>
      <w:pPr>
        <w:spacing w:after="0" w:line="14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All of the Company’s assets are open and have been operating throughout 2022. The majority of the Company’s businesses were open and operating throughout 2021. However, Gaylord National remained closed during the first half of 2021 and reopened July 1, 2021. The Grand Ole Opry and Ryman Auditorium reopened for limited-capacity publicly attended performances in September 2020, and reopened for full-capacity publicly attended performances in May 2021. In addition, due to the December 2020 downtown Nashville bombing, the Wildhorse Saloon was closed from such event until April 2021.</w:t>
      </w:r>
    </w:p>
    <w:p>
      <w:pPr>
        <w:spacing w:after="0" w:line="147"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Throughout 2020 and 2021 and continuing to date, the Company has paid all required debt service payments on its indebtedness, lease payments, taxes and other payables. Beginning in July 2020 and continuing to date, Gaylord Rockies was in a cash sweep position pursuant to and as defined in the Gaylord Rockies $800 million term loan agreement.</w:t>
      </w:r>
    </w:p>
    <w:p>
      <w:pPr>
        <w:spacing w:after="0" w:line="11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had $689.6 million available for borrowing under its revolving credit facility, $65.0 million available for borrowing under the OEG revolving credit facility, and $224.7 million in unrestricted cash on hand. The Company’s cash dividend was reinstated in September 2022. The Company’s interim dividend policy provides that the Company will make minimum dividends of 100% of REIT taxable income annually, subject to the Company’s board of directors’ future determinations as to the amount of any distributions and the timing thereof.</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 Facilitation of the Effects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on Financial Reporting</w:t>
      </w:r>
      <w:r>
        <w:rPr>
          <w:rFonts w:ascii="Times New Roman" w:cs="Times New Roman" w:eastAsia="Times New Roman" w:hAnsi="Times New Roman"/>
          <w:sz w:val="18"/>
          <w:szCs w:val="18"/>
          <w:color w:val="auto"/>
        </w:rPr>
        <w:t>,” which provides temporary optional expedients and exceptions to the existing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OEG TRANSACTION:</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June 16, 2022, the Company and certain of its subsidiaries, including OEG Attractions Holdings, LLC (“OEG”), which directly or indirectly owns the assets that comprise the Company’s Entertainment segment, consummated the transactions contemplated by an investment agreement (the “Investment Agreement”) with Atairos Group, Inc. (“Atairos”) and A-OEG Holdings, LLC, an affiliate of Atairos (the “OEG Investor”), pursuant to which OEG issued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sold to the OEG Investor, and the OEG Investor acquired, 30% of the equity interests of OEG for approximately $296.0 million (the “OEG Transaction”). The purchase price payable to the Company for the OEG Transaction may be increased by $30.0 million if OEG achieves certain financial objectives in 2023 or 2024.</w:t>
      </w:r>
    </w:p>
    <w:p>
      <w:pPr>
        <w:spacing w:after="0" w:line="1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Company retains a controlling 70% equity interest in OEG and continues to consolidate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 and any adjustment necessary to reflect the noncontrolling interest at its redemption value is shown in the accompanying condensed consolidated statements of equity. After the payment of transaction expenses, the Company used substantially all of the net proceeds from the OEG Transaction, together with the net proceeds the Company received from the OEG Term Loan (as defined below), to repay the outstanding balance of the Company’s existing $300 million term loan A and to pay down substantially all borrowings outstanding under the Company’s revolving credit facility.</w:t>
      </w:r>
    </w:p>
    <w:p>
      <w:pPr>
        <w:spacing w:after="0" w:line="188"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Pursuant to the Second Amended and Restated Limited Liability Company Agreement for OEG entered into at the closing of the OEG Transaction (the “OEG LLC Agreement”), OEG will be governed by a Board of Managers (the “Board”), subject to member consent to certain actions. The Board will initially consist of six members, four designated by the Company and two designated by the OEG Investor. Board membership may be modified from time to time to reflect the proportional ownership of outstanding units by each party. Subject to certain ownership thresholds, the approval of both parties will be required with respect to certain “major decisions” affecting OEG, including, but not limited to, approval of OEG’s annual operating budget in the event of changes exceeding certain thresholds, the incurrence of certain debt, the issuance of new equity securities, and mergers, acquisitions or dispositions in excess of a certain dollar threshold.</w:t>
      </w:r>
    </w:p>
    <w:p>
      <w:pPr>
        <w:spacing w:after="0" w:line="172"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OEG Investor will have the option to acquire additional common units of OEG from the Company (the “Purchase Option”) in each of the fourth quarters of 2023, 2024 and 2025 in an amount equal to the lesser of $125 million or the maximum amount of proceeds that the Company may receive with respect to its compliance with applicable REIT tests, provided that the OEG Investor may not purchase an amount of common units that would result in the Company owning less than 51% of the outstanding common units after giving effect to the purchase. If the OEG Investor elects to exercise the Purchase Option, then (i) beginning on June 16, 2027 (the fifth anniversary of the OEG Investor’s original investment in OEG (the “Fifth Anniversary”), the OEG Investor will have the right to demand that OEG undertake a Qualified IPO and (ii) the OEG Investor’s rights with respect to the IPO Request Put Right, the Seven-Year Put Right, an IPO Payment and a Sale Payment, each as defined in the OEG LLC Agreement and described below, will expire. The Purchase Option will terminate upon the occurrence of a Qualified IPO, a Sale of OEG or a Qualified Spinoff, each as defined in the OEG LLC Agreement.</w:t>
      </w:r>
    </w:p>
    <w:p>
      <w:pPr>
        <w:spacing w:after="0" w:line="190"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IPO Request Put Right</w:t>
      </w:r>
      <w:r>
        <w:rPr>
          <w:rFonts w:ascii="Times New Roman" w:cs="Times New Roman" w:eastAsia="Times New Roman" w:hAnsi="Times New Roman"/>
          <w:sz w:val="18"/>
          <w:szCs w:val="18"/>
          <w:color w:val="auto"/>
        </w:rPr>
        <w:t>. If OEG has not completed a Qualified IPO prior to June 16, 2026 (the fourth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OEG Investor’s original investment in OEG (the “Fourth Anniversary”)), the OEG Investor may request that OEG undertake a Qualified IPO. If the Company, through its subsidiary RHP Hotels, LLC (the “Ryman Member”), declines to undertake such Qualified IPO, the OEG Investor may cause the Ryman Member to acquire all of the OEG Investor’s interest in OEG at a price equal to 1.5 times the OEG Investor’s equity investment (the “IPO Request Put Price”).</w:t>
      </w:r>
    </w:p>
    <w:p>
      <w:pPr>
        <w:spacing w:after="0" w:line="18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Seven-Year Put Right</w:t>
      </w:r>
      <w:r>
        <w:rPr>
          <w:rFonts w:ascii="Times New Roman" w:cs="Times New Roman" w:eastAsia="Times New Roman" w:hAnsi="Times New Roman"/>
          <w:sz w:val="18"/>
          <w:szCs w:val="18"/>
          <w:color w:val="auto"/>
        </w:rPr>
        <w:t>. If OEG has not completed a Qualified IPO, Sale of OEG or a Qualified Spinoff prior to June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2029 (the seventh anniversary of the OEG Investor’s original investment in OEG (the “Seventh Anniversary”)), the OEG Investor may cause the Ryman Member to acquire all of the OEG Investor’s interest in OEG at a price equal to the fair value of the OEG Investor’s equity interest (the “Seven-Year Put Price”).</w:t>
      </w:r>
    </w:p>
    <w:p>
      <w:pPr>
        <w:spacing w:after="0" w:line="18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IPO Request Put Price and the Seven-Year Put Price may each be settled in either cash or Company stock, at the Company’s option, and the IPO Request Put Right and the Seven-Year Put Right will each terminate at the first closing of the Purchase Option.</w:t>
      </w:r>
    </w:p>
    <w:p>
      <w:pPr>
        <w:spacing w:after="0" w:line="174" w:lineRule="exact"/>
        <w:rPr>
          <w:sz w:val="20"/>
          <w:szCs w:val="20"/>
          <w:color w:val="auto"/>
        </w:rPr>
      </w:pPr>
    </w:p>
    <w:p>
      <w:pPr>
        <w:ind w:left="60" w:right="79"/>
        <w:spacing w:after="0" w:line="224" w:lineRule="auto"/>
        <w:rPr>
          <w:sz w:val="20"/>
          <w:szCs w:val="20"/>
          <w:color w:val="auto"/>
        </w:rPr>
      </w:pPr>
      <w:r>
        <w:rPr>
          <w:rFonts w:ascii="Times New Roman" w:cs="Times New Roman" w:eastAsia="Times New Roman" w:hAnsi="Times New Roman"/>
          <w:sz w:val="18"/>
          <w:szCs w:val="18"/>
          <w:i w:val="1"/>
          <w:iCs w:val="1"/>
          <w:color w:val="auto"/>
        </w:rPr>
        <w:t>IPO Payment</w:t>
      </w:r>
      <w:r>
        <w:rPr>
          <w:rFonts w:ascii="Times New Roman" w:cs="Times New Roman" w:eastAsia="Times New Roman" w:hAnsi="Times New Roman"/>
          <w:sz w:val="18"/>
          <w:szCs w:val="18"/>
          <w:color w:val="auto"/>
        </w:rPr>
        <w:t>. Upon a Qualified IPO that occurs on or before the Seventh Anniversary, the OEG Investor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IPO Payment if the Post IPO Investor Stake Value (as defined in OEG LLC Agreement) measured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post-IPO does not equal or exceed the Minimum Investor Stake Value (as defined in the OEG LLC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Agreement). If the IPO occurs after the Fourth Anniversary, the IPO Payment will be capped at 50% of the OEG Investor’s investment in OEG (the “Payment Cap”). Any IPO Payment may be satisfied in either cash, OEG equity owned by the Ryman Member, or Company stock.</w:t>
      </w:r>
    </w:p>
    <w:p>
      <w:pPr>
        <w:spacing w:after="0" w:line="17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Sale Payment</w:t>
      </w:r>
      <w:r>
        <w:rPr>
          <w:rFonts w:ascii="Times New Roman" w:cs="Times New Roman" w:eastAsia="Times New Roman" w:hAnsi="Times New Roman"/>
          <w:sz w:val="18"/>
          <w:szCs w:val="18"/>
          <w:color w:val="auto"/>
        </w:rPr>
        <w:t>. Upon a sale of OEG (but excluding a Qualified Spinoff) that occurs on or before the Seventh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OEG Investor will be entitled to a Sale Payment if the value of the OEG Investor’s retained invested equity (implied by the sale) does not equal or exceed the Minimum Investor Sale Value (as defined in the OEG LLC Agreement). If a sale of OEG occurs after the Fifth Anniversary, any Sale Payment will be capped at the Payment Cap. Any Sale Payment may be satisfied in either cash, a preferential cash distribution, additional consideration in the Sale of OEG or Company stock.</w:t>
      </w:r>
    </w:p>
    <w:p>
      <w:pPr>
        <w:spacing w:after="0" w:line="185" w:lineRule="exact"/>
        <w:rPr>
          <w:sz w:val="20"/>
          <w:szCs w:val="20"/>
          <w:color w:val="auto"/>
        </w:rPr>
      </w:pPr>
    </w:p>
    <w:p>
      <w:pPr>
        <w:ind w:left="60" w:right="99"/>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above descriptions related to the OEC LLC Agreement do not purport to be complete and are qualified in their entirety </w:t>
      </w:r>
      <w:hyperlink r:id="rId19">
        <w:r>
          <w:rPr>
            <w:rFonts w:ascii="Times New Roman" w:cs="Times New Roman" w:eastAsia="Times New Roman" w:hAnsi="Times New Roman"/>
            <w:sz w:val="18"/>
            <w:szCs w:val="18"/>
            <w:color w:val="auto"/>
          </w:rPr>
          <w:t xml:space="preserve">by reference to the OEG LLC Agreement filed as </w:t>
        </w:r>
        <w:r>
          <w:rPr>
            <w:rFonts w:ascii="Times New Roman" w:cs="Times New Roman" w:eastAsia="Times New Roman" w:hAnsi="Times New Roman"/>
            <w:sz w:val="18"/>
            <w:szCs w:val="18"/>
            <w:u w:val="single" w:color="auto"/>
            <w:color w:val="0000EE"/>
          </w:rPr>
          <w:t>Exhibit 10.1 to the Company’s Current Report on Form 8-K filed with</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the SEC on June 16,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herein by reference.</w:t>
        </w:r>
      </w:hyperlink>
    </w:p>
    <w:p>
      <w:pPr>
        <w:spacing w:after="0" w:line="176"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Also on June 16, 2022, OEG Borrower, LLC (“OEG Borrower”) and OEG Finance, LLC (“OEG 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w:t>
      </w:r>
    </w:p>
    <w:p>
      <w:pPr>
        <w:spacing w:after="0" w:line="3" w:lineRule="exact"/>
        <w:rPr>
          <w:sz w:val="20"/>
          <w:szCs w:val="20"/>
          <w:color w:val="auto"/>
        </w:rPr>
      </w:pPr>
    </w:p>
    <w:p>
      <w:pPr>
        <w:ind w:left="320" w:hanging="27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secured revolving credit facility in an aggregate principal amount not to exceed $65.0 million (the “OEG</w:t>
      </w:r>
    </w:p>
    <w:p>
      <w:pPr>
        <w:spacing w:after="0" w:line="9" w:lineRule="exact"/>
        <w:rPr>
          <w:rFonts w:ascii="Times New Roman" w:cs="Times New Roman" w:eastAsia="Times New Roman" w:hAnsi="Times New Roman"/>
          <w:sz w:val="18"/>
          <w:szCs w:val="18"/>
          <w:color w:val="auto"/>
        </w:rPr>
      </w:pPr>
    </w:p>
    <w:p>
      <w:pPr>
        <w:ind w:left="60" w:right="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Revolver”). The OEG Term Loan matures on June 16, 2029 and the OEG Revolver matures on June 16, 2027. The OEG Term Loan bears interest at a rate equal to either, at OEG Borrower’s election, (i) the Alternate Base Rate plus 4.00% or (b) Adjusted Term SOFR plus 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No revolving credit advances were made under the OEG Revolver at closing.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BLOCK 21 TRANSACTION:</w:t>
      </w:r>
    </w:p>
    <w:p>
      <w:pPr>
        <w:spacing w:after="0" w:line="20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May 31, 2022, the Company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which Marriott manages,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are reflected in the Company’s Entertainment segment as of May 31, 2022.</w:t>
      </w:r>
    </w:p>
    <w:p>
      <w:pPr>
        <w:spacing w:after="0" w:line="18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performed a preliminary valuation of the fair value of the acquired assets and liabilities as of May 31, 2022.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leases in place and advanced bookings previously received for the hotel. The valuation of assumed debt was principally based on a discounted cash flow approach using market interest rates at the time of the transaction. The Company considers each of these estimates as Level 3 fair value measurements. Other acquired assets were valued at carrying value. Based on the aggregation of fair values as compared to consideration transferred, the Company concluded that there was no goodwill or bargain purchase gain related to the business combination. The Company performed an income approach evaluation of the acquired set which corroborated the conclusion that there was no goodwill related to the acquisition. Such evaluation included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assumptions of future projected cash flows, which was based on the future projected occupancy and average daily rate for the W Hotel Austin, future anticipated cash flows at ACL Live, and market discount rates.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Utilizing the valuation, the Company performed a purchase price allocation for the acquired assets and liabilities of Block</w:t>
      </w:r>
    </w:p>
    <w:p>
      <w:pPr>
        <w:spacing w:after="0" w:line="27" w:lineRule="exact"/>
        <w:rPr>
          <w:sz w:val="20"/>
          <w:szCs w:val="20"/>
          <w:color w:val="auto"/>
        </w:rPr>
      </w:pPr>
    </w:p>
    <w:p>
      <w:pPr>
        <w:ind w:left="320" w:hanging="27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 preliminarily allocated the purchase price, adjusted for working capital adjustments as</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the purchase agreement, in the Company’s balance sheet at May 31, 2022 as follows (amounts in thousands):</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(Note 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237"/>
        </w:trPr>
        <w:tc>
          <w:tcPr>
            <w:tcW w:w="68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estimated fair values for the assets acquired and liabilities assumed are preliminary and are subject to change during the one-year measurement period as additional information related to the inputs and assumptions used in determining the fair value of the assets and liabilities becomes available. The Company will continue to review the underlying inputs and assumptions. Therefore, the purchase price allocation is not yet complete as of the date of this filing. Once the allocation is complete, an additional adjustment to the allocation may occur.</w:t>
      </w:r>
    </w:p>
    <w:p>
      <w:pPr>
        <w:spacing w:after="0" w:line="183"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Company incurred $1.3 million in acquisition-related expenses in the nine months ended September 30, 2022, which are included in entertainment expenses in the accompanying condensed consolidated statement of operations.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20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$ 100,417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82,949</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120,442</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83,889</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85,708</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37,022</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33,469</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produced content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r>
      <w:tr>
        <w:trPr>
          <w:trHeight w:val="209"/>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$ 467,755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306,906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1,237,094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561,942</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$ 106,819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$ 142,244</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82,295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108,468</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39,576</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81,517</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4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$ 390,602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257,853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1,053,515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$ 463,343</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and Austin, Texas.</w:t>
      </w:r>
    </w:p>
    <w:p>
      <w:pPr>
        <w:spacing w:after="0" w:line="12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September 30, 2022 and December 31, 2021, the Company had $153.7 million and $116.8 million, respectively, in deferred revenues, which are included in accounts payable and accrued liabilities in the accompanying condensed consolidated balance sheets. Of the amount outstanding at December 31, 2021, approximately $43.4 million was recognized in revenue during the nine months ended September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INCOME (LOSS)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 in consolidated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joint venture</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(loss) available to common shareholders - if-converted</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47,128</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70,904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(170,986)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w:t>
            </w:r>
          </w:p>
        </w:tc>
        <w:tc>
          <w:tcPr>
            <w:tcW w:w="20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55,065</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55,329</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 available to common stockholders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 available to common stockholders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For each of the three months and nine months ended September 30, 2021, the effect of dilutive stock-based compensation was the equivalent of 0.2 million shares of common stock outstanding. Because the Company had a loss available to common stockholders in the three months and nine months ended September 30, 2021, these incremental shares were excluded from the computation of dilutive earnings per share as the effect of their inclusion would have been anti-dilutive.</w:t>
      </w:r>
    </w:p>
    <w:p>
      <w:pPr>
        <w:spacing w:after="0" w:line="124"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As more fully discussed in Note 2, “OEG Transaction,” the OEG Investor will have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For the nine months ended September 30, 2022, the effect of the OEG Put Rights was the equivalent of 1.3 million shares of Company common stock outstanding. Because the OEG Put Rights were anti-dilutive for the nine months ended September 30, 2022, such incremental shares were excluded from the computation of dilutive earnings per share.</w:t>
      </w:r>
    </w:p>
    <w:p>
      <w:pPr>
        <w:spacing w:after="0" w:line="14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the Operating Partnership have been excluded from the denominator of the diluted income (loss) per share calculation for the three months and nine months ended September 30, 2022 and 2021 as there would be no effect on the calculation of diluted income (loss) per share because the income (loss) attributable to the OP Units held by the noncontrolling interest holders would also be subtracted to derive net income (loss) available to common stockholders.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ACCUMULATED OTHER COMPREHENSIVE LOSS:</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minimum pension liability discussed in Note 13, “Pension Plans,” interest rate derivatives designated as cash flow hedges related to the Company’s outstanding debt as discussed in Note 9, “Debt,” and amounts related to an other-than-temporary impairment of a held-to-maturity investment that existed prior to 2020 with respect to the notes receivable discussed in Note 8, “Notes Receivable,” to the condensed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nine months ended September 30, 2022 and 2021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2022</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13,423</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2021</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8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Property and equipment, including right-of-use finance lease assets, at September 30, 2022 and December 31, 2021 is recorded at cost (except for right-of-use finance lease assets) and summarized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3,779,956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3,601,974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981,589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4,978,111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(1,946,267)</w:t>
            </w:r>
          </w:p>
        </w:tc>
      </w:tr>
      <w:tr>
        <w:trPr>
          <w:trHeight w:val="20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3,031,844</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NOTES RECEIVABLE:</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2021, in connection with the development of Gaylord National, the Company holds two issuances of governmental bonds (“Series A bond” and “Series B bond”) with a total carrying value and approximate fair value of $66.3 million and $71.2 million at September 30, 2022 and December 31, 2021, respectively, net of credit loss reserve of $38.0 million at each of September 30, 2022 and December 31, 2021.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Series B bond is fully reserved. The Series A bond is of higher priority than other tranches which fall between the Company’s two issuances.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 Company recorded interest income of $1.3 million and $1.4 million, respectively, on these bonds. During the nine months ended September 30, 2022 and 2021, the Company recorded interest income of $4.0 million and $4.1 million on these bonds, respectively. The Company received payments of $9.1 million and $6.4 million during the nine months ended September 30, 2022 and 2021, respectively, relating to these bonds. At September 30, 2022 and December 31, 2021, before consideration of the credit loss reserve, the Company had accrued interest receivable related to these bonds of $39.7 million and $41.0 million, respectively.</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89"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Company’s debt and finance lease obligations at September 30, 2022 and December 31, 2021 consisted of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 w:type="dxa"/>
            <w:vAlign w:val="bottom"/>
            <w:tcBorders>
              <w:bottom w:val="single" w:sz="8" w:color="CCEEFF"/>
            </w:tcBorders>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LIBOR plus 1.55%, maturing March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$300M Term Loan A, interest at LIBOR plus 2.25%, original maturity March 31, 2025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$500M Term Loan B, interest at LIBOR plus 2.00%, maturing May 11, 2024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$600M</w:t>
            </w: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$700M</w:t>
            </w: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$800M</w:t>
            </w: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Rockies Term Loan, interest at LIBOR plus 2.50%, maturing July 2, 2023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$300M</w:t>
            </w: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 interest at SOFR plus 5.00%, maturing June 16, 2029 (Note 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$65M OEG Revolver, interest at SOFR plus 4.75%, maturing June 16, 2027 (Note 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 21 CMBS Loan, interest at 5.58%, maturing January 5, 2026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(32,203)</w:t>
            </w:r>
          </w:p>
        </w:tc>
      </w:tr>
      <w:tr>
        <w:trPr>
          <w:trHeight w:val="216"/>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premium (discount)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09"/>
        </w:trPr>
        <w:tc>
          <w:tcPr>
            <w:tcW w:w="6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2,863,081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2,936,819</w:t>
            </w:r>
          </w:p>
        </w:tc>
      </w:tr>
      <w:tr>
        <w:trPr>
          <w:trHeight w:val="20"/>
        </w:trPr>
        <w:tc>
          <w:tcPr>
            <w:tcW w:w="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Amounts due within one year consist of the $800 million Gaylord Rockies term loan, the amortization payments for the</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$500 million term loan B of 1.0% of the original principal balance, amortization payments for the $300 million OEG Term Loan of 1.0% of the original principal balance, and amortization of the Block 21 CMBS Loan (as defined below) based on a 30-year amortization. The Gaylord Rockies term loan has three, one-year extension options, subject to certain requirements in the Gaylord Rockies term loan.</w:t>
      </w:r>
    </w:p>
    <w:p>
      <w:pPr>
        <w:spacing w:after="0" w:line="148"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At September 30, 2022, there were no defaults under the covenants related to the Company’s outstanding debt based on the amended terms of the Company’s credit agreement.</w:t>
      </w:r>
    </w:p>
    <w:p>
      <w:pPr>
        <w:spacing w:after="0" w:line="135"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As a result of the Company’s repayment of its $300 million term loan A with the proceeds from the OEG Term Loan, the Company recognized a loss on extinguishment of debt of $1.5 million in the nine months ended September 30, 2022. As a result of the Company’s February 2021 purchase and redemption of its previous $400 million 5% senior notes due 2023, the Company recognized a loss on extinguishment of debt of $2.9 million in the nine months ended September 30, 2021.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4, 2022, the Company entered into Amendment No. 5 (the “Fifth Amendment”) to the Sixth Amended and Restated Credit Agreement dated as of October 31, 2019 (as amended prior to the Fifth Amendment, the “Existing Credit Agreement” and the Existing Credit Agreement, as amended by the Fifth Amendment, the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was effective upon the closing of the OEG Transaction. These amendments include, among others, the exclusion of OEG and its subsidiaries from negative covenants and certain restrictions related to certain equity issuances, investments, acquisitions, dispositions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indebtedness; changes to certain financial covenant requirements through December 2022; and a requirement that, following January 1, 2023, the Company satisfy the financial covenants currently provided for in the Credit Agreement.</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At the closing of the purchase of Block 21 on May 31, 2022, a subsidiary of the Company assumed a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3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the date of its purchase by the Company and remains as such as of September 30, 2022. During the Trigger Period, any cash generated by Block 21 in excess of amounts necessary to fund loan obligations, budgeted operating expenses and specified reserves will not be distributed to Block 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swaps to manage interest rate risk associated with the Company’s $500 million term loan B and the Gaylord Rockies $800 million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4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$12.7 million will be reclassified from accumulated other comprehensive income as a reduction to interest expense in the next twelve months.</w:t>
      </w:r>
    </w:p>
    <w:p>
      <w:pPr>
        <w:spacing w:after="0" w:line="16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September 30, 2022 and December 31, 2021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17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900" w:type="dxa"/>
            <w:vAlign w:val="bottom"/>
            <w:gridSpan w:val="2"/>
            <w:vMerge w:val="continue"/>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August 1, 2022</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$ 800,000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8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3.3410%</w:t>
            </w:r>
          </w:p>
        </w:tc>
        <w:tc>
          <w:tcPr>
            <w:tcW w:w="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August 1, 2023</w:t>
            </w:r>
          </w:p>
        </w:tc>
        <w:tc>
          <w:tcPr>
            <w:tcW w:w="84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$ 800,000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6,318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Pr>
          <w:p>
            <w:pPr>
              <w:spacing w:after="0"/>
              <w:rPr>
                <w:sz w:val="15"/>
                <w:szCs w:val="15"/>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7,453</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(546)</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(4,187)</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7,453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5"/>
                <w:szCs w:val="15"/>
                <w:color w:val="auto"/>
                <w:w w:val="92"/>
              </w:rPr>
              <w:t>(546)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(251)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(4,187)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580" w:type="dxa"/>
            <w:vAlign w:val="bottom"/>
          </w:tcPr>
          <w:p>
            <w:pPr>
              <w:spacing w:after="0"/>
              <w:rPr>
                <w:sz w:val="24"/>
                <w:szCs w:val="24"/>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Pr>
          <w:p>
            <w:pPr>
              <w:spacing w:after="0"/>
              <w:rPr>
                <w:sz w:val="15"/>
                <w:szCs w:val="15"/>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15,642</w:t>
            </w:r>
          </w:p>
        </w:tc>
        <w:tc>
          <w:tcPr>
            <w:tcW w:w="4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15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(6,375)</w:t>
            </w:r>
          </w:p>
        </w:tc>
        <w:tc>
          <w:tcPr>
            <w:tcW w:w="2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(12,298)</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15,642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5"/>
                <w:szCs w:val="15"/>
                <w:color w:val="auto"/>
                <w:w w:val="92"/>
              </w:rPr>
              <w:t>(370)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(6,375)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(12,298)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September 30, 2022 and 2021 was $40.1 million and $32.4 million, respectively, and for the nine months ended September 30, 2022 and 2021 was $106.0 million and $93.1 million, respectively.</w:t>
      </w:r>
    </w:p>
    <w:p>
      <w:pPr>
        <w:spacing w:after="0" w:line="13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not posted any collateral related to these agreements and was not in breach of any agreement provisions.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DEFERRED MANAGEMENT RIGHTS PROCEEDS:</w:t>
      </w:r>
    </w:p>
    <w:p>
      <w:pPr>
        <w:spacing w:after="0" w:line="202"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Ole Red Tishomingo, Ole Red Nashville International Airport,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and, as a result, are not included in the Company’s calculation of its right-of-use assets and lease liabilities.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Company’s lease costs for the three months and nine months ended September 30, 2022 and 2021 are as follows (in thousands):</w:t>
      </w:r>
    </w:p>
    <w:p>
      <w:pPr>
        <w:spacing w:after="0" w:line="47"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September 30, 2022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(479,039)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47.5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6.8 %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 PLANS:</w:t>
      </w:r>
    </w:p>
    <w:p>
      <w:pPr>
        <w:spacing w:after="0" w:line="20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0.2 million restricted stock units with a weighted-average grant date fair value of $83.07 per unit. There were 0.6 million restricted stock units outstanding at each of September 30, 2022 and December 31, 2021, respectively.</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$3.7 million and $3.3 million for the three months ended September 30, 2022 and 2021, respectively, and $11.1 million and $8.9 million for the nine months ended September 30, 2022 and 2021,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PENSION PLANS:</w:t>
      </w:r>
    </w:p>
    <w:p>
      <w:pPr>
        <w:spacing w:after="0" w:line="202"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Net periodic pension expense reflected in other gains and (losses), net in the accompanying condensed consolidated statements of operations included the following components for the respective periods (in thousands):</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Borders>
              <w:bottom w:val="single" w:sz="8" w:color="CCEEFF"/>
            </w:tcBorders>
          </w:tcPr>
          <w:p>
            <w:pPr>
              <w:spacing w:after="0"/>
              <w:rPr>
                <w:sz w:val="18"/>
                <w:szCs w:val="18"/>
                <w:color w:val="auto"/>
              </w:rPr>
            </w:pPr>
          </w:p>
        </w:tc>
      </w:tr>
      <w:tr>
        <w:trPr>
          <w:trHeight w:val="209"/>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As a result of increased lump-sum distributions from the Company’s qualified retirement plan during 2022 and 2021, a net settlement loss of $1.6 million and $1.0 million was recognized in the nine months ended September 30, 2022 and 2021, respectively.</w:t>
      </w:r>
    </w:p>
    <w:p>
      <w:pPr>
        <w:spacing w:after="0" w:line="1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 addition, the increase in lump-sum distributions required the Company to re-measure its liability under its pension plan as of June 30, 2022. As a result of the re-measurement, including a reduction in the valuation of plan assets during 2022, partially offset by an increase in the pension plan’s assumed discount rate from 2.42% at December 31, 2021 to 4.23% at June 30, 2022, the Company recorded a $6.4 million increase to its liability under the pension plan and a corresponding increase in accumulated other comprehensive loss in the accompanying condensed consolidated balance sheet as of September 30, 2022.</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2022, the Company recorded an income tax provision of $10.2 million and $27.7 million, respectively, related to its TRSs.</w:t>
      </w:r>
    </w:p>
    <w:p>
      <w:pPr>
        <w:spacing w:after="0" w:line="12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2021, the Company recorded an income tax provision of $1.1 million and $6.6 million, respectively. The income tax provision for the nine months ended September 30, 2021 includes the recording of a valuation allowance of $3.6 million related to the Company’s reassessment of the realizability of its deferred tax assets due to the impact of the COVID-19 pandemic.</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2022 and December 31, 2021,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entered into limited repayment and carry guaranties related to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43"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(2) a letter of credit drawable by the Block 21 lenders in the event of a default of the Block 21 CMBS Loan.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April 2019, a subsidiary of the Company entered into a joint venture with Gray Television, Inc. that creates and distributes a linear multicast and over-the-top channel dedicated to the country music lifestyle, Circle. The Company acquired a 50% equity interest in this joint venture and has made capital contributions of $31.0 million. In addition, the Company intends to contribute up to an additional $2.0 million through December 31, 2022 for working capital needs. The Company accounts for its investment in this joint venture under the equity method of accounting.</w:t>
      </w:r>
    </w:p>
    <w:p>
      <w:pPr>
        <w:spacing w:after="0" w:line="15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Due to the COVID-19 pandemic, the Company previously suspended its regular quarterly dividend payments. In September 2022, the Company reinstated its cash dividend, and the Company’s board of directors declared a cash dividend in the amount of $0.10 per share of common stock, or an aggregate of approximately $5.6 million in cash, which was paid on October 17, 2022 to stockholders of record as of the close of business on September 30, 2022. Any future dividend is subject to the Company’s board of directors’ determination as to the amount of distributions and the timing thereof.</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September 30, 2022,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99.3% of the outstanding OP Units.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(“ATM”) Equity Distribution Agreement</w:t>
      </w:r>
    </w:p>
    <w:p>
      <w:pPr>
        <w:spacing w:after="0" w:line="187"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56"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were issued under the ATM Agreement during the nine months ended September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0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5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12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September 30, 2022 and December 31, 2021,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40" w:type="dxa"/>
            <w:vAlign w:val="bottom"/>
            <w:gridSpan w:val="5"/>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4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September 30, 2022 are not required to be recorded at fair value, and the carrying value of these assets and liabilities approximates fair value, except as described below.</w:t>
      </w:r>
    </w:p>
    <w:p>
      <w:pPr>
        <w:spacing w:after="0" w:line="121"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Company has outstanding $600.0 million in aggregate principal amount of $600 million 4.50% senior notes. The carrying value of these notes at September 30, 2022 was $591.5 million, net of unamortized deferred financing costs (“DFCs”). The fair value of these notes, based upon quoted market prices (Level 1), was $493.0 million at September 30, 2022.</w:t>
      </w:r>
    </w:p>
    <w:p>
      <w:pPr>
        <w:spacing w:after="0" w:line="15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September 30, 2022 was $693.4 million, net of unamortized DFCs and premiums. The fair value of these notes, based upon quoted market prices (Level 1), was $607.0 million at September 30, 2022.</w:t>
      </w:r>
    </w:p>
    <w:p>
      <w:pPr>
        <w:spacing w:after="0" w:line="13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See Note 3, “Block 21 Transaction,” for additional disclosures related to the fair value measurements used in accounting for the purchase of Block 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FINANCIAL REPORTING BY BUSINESS SEGMENTS: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Inn at Opryland and the AC Hotel;</w:t>
      </w:r>
    </w:p>
    <w:p>
      <w:pPr>
        <w:spacing w:after="0" w:line="29"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Block 21, the Company’s equity investment in Circle, and the Company’s Nashville-based attractions;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16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257,853</w:t>
            </w:r>
          </w:p>
        </w:tc>
        <w:tc>
          <w:tcPr>
            <w:tcW w:w="12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$ 1,053,515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183,579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306,906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$ 1,237,094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146,804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56,093</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160,712</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205,142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210,847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(182,137)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3,258,745</w:t>
            </w:r>
          </w:p>
        </w:tc>
        <w:tc>
          <w:tcPr>
            <w:tcW w:w="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3,266,679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3,947,280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3,580,525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2021, included in our Annual Report on Form 10-K that was filed with the SEC on February 25, 2022.</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expected recovery of travel, transient and group demand from periods affected by the COVID-19 pandemic, and the expected effects of COVID-19 on our results of operations and liquidity;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and increased costs on our business and on our customers, including group business at our hotels; and (xii) any other business or operational matters. We have based these forward-looking statements on our current expectations and projections about future events.</w:t>
      </w:r>
    </w:p>
    <w:p>
      <w:pPr>
        <w:spacing w:after="0" w:line="16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effects of the COVID-19 pandemic on us and the hospitality and entertainment industries generally, the effects of the COVID-19 pandemic on the demand for travel, transient and group business (including government-imposed restrictions or guidelines), levels of consumer confidence in the safety of travel and group gatherings as a result of COVID-19, the pace of recovery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following the COVID-19 pandemic, economic conditions affecting the hospitality business generally, the geographic concentration of our hotel properties, business levels at our hotels, the effects of inflation on our business, including the effects on costs of labor and supplies and effects on group customers at 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the London Inter-Bank Offered Rate (“LIBOR”) to a different base rate, and those factors described elsewhere in this Quarterly Report on Form 10-Q, including in Item 1A, “Risk Factors,” and our Annual Report on Form 10-K for the year ended December 31, 2021 or described from time to time in our other reports filed with the SEC.</w:t>
      </w:r>
    </w:p>
    <w:p>
      <w:pPr>
        <w:spacing w:after="0" w:line="16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6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also own and operate media and entertainment assets including the Grand Ole Opry, the legendary weekly showcase of country music’s finest performers for 96 years; the Ryman Auditorium, the storied live music venue and former home of the Grand Ole Opry located in downtown Nashville; WSM-AM, the Opry’s radio home; Ole Red, a brand of Blake Shelton-themed bar, music venue and event spaces; two Nashville-based assets managed by Marriott – the Wildhorse Saloon and the General Jackson Showboat; and as of May 31, 2022, Block 21, a mixed-use entertainment, lodging, office, and retail complex located in Austin, Texas (“Block 21”). We also own a 50% interest in a joint venture that creates and distributes a linear multicast and over-the-top channel dedicated to the country music lifestyle (“Circle”). See “OEG Transaction” below for additional disclosure regarding our sale of a 30% interest in the business effective June 16, 2022.</w:t>
      </w:r>
    </w:p>
    <w:p>
      <w:pPr>
        <w:spacing w:after="0" w:line="151"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2021 for important information regarding forward-looking statements made in this report and risks and uncertainties we face.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Ongoing Recovery from the COVID-19 Pandemic; Current Economic Environment</w:t>
      </w:r>
    </w:p>
    <w:p>
      <w:pPr>
        <w:spacing w:after="0" w:line="18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COVID-19 pandemic has been and continues to be a complex and evolving situation, causing unprecedented levels of disruption to our business. Our assets are currently open and operating without capacity restrictions and business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levels continue to recover, though there remains significant uncertainty surrounding the full extent of the impact of the COVID-19 pandemic on our future results of operations and financial position, as increased labor costs and broad inflationary pressures continue to impact the economy.</w:t>
      </w:r>
    </w:p>
    <w:p>
      <w:pPr>
        <w:spacing w:after="0" w:line="149" w:lineRule="exact"/>
        <w:rPr>
          <w:sz w:val="20"/>
          <w:szCs w:val="20"/>
          <w:color w:val="auto"/>
        </w:rPr>
      </w:pPr>
    </w:p>
    <w:p>
      <w:pPr>
        <w:jc w:val="both"/>
        <w:ind w:left="60" w:right="419"/>
        <w:spacing w:after="0" w:line="261" w:lineRule="auto"/>
        <w:rPr>
          <w:sz w:val="20"/>
          <w:szCs w:val="20"/>
          <w:color w:val="auto"/>
        </w:rPr>
      </w:pPr>
      <w:r>
        <w:rPr>
          <w:rFonts w:ascii="Times New Roman" w:cs="Times New Roman" w:eastAsia="Times New Roman" w:hAnsi="Times New Roman"/>
          <w:sz w:val="18"/>
          <w:szCs w:val="18"/>
          <w:color w:val="auto"/>
        </w:rPr>
        <w:t>The majority of our businesses have been open and operating throughout 2021 and 2022. However, Gaylord National remained closed during the first half of 2021 and reopened July 1, 2021. The Grand Ole Opry and Ryman Auditorium reopened for full-capacity publicly attended performances in May 2021. In addition, subsequent to the December 2020 downtown Nashville bombing, the Wildhorse saloon reopened in April 2021.</w:t>
      </w:r>
    </w:p>
    <w:p>
      <w:pPr>
        <w:spacing w:after="0" w:line="139"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Cancelled room nights in the nine months ended September 30, 2022 decreased 50.7% from the nine months ended September 30, 2021. Occupancy and average daily rate (“ADR”) increased 29.0 points of occupancy and 10.6%, respectively, in the nine months ended September 30, 2022 as compared to the same period in 2021. Outside-the-room spend in the nine months ended September 30, 2022 increased 144.5% compared to the same period in 2021. This improved performance has mitigated increasing costs in the current inflationary environment.</w:t>
      </w:r>
    </w:p>
    <w:p>
      <w:pPr>
        <w:spacing w:after="0" w:line="143"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Group stays have steadily increased in 2021 and 2022 and group nights on the books at September 30, 2022 for the next five years is approximately 96% of total group room nights that were on the books at September 30, 2019 for the corresponding following five years. In addition, the ADR of group room nights on the books at September 30, 2022 is almost 9% higher than the ADR of the corresponding group room nights at September 30, 2019.</w:t>
      </w:r>
    </w:p>
    <w:p>
      <w:pPr>
        <w:spacing w:after="0" w:line="15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Throughout the COVID-19 pandemic, we have continued to pay all required debt service payments on our indebtedness, lease payments, taxes and other payables. At September 30, 2022, we had $754.6 million available for borrowing under our revolving credit facility and the OEG revolving credit facility and $224.7 million in unrestricted cash on hand. We reinstated our cash dividend in September 2022. Our interim dividend policy provides that we will make minimum dividends of 100% of REIT taxable income annually, subject to our board of directors’ future determinations as to the amount of any distributions and the timing thereof.</w:t>
      </w:r>
    </w:p>
    <w:p>
      <w:pPr>
        <w:spacing w:after="0" w:line="14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impact of the COVID-19 pandemic on our business, see “Risk Factors” under Part I, Item 1A of our Annual Report on Form 10-K for the year ended December 31, 2021.</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OEG Transaction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more fully described in Note 2, “OEG Transaction,” to the condensed consolidated financial statements included herein, on June 16, 2022, we and certain of our subsidiaries, including OEG Attractions Holdings, LLC, which directly or indirectly owns the assets that comprise our Entertainment Segment (“OEG”),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for the OEG Transaction may be increased by $30.0 million if OEG achieves certain financial objectives in 2023 or 2024.</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retained a controlling 70% equity interest in OEG and will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below), to repay the outstanding balance of our existing $300 million term loan A and to pay down substantially all borrowings outstanding under our revolving credit facility.</w:t>
      </w:r>
    </w:p>
    <w:p>
      <w:pPr>
        <w:spacing w:after="0" w:line="183" w:lineRule="exact"/>
        <w:rPr>
          <w:sz w:val="20"/>
          <w:szCs w:val="20"/>
          <w:color w:val="auto"/>
        </w:rPr>
      </w:pPr>
    </w:p>
    <w:p>
      <w:pPr>
        <w:ind w:left="60" w:right="279"/>
        <w:spacing w:after="0" w:line="272" w:lineRule="auto"/>
        <w:rPr>
          <w:sz w:val="20"/>
          <w:szCs w:val="20"/>
          <w:color w:val="auto"/>
        </w:rPr>
      </w:pPr>
      <w:r>
        <w:rPr>
          <w:rFonts w:ascii="Times New Roman" w:cs="Times New Roman" w:eastAsia="Times New Roman" w:hAnsi="Times New Roman"/>
          <w:sz w:val="17"/>
          <w:szCs w:val="17"/>
          <w:color w:val="auto"/>
        </w:rPr>
        <w:t>In connection with the OEG Transaction, OEG Borrower, LLC (“OEG Borrower”) and OEG Finance, LLC (“OEG Finance”), each a wholly owned direct or indirect subsidiary of OEG, entered into a credit agreement (the “OEG Credit Agreement”) with JPMorgan Chase Bank, N.A., as administrative agent, that provides for (i) a senior secured term loan facility in an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(b) Adjusted Term SOFR plus 5.00% (all as specifically more described in the OEG Credit Agreement). The OEG Revolver bears interest at a rate</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No revolving credit advances were made under the OEG Revolver at closing.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Block 21 Acquisition</w:t>
      </w:r>
    </w:p>
    <w:p>
      <w:pPr>
        <w:spacing w:after="0" w:line="202"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May 31, 2022, we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We funded the cash portion of the purchase price with cash on hand and borrowings under our revolving credit facility. Block 21 assets are reflected in our Entertainment segment as of May 31, 2022.</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Joint Venture</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May 2021, we purchased the remaining 35% ownership interest in the Gaylord Rockies joint venture. Prior to May 2021, we had a 65% ownership interest in the Gaylord Rockies joint venture, and our management concluded that the Company was the primary beneficiary of this previous variable interest entity (“VIE”). The financial position and results of operations of this previous VIE have been consolidated in the accompanying condensed consolidated financial statements included herein. We also purchased 130 acres of undeveloped land adjacent to Gaylord Rockies in May 2021.</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Palms Expansion</w:t>
      </w:r>
    </w:p>
    <w:p>
      <w:pPr>
        <w:spacing w:after="0" w:line="189"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In April 2021, we completed a $158 million expansion of Gaylord Palms, which includes an additional 302 guest rooms and 96,000 square feet of meeting space, an expanded resort pool and events lawn, and a new multi-level parking structure.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Circle</w:t>
      </w:r>
    </w:p>
    <w:p>
      <w:pPr>
        <w:spacing w:after="0" w:line="20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2019, we acquired a 50% equity interest in Circle, and we have made $31.0 million in capital contributions through September 30, 2022. We intend to contribute up to an additional $2.0 million in the remainder of 2022 for working capital needs. Circle launched its broadcast network on January 1, 2020, with sixteen original shows and two major distribution partnerships. As of October 2022, Circle is available to more than 70% of U.S. television households via over-the-air and cable television and is available through multiple online streaming services covering over 193 million monthly average users.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i w:val="1"/>
          <w:iCs w:val="1"/>
          <w:color w:val="auto"/>
        </w:rPr>
        <w:t>Expansion of Hotel Asset Portfolio</w:t>
      </w:r>
      <w:r>
        <w:rPr>
          <w:rFonts w:ascii="Times New Roman" w:cs="Times New Roman" w:eastAsia="Times New Roman" w:hAnsi="Times New Roman"/>
          <w:sz w:val="17"/>
          <w:szCs w:val="17"/>
          <w:color w:val="auto"/>
        </w:rPr>
        <w:t>. Part of our long-term growth strategy includes acquisitions or developments of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plan to expand the geographic diversity of our existing asset portfolio through acquisitions.</w:t>
      </w:r>
    </w:p>
    <w:p>
      <w:pPr>
        <w:spacing w:after="0" w:line="151"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2021, we completed our $158 million expansion of Gaylord Palms and we also completed our renovation of all of the guestrooms at Gaylord National. In 2022, we completed a re-concepting of the food and beverage options at Gaylord National and have begun enhancements at Gaylord Rockies to better position the property for our group customers.</w:t>
      </w:r>
    </w:p>
    <w:p>
      <w:pPr>
        <w:spacing w:after="0" w:line="14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as well as Circle, and purchased Block 21. Further, we recently completed the OEG Transaction, which we believe will expand the distribution of our OEG brands.</w:t>
      </w:r>
    </w:p>
    <w:p>
      <w:pPr>
        <w:spacing w:after="0" w:line="148"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i w:val="1"/>
          <w:iCs w:val="1"/>
          <w:color w:val="auto"/>
        </w:rPr>
        <w:t>Short-Term Capital Allocation</w:t>
      </w:r>
      <w:r>
        <w:rPr>
          <w:rFonts w:ascii="Times New Roman" w:cs="Times New Roman" w:eastAsia="Times New Roman" w:hAnsi="Times New Roman"/>
          <w:sz w:val="17"/>
          <w:szCs w:val="17"/>
          <w:color w:val="auto"/>
        </w:rPr>
        <w:t>. Our short-term capital allocation strategy is focused on returning capital to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the payment of dividends, in addition to investing in our assets and operations. Due to the COVID-19 pandemic, we previously suspended our regular quarterly dividend payments. We reinstated our cash dividend in September 2022, and our interim dividend policy provides that we will make minimum dividends of 100% of REIT taxable income annually, subject to the board of directors’ future determinations as to the amount of any distributions and the timing thereof.</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the Inn at Opryland and the AC Hotel.</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Block 21, our equity investment in Circle,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2022 and 2021, our total revenues were divided among these business segments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7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performance indicators are commonly used in the hospitality industry and are used by management to evaluate hotel performance and allocate capital expenditures:</w:t>
      </w:r>
    </w:p>
    <w:p>
      <w:pPr>
        <w:spacing w:after="0" w:line="135"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2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2022 and 2021, the method of calculation of these indicators has not been changed as a result of the COVID-19 pandemic and the Gaylord National closure and is consistent with historical periods. As such, performance metrics include closed hotel room nights available.</w:t>
      </w:r>
    </w:p>
    <w:p>
      <w:pPr>
        <w:spacing w:after="0" w:line="149"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59" w:hanging="319"/>
        <w:spacing w:after="0" w:line="267"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shareholders and unit holders and Adjusted FFO available to common shareholders and unitholders.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85"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The closure and pandemic-constrained business levels of our Gaylord Hotels properties have resulted in the significant decrease in performance reflected in these key performance indicators and non-GAAP financial measures for the three months and nine months ended September 30, 2021, as compared to the current period and historical periods prior to 2020.</w:t>
      </w:r>
    </w:p>
    <w:p>
      <w:pPr>
        <w:spacing w:after="0" w:line="11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and nine months ended September 30, 2022 and 2021.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gridSpan w:val="2"/>
          </w:tcPr>
          <w:p>
            <w:pPr>
              <w:jc w:val="center"/>
              <w:ind w:left="89"/>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320" w:type="dxa"/>
            <w:vAlign w:val="bottom"/>
            <w:gridSpan w:val="3"/>
          </w:tcPr>
          <w:p>
            <w:pPr>
              <w:jc w:val="right"/>
              <w:ind w:right="40"/>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418,039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w w:val="99"/>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203,391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169,597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149,089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90,355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77,153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183,579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98,599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467,755</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306,906</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1,237,094</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561,942</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112,740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103,221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272,039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118,282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289,248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77,797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760" w:type="dxa"/>
            <w:vAlign w:val="bottom"/>
            <w:gridSpan w:val="4"/>
          </w:tcPr>
          <w:p>
            <w:pPr>
              <w:jc w:val="right"/>
              <w:ind w:right="8"/>
              <w:spacing w:after="0" w:line="176" w:lineRule="exact"/>
              <w:rPr>
                <w:sz w:val="20"/>
                <w:szCs w:val="20"/>
                <w:color w:val="auto"/>
              </w:rPr>
            </w:pPr>
            <w:r>
              <w:rPr>
                <w:rFonts w:ascii="Times New Roman" w:cs="Times New Roman" w:eastAsia="Times New Roman" w:hAnsi="Times New Roman"/>
                <w:sz w:val="12"/>
                <w:szCs w:val="12"/>
                <w:color w:val="auto"/>
              </w:rPr>
              <w:t xml:space="preserve">0.0 </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Hospitality</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146,804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151,655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and Other</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47,969</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tcBorders>
              <w:bottom w:val="single" w:sz="8" w:color="CCEEFF"/>
            </w:tcBorders>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56,093</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18.3</w:t>
            </w:r>
          </w:p>
        </w:tc>
        <w:tc>
          <w:tcPr>
            <w:tcW w:w="220" w:type="dxa"/>
            <w:vAlign w:val="bottom"/>
            <w:tcBorders>
              <w:bottom w:val="single" w:sz="8" w:color="CCEEFF"/>
            </w:tcBorders>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160,712</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13.0</w:t>
            </w:r>
          </w:p>
        </w:tc>
        <w:tc>
          <w:tcPr>
            <w:tcW w:w="160" w:type="dxa"/>
            <w:vAlign w:val="bottom"/>
            <w:tcBorders>
              <w:bottom w:val="single" w:sz="8" w:color="CCEEFF"/>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164,081</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29.2</w:t>
            </w:r>
          </w:p>
        </w:tc>
        <w:tc>
          <w:tcPr>
            <w:tcW w:w="16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370,750</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79.3</w:t>
            </w:r>
          </w:p>
        </w:tc>
        <w:tc>
          <w:tcPr>
            <w:tcW w:w="220" w:type="dxa"/>
            <w:vAlign w:val="bottom"/>
            <w:gridSpan w:val="2"/>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281,211</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91.6</w:t>
            </w:r>
          </w:p>
        </w:tc>
        <w:tc>
          <w:tcPr>
            <w:tcW w:w="220" w:type="dxa"/>
            <w:vAlign w:val="bottom"/>
            <w:gridSpan w:val="2"/>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1,026,247</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83.0</w:t>
            </w:r>
          </w:p>
        </w:tc>
        <w:tc>
          <w:tcPr>
            <w:tcW w:w="16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646,751</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115.1</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Hospitality</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(65,846)</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(9,652)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760" w:type="dxa"/>
            <w:vAlign w:val="bottom"/>
            <w:gridSpan w:val="4"/>
          </w:tcPr>
          <w:p>
            <w:pPr>
              <w:jc w:val="right"/>
              <w:ind w:right="8"/>
              <w:spacing w:after="0" w:line="176" w:lineRule="exact"/>
              <w:rPr>
                <w:sz w:val="20"/>
                <w:szCs w:val="20"/>
                <w:color w:val="auto"/>
              </w:rPr>
            </w:pPr>
            <w:r>
              <w:rPr>
                <w:rFonts w:ascii="Times New Roman" w:cs="Times New Roman" w:eastAsia="Times New Roman" w:hAnsi="Times New Roman"/>
                <w:sz w:val="12"/>
                <w:szCs w:val="12"/>
                <w:color w:val="auto"/>
              </w:rPr>
              <w:t>(0.0)</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0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income (loss)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97,005</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25,695</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210,847</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17.0</w:t>
            </w:r>
          </w:p>
        </w:tc>
        <w:tc>
          <w:tcPr>
            <w:tcW w:w="1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(84,809)</w:t>
            </w:r>
          </w:p>
        </w:tc>
        <w:tc>
          <w:tcPr>
            <w:tcW w:w="7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(105,987)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(93,056)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4,254</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from unconsolidated joint ventures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(2,720)</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(5,831)</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(10,178)</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(27,747)</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(6,640)</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47,451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(8,607)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73,578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(188,777)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16,501</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in consolidated joint venture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06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in the Operating Partnership</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060" w:type="dxa"/>
            <w:vAlign w:val="bottom"/>
            <w:gridSpan w:val="2"/>
          </w:tcPr>
          <w:p>
            <w:pPr>
              <w:ind w:left="180"/>
              <w:spacing w:after="0" w:line="106" w:lineRule="exact"/>
              <w:rPr>
                <w:sz w:val="20"/>
                <w:szCs w:val="20"/>
                <w:color w:val="auto"/>
              </w:rPr>
            </w:pPr>
            <w:r>
              <w:rPr>
                <w:rFonts w:ascii="Times New Roman" w:cs="Times New Roman" w:eastAsia="Times New Roman" w:hAnsi="Times New Roman"/>
                <w:sz w:val="12"/>
                <w:szCs w:val="12"/>
                <w:color w:val="auto"/>
              </w:rPr>
              <w:t>Net income (loss) available to common</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45,241</w:t>
            </w:r>
          </w:p>
        </w:tc>
        <w:tc>
          <w:tcPr>
            <w:tcW w:w="140" w:type="dxa"/>
            <w:vAlign w:val="bottom"/>
          </w:tcPr>
          <w:p>
            <w:pPr>
              <w:spacing w:after="0"/>
              <w:rPr>
                <w:sz w:val="9"/>
                <w:szCs w:val="9"/>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140" w:type="dxa"/>
            <w:vAlign w:val="bottom"/>
          </w:tcPr>
          <w:p>
            <w:pPr>
              <w:spacing w:after="0"/>
              <w:rPr>
                <w:sz w:val="9"/>
                <w:szCs w:val="9"/>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70,904</w:t>
            </w:r>
          </w:p>
        </w:tc>
        <w:tc>
          <w:tcPr>
            <w:tcW w:w="140" w:type="dxa"/>
            <w:vAlign w:val="bottom"/>
          </w:tcPr>
          <w:p>
            <w:pPr>
              <w:spacing w:after="0"/>
              <w:rPr>
                <w:sz w:val="9"/>
                <w:szCs w:val="9"/>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(170,986)</w:t>
            </w:r>
          </w:p>
        </w:tc>
        <w:tc>
          <w:tcPr>
            <w:tcW w:w="140" w:type="dxa"/>
            <w:vAlign w:val="bottom"/>
          </w:tcPr>
          <w:p>
            <w:pPr>
              <w:spacing w:after="0"/>
              <w:rPr>
                <w:sz w:val="9"/>
                <w:szCs w:val="9"/>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0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3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and nine months ended September 30,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 (in thousands, except percentages and per share data):</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8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0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6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2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$ 467,755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$ 306,906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$ 1,237,094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561,942</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281,211</w:t>
            </w: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1,026,247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646,751</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43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(84,809)</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348.6 %</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40" w:type="dxa"/>
            <w:vAlign w:val="bottom"/>
          </w:tcPr>
          <w:p>
            <w:pPr>
              <w:spacing w:after="0"/>
              <w:rPr>
                <w:sz w:val="24"/>
                <w:szCs w:val="24"/>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651.3 %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(188,777)</w:t>
            </w:r>
          </w:p>
        </w:tc>
        <w:tc>
          <w:tcPr>
            <w:tcW w:w="140" w:type="dxa"/>
            <w:vAlign w:val="bottom"/>
          </w:tcPr>
          <w:p>
            <w:pPr>
              <w:spacing w:after="0"/>
              <w:rPr>
                <w:sz w:val="24"/>
                <w:szCs w:val="24"/>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139.0 %</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629.4 %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141.5 %</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593.8 %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141.2 %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September 30, 2022, as compared to the same period in 2021, is attributable to increases in our Hospitality segment and Entertainment segment of $132.7 million and $28.1 million, respectively. The increase in our total revenues for the nine months ended September 30, 2022, as compared to the same period in 2021, is attributable to increases in our Hospitality segment and Entertainment segment of $590.2 million and $85.0 million, respectively.</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September 30, 2022, as compared to the same period in 2021, is primarily the result of increases in our Hospitality segment and Entertainment segment of $78.1 million and $20.7 million, respectively. The increase in our total operating expenses for the nine months ended September 30, 2022, as compared to the same period in 2021, is primarily the result of increases in our Hospitality segment and Entertainment segment of $324.0 million and $53.8 million, respectively.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8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Our net income of $47.5 million for the three months ended September 30, 2022, as compared to a net loss of $8.6 million for the same period in 2021,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$9.1 million increase in provision for income taxes in the 2022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 million increase in interest expense in the 2022 period.</w:t>
      </w:r>
    </w:p>
    <w:p>
      <w:pPr>
        <w:spacing w:after="0" w:line="185"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Our net income of $73.6 million for the nine months ended September 30, 2022, as compared to a net loss of $188.8 million for the same period in 2021,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$21.1 million increase in provision for income taxes in the 2022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$12.9 million increase in interest expense in the 2022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Increased labor costs and broad inflationary pressures continue to impact the economy,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and our customers. However, increased occupancy, increased ADR from both group and transient guests, and increased outside the room spending from group customers, partially resulting from the investments that we have made into our businesses throughout the COVID-19 pandemic, have mitigated the effects of increased costs in the current inflationary environment on our results of operations and our financial position.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presents the financial results of our Hospitality segment for the three months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2021 (in thousands, except percentages and performance metrics):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10"/>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50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113,192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418,039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203,391</w:t>
            </w:r>
          </w:p>
        </w:tc>
        <w:tc>
          <w:tcPr>
            <w:tcW w:w="1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186,188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105,803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486,387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169,597</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186.8</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49,474</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149,089</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90,355</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3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390,602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257,853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51.5</w:t>
            </w:r>
          </w:p>
        </w:tc>
        <w:tc>
          <w:tcPr>
            <w:tcW w:w="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1,053,515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463,343</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127.4</w:t>
            </w:r>
          </w:p>
        </w:tc>
        <w:tc>
          <w:tcPr>
            <w:tcW w:w="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30,802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112,740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55,318</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272,039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118,282</w:t>
            </w:r>
          </w:p>
        </w:tc>
        <w:tc>
          <w:tcPr>
            <w:tcW w:w="1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103,321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80,203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289,248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196,125</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7,809</w:t>
            </w:r>
          </w:p>
        </w:tc>
        <w:tc>
          <w:tcPr>
            <w:tcW w:w="1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42,517</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52,020</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146,804</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151,655</w:t>
            </w: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301,701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233,137</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848,373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529,189</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60.3</w:t>
            </w:r>
          </w:p>
        </w:tc>
        <w:tc>
          <w:tcPr>
            <w:tcW w:w="3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 (loss) (1)</w:t>
            </w: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88,901</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24,716</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259.7</w:t>
            </w:r>
          </w:p>
        </w:tc>
        <w:tc>
          <w:tcPr>
            <w:tcW w:w="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205,142</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(65,846)</w:t>
            </w: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411.5</w:t>
            </w:r>
          </w:p>
        </w:tc>
        <w:tc>
          <w:tcPr>
            <w:tcW w:w="3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 (2):</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208.02</w:t>
            </w:r>
          </w:p>
        </w:tc>
        <w:tc>
          <w:tcPr>
            <w:tcW w:w="1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(3)</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118.17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72.65</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(4)</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407.77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269.19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370.63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165.51</w:t>
            </w:r>
          </w:p>
        </w:tc>
        <w:tc>
          <w:tcPr>
            <w:tcW w:w="1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416,128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134,717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208.9</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994,838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472,548</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loss does not include preopening costs of $0.1 million and $0.7 million in the</w:t>
      </w:r>
    </w:p>
    <w:p>
      <w:pPr>
        <w:spacing w:after="0" w:line="27" w:lineRule="exact"/>
        <w:rPr>
          <w:rFonts w:ascii="Times New Roman" w:cs="Times New Roman" w:eastAsia="Times New Roman" w:hAnsi="Times New Roman"/>
          <w:sz w:val="18"/>
          <w:szCs w:val="18"/>
          <w:color w:val="auto"/>
        </w:rPr>
      </w:pPr>
    </w:p>
    <w:p>
      <w:pPr>
        <w:ind w:left="380" w:right="2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and nine months ended September 30, 2021, respectively. Hospitality segment operating loss also does not include gain on sale of assets of $0.3 million in the nine months ended September 30, 2021. See discussion of these items below.</w:t>
      </w:r>
    </w:p>
    <w:p>
      <w:pPr>
        <w:spacing w:after="0" w:line="145" w:lineRule="exact"/>
        <w:rPr>
          <w:rFonts w:ascii="Times New Roman" w:cs="Times New Roman" w:eastAsia="Times New Roman" w:hAnsi="Times New Roman"/>
          <w:sz w:val="18"/>
          <w:szCs w:val="18"/>
          <w:color w:val="auto"/>
        </w:rPr>
      </w:pPr>
    </w:p>
    <w:p>
      <w:pPr>
        <w:ind w:left="380" w:right="33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metrics include the addition of 302 additional guest rooms at Gaylord Palms beginning in June 2021.</w:t>
      </w:r>
    </w:p>
    <w:p>
      <w:pPr>
        <w:spacing w:after="0" w:line="121" w:lineRule="exact"/>
        <w:rPr>
          <w:rFonts w:ascii="Times New Roman" w:cs="Times New Roman" w:eastAsia="Times New Roman" w:hAnsi="Times New Roman"/>
          <w:sz w:val="18"/>
          <w:szCs w:val="18"/>
          <w:color w:val="auto"/>
        </w:rPr>
      </w:pPr>
    </w:p>
    <w:p>
      <w:pPr>
        <w:ind w:left="380" w:right="9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48" w:lineRule="exact"/>
        <w:rPr>
          <w:rFonts w:ascii="Times New Roman" w:cs="Times New Roman" w:eastAsia="Times New Roman" w:hAnsi="Times New Roman"/>
          <w:sz w:val="18"/>
          <w:szCs w:val="18"/>
          <w:color w:val="auto"/>
        </w:rPr>
      </w:pPr>
    </w:p>
    <w:p>
      <w:pPr>
        <w:ind w:left="380" w:right="15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pacing w:after="0" w:line="13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includes approximately 93,000 and 207,000 group room cancellations in the three months ended September 30, 2022 and 2021, respectively, and 343,000 and 696,000 group room cancellations in the nine months ended September 30, 2022 and 2021, respectively.</w:t>
      </w:r>
    </w:p>
    <w:p>
      <w:pPr>
        <w:spacing w:after="0" w:line="13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Total Hospitality segment revenues in the three months and nine months ended September 30, 2022 include $10.0 million and $45.0 million, respectively, in attrition and cancellation fee revenue, a decrease of $0.2 million and an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increase of $17.1 million, respectively, from the 2021 periods. Since the beginning of 2020, we have recorded $126.3 million in attrition and cancellation fee revenue.</w:t>
      </w:r>
    </w:p>
    <w:p>
      <w:pPr>
        <w:spacing w:after="0" w:line="135"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4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6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41 %</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7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hotel expenses for the three months and nine months ended September 30, 2022 and 2021 consist of the following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48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4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$ 29,991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$ 109,580</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33,511</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$ 80,203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$ 289,248</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196,125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and nine months ended September 30, 2022, as compared to the same periods in 2021, primarily due to an increase at Gaylord National, which reopened on July 1, 2021, as well as increases at each of our other Gaylord Hotels properties associated with increased business levels. Utility costs increased during the three months and nine months ended September 30, 2022, as compared to the same periods in 2021, primarily due to an increase at Gaylord National, which reopened on July 1, 2021, as well as increases at our other Gaylord Hotels properties associated with increased usage. Property taxes decreased slightly during the three months and increased during the nine months ended September 30, 2022, as compared to the 2021 periods. The increase in the nine month period is primarily due to an increase at Gaylord Palms as a result of increased property taxes related to the 2021 expansion. Other expenses, which include supplies, advertising, maintenance costs and consulting costs, increased during the three months and nine months ended September 30, 2022, as compared to the same periods in 2021, primarily as a result of various increases at each of our Gaylord Hotels properties.</w:t>
      </w:r>
    </w:p>
    <w:p>
      <w:pPr>
        <w:spacing w:after="0" w:line="16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management fee is based on the profitability of our Gaylord Hotels properties, excluding Gaylord Rockies,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September 30, 2022 and 2021, we incurred $8.6 million and $5.7 million, respectively, and in the nine months ended September 30, 2022 and 2021, we incurred $23.2 million and $10.1 million, respectively, related to base management fees for our Hospitality segment. In the three months ended September 30, 2022 and 2021, we incurred $3.4 million and $0, respectively, and in the nine months ended September 30, 2022 and 2021, we incurred $6.6 million and $0, respectively, related to incentive management fees for our Hospitality segment. Management fees are presented throughout this Quarterly Report on Form 10-Q net of the amortization of the deferred management rights proceeds discussed in Note 10, “Deferred Management Rights Proceeds,” to the accompanying condensed consolidated financial statements included herein.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decreased in the three months and nine months ended September 30, 2022, as compared to the same period in 2021, primarily as a result of the intangible asset associated with advanced bookings at Gaylord Rockies when we purchased an additional interest in Gaylord Rockies in 2018 becoming fully amortized during 2022. This decrease was partially offset by the expansion of Gaylord Palms and the rooms renovation at Gaylord National and the associated increase in depreciable asset levels.</w:t>
      </w:r>
    </w:p>
    <w:p>
      <w:pPr>
        <w:spacing w:after="0" w:line="154"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nine months ended September 30, 2022 and 2021. The Gaylord Hotels properties experienced higher levels of attrition and cancellations and lower occupancy levels, which are directly related to the COVID-19 pandemic, in the three months and nine months ended September 30, 2021. Therefore, the property-level financial results for the three months and nine months ended September 30, 2021 are not comparable to historical periods or the 2022 periods. Total revenue at each of our Gaylord Hotels properties was lower than that of historical periods for the three months and nine months ended September 30, 2021 due to the COVID-19 pandemic. Operating costs at each of our Gaylord Hotels properties were lower for the three months and nine months ended September 30, 2021 as a result of cost containment initiatives and lower variable costs due to lower occupancies due to the COVID-19 pandemic.</w:t>
      </w:r>
    </w:p>
    <w:p>
      <w:pPr>
        <w:spacing w:after="0" w:line="188" w:lineRule="exact"/>
        <w:rPr>
          <w:sz w:val="20"/>
          <w:szCs w:val="20"/>
          <w:color w:val="auto"/>
        </w:rPr>
      </w:pPr>
    </w:p>
    <w:p>
      <w:pPr>
        <w:ind w:left="60" w:right="3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are as 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6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$ 34,767</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122,491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67,573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81.3 %</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111,753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144.8 %</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18,614</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12,974</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43.5 %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29,023</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77.8 %</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106,819</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285,835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142,244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100.9 %</w:t>
            </w:r>
          </w:p>
        </w:tc>
        <w:tc>
          <w:tcPr>
            <w:tcW w:w="0" w:type="dxa"/>
            <w:vAlign w:val="bottom"/>
          </w:tcPr>
          <w:p>
            <w:pPr>
              <w:spacing w:after="0"/>
              <w:rPr>
                <w:sz w:val="1"/>
                <w:szCs w:val="1"/>
                <w:color w:val="auto"/>
              </w:rPr>
            </w:pPr>
          </w:p>
        </w:tc>
      </w:tr>
      <w:tr>
        <w:trPr>
          <w:trHeight w:val="20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82.2 %</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14,777</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29,372</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110.5 %</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41.9 %</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205.7 %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320.7 %</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96"/>
        </w:trPr>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55,969</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208,921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58.8 %</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73.0 %</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56.3 %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 pts</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65.7 %</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38.4 %</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27.3 pts</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$ 232.49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$ 130.85</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81.3 %</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$ 284.10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41.5 %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100.9 %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7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do not include a gain on sale of assets of $0.3 million in the nine months ended September 30, 2021.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Gaylord Palms results include 302 expansion rooms beginning in June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Palms for the three months and nine months ended September 30, 2022 and 2021 are as follows (in thousands, except percentages and performance metrics):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2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6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50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$ 21,982</w:t>
            </w:r>
          </w:p>
        </w:tc>
        <w:tc>
          <w:tcPr>
            <w:tcW w:w="1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14,223</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54.6 %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71,006</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182.4 %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52.4 %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60,516</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75.5 %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188,653</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82,295</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17,607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76.5 %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21,660</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246.0 %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289.3 %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5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44.5 %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144,966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86,078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2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65.2 %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44.7 %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65.2 %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41.1 %</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24.1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$ 213.17</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$ 139.08</w:t>
            </w:r>
          </w:p>
        </w:tc>
        <w:tc>
          <w:tcPr>
            <w:tcW w:w="1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54.6 %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151.39</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$ 382.88</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75.5 %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108.2 %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61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Palms operating expenses do not include preopening costs of $0.1 million and $0.7 million in the three months and nine months ended September 30, 2021. See discussion of this item below.</w:t>
      </w:r>
    </w:p>
    <w:p>
      <w:pPr>
        <w:spacing w:after="0" w:line="160"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and nine months ended September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are as 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$ 26,808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$ 24,045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11.5 %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76,066</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66.3 %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132.6 %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46.9 %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70,734</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26.2 %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205,035</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108,468</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89.0 %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72.9 %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19,780</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88.1 %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36.8 %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105.9 %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208.3 %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6"/>
        </w:trPr>
        <w:tc>
          <w:tcPr>
            <w:tcW w:w="2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43,401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19.5 %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147,512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97,331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51.6 %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70.6 %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66.9 %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44.6 %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23.0 pts</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$ 227.40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$ 215.42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227.10</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$ 160.63</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$ 144.08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11.5 %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153.60</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66.3 %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$ 423.84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$ 335.80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26.2 %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Gaylord National was closed from late March 2020 and reopened July 1,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National for the three months and nine months ended September 30, 2022 and 2021 are as follows (in thousands, except percentages and performance metrics):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2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7"/>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1400" w:type="dxa"/>
            <w:vAlign w:val="bottom"/>
            <w:gridSpan w:val="2"/>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0"/>
                <w:szCs w:val="10"/>
                <w:color w:val="auto"/>
              </w:rPr>
            </w:pPr>
          </w:p>
        </w:tc>
        <w:tc>
          <w:tcPr>
            <w:tcW w:w="52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$ 26,462</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16,990</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55.8 %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69,743</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310.5 %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15,186</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139.7 %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472.5 %</w:t>
            </w:r>
          </w:p>
        </w:tc>
        <w:tc>
          <w:tcPr>
            <w:tcW w:w="0" w:type="dxa"/>
            <w:vAlign w:val="bottom"/>
          </w:tcPr>
          <w:p>
            <w:pPr>
              <w:spacing w:after="0"/>
              <w:rPr>
                <w:sz w:val="1"/>
                <w:szCs w:val="1"/>
                <w:color w:val="auto"/>
              </w:rPr>
            </w:pPr>
          </w:p>
        </w:tc>
      </w:tr>
      <w:tr>
        <w:trPr>
          <w:trHeight w:val="20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127.7 %</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68,925</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36,008</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91.4 %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173,735</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339.0 %</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216.1 %</w:t>
            </w:r>
          </w:p>
        </w:tc>
        <w:tc>
          <w:tcPr>
            <w:tcW w:w="0" w:type="dxa"/>
            <w:vAlign w:val="bottom"/>
          </w:tcPr>
          <w:p>
            <w:pPr>
              <w:spacing w:after="0"/>
              <w:rPr>
                <w:sz w:val="1"/>
                <w:szCs w:val="1"/>
                <w:color w:val="auto"/>
              </w:rPr>
            </w:pPr>
          </w:p>
        </w:tc>
      </w:tr>
      <w:tr>
        <w:trPr>
          <w:trHeight w:val="20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19,907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11,270</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76.6 %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299.1 %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16,879</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66.6 %</w:t>
            </w:r>
          </w:p>
        </w:tc>
        <w:tc>
          <w:tcPr>
            <w:tcW w:w="0" w:type="dxa"/>
            <w:vAlign w:val="bottom"/>
          </w:tcPr>
          <w:p>
            <w:pPr>
              <w:spacing w:after="0"/>
              <w:rPr>
                <w:sz w:val="1"/>
                <w:szCs w:val="1"/>
                <w:color w:val="auto"/>
              </w:rPr>
            </w:pPr>
          </w:p>
        </w:tc>
      </w:tr>
      <w:tr>
        <w:trPr>
          <w:trHeight w:val="20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132.0 %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1,557.8 %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196"/>
        </w:trPr>
        <w:tc>
          <w:tcPr>
            <w:tcW w:w="2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44,542</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34.4 %</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163,142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77,684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110.0 %</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65.4 %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44.1 %</w:t>
            </w:r>
          </w:p>
        </w:tc>
        <w:tc>
          <w:tcPr>
            <w:tcW w:w="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21.3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14.9 %</w:t>
            </w:r>
          </w:p>
        </w:tc>
        <w:tc>
          <w:tcPr>
            <w:tcW w:w="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40.2 pts</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$ 220.25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209.77</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$ 144.11</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92.52</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55.8 %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310.5 %</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$ 375.35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196.09</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91.4 %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339.0 %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and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are as 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8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3960" w:type="dxa"/>
            <w:vAlign w:val="bottom"/>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174"/>
        </w:trPr>
        <w:tc>
          <w:tcPr>
            <w:tcW w:w="3960" w:type="dxa"/>
            <w:vAlign w:val="bottom"/>
          </w:tcPr>
          <w:p>
            <w:pPr>
              <w:spacing w:after="0"/>
              <w:rPr>
                <w:sz w:val="15"/>
                <w:szCs w:val="15"/>
                <w:color w:val="auto"/>
              </w:rPr>
            </w:pP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$ 28,536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$ 19,209</w:t>
            </w:r>
          </w:p>
        </w:tc>
        <w:tc>
          <w:tcPr>
            <w:tcW w:w="2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48.6 %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112.5 %</w:t>
            </w: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189.5 %</w:t>
            </w:r>
          </w:p>
        </w:tc>
      </w:tr>
      <w:tr>
        <w:trPr>
          <w:trHeight w:val="203"/>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18,534</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29.1 %</w:t>
            </w:r>
          </w:p>
        </w:tc>
      </w:tr>
      <w:tr>
        <w:trPr>
          <w:trHeight w:val="19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124.4 %</w:t>
            </w: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49.4 %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96.6 %</w:t>
            </w: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122.3 %</w:t>
            </w: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49.1 %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51.9 %</w:t>
            </w: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157.9 %</w:t>
            </w: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59,001</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w:t>
            </w:r>
          </w:p>
        </w:tc>
      </w:tr>
      <w:tr>
        <w:trPr>
          <w:trHeight w:val="196"/>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56,379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49,614</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168,490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34.8 %</w:t>
            </w: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86.9 %</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61.9 %</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25.0 pts</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67.7 %</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 pts</w:t>
            </w: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$ 237.69</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$ 224.67</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10.3 %</w:t>
            </w: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$ 206.65</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$ 139.10</w:t>
            </w:r>
          </w:p>
        </w:tc>
        <w:tc>
          <w:tcPr>
            <w:tcW w:w="2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48.6 %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112.5 %</w:t>
            </w: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$ 560.11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$ 370.84</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51.0 %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Due to the COVID-19 pandemic, we temporarily closed our Entertainment segment assets in mid-March 2020, and they did not return to full capacity until May 2021. In addition, due to the December 2020 downtown Nashville bombing, the Wildhorse Saloon was closed from such event until April 2021. Further, we purchased Block 21 on May 31, 2022. Therefore, Entertainment segment financial results for the three months and nine months ended September 30, 2021 are not comparable to historical periods or the 2022 periods. The following presents the financial results of our Entertainment segment for the three months and nine months ended September 30, 2022 and 2021 (in thousands, except percentages):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40" w:type="dxa"/>
            <w:vAlign w:val="bottom"/>
            <w:gridSpan w:val="6"/>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60" w:type="dxa"/>
            <w:vAlign w:val="bottom"/>
            <w:gridSpan w:val="5"/>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2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$ 77,153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$ 49,053</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183,579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$ 98,599</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54,148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0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77,797</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0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(1)</w:t>
            </w:r>
          </w:p>
        </w:tc>
        <w:tc>
          <w:tcPr>
            <w:tcW w:w="15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$ 17,756</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$ 12,080</w:t>
            </w:r>
          </w:p>
        </w:tc>
        <w:tc>
          <w:tcPr>
            <w:tcW w:w="10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$ 10,074</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19" w:hanging="330"/>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$0.5 million in the nine months ended September 30, 2022. See discussion of this item below.</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200"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nine months ended September 30, 2022 and 2021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2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(28,620)</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5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expenses do not include a loss on sale of assets of $0.5 million in the nine months ended September 30, 2022.</w:t>
      </w:r>
    </w:p>
    <w:p>
      <w:pPr>
        <w:spacing w:after="0" w:line="12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decreased in the three months and increased in the nine months ended September 30, 2022, as compared to the prior year periods, primarily as a result of changes in employment expenses.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02"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Preopening costs during the nine months ended September 30, 2022 primarily include costs associated with Ole Red Nashville International Airport, which was completed in May 2022. Preopening costs during the three months and nine months ended September 30, 2021 primarily include costs associated with the Gaylord Palms expansion, which was completed in April 2021.</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18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Loss on sale of assets during the nine months ended September 30, 2022 includes the sale of a parcel of land in Nashville, Tennessee. Gain on sale of assets during the nine months ended September 30, 2021 includes the sale of certain assets at Gaylord Opryland.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 (Loss)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87"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(loss) for the three months and nine months ended September 30, 2022 and 2021 (in thousands, except percentages):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0" w:type="dxa"/>
            <w:vAlign w:val="bottom"/>
            <w:gridSpan w:val="5"/>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Borders>
              <w:bottom w:val="single" w:sz="8" w:color="auto"/>
            </w:tcBorders>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Borders>
              <w:bottom w:val="single" w:sz="8" w:color="auto"/>
            </w:tcBorders>
            <w:gridSpan w:val="5"/>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0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64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92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40,092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$ 32,413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$ 105,987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$ 93,056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6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3,783.0 %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774.8 %</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Interest expense increased $7.7 million and $12.9 million during the three months and nine months ended September 30, 2022, respectively, as compared to the same periods in 2021, due primarily to the new OEG Term Loan and the Block 21 CMBS loan. In addition, the nine months ended September 30, 2021 included $2.9 million in capitalized interest that did not recur in 2022.</w:t>
      </w:r>
    </w:p>
    <w:p>
      <w:pPr>
        <w:spacing w:after="0" w:line="139"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Cash interest expense increased $6.7 million to $37.0 million in the three months and increased $8.8 million to $98.3 million in the nine months ended September 30, 2022, as compared to the same periods in 2021. Non-cash interest expense, which includes amortization and write-off of deferred financing costs and is offset by capitalized interest, increased $1.0 million to $3.1 million in the three months and increased $4.2 million to $7.7 million in the nine months ended September 30, 2022, as compared to the same periods in 2021.</w:t>
      </w:r>
    </w:p>
    <w:p>
      <w:pPr>
        <w:spacing w:after="0" w:line="14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5.5% and 4.3% for the three months ended September 30, 2022 and 2021, respectively, and 4.8% and 4.4% for the nine months ended September 30, 2022 and 2021, respectively.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and nine months ended September 30, 2022 and 2021 primarily includes amounts earned on the bonds that were received in connection with the development of Gaylord National, which we hold as notes receivable. See Note 8,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0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of our repayment of our $300 million term loan A with the proceeds from the OEG Term Loan, we recognized a loss on extinguishment of debt of $1.5 million in the nine months ended September 30, 2022.</w:t>
      </w:r>
    </w:p>
    <w:p>
      <w:pPr>
        <w:spacing w:after="0" w:line="121" w:lineRule="exact"/>
        <w:rPr>
          <w:sz w:val="20"/>
          <w:szCs w:val="20"/>
          <w:color w:val="auto"/>
        </w:rPr>
      </w:pPr>
    </w:p>
    <w:p>
      <w:pPr>
        <w:jc w:val="both"/>
        <w:ind w:left="60" w:right="199"/>
        <w:spacing w:after="0" w:line="258" w:lineRule="auto"/>
        <w:rPr>
          <w:sz w:val="20"/>
          <w:szCs w:val="20"/>
          <w:color w:val="auto"/>
        </w:rPr>
      </w:pPr>
      <w:r>
        <w:rPr>
          <w:rFonts w:ascii="Times New Roman" w:cs="Times New Roman" w:eastAsia="Times New Roman" w:hAnsi="Times New Roman"/>
          <w:sz w:val="18"/>
          <w:szCs w:val="18"/>
          <w:color w:val="auto"/>
        </w:rPr>
        <w:t>In February 2021, we commenced a cash tender offer for any and all outstanding $400 million 5% senior notes due 2023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the nine months ended September 30, 2021.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200"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the three months and nine months ended September 30, 2022 and 2021 represents our equity method share of losses associated with Circle.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0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Other gains and (losses), net for the three months and nine months ended September 30, 2022 primarily includes a gain of $2.9 million from a fund associated with the Gaylord National bonds to reimburse us for certain marketing and maintenance expenses. Other gains and (losses), net for the three months and nine months ended September 30, 2021 represents various miscellaneous items.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4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2022, we recorded an income tax provision of $10.2 million and $27.7 million, respectively, related to our TRSs.</w:t>
      </w:r>
    </w:p>
    <w:p>
      <w:pPr>
        <w:spacing w:after="0" w:line="121"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2021, we recorded an income tax provision of $1.1 million and $6.6 million, respectively. The income tax provision for the nine months ended September 30, 2021 includes the recording of a valuation allowance of $3.6 million related to our reassessment of the realizability of our deferred tax assets due to the impact of the COVID-19 pandemic.</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Definition</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shareholders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shareholders and unit holders and Adjusted FFO available to common shareholders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78"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months and nine months ended September 30, 2022 and 2021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56,093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151,125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387,744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0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venture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(6,345)</w:t>
            </w: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(7,476)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1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144,780</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85,992</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380,268</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92,715</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joint venture</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FFO and Adjusted FFO for the three months and nine months ended September 30, 2022 and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9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0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(8,607)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8"/>
        </w:trPr>
        <w:tc>
          <w:tcPr>
            <w:tcW w:w="50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available to common shareholders and unit</w:t>
            </w: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(8,607)</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(172,276)</w:t>
            </w:r>
          </w:p>
        </w:tc>
        <w:tc>
          <w:tcPr>
            <w:tcW w:w="160" w:type="dxa"/>
            <w:vAlign w:val="bottom"/>
            <w:shd w:val="clear" w:color="auto" w:fill="CCEEFF"/>
          </w:tcPr>
          <w:p>
            <w:pPr>
              <w:spacing w:after="0"/>
              <w:rPr>
                <w:sz w:val="20"/>
                <w:szCs w:val="20"/>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shareholders and unit holders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other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expense</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shareholders and unit 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100,773</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$ 52,113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250,462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79"/>
        <w:spacing w:after="0" w:line="272" w:lineRule="auto"/>
        <w:rPr>
          <w:sz w:val="20"/>
          <w:szCs w:val="20"/>
          <w:color w:val="auto"/>
        </w:rPr>
      </w:pPr>
      <w:r>
        <w:rPr>
          <w:rFonts w:ascii="Times New Roman" w:cs="Times New Roman" w:eastAsia="Times New Roman" w:hAnsi="Times New Roman"/>
          <w:sz w:val="17"/>
          <w:szCs w:val="17"/>
          <w:i w:val="1"/>
          <w:iCs w:val="1"/>
          <w:color w:val="auto"/>
        </w:rPr>
        <w:t>Cash Flows Provided By Operating Activities</w:t>
      </w:r>
      <w:r>
        <w:rPr>
          <w:rFonts w:ascii="Times New Roman" w:cs="Times New Roman" w:eastAsia="Times New Roman" w:hAnsi="Times New Roman"/>
          <w:sz w:val="17"/>
          <w:szCs w:val="17"/>
          <w:color w:val="auto"/>
        </w:rPr>
        <w:t>. Historically, cash flow from operating activities has been the principal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source of cash used to fund our operating expenses, interest payments on debt, maintenance capital expenditures, and dividends to stockholders. During the nine months ended September 30, 2022, our net cash flows provided by operating activities were $246.0 million, primarily reflecting our net income before depreciation expense, amortization expense and other non-cash charges of $265.5 million, partially offset by unfavorable changes in working capital of $19.5 million. The unfavorable changes in working capital primarily resulted from an increase in accounts receivable due to an increase in group business at our Gaylord Hotels properties, partially offset by an increase in accounts payable and accrued liabilities related to increased advanced ticket purchases at our OEG venues and advanced deposits on future hotel room stays.</w:t>
      </w:r>
    </w:p>
    <w:p>
      <w:pPr>
        <w:spacing w:after="0" w:line="13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2021, our net cash flows provided by operating activities were $22.7 million, primarily reflecting our net loss before depreciation expense, amortization expense and other non-cash charges of</w:t>
      </w: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$2.6 million and favorable changes in working capital of $20.0 million. The favorable changes in working capital primarily resulted from an increase in deferred revenues associated with advanced room deposits at our Gaylord Hotels properties and advanced ticket purchases at our OEG venues, partially offset by an increase in accounts receivable due to an increase in group business at our Gaylord Hotels properties.</w:t>
      </w:r>
    </w:p>
    <w:p>
      <w:pPr>
        <w:spacing w:after="0" w:line="146"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nine months ended September 30, 2022,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the use of $94.0 million in net cash to fund a portion of the purchase price of Block 21 and purchases of property and equipment, which totaled $48.2 million, and consisted primarily of enhancements at Gaylord Rockies to better position the property for our group customers, a re-concepting of the food and beverage options at Gaylord National, the construction of Ole Red Nashville International Airport, and ongoing maintenance capital expenditures for our existing properties.</w:t>
      </w:r>
    </w:p>
    <w:p>
      <w:pPr>
        <w:spacing w:after="0" w:line="15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our primary use of funds for investing activities was the $210.0 million purchase of the remaining 35% interest in the Gaylord Rockies joint venture and adjacent, undeveloped land.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addition, we spent $66.2 million for purchases of property and equipment, which consisted primarily of a rooms renovation at Gaylord National, the expansion of Gaylord Palms, and ongoing maintenance capital expenditures for our existing properties.</w:t>
      </w:r>
    </w:p>
    <w:p>
      <w:pPr>
        <w:spacing w:after="0" w:line="14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Cash Flows Provided By Financing Activities</w:t>
      </w:r>
      <w:r>
        <w:rPr>
          <w:rFonts w:ascii="Times New Roman" w:cs="Times New Roman" w:eastAsia="Times New Roman" w:hAnsi="Times New Roman"/>
          <w:sz w:val="18"/>
          <w:szCs w:val="18"/>
          <w:color w:val="auto"/>
        </w:rPr>
        <w:t>. Our cash flows from financing activities primarily reflect the incurrence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the repayment of long-term debt and the payment of cash dividends. During the nine months ended September 30, 2022, our net cash flows provided by financing activities were $59.6 million, primarily reflecting the net proceeds from the OEG Transaction of $286.2 million and the incurrence of the OEG Term Loan and the repayment of our previous term loan A, partially offset by the net repayment of $194.6 million under our various debt agreements and the payment of $15.2 million in deferred financing costs.</w:t>
      </w:r>
    </w:p>
    <w:p>
      <w:pPr>
        <w:spacing w:after="0" w:line="144"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our net cash flows provided by financing activities were $253.1 million, primarily reflecting net senior note borrowing of $200.0 million and net borrowings under our credit facility of $70.3 million, partially offset by the payment of $10.6 million in deferred financing costs.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0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At September 30, 2022, we had $224.7 million in unrestricted cash and $754.6 million available for borrowing under our revolving credit facility and the OEG revolving credit facility. During the nine months ended September 30, 2022, we received net proceeds of $286.2 million related to the OEG Transaction, repaid $494.6 million under our debt agreements, borrowed $288.0 million under the new OEG Term Loan, paid $94.0 million in net cash for the purchase of Block 21 after the assumption of the Block 21 CMBS Loan and incurred capital expenditures of $48.2 million. These changes, and the cash flows provided by operations discussed above, were the primary factors in the increase in our cash balance from December 31, 2021 to September 30, 2022.</w:t>
      </w:r>
    </w:p>
    <w:p>
      <w:pPr>
        <w:spacing w:after="0" w:line="14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2022 by spending between approximately $25 million and $45 million in capital expenditures, which primarily includes enhancements at Gaylord Rockies to better position the property for our group customers, enhancements to the offerings at Block 21, the construction of Ole Red Las Vegas, and ongoing maintenance capital of our current facilities. In addition, we intend to contribute up to an additional $2.0 million in capital to the Circle joint venture for working capital needs. We currently have no debt maturities until July 2023. We believe we will be able to refinance our debt agreements prior to their maturities, including extension options.</w:t>
      </w:r>
    </w:p>
    <w:p>
      <w:pPr>
        <w:spacing w:after="0" w:line="14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together with amounts available for borrowing under our revolving credit facility and the OEG revolving credit facility, will be adequate to fund our general short-term commitments, as well as: (i) current operating expenses, (ii) interest expense on long-term debt obligations, (iii) financing lease and operating lease obligations, and (iv) the capital expenditures described above. Our ability to draw on our credit facilities is subject to the satisfaction of provisions of the credit facilities, as amended.</w:t>
      </w:r>
    </w:p>
    <w:p>
      <w:pPr>
        <w:spacing w:after="0" w:line="15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September 30, 2022, there were no defaults under the covenants related to our outstanding debt based on the amended terms of our credit agreement.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85"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October 31, 2019, we entered into a Sixth Amended and Restated Credit Agreement (the “Base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prior to its repayment on June 16, 2022, a $300.0 million senior secured term loan A (the “Term Loan A”), and a $500.0 million senior secured term loan B (the “Term Loan B”), each as discussed below. In 2020, we entered into three amendments (the “2020 Amendments”) to the Base Credit Agreement among the same parties, as discussed below. Additionally, we further amended the Base Credit Agreement in April 2021 and further in October 2021 to permit an acquisition during the Credit Agreement’s Restricted Period (as defined below) and an assumption of indebtedness, subject to certain conditions (such amendments, together with the 2020 Amendments, the “Amendments”; the Base Credit Agreement, as amended by the Amendments, the “Existing Credit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Agreement”; the Existing Credit Agreement, as amended by the Fifth Amendment (as hereinafter defined), the “Credit Agreement”).</w:t>
      </w:r>
    </w:p>
    <w:p>
      <w:pPr>
        <w:spacing w:after="0" w:line="135"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Hotels properties is sold), excluding Gaylord Rockies. Assets of Gaylord Rockies are not subject to the liens of our credit facility.</w:t>
      </w:r>
    </w:p>
    <w:p>
      <w:pPr>
        <w:spacing w:after="0" w:line="15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9" w:lineRule="exact"/>
        <w:rPr>
          <w:sz w:val="20"/>
          <w:szCs w:val="20"/>
          <w:color w:val="auto"/>
        </w:rPr>
      </w:pPr>
    </w:p>
    <w:p>
      <w:pPr>
        <w:ind w:left="720" w:right="45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2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3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Amendments provided for a waiver of the foregoing financial covenants through March 31, 2022 (the “Temporary Waiver Period”) and modified covenants through June 30, 2022.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5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Beginning with the quarter ended June 30, 2022, we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Amendments, we are required to use any proceeds from borrowings drawn until we demonstrate financial covenant compliance following the expiration of the Temporary Waiver Period (the “Restricted Period”) to fund operating expenses, debt service of the Company and its subsidiaries, and permitted capital expenditures and investments. We demonstrated such financial compliance in May 2022 and thereby ended the restricted period.</w:t>
      </w:r>
    </w:p>
    <w:p>
      <w:pPr>
        <w:spacing w:after="0" w:line="15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4, 2022, we entered into Amendment No. 5 (the “Fifth Amendment”) to the Existing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was effective upon the closing of the OEG Transaction. These amendments include, among others, the exclusion of OEG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financial covenants currently provided for in the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47"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March 31, 2024, with two additional six-month extension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at our election. Borrowings under the Revolver bear interest at an annual rate equal to, at our option, either</w:t>
      </w:r>
    </w:p>
    <w:p>
      <w:pPr>
        <w:spacing w:after="0" w:line="1" w:lineRule="exact"/>
        <w:rPr>
          <w:sz w:val="20"/>
          <w:szCs w:val="20"/>
          <w:color w:val="auto"/>
        </w:rPr>
      </w:pPr>
    </w:p>
    <w:p>
      <w:pPr>
        <w:jc w:val="both"/>
        <w:ind w:left="60" w:right="259" w:hanging="10"/>
        <w:spacing w:after="0" w:line="253" w:lineRule="auto"/>
        <w:tabs>
          <w:tab w:leader="none" w:pos="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the applicable margin ranging from 1.40% to 1.95%, dependent upon our funded debt to total asset value ratio (as defined in the Credit Agreement) or (ii) a base rate as set forth in the Credit Agreement. At September 30, 2022, the interest rate on LIBOR-based borrowings under the Revolver is LIBOR plus 1.55%. Principal is payable in full at maturity.</w:t>
      </w:r>
    </w:p>
    <w:p>
      <w:pPr>
        <w:spacing w:after="0" w:line="14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At September 30, 2022, no amounts were outstanding under the Revolver, and the lending banks had issued $10.4 million of letters of credit under the Credit Agreement, which left $689.6 million of availability under the Revolver (subject to the satisfaction of debt incurrence tests under the indentures governing our $600 million in aggregate principal amount of senior notes due 2029 (the “$600 Million 4.50% Senior Notes”) and our $700 million in aggregate principal amount of senior notes due 2027 (the “$700 Million 4.75% Senior Notes”), which we met at September 30, 2022).</w:t>
      </w:r>
    </w:p>
    <w:p>
      <w:pPr>
        <w:spacing w:after="0" w:line="141"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 Loan A Facility. </w:t>
      </w:r>
      <w:r>
        <w:rPr>
          <w:rFonts w:ascii="Times New Roman" w:cs="Times New Roman" w:eastAsia="Times New Roman" w:hAnsi="Times New Roman"/>
          <w:sz w:val="18"/>
          <w:szCs w:val="18"/>
          <w:color w:val="auto"/>
        </w:rPr>
        <w:t>The original maturity date of the Term Loan A was March 31, 2025. Borrowings bore interest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rate equal to, at our option, either (i) LIBOR plus the applicable margin ranging from 1.35% to 1.90%, dependent upon our funded debt to total asset value ratio (as defined in the Credit Agreement) or (ii) a base rate as set forth in the Credit Agreement. As discussed below, in June 2022, we paid off the Term Loan A with proceeds from the OEG Term Loan.</w:t>
      </w:r>
    </w:p>
    <w:p>
      <w:pPr>
        <w:spacing w:after="0" w:line="15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Term Loan B Facility. </w:t>
      </w:r>
      <w:r>
        <w:rPr>
          <w:rFonts w:ascii="Times New Roman" w:cs="Times New Roman" w:eastAsia="Times New Roman" w:hAnsi="Times New Roman"/>
          <w:sz w:val="18"/>
          <w:szCs w:val="18"/>
          <w:color w:val="auto"/>
        </w:rPr>
        <w:t>The Term Loan B has a maturity date of May 11, 2024. The applicable interest rate margins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Term Loan B are, at our option, either (i) LIBOR plus 2.00% or (ii) a base rate as set forth in the Credit Agreement. At September 30, 2022,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September 30, 2022, $372.5 million in borrowings were outstanding under the Term Loan B.</w:t>
      </w:r>
    </w:p>
    <w:p>
      <w:pPr>
        <w:spacing w:after="0" w:line="14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76"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3"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On February 17, 2021, the Operating Partnership and Finco completed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$700 Million</w:t>
      </w: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35"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5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i w:val="1"/>
          <w:iCs w:val="1"/>
          <w:color w:val="auto"/>
        </w:rPr>
        <w:t>$800 Million Term Loan (Gaylord Rockies)</w:t>
      </w:r>
      <w:r>
        <w:rPr>
          <w:rFonts w:ascii="Times New Roman" w:cs="Times New Roman" w:eastAsia="Times New Roman" w:hAnsi="Times New Roman"/>
          <w:sz w:val="18"/>
          <w:szCs w:val="18"/>
          <w:color w:val="auto"/>
        </w:rPr>
        <w:t>. On July 2, 2019, Aurora Convention Center Hotel, LLC (“Hotel Owner”)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Convention Center Hotel Lessee, LLC (“Tenant” and collectively, with Hotel Owner, the “Loan Parties”), subsidiaries of the entities that comprised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Additionally, we have entered into an additional interest rate swap to fix the LIBOR portion of the interest rate at 3.3410% for the fourth year of the loan. We have designated these interest rate swaps as effective cash flow hedges.</w:t>
      </w:r>
    </w:p>
    <w:p>
      <w:pPr>
        <w:spacing w:after="0" w:line="194"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an expansion is pursued, and (iii) customary non-recourse carve-outs.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76"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80" w:lineRule="exact"/>
        <w:rPr>
          <w:sz w:val="20"/>
          <w:szCs w:val="20"/>
          <w:color w:val="auto"/>
        </w:rPr>
      </w:pPr>
    </w:p>
    <w:p>
      <w:pPr>
        <w:jc w:val="both"/>
        <w:ind w:left="60" w:right="339"/>
        <w:spacing w:after="0" w:line="282" w:lineRule="auto"/>
        <w:rPr>
          <w:sz w:val="20"/>
          <w:szCs w:val="20"/>
          <w:color w:val="auto"/>
        </w:rPr>
      </w:pPr>
      <w:r>
        <w:rPr>
          <w:rFonts w:ascii="Times New Roman" w:cs="Times New Roman" w:eastAsia="Times New Roman" w:hAnsi="Times New Roman"/>
          <w:sz w:val="18"/>
          <w:szCs w:val="18"/>
          <w:color w:val="auto"/>
        </w:rPr>
        <w:t>The Loan Amendment includes restrictions on distributions to our subsidiaries that own Gaylord Rockies and requires a certain level of equity financing for a Gaylord Rockies expansion.</w:t>
      </w:r>
    </w:p>
    <w:p>
      <w:pPr>
        <w:spacing w:after="0" w:line="160"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16, 2022,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(b) Adjusted Term SOFR plus 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The net proceeds we received from the OEG Term Loan were used to repay the outstanding balance of our existing $300 million Term Loan A. No revolving credit advances were made under the OEG Revolver at closing, and no amounts were outstanding under the OEG Revolver at September 30, 2022.</w:t>
      </w:r>
    </w:p>
    <w:p>
      <w:pPr>
        <w:spacing w:after="0" w:line="19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on May 31, 2022, a subsidiary of the Company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55"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Block 21 was in a Trigger Period as of our purchase date and remains as such as of September 30, 2022. During the Trigger Period, any cash generated in excess of amounts necessary to fund loan obligations, budgeted operating expenses and specified reserves will not be distributed to Block 21.</w:t>
      </w:r>
    </w:p>
    <w:p>
      <w:pPr>
        <w:spacing w:after="0" w:line="166"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3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98" w:lineRule="exact"/>
        <w:rPr>
          <w:sz w:val="20"/>
          <w:szCs w:val="20"/>
          <w:color w:val="auto"/>
        </w:rPr>
      </w:pPr>
    </w:p>
    <w:p>
      <w:pPr>
        <w:ind w:left="720" w:right="1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September 30, 2022 for our variable-rate debt after considering interest rate swaps, our estimated interest obligations through 2026 are $449.0 million. These estimated obligations are $38.1 million for the remainder of 2022, $132.1 million in 2023, $100.1 million in 2024, $93.1 million in 2025, and $85.6 million in 2026.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2021 for a discussion of the interest we paid during 2021, 2020 and 2019.</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00"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the nine months ended September 30, 2022 than in recent historical periods. However, favorable occupancy and ADR in our Hospitality segment and business levels in our Entertainment segment have reduced the impact of increased operating costs on our financial position and results of operations. 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 due from non-guarantor subsidiaries</w:t>
            </w:r>
          </w:p>
        </w:tc>
        <w:tc>
          <w:tcPr>
            <w:tcW w:w="96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1,570,410</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1,603,167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1,797,925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Total noncontrolling interest</w:t>
            </w: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060" w:type="dxa"/>
            <w:vAlign w:val="bottom"/>
          </w:tcPr>
          <w:p>
            <w:pPr>
              <w:spacing w:after="0"/>
              <w:rPr>
                <w:sz w:val="24"/>
                <w:szCs w:val="24"/>
                <w:color w:val="auto"/>
              </w:rPr>
            </w:pPr>
          </w:p>
        </w:tc>
        <w:tc>
          <w:tcPr>
            <w:tcW w:w="22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third-parties</w:t>
            </w:r>
          </w:p>
        </w:tc>
        <w:tc>
          <w:tcPr>
            <w:tcW w:w="9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stock-based compensation, derivative financial instruments, depreciation and amortization, income taxes,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2021. There were no newly identified critical accounting policies in the first</w:t>
      </w:r>
    </w:p>
    <w:p>
      <w:pPr>
        <w:spacing w:after="0" w:line="4"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nine months of 2022, nor were there any material changes to the critical accounting policies and estimates discussed in our Annual Report on Form 10-K for the year ended December 31, 2021.</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September 30, 2022, borrowings under the OEG Term Loan bore interest at an annual rate of SOFR plus 5.00%. If SOFR were to increase by 100 basis points, our annual interest cost on the $300.0 million in borrowings outstanding under the OEG Term Loan at September 30, 2022 would increase by approximately $3.0 million.</w:t>
      </w:r>
    </w:p>
    <w:p>
      <w:pPr>
        <w:spacing w:after="0" w:line="13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Other than the above, there have been no material changes in our quantitative and qualitative market risks since December 31, 2021. For a discussion of the Company’s exposure to market risk, refer to the Company’s market risk disclosures set forth in Part II, Item 7A. “Quantitative and Qualitative Disclosures About Market Risk” of the Company’s Annual Report on Form 10-K for the year ended December 31, 2021.</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65"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May 31, 2022, we acquired Block 21 through a business combination. We are currently in the process of assessing Block 21’s internal control over financial reporting and integrating Block 21’s internal control over financial reporting with our existing internal control over financial reporting. As permitted by SEC regulations, we intend to exclude Block 21 from our assessment of internal control over financial reporting as of December 31, 2022 since we acquired Block 21 in May 2022.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15,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have been no material changes from the risk factors disclosed in Part I, Item 1A, “Risk Factors,” of our Annual Report on Form 10-K for the fiscal year ended December 31, 2021.</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intended long-term economic benefits of the OEG Transaction or the Block 21 Acquisition.</w:t>
      </w:r>
    </w:p>
    <w:p>
      <w:pPr>
        <w:spacing w:after="0" w:line="18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long-term economic benefits of the OEG Transaction or the Block 21 Acquisition could have an adverse effect on our business, financial condition, results of operations and our public reputation.</w:t>
      </w:r>
    </w:p>
    <w:p>
      <w:pPr>
        <w:spacing w:after="0" w:line="14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the operations of our Entertainment segment through OEG and our ownership is subject to the terms of agreements with Atairos. Any disagreement with Atairos may adversely affect our interest in OEG.</w:t>
      </w:r>
    </w:p>
    <w:p>
      <w:pPr>
        <w:spacing w:after="0" w:line="118"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limited liability company agreement for OEG gives Atairos certain rights, including consent rights regarding certain major decisions, which may limit our flexibility with respect to OEG. Atairos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pacing w:after="0" w:line="13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REIT, failure to make required distributions to our stockholders would subject us to federal and state corporate income tax.</w:t>
      </w:r>
    </w:p>
    <w:p>
      <w:pPr>
        <w:spacing w:after="0" w:line="13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Prior to 2012, we had not paid a cash distribution on our common stock since 1999. Beginning in 2013, we declared, and we intend to continue to declare when appropriate, cash dividends, the amount of which will be determined, and will be subject to adjustment, by our board of directors. Our board of directors has approved an interim dividend policy pursuant to which we will make minimum dividends of 100% of REIT taxable income annually, subject to the board of directors’ future determinations as to the amount of any distributions and the timing thereof. Our dividend policy may be altered at any time by our board of directors, and certain provisions of our debt agreements may prohibit us from paying dividends in accordance with any policy we may adopt. To qualify as a REIT, we are generally required to distribute at least 90%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of our REIT taxable income (determined without regard to the dividends paid deduction and excluding net capital gains) 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expenses.</w:t>
      </w:r>
    </w:p>
    <w:p>
      <w:pPr>
        <w:spacing w:after="0" w:line="16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Generally,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Following the suspension of our regular quarterly dividend payments in March 2020 in connection with the COVID-19 pandemic, in September 2022, our board of directors approved an interim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 Consequently, our distribution levels may be minimal and may fluctuate.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Number</w:t>
            </w:r>
          </w:p>
        </w:tc>
        <w:tc>
          <w:tcPr>
            <w:tcW w:w="2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5"/>
          </w:tcPr>
          <w:p>
            <w:pPr>
              <w:ind w:left="20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24"/>
                <w:szCs w:val="24"/>
                <w:color w:val="auto"/>
              </w:rPr>
            </w:pPr>
          </w:p>
        </w:tc>
        <w:tc>
          <w:tcPr>
            <w:tcW w:w="64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October 1, 2012).</w:t>
              </w:r>
            </w:hyperlink>
          </w:p>
        </w:tc>
        <w:tc>
          <w:tcPr>
            <w:tcW w:w="5460" w:type="dxa"/>
            <w:vAlign w:val="bottom"/>
            <w:tcBorders>
              <w:top w:val="single" w:sz="8" w:color="0000EE"/>
            </w:tcBorders>
            <w:gridSpan w:val="3"/>
          </w:tcPr>
          <w:p>
            <w:pPr>
              <w:spacing w:after="0"/>
              <w:rPr>
                <w:sz w:val="17"/>
                <w:szCs w:val="17"/>
                <w:color w:val="auto"/>
              </w:rPr>
            </w:pPr>
          </w:p>
        </w:tc>
        <w:tc>
          <w:tcPr>
            <w:tcW w:w="700" w:type="dxa"/>
            <w:vAlign w:val="bottom"/>
            <w:gridSpan w:val="2"/>
          </w:tcPr>
          <w:p>
            <w:pPr>
              <w:spacing w:after="0"/>
              <w:rPr>
                <w:sz w:val="17"/>
                <w:szCs w:val="17"/>
                <w:color w:val="auto"/>
              </w:rPr>
            </w:pPr>
          </w:p>
        </w:tc>
      </w:tr>
      <w:tr>
        <w:trPr>
          <w:trHeight w:val="41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24"/>
                <w:szCs w:val="24"/>
                <w:color w:val="auto"/>
              </w:rPr>
            </w:pPr>
          </w:p>
        </w:tc>
        <w:tc>
          <w:tcPr>
            <w:tcW w:w="7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Amended and Restated Bylaws of Ryman Hospitality Properties, Inc. (incorporated by reference to</w:t>
              </w:r>
            </w:hyperlink>
          </w:p>
        </w:tc>
        <w:tc>
          <w:tcPr>
            <w:tcW w:w="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Exhibit 3.2 to the Company’s Current Report on Form 8-K filed October 1, 2012).</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520" w:right="299" w:hanging="978"/>
        <w:spacing w:after="0" w:line="312" w:lineRule="auto"/>
        <w:tabs>
          <w:tab w:leader="none" w:pos="1520" w:val="left"/>
        </w:tabs>
        <w:numPr>
          <w:ilvl w:val="0"/>
          <w:numId w:val="23"/>
        </w:numPr>
        <w:rPr>
          <w:rFonts w:ascii="Times New Roman" w:cs="Times New Roman" w:eastAsia="Times New Roman" w:hAnsi="Times New Roman"/>
          <w:sz w:val="17"/>
          <w:szCs w:val="17"/>
          <w:u w:val="single" w:color="auto"/>
          <w:color w:val="0000EE"/>
        </w:rPr>
      </w:pPr>
      <w:hyperlink r:id="rId62">
        <w:r>
          <w:rPr>
            <w:rFonts w:ascii="Times New Roman" w:cs="Times New Roman" w:eastAsia="Times New Roman" w:hAnsi="Times New Roman"/>
            <w:sz w:val="17"/>
            <w:szCs w:val="17"/>
            <w:u w:val="single" w:color="auto"/>
            <w:color w:val="0000EE"/>
          </w:rPr>
          <w:t>List of Parent and Subsidiary Guarantors (incorporated by reference to Exhibit 22 to the Company’s</w:t>
        </w:r>
      </w:hyperlink>
      <w:r>
        <w:rPr>
          <w:rFonts w:ascii="Times New Roman" w:cs="Times New Roman" w:eastAsia="Times New Roman" w:hAnsi="Times New Roman"/>
          <w:sz w:val="17"/>
          <w:szCs w:val="17"/>
          <w:u w:val="single" w:color="auto"/>
          <w:color w:val="0000EE"/>
        </w:rPr>
        <w:t xml:space="preserve"> </w:t>
      </w:r>
      <w:hyperlink r:id="rId62">
        <w:r>
          <w:rPr>
            <w:rFonts w:ascii="Times New Roman" w:cs="Times New Roman" w:eastAsia="Times New Roman" w:hAnsi="Times New Roman"/>
            <w:sz w:val="17"/>
            <w:szCs w:val="17"/>
            <w:u w:val="single" w:color="auto"/>
            <w:color w:val="0000EE"/>
          </w:rPr>
          <w:t>Annual Report on Form 10-K for the year ended December 31, 2021, filed February 25, 2022).</w:t>
        </w:r>
      </w:hyperlink>
    </w:p>
    <w:p>
      <w:pPr>
        <w:spacing w:after="0" w:line="127" w:lineRule="exact"/>
        <w:rPr>
          <w:rFonts w:ascii="Times New Roman" w:cs="Times New Roman" w:eastAsia="Times New Roman" w:hAnsi="Times New Roman"/>
          <w:sz w:val="17"/>
          <w:szCs w:val="17"/>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Colin V. Reed pursuant to Section 302 of Sarbanes-Oxley Act of 2002.</w:t>
            </w:r>
          </w:p>
        </w:tc>
        <w:tc>
          <w:tcPr>
            <w:tcW w:w="114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Colin V. Reed and Jennifer Hutcheson pursuant to 18 U.S.C. Section 1350, as adopted</w:t>
            </w:r>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Sarbanes-Oxley Act of 2002.</w:t>
            </w:r>
          </w:p>
        </w:tc>
      </w:tr>
      <w:tr>
        <w:trPr>
          <w:trHeight w:val="20"/>
        </w:trPr>
        <w:tc>
          <w:tcPr>
            <w:tcW w:w="9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quarterly period ended September 30, 2022, formatted in Inline XBRL (eXtensible Business</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Reporting Language): (i) Condensed Consolidated Balance Sheets (unaudited) at September 30, 2022</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December 31, 2021, (ii) Condensed Consolidated Statements of Operations and Comprehensive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(Loss) (unaudited) for the three months and nine months ended September 30, 2022 and 2021,</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(iii) Condensed Consolidated Statements of Cash Flows (unaudited) for the nine months ended</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2022 and 2021, (iv) Condensed Consolidated Statements of Equity (Deficit)</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for the three months and nine months ended September 30, 2022 and 2021, and</w:t>
            </w:r>
          </w:p>
        </w:tc>
      </w:tr>
      <w:tr>
        <w:trPr>
          <w:trHeight w:val="234"/>
        </w:trPr>
        <w:tc>
          <w:tcPr>
            <w:tcW w:w="980" w:type="dxa"/>
            <w:vAlign w:val="bottom"/>
          </w:tcPr>
          <w:p>
            <w:pPr>
              <w:spacing w:after="0"/>
              <w:rPr>
                <w:sz w:val="20"/>
                <w:szCs w:val="20"/>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 Notes to Condensed Consolidated Financial Statements (unaudited).</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rFonts w:ascii="Times New Roman" w:cs="Times New Roman" w:eastAsia="Times New Roman" w:hAnsi="Times New Roman"/>
          <w:sz w:val="17"/>
          <w:szCs w:val="17"/>
          <w:color w:val="auto"/>
        </w:rPr>
      </w:pPr>
    </w:p>
    <w:p>
      <w:pPr>
        <w:ind w:left="360" w:hanging="31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Colin V. Reed</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 and</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4517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September 30, 2022,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November 1, 2022</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November 1, 2022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Roman"/>
      <w:start w:val="2"/>
    </w:lvl>
  </w:abstractNum>
  <w:abstractNum w:abstractNumId="3">
    <w:nsid w:val="41A7C4C9"/>
    <w:multiLevelType w:val="hybridMultilevel"/>
    <w:lvl w:ilvl="0">
      <w:lvlJc w:val="left"/>
      <w:lvlText w:val="%1."/>
      <w:numFmt w:val="decimal"/>
      <w:start w:val="2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upperLetter"/>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Roman"/>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22"/>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19" Type="http://schemas.openxmlformats.org/officeDocument/2006/relationships/hyperlink" Target="https://www.sec.gov/Archives/edgar/data/1040829/000110465922071928/tm2218606d1_ex10-1.htm" TargetMode="External"/><Relationship Id="rId60" Type="http://schemas.openxmlformats.org/officeDocument/2006/relationships/hyperlink" Target="http://www.sec.gov/Archives/edgar/data/1040829/000119312512410191/d419132dex31.htm" TargetMode="External"/><Relationship Id="rId61" Type="http://schemas.openxmlformats.org/officeDocument/2006/relationships/hyperlink" Target="http://www.sec.gov/Archives/edgar/data/1040829/000119312512410191/d419132dex32.htm" TargetMode="External"/><Relationship Id="rId62" Type="http://schemas.openxmlformats.org/officeDocument/2006/relationships/hyperlink" Target="https://www.sec.gov/Archives/edgar/data/1040829/000155837022002101/rhp-202112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2022-11-01T11:57:40Z</dcterms:created>
  <dcterms:modified xsi:type="dcterms:W3CDTF">2022-11-01T11:57:40Z</dcterms:modified>
</cp:coreProperties>
</file>