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rhp-20260630x10q.htm"/>
        <w:bookmarkStart w:id="1" w:name="ksrhp202606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bookmarkStart w:id="2" w:name="_f030e26c_fdfb_4202_ba9c_7a0817517960"/>
      <w:bookmarkEnd w:id="2"/>
      <w:r>
        <w:rPr>
          <w:rFonts w:ascii="Times New Roman;Times;serif" w:hAnsi="Times New Roman;Times;serif"/>
          <w:b/>
          <w:sz w:val="20"/>
        </w:rPr>
        <w:t>UNITED STATES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SECURITIES AND EXCHANGE COMMISSION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FORM 10-Q</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(Mark One)</w:t>
      </w:r>
    </w:p>
    <w:tbl>
      <w:tblPr>
        <w:tblW w:w="9827" w:type="dxa"/>
        <w:jc w:val="left"/>
        <w:tblInd w:w="0" w:type="dxa"/>
        <w:tblLayout w:type="fixed"/>
        <w:tblCellMar>
          <w:top w:w="0" w:type="dxa"/>
          <w:left w:w="0" w:type="dxa"/>
          <w:bottom w:w="0" w:type="dxa"/>
          <w:right w:w="0" w:type="dxa"/>
        </w:tblCellMar>
      </w:tblPr>
      <w:tblGrid>
        <w:gridCol w:w="331"/>
        <w:gridCol w:w="9496"/>
      </w:tblGrid>
      <w:tr>
        <w:trPr/>
        <w:tc>
          <w:tcPr>
            <w:tcW w:w="331" w:type="dxa"/>
            <w:tcBorders/>
            <w:vAlign w:val="center"/>
          </w:tcPr>
          <w:p>
            <w:pPr>
              <w:pStyle w:val="TableContents"/>
              <w:bidi w:val="0"/>
              <w:spacing w:before="0" w:after="0"/>
              <w:jc w:val="left"/>
              <w:rPr/>
            </w:pPr>
            <w:r>
              <w:rPr/>
              <w:t>☒</w:t>
            </w:r>
          </w:p>
        </w:tc>
        <w:tc>
          <w:tcPr>
            <w:tcW w:w="949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QUARTERLY REPORT PURSUANT TO SECTION 13 OR 15(d) OF THE SECURITIES EXCHANGE ACT OF 1934</w:t>
            </w:r>
          </w:p>
        </w:tc>
      </w:tr>
    </w:tbl>
    <w:p>
      <w:pPr>
        <w:pStyle w:val="TextBody"/>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For the quarterly period ended June 30, 2026</w:t>
      </w:r>
    </w:p>
    <w:p>
      <w:pPr>
        <w:pStyle w:val="TextBody"/>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or</w:t>
      </w:r>
    </w:p>
    <w:tbl>
      <w:tblPr>
        <w:tblW w:w="9797" w:type="dxa"/>
        <w:jc w:val="left"/>
        <w:tblInd w:w="0" w:type="dxa"/>
        <w:tblLayout w:type="fixed"/>
        <w:tblCellMar>
          <w:top w:w="0" w:type="dxa"/>
          <w:left w:w="0" w:type="dxa"/>
          <w:bottom w:w="0" w:type="dxa"/>
          <w:right w:w="0" w:type="dxa"/>
        </w:tblCellMar>
      </w:tblPr>
      <w:tblGrid>
        <w:gridCol w:w="331"/>
        <w:gridCol w:w="9466"/>
      </w:tblGrid>
      <w:tr>
        <w:trPr/>
        <w:tc>
          <w:tcPr>
            <w:tcW w:w="331" w:type="dxa"/>
            <w:tcBorders/>
            <w:vAlign w:val="center"/>
          </w:tcPr>
          <w:p>
            <w:pPr>
              <w:pStyle w:val="TableContents"/>
              <w:bidi w:val="0"/>
              <w:spacing w:before="0" w:after="0"/>
              <w:jc w:val="both"/>
              <w:rPr/>
            </w:pPr>
            <w:r>
              <w:rPr/>
              <w:t>☐</w:t>
            </w:r>
          </w:p>
        </w:tc>
        <w:tc>
          <w:tcPr>
            <w:tcW w:w="946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TRANSITION REPORT PURSUANT TO SECTION 13 OR 15(d) OF THE SECURITIES EXCHANGE ACT OF 1934</w:t>
            </w:r>
          </w:p>
        </w:tc>
      </w:tr>
    </w:tbl>
    <w:p>
      <w:pPr>
        <w:pStyle w:val="TextBody"/>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Commission file number 1-13079</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RYMAN HOSPITALITY PROPERTIES, INC.</w:t>
      </w:r>
    </w:p>
    <w:p>
      <w:pPr>
        <w:pStyle w:val="TextBody"/>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Normal"/>
        <w:bidi w:val="0"/>
        <w:spacing w:before="0" w:after="0"/>
        <w:jc w:val="left"/>
        <w:rPr>
          <w:sz w:val="4"/>
          <w:szCs w:val="4"/>
        </w:rPr>
      </w:pPr>
      <w:r>
        <w:rPr>
          <w:sz w:val="4"/>
          <w:szCs w:val="4"/>
        </w:rPr>
      </w:r>
      <w:bookmarkStart w:id="3" w:name="Tc_WhFvm9F51kWQG9sBD_DuIg_2_2"/>
      <w:bookmarkStart w:id="4" w:name="Tc_xCjFi3jvMkW9n5guQ2cPJQ_2_0"/>
      <w:bookmarkStart w:id="5" w:name="Tc_epsUHeSmWUGe1tLclxHdhg_1_2"/>
      <w:bookmarkStart w:id="6" w:name="Tc_3-FCF9pzLka_0dzCnbWrlA_1_0"/>
      <w:bookmarkStart w:id="7" w:name="_b4d51903_e215_4b3b_bea8_f4c966daff1d"/>
      <w:bookmarkStart w:id="8" w:name="Tc_WhFvm9F51kWQG9sBD_DuIg_2_2"/>
      <w:bookmarkStart w:id="9" w:name="Tc_xCjFi3jvMkW9n5guQ2cPJQ_2_0"/>
      <w:bookmarkStart w:id="10" w:name="Tc_epsUHeSmWUGe1tLclxHdhg_1_2"/>
      <w:bookmarkStart w:id="11" w:name="Tc_3-FCF9pzLka_0dzCnbWrlA_1_0"/>
      <w:bookmarkStart w:id="12" w:name="_b4d51903_e215_4b3b_bea8_f4c966daff1d"/>
      <w:bookmarkEnd w:id="8"/>
      <w:bookmarkEnd w:id="9"/>
      <w:bookmarkEnd w:id="10"/>
      <w:bookmarkEnd w:id="11"/>
      <w:bookmarkEnd w:id="12"/>
    </w:p>
    <w:tbl>
      <w:tblPr>
        <w:tblW w:w="4608" w:type="dxa"/>
        <w:jc w:val="left"/>
        <w:tblInd w:w="0" w:type="dxa"/>
        <w:tblLayout w:type="fixed"/>
        <w:tblCellMar>
          <w:top w:w="0" w:type="dxa"/>
          <w:left w:w="0" w:type="dxa"/>
          <w:bottom w:w="0" w:type="dxa"/>
          <w:right w:w="0" w:type="dxa"/>
        </w:tblCellMar>
      </w:tblPr>
      <w:tblGrid>
        <w:gridCol w:w="2611"/>
        <w:gridCol w:w="346"/>
        <w:gridCol w:w="1651"/>
      </w:tblGrid>
      <w:tr>
        <w:trPr/>
        <w:tc>
          <w:tcPr>
            <w:tcW w:w="26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c>
          <w:tcPr>
            <w:tcW w:w="346" w:type="dxa"/>
            <w:tcBorders/>
            <w:vAlign w:val="center"/>
          </w:tcPr>
          <w:p>
            <w:pPr>
              <w:pStyle w:val="TableContents"/>
              <w:bidi w:val="0"/>
              <w:spacing w:before="0" w:after="0"/>
              <w:ind w:left="0" w:right="0" w:hanging="0"/>
              <w:jc w:val="left"/>
              <w:rPr/>
            </w:pPr>
            <w:r>
              <w:rPr/>
              <w:t>  ​ ​ ​</w:t>
            </w:r>
          </w:p>
        </w:tc>
        <w:tc>
          <w:tcPr>
            <w:tcW w:w="16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73-0664379</w:t>
            </w:r>
          </w:p>
        </w:tc>
      </w:tr>
      <w:tr>
        <w:trPr/>
        <w:tc>
          <w:tcPr>
            <w:tcW w:w="2611"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 of</w:t>
            </w:r>
          </w:p>
        </w:tc>
        <w:tc>
          <w:tcPr>
            <w:tcW w:w="346" w:type="dxa"/>
            <w:tcBorders/>
            <w:vAlign w:val="center"/>
          </w:tcPr>
          <w:p>
            <w:pPr>
              <w:pStyle w:val="TableContents"/>
              <w:bidi w:val="0"/>
              <w:spacing w:before="0" w:after="0"/>
              <w:ind w:left="0" w:right="0" w:hanging="0"/>
              <w:jc w:val="left"/>
              <w:rPr/>
            </w:pPr>
            <w:r>
              <w:rPr/>
              <w:t>​</w:t>
            </w:r>
          </w:p>
        </w:tc>
        <w:tc>
          <w:tcPr>
            <w:tcW w:w="16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w:t>
            </w:r>
          </w:p>
        </w:tc>
      </w:tr>
      <w:tr>
        <w:trPr/>
        <w:tc>
          <w:tcPr>
            <w:tcW w:w="2611"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Incorporation or Organization)</w:t>
            </w:r>
          </w:p>
        </w:tc>
        <w:tc>
          <w:tcPr>
            <w:tcW w:w="346" w:type="dxa"/>
            <w:tcBorders/>
            <w:vAlign w:val="center"/>
          </w:tcPr>
          <w:p>
            <w:pPr>
              <w:pStyle w:val="TableContents"/>
              <w:bidi w:val="0"/>
              <w:spacing w:before="0" w:after="0"/>
              <w:ind w:left="0" w:right="0" w:hanging="0"/>
              <w:jc w:val="left"/>
              <w:rPr/>
            </w:pPr>
            <w:r>
              <w:rPr/>
              <w:t>​</w:t>
            </w:r>
          </w:p>
        </w:tc>
        <w:tc>
          <w:tcPr>
            <w:tcW w:w="16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Identification No.)</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One Gaylord Drive</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Nashville, Tennessee 37214</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w:t>
      </w:r>
    </w:p>
    <w:p>
      <w:pPr>
        <w:pStyle w:val="TextBody"/>
        <w:bidi w:val="0"/>
        <w:spacing w:before="0" w:after="160"/>
        <w:ind w:left="0" w:right="0" w:hanging="0"/>
        <w:jc w:val="center"/>
        <w:rPr>
          <w:rFonts w:ascii="Times New Roman;Times;serif" w:hAnsi="Times New Roman;Times;serif"/>
          <w:sz w:val="20"/>
        </w:rPr>
      </w:pPr>
      <w:r>
        <w:rPr>
          <w:rFonts w:ascii="Times New Roman;Times;serif" w:hAnsi="Times New Roman;Times;serif"/>
          <w:sz w:val="20"/>
        </w:rPr>
        <w:t>(Zip Code)</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(615) 316-6000</w:t>
      </w:r>
    </w:p>
    <w:p>
      <w:pPr>
        <w:pStyle w:val="TextBody"/>
        <w:bidi w:val="0"/>
        <w:spacing w:before="0" w:after="160"/>
        <w:ind w:left="0" w:right="0" w:hanging="0"/>
        <w:jc w:val="center"/>
        <w:rPr>
          <w:rFonts w:ascii="Times New Roman;Times;serif" w:hAnsi="Times New Roman;Times;serif"/>
          <w:sz w:val="20"/>
        </w:rPr>
      </w:pPr>
      <w:r>
        <w:rPr>
          <w:rFonts w:ascii="Times New Roman;Times;serif" w:hAnsi="Times New Roman;Times;serif"/>
          <w:sz w:val="20"/>
        </w:rPr>
        <w:t>(Registrant’s Telephone Number, Including Area Code)</w:t>
      </w:r>
    </w:p>
    <w:p>
      <w:pPr>
        <w:pStyle w:val="TextBody"/>
        <w:bidi w:val="0"/>
        <w:spacing w:before="0" w:after="160"/>
        <w:ind w:left="0" w:right="0" w:hanging="0"/>
        <w:jc w:val="left"/>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Normal"/>
        <w:bidi w:val="0"/>
        <w:spacing w:before="0" w:after="0"/>
        <w:jc w:val="left"/>
        <w:rPr>
          <w:sz w:val="4"/>
          <w:szCs w:val="4"/>
        </w:rPr>
      </w:pPr>
      <w:r>
        <w:rPr>
          <w:sz w:val="4"/>
          <w:szCs w:val="4"/>
        </w:rPr>
      </w:r>
      <w:bookmarkStart w:id="13" w:name="Tc_wJShYL-vLUG8Ml_1p2dzJg_2_4"/>
      <w:bookmarkStart w:id="14" w:name="Tc_4bLiMfoHaUO4Yk7pIOwEsg_2_2"/>
      <w:bookmarkStart w:id="15" w:name="Tc_eTVEbfveQUmZT_At6sCSLg_2_0"/>
      <w:bookmarkStart w:id="16" w:name="Tc_VdmTwfUri06VJL7xYwieOQ_1_4"/>
      <w:bookmarkStart w:id="17" w:name="_5ea11852_4fa5_45f9_a5f1_7d9f0a7d9fcc"/>
      <w:bookmarkStart w:id="18" w:name="Tc_wJShYL-vLUG8Ml_1p2dzJg_2_4"/>
      <w:bookmarkStart w:id="19" w:name="Tc_4bLiMfoHaUO4Yk7pIOwEsg_2_2"/>
      <w:bookmarkStart w:id="20" w:name="Tc_eTVEbfveQUmZT_At6sCSLg_2_0"/>
      <w:bookmarkStart w:id="21" w:name="Tc_VdmTwfUri06VJL7xYwieOQ_1_4"/>
      <w:bookmarkStart w:id="22" w:name="_5ea11852_4fa5_45f9_a5f1_7d9f0a7d9fcc"/>
      <w:bookmarkEnd w:id="18"/>
      <w:bookmarkEnd w:id="19"/>
      <w:bookmarkEnd w:id="20"/>
      <w:bookmarkEnd w:id="21"/>
      <w:bookmarkEnd w:id="22"/>
    </w:p>
    <w:tbl>
      <w:tblPr>
        <w:tblW w:w="6821" w:type="dxa"/>
        <w:jc w:val="left"/>
        <w:tblInd w:w="0" w:type="dxa"/>
        <w:tblLayout w:type="fixed"/>
        <w:tblCellMar>
          <w:top w:w="0" w:type="dxa"/>
          <w:left w:w="0" w:type="dxa"/>
          <w:bottom w:w="0" w:type="dxa"/>
          <w:right w:w="0" w:type="dxa"/>
        </w:tblCellMar>
      </w:tblPr>
      <w:tblGrid>
        <w:gridCol w:w="2596"/>
        <w:gridCol w:w="109"/>
        <w:gridCol w:w="1621"/>
        <w:gridCol w:w="109"/>
        <w:gridCol w:w="2386"/>
      </w:tblGrid>
      <w:tr>
        <w:trPr/>
        <w:tc>
          <w:tcPr>
            <w:tcW w:w="259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62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386" w:type="dxa"/>
            <w:tcBorders/>
            <w:vAlign w:val="center"/>
          </w:tcPr>
          <w:p>
            <w:pPr>
              <w:pStyle w:val="TableContents"/>
              <w:bidi w:val="0"/>
              <w:spacing w:before="0" w:after="1"/>
              <w:ind w:left="0" w:right="0" w:hanging="0"/>
              <w:jc w:val="left"/>
              <w:rPr/>
            </w:pPr>
            <w:r>
              <w:rPr/>
              <w:t>​</w:t>
            </w:r>
          </w:p>
        </w:tc>
      </w:tr>
      <w:tr>
        <w:trPr/>
        <w:tc>
          <w:tcPr>
            <w:tcW w:w="259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62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238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Name of Each Exchange on</w:t>
            </w:r>
          </w:p>
        </w:tc>
      </w:tr>
      <w:tr>
        <w:trPr/>
        <w:tc>
          <w:tcPr>
            <w:tcW w:w="25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Title of Each Class</w:t>
            </w:r>
          </w:p>
        </w:tc>
        <w:tc>
          <w:tcPr>
            <w:tcW w:w="109" w:type="dxa"/>
            <w:tcBorders/>
            <w:vAlign w:val="center"/>
          </w:tcPr>
          <w:p>
            <w:pPr>
              <w:pStyle w:val="TableContents"/>
              <w:bidi w:val="0"/>
              <w:spacing w:before="0" w:after="1"/>
              <w:ind w:left="0" w:right="0" w:hanging="0"/>
              <w:jc w:val="center"/>
              <w:rPr/>
            </w:pPr>
            <w:r>
              <w:rPr/>
              <w:t>​</w:t>
            </w:r>
          </w:p>
        </w:tc>
        <w:tc>
          <w:tcPr>
            <w:tcW w:w="162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Trading Symbol(s)</w:t>
            </w:r>
          </w:p>
        </w:tc>
        <w:tc>
          <w:tcPr>
            <w:tcW w:w="109" w:type="dxa"/>
            <w:tcBorders/>
            <w:vAlign w:val="center"/>
          </w:tcPr>
          <w:p>
            <w:pPr>
              <w:pStyle w:val="TableContents"/>
              <w:bidi w:val="0"/>
              <w:spacing w:before="0" w:after="1"/>
              <w:ind w:left="0" w:right="0" w:hanging="0"/>
              <w:jc w:val="center"/>
              <w:rPr/>
            </w:pPr>
            <w:r>
              <w:rPr/>
              <w:t>​</w:t>
            </w:r>
          </w:p>
        </w:tc>
        <w:tc>
          <w:tcPr>
            <w:tcW w:w="23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Which Registered</w:t>
            </w:r>
          </w:p>
        </w:tc>
      </w:tr>
      <w:tr>
        <w:trPr/>
        <w:tc>
          <w:tcPr>
            <w:tcW w:w="259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Common stock, par value $.01</w:t>
            </w:r>
          </w:p>
        </w:tc>
        <w:tc>
          <w:tcPr>
            <w:tcW w:w="109" w:type="dxa"/>
            <w:tcBorders/>
            <w:vAlign w:val="center"/>
          </w:tcPr>
          <w:p>
            <w:pPr>
              <w:pStyle w:val="TableContents"/>
              <w:bidi w:val="0"/>
              <w:spacing w:before="0" w:after="1"/>
              <w:ind w:left="0" w:right="0" w:hanging="0"/>
              <w:jc w:val="center"/>
              <w:rPr/>
            </w:pPr>
            <w:r>
              <w:rPr/>
              <w:t>​</w:t>
            </w:r>
          </w:p>
        </w:tc>
        <w:tc>
          <w:tcPr>
            <w:tcW w:w="162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RHP</w:t>
            </w:r>
          </w:p>
        </w:tc>
        <w:tc>
          <w:tcPr>
            <w:tcW w:w="109" w:type="dxa"/>
            <w:tcBorders/>
            <w:vAlign w:val="center"/>
          </w:tcPr>
          <w:p>
            <w:pPr>
              <w:pStyle w:val="TableContents"/>
              <w:bidi w:val="0"/>
              <w:spacing w:before="0" w:after="1"/>
              <w:ind w:left="0" w:right="0" w:hanging="0"/>
              <w:jc w:val="center"/>
              <w:rPr/>
            </w:pPr>
            <w:r>
              <w:rPr/>
              <w:t>​</w:t>
            </w:r>
          </w:p>
        </w:tc>
        <w:tc>
          <w:tcPr>
            <w:tcW w:w="238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New York Stock Exchange</w:t>
            </w:r>
          </w:p>
        </w:tc>
      </w:tr>
    </w:tbl>
    <w:p>
      <w:pPr>
        <w:pStyle w:val="TextBody"/>
        <w:bidi w:val="0"/>
        <w:spacing w:before="0" w:after="240"/>
        <w:ind w:left="0" w:right="0" w:hanging="0"/>
        <w:jc w:val="left"/>
        <w:rPr/>
      </w:pPr>
      <w:r>
        <w:rPr/>
        <w:t>​</w:t>
      </w:r>
    </w:p>
    <w:p>
      <w:pPr>
        <w:pStyle w:val="TextBody"/>
        <w:bidi w:val="0"/>
        <w:spacing w:before="0" w:after="16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 Yes ☐ No</w:t>
      </w:r>
    </w:p>
    <w:p>
      <w:pPr>
        <w:pStyle w:val="TextBody"/>
        <w:bidi w:val="0"/>
        <w:spacing w:before="0" w:after="16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 Yes ☐ No</w:t>
      </w:r>
    </w:p>
    <w:p>
      <w:pPr>
        <w:pStyle w:val="TextBody"/>
        <w:bidi w:val="0"/>
        <w:spacing w:before="0" w:after="16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160"/>
        <w:ind w:left="0" w:right="0" w:hanging="0"/>
        <w:jc w:val="left"/>
        <w:rPr>
          <w:rFonts w:ascii="Times New Roman;Times;serif" w:hAnsi="Times New Roman;Times;serif"/>
          <w:sz w:val="20"/>
        </w:rPr>
      </w:pPr>
      <w:r>
        <w:rPr>
          <w:rFonts w:ascii="Times New Roman;Times;serif" w:hAnsi="Times New Roman;Times;serif"/>
          <w:sz w:val="20"/>
        </w:rPr>
        <w:t>Large accelerated filer ☒ Accelerated filer ☐ Non-accelerated filer ☐ Smaller reporting company ☐ Emerging growth company ☐</w:t>
      </w:r>
    </w:p>
    <w:p>
      <w:pPr>
        <w:pStyle w:val="TextBody"/>
        <w:bidi w:val="0"/>
        <w:spacing w:before="0" w:after="160"/>
        <w:ind w:left="0" w:right="0" w:hanging="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16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is a shell company (as defined in Rule 12b-2 of the Exchange Act). ☐ Yes ☒ No</w:t>
      </w:r>
    </w:p>
    <w:p>
      <w:pPr>
        <w:pStyle w:val="TextBody"/>
        <w:bidi w:val="0"/>
        <w:spacing w:before="0" w:after="160"/>
        <w:ind w:left="0" w:right="0" w:hanging="0"/>
        <w:jc w:val="left"/>
        <w:rPr>
          <w:rFonts w:ascii="Times New Roman;Times;serif" w:hAnsi="Times New Roman;Times;serif"/>
          <w:sz w:val="20"/>
        </w:rPr>
      </w:pPr>
      <w:r>
        <w:rPr>
          <w:rFonts w:ascii="Times New Roman;Times;serif" w:hAnsi="Times New Roman;Times;serif"/>
          <w:sz w:val="20"/>
        </w:rPr>
        <w:t>Indicate the number of shares outstanding of each of the issuer’s classes of common stock, as of the latest practicable date.</w:t>
      </w:r>
    </w:p>
    <w:tbl>
      <w:tblPr>
        <w:tblW w:w="5778" w:type="dxa"/>
        <w:jc w:val="left"/>
        <w:tblInd w:w="0" w:type="dxa"/>
        <w:tblLayout w:type="fixed"/>
        <w:tblCellMar>
          <w:top w:w="0" w:type="dxa"/>
          <w:left w:w="0" w:type="dxa"/>
          <w:bottom w:w="0" w:type="dxa"/>
          <w:right w:w="0" w:type="dxa"/>
        </w:tblCellMar>
      </w:tblPr>
      <w:tblGrid>
        <w:gridCol w:w="2626"/>
        <w:gridCol w:w="346"/>
        <w:gridCol w:w="2806"/>
      </w:tblGrid>
      <w:tr>
        <w:trPr/>
        <w:tc>
          <w:tcPr>
            <w:tcW w:w="26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667510" cy="175260"/>
                      <wp:effectExtent l="0" t="0" r="0" b="0"/>
                      <wp:wrapNone/>
                      <wp:docPr id="1" name="Frame1"/>
                      <a:graphic xmlns:a="http://schemas.openxmlformats.org/drawingml/2006/main">
                        <a:graphicData uri="http://schemas.microsoft.com/office/word/2010/wordprocessingShape">
                          <wps:wsp>
                            <wps:cNvSpPr txBox="1"/>
                            <wps:spPr>
                              <a:xfrm>
                                <a:off x="0" y="0"/>
                                <a:ext cx="1667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28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1781810" cy="175260"/>
                      <wp:effectExtent l="0" t="0" r="0" b="0"/>
                      <wp:wrapNone/>
                      <wp:docPr id="2" name="Frame2"/>
                      <a:graphic xmlns:a="http://schemas.openxmlformats.org/drawingml/2006/main">
                        <a:graphicData uri="http://schemas.microsoft.com/office/word/2010/wordprocessingShape">
                          <wps:wsp>
                            <wps:cNvSpPr txBox="1"/>
                            <wps:spPr>
                              <a:xfrm>
                                <a:off x="0" y="0"/>
                                <a:ext cx="1781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Class</w:t>
            </w:r>
          </w:p>
        </w:tc>
        <w:tc>
          <w:tcPr>
            <w:tcW w:w="346" w:type="dxa"/>
            <w:tcBorders/>
            <w:vAlign w:val="center"/>
          </w:tcPr>
          <w:p>
            <w:pPr>
              <w:pStyle w:val="TableContents"/>
              <w:bidi w:val="0"/>
              <w:spacing w:before="0" w:after="0"/>
              <w:ind w:left="0" w:right="0" w:hanging="0"/>
              <w:jc w:val="center"/>
              <w:rPr/>
            </w:pPr>
            <w:r>
              <w:rPr/>
              <w:t>  ​ ​ ​</w:t>
            </w:r>
          </w:p>
        </w:tc>
        <w:tc>
          <w:tcPr>
            <w:tcW w:w="28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Outstanding as of July 31, 2026</w:t>
            </w:r>
          </w:p>
        </w:tc>
      </w:tr>
      <w:tr>
        <w:trPr/>
        <w:tc>
          <w:tcPr>
            <w:tcW w:w="2626" w:type="dxa"/>
            <w:tcBorders>
              <w:top w:val="single" w:sz="2" w:space="0" w:color="000000"/>
            </w:tcBorders>
            <w:tcMar>
              <w:top w:w="28" w:type="dxa"/>
            </w:tcMar>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Stock, par value $.01</w:t>
            </w:r>
          </w:p>
        </w:tc>
        <w:tc>
          <w:tcPr>
            <w:tcW w:w="346" w:type="dxa"/>
            <w:tcBorders/>
            <w:vAlign w:val="center"/>
          </w:tcPr>
          <w:p>
            <w:pPr>
              <w:pStyle w:val="TableContents"/>
              <w:bidi w:val="0"/>
              <w:spacing w:before="0" w:after="0"/>
              <w:ind w:left="0" w:right="0" w:hanging="0"/>
              <w:jc w:val="center"/>
              <w:rPr/>
            </w:pPr>
            <w:r>
              <w:rPr/>
              <w:t>​</w:t>
            </w:r>
          </w:p>
        </w:tc>
        <w:tc>
          <w:tcPr>
            <w:tcW w:w="280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63,119,288 shares</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pBdr>
          <w:top w:val="single" w:sz="8" w:space="1" w:color="000000"/>
          <w:bottom w:val="single" w:sz="24"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bookmarkStart w:id="23" w:name="_e26dca7d_877e_433f_88ed_c2fa68219feb"/>
      <w:bookmarkEnd w:id="23"/>
      <w:r>
        <w:rPr>
          <w:rFonts w:ascii="Times New Roman;Times;serif" w:hAnsi="Times New Roman;Times;serif"/>
          <w:b/>
          <w:sz w:val="20"/>
        </w:rPr>
        <w:t>RYMAN HOSPITALITY PROPERTIES, INC.</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FORM 10-Q</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For the Quarter Ended June 30, 2026</w:t>
      </w:r>
    </w:p>
    <w:p>
      <w:pPr>
        <w:pStyle w:val="TextBody"/>
        <w:bidi w:val="0"/>
        <w:spacing w:before="0" w:after="200"/>
        <w:ind w:left="0" w:right="0" w:hanging="0"/>
        <w:jc w:val="center"/>
        <w:rPr>
          <w:rFonts w:ascii="Times New Roman;Times;serif" w:hAnsi="Times New Roman;Times;serif"/>
          <w:b/>
          <w:sz w:val="20"/>
        </w:rPr>
      </w:pPr>
      <w:bookmarkStart w:id="24" w:name="TOC"/>
      <w:bookmarkEnd w:id="24"/>
      <w:r>
        <w:rPr>
          <w:rFonts w:ascii="Times New Roman;Times;serif" w:hAnsi="Times New Roman;Times;serif"/>
          <w:b/>
          <w:sz w:val="20"/>
        </w:rPr>
        <w:t>INDEX</w:t>
      </w:r>
    </w:p>
    <w:tbl>
      <w:tblPr>
        <w:tblW w:w="10205" w:type="dxa"/>
        <w:jc w:val="left"/>
        <w:tblInd w:w="0" w:type="dxa"/>
        <w:tblLayout w:type="fixed"/>
        <w:tblCellMar>
          <w:top w:w="0" w:type="dxa"/>
          <w:left w:w="0" w:type="dxa"/>
          <w:bottom w:w="0" w:type="dxa"/>
          <w:right w:w="0" w:type="dxa"/>
        </w:tblCellMar>
      </w:tblPr>
      <w:tblGrid>
        <w:gridCol w:w="9288"/>
        <w:gridCol w:w="346"/>
        <w:gridCol w:w="571"/>
      </w:tblGrid>
      <w:tr>
        <w:trPr/>
        <w:tc>
          <w:tcPr>
            <w:tcW w:w="9288" w:type="dxa"/>
            <w:tcBorders/>
            <w:vAlign w:val="center"/>
          </w:tcPr>
          <w:p>
            <w:pPr>
              <w:pStyle w:val="TableContents"/>
              <w:pBdr/>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Page</w:t>
            </w:r>
          </w:p>
        </w:tc>
      </w:tr>
      <w:tr>
        <w:trPr/>
        <w:tc>
          <w:tcPr>
            <w:tcW w:w="9288" w:type="dxa"/>
            <w:tcBorders/>
            <w:vAlign w:val="center"/>
          </w:tcPr>
          <w:p>
            <w:pPr>
              <w:pStyle w:val="TableContents"/>
              <w:pBdr/>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71"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r>
      <w:tr>
        <w:trPr/>
        <w:tc>
          <w:tcPr>
            <w:tcW w:w="9288" w:type="dxa"/>
            <w:tcBorders/>
            <w:vAlign w:val="center"/>
          </w:tcPr>
          <w:p>
            <w:pPr>
              <w:pStyle w:val="TableContents"/>
              <w:pBdr/>
              <w:bidi w:val="0"/>
              <w:spacing w:before="0" w:after="0"/>
              <w:ind w:left="0" w:right="0" w:hanging="0"/>
              <w:jc w:val="left"/>
              <w:rPr/>
            </w:pPr>
            <w:hyperlink w:anchor="PartIFINANCIALINFORMATION_475750">
              <w:r>
                <w:rPr>
                  <w:rStyle w:val="InternetLink"/>
                  <w:rFonts w:ascii="Times New Roman;Times;serif" w:hAnsi="Times New Roman;Times;serif"/>
                  <w:b w:val="false"/>
                  <w:i w:val="false"/>
                  <w:caps w:val="false"/>
                  <w:smallCaps w:val="false"/>
                  <w:sz w:val="20"/>
                </w:rPr>
                <w:t>Part I - Financial Information</w:t>
              </w:r>
            </w:hyperlink>
          </w:p>
        </w:tc>
        <w:tc>
          <w:tcPr>
            <w:tcW w:w="346"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w:t>
            </w:r>
          </w:p>
        </w:tc>
      </w:tr>
      <w:tr>
        <w:trPr/>
        <w:tc>
          <w:tcPr>
            <w:tcW w:w="9288" w:type="dxa"/>
            <w:tcBorders/>
            <w:vAlign w:val="center"/>
          </w:tcPr>
          <w:p>
            <w:pPr>
              <w:pStyle w:val="TableContents"/>
              <w:pBdr/>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9288" w:type="dxa"/>
            <w:tcBorders/>
            <w:vAlign w:val="center"/>
          </w:tcPr>
          <w:p>
            <w:pPr>
              <w:pStyle w:val="TableContents"/>
              <w:pBdr/>
              <w:bidi w:val="0"/>
              <w:spacing w:before="0" w:after="0"/>
              <w:ind w:left="0" w:right="0" w:hanging="0"/>
              <w:jc w:val="left"/>
              <w:rPr/>
            </w:pPr>
            <w:hyperlink w:anchor="Item1FINANCIALSTATEMENTS_848670">
              <w:r>
                <w:rPr>
                  <w:rStyle w:val="InternetLink"/>
                  <w:rFonts w:ascii="Times New Roman;Times;serif" w:hAnsi="Times New Roman;Times;serif"/>
                  <w:b w:val="false"/>
                  <w:i w:val="false"/>
                  <w:caps w:val="false"/>
                  <w:smallCaps w:val="false"/>
                  <w:sz w:val="20"/>
                </w:rPr>
                <w:t>Item 1. Financial Statements.</w:t>
              </w:r>
            </w:hyperlink>
          </w:p>
        </w:tc>
        <w:tc>
          <w:tcPr>
            <w:tcW w:w="346"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w:t>
            </w:r>
          </w:p>
        </w:tc>
      </w:tr>
      <w:tr>
        <w:trPr/>
        <w:tc>
          <w:tcPr>
            <w:tcW w:w="9288" w:type="dxa"/>
            <w:tcBorders/>
            <w:vAlign w:val="center"/>
          </w:tcPr>
          <w:p>
            <w:pPr>
              <w:pStyle w:val="TableContents"/>
              <w:pBdr/>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9288" w:type="dxa"/>
            <w:tcBorders/>
            <w:vAlign w:val="center"/>
          </w:tcPr>
          <w:p>
            <w:pPr>
              <w:pStyle w:val="TableContents"/>
              <w:bidi w:val="0"/>
              <w:spacing w:before="0" w:after="0"/>
              <w:ind w:left="0" w:right="0" w:hanging="0"/>
              <w:jc w:val="left"/>
              <w:rPr/>
            </w:pPr>
            <w:hyperlink w:anchor="CONDENSEDCONSOLIDATEDBALANCESHEETS_60117">
              <w:r>
                <w:rPr>
                  <w:rStyle w:val="InternetLink"/>
                  <w:rFonts w:ascii="Times New Roman;Times;serif" w:hAnsi="Times New Roman;Times;serif"/>
                  <w:b w:val="false"/>
                  <w:i w:val="false"/>
                  <w:caps w:val="false"/>
                  <w:smallCaps w:val="false"/>
                  <w:sz w:val="20"/>
                </w:rPr>
                <w:t>Condensed Consolidated Balance Sheets (Unaudited) – June 30, 2026 and December 31, 2025</w:t>
              </w:r>
            </w:hyperlink>
          </w:p>
        </w:tc>
        <w:tc>
          <w:tcPr>
            <w:tcW w:w="346"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w:t>
            </w:r>
          </w:p>
        </w:tc>
      </w:tr>
      <w:tr>
        <w:trPr/>
        <w:tc>
          <w:tcPr>
            <w:tcW w:w="9288" w:type="dxa"/>
            <w:tcBorders/>
            <w:vAlign w:val="center"/>
          </w:tcPr>
          <w:p>
            <w:pPr>
              <w:pStyle w:val="TableContents"/>
              <w:pBdr/>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9288" w:type="dxa"/>
            <w:tcBorders/>
            <w:vAlign w:val="center"/>
          </w:tcPr>
          <w:p>
            <w:pPr>
              <w:pStyle w:val="TableContents"/>
              <w:bidi w:val="0"/>
              <w:spacing w:before="0" w:after="0"/>
              <w:ind w:left="0" w:right="0" w:hanging="0"/>
              <w:jc w:val="left"/>
              <w:rPr/>
            </w:pPr>
            <w:hyperlink w:anchor="CONDENSEDCONSOLIDATEDSTATEMENTSOFOPERATI">
              <w:r>
                <w:rPr>
                  <w:rStyle w:val="InternetLink"/>
                  <w:rFonts w:ascii="Times New Roman;Times;serif" w:hAnsi="Times New Roman;Times;serif"/>
                  <w:b w:val="false"/>
                  <w:i w:val="false"/>
                  <w:caps w:val="false"/>
                  <w:smallCaps w:val="false"/>
                  <w:sz w:val="20"/>
                </w:rPr>
                <w:t>Condensed Consolidated Statements of Operations and Comprehensive Income (Unaudited) - For the Three and Six Months Ended June 30, 2026 and 2025</w:t>
              </w:r>
            </w:hyperlink>
          </w:p>
        </w:tc>
        <w:tc>
          <w:tcPr>
            <w:tcW w:w="346"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w:t>
            </w:r>
          </w:p>
        </w:tc>
      </w:tr>
      <w:tr>
        <w:trPr/>
        <w:tc>
          <w:tcPr>
            <w:tcW w:w="9288" w:type="dxa"/>
            <w:tcBorders/>
            <w:vAlign w:val="center"/>
          </w:tcPr>
          <w:p>
            <w:pPr>
              <w:pStyle w:val="TableContents"/>
              <w:pBdr/>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9288" w:type="dxa"/>
            <w:tcBorders/>
            <w:vAlign w:val="center"/>
          </w:tcPr>
          <w:p>
            <w:pPr>
              <w:pStyle w:val="TableContents"/>
              <w:bidi w:val="0"/>
              <w:spacing w:before="0" w:after="0"/>
              <w:ind w:left="0" w:right="0" w:hanging="0"/>
              <w:jc w:val="left"/>
              <w:rPr/>
            </w:pPr>
            <w:hyperlink w:anchor="CONDENSEDCONSOLIDATEDSTATEMENTSOFCASHFLO">
              <w:r>
                <w:rPr>
                  <w:rStyle w:val="InternetLink"/>
                  <w:rFonts w:ascii="Times New Roman;Times;serif" w:hAnsi="Times New Roman;Times;serif"/>
                  <w:b w:val="false"/>
                  <w:i w:val="false"/>
                  <w:caps w:val="false"/>
                  <w:smallCaps w:val="false"/>
                  <w:sz w:val="20"/>
                </w:rPr>
                <w:t>Condensed Consolidated Statements of Cash Flows (Unaudited) - For the Six Months Ended June 30, 2026 and 2025</w:t>
              </w:r>
            </w:hyperlink>
          </w:p>
        </w:tc>
        <w:tc>
          <w:tcPr>
            <w:tcW w:w="346"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w:t>
            </w:r>
          </w:p>
        </w:tc>
      </w:tr>
      <w:tr>
        <w:trPr/>
        <w:tc>
          <w:tcPr>
            <w:tcW w:w="928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9288" w:type="dxa"/>
            <w:tcBorders/>
            <w:vAlign w:val="center"/>
          </w:tcPr>
          <w:p>
            <w:pPr>
              <w:pStyle w:val="TableContents"/>
              <w:bidi w:val="0"/>
              <w:spacing w:before="0" w:after="0"/>
              <w:ind w:left="0" w:right="0" w:hanging="0"/>
              <w:jc w:val="left"/>
              <w:rPr/>
            </w:pPr>
            <w:hyperlink w:anchor="CONSOLIDATEDSTATEMENTSOFSTOCKHOLDERSEQUI">
              <w:r>
                <w:rPr>
                  <w:rStyle w:val="InternetLink"/>
                  <w:rFonts w:ascii="Times New Roman;Times;serif" w:hAnsi="Times New Roman;Times;serif"/>
                  <w:b w:val="false"/>
                  <w:i w:val="false"/>
                  <w:caps w:val="false"/>
                  <w:smallCaps w:val="false"/>
                  <w:sz w:val="20"/>
                </w:rPr>
                <w:t>Condensed Consolidated Statements of Equity and Noncontrolling Interest (Unaudited) - For the Three and Six Months Ended June 30, 2026 and 2025</w:t>
              </w:r>
            </w:hyperlink>
          </w:p>
        </w:tc>
        <w:tc>
          <w:tcPr>
            <w:tcW w:w="346"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w:t>
            </w:r>
          </w:p>
        </w:tc>
      </w:tr>
      <w:tr>
        <w:trPr/>
        <w:tc>
          <w:tcPr>
            <w:tcW w:w="928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9288" w:type="dxa"/>
            <w:tcBorders/>
            <w:vAlign w:val="center"/>
          </w:tcPr>
          <w:p>
            <w:pPr>
              <w:pStyle w:val="TableContents"/>
              <w:pBdr/>
              <w:bidi w:val="0"/>
              <w:spacing w:before="0" w:after="0"/>
              <w:ind w:left="0" w:right="0" w:hanging="0"/>
              <w:jc w:val="left"/>
              <w:rPr/>
            </w:pPr>
            <w:hyperlink w:anchor="NOTESTOCONDENSEDCONSOLIDATEDFINANCIALSTA">
              <w:r>
                <w:rPr>
                  <w:rStyle w:val="InternetLink"/>
                  <w:rFonts w:ascii="Times New Roman;Times;serif" w:hAnsi="Times New Roman;Times;serif"/>
                  <w:b w:val="false"/>
                  <w:i w:val="false"/>
                  <w:caps w:val="false"/>
                  <w:smallCaps w:val="false"/>
                  <w:sz w:val="20"/>
                </w:rPr>
                <w:t>Notes to Condensed Consolidated Financial Statements (Unaudited)</w:t>
              </w:r>
            </w:hyperlink>
          </w:p>
        </w:tc>
        <w:tc>
          <w:tcPr>
            <w:tcW w:w="346"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w:t>
            </w:r>
          </w:p>
        </w:tc>
      </w:tr>
      <w:tr>
        <w:trPr/>
        <w:tc>
          <w:tcPr>
            <w:tcW w:w="9288" w:type="dxa"/>
            <w:tcBorders/>
            <w:vAlign w:val="center"/>
          </w:tcPr>
          <w:p>
            <w:pPr>
              <w:pStyle w:val="TableContents"/>
              <w:pBdr/>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9288" w:type="dxa"/>
            <w:tcBorders/>
            <w:vAlign w:val="center"/>
          </w:tcPr>
          <w:p>
            <w:pPr>
              <w:pStyle w:val="TableContents"/>
              <w:pBdr/>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 Management’s Discussion and Analysis of Financial Condition and Results of Operations.</w:t>
              </w:r>
            </w:hyperlink>
          </w:p>
        </w:tc>
        <w:tc>
          <w:tcPr>
            <w:tcW w:w="346"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19</w:t>
            </w:r>
          </w:p>
        </w:tc>
      </w:tr>
      <w:tr>
        <w:trPr/>
        <w:tc>
          <w:tcPr>
            <w:tcW w:w="9288" w:type="dxa"/>
            <w:tcBorders/>
            <w:vAlign w:val="center"/>
          </w:tcPr>
          <w:p>
            <w:pPr>
              <w:pStyle w:val="TableContents"/>
              <w:pBdr/>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9288" w:type="dxa"/>
            <w:tcBorders/>
            <w:vAlign w:val="center"/>
          </w:tcPr>
          <w:p>
            <w:pPr>
              <w:pStyle w:val="TableContents"/>
              <w:pBdr/>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 Quantitative and Qualitative Disclosures About Market Risk.</w:t>
              </w:r>
            </w:hyperlink>
          </w:p>
        </w:tc>
        <w:tc>
          <w:tcPr>
            <w:tcW w:w="346"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46</w:t>
            </w:r>
          </w:p>
        </w:tc>
      </w:tr>
      <w:tr>
        <w:trPr/>
        <w:tc>
          <w:tcPr>
            <w:tcW w:w="9288" w:type="dxa"/>
            <w:tcBorders/>
            <w:vAlign w:val="center"/>
          </w:tcPr>
          <w:p>
            <w:pPr>
              <w:pStyle w:val="TableContents"/>
              <w:pBdr/>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9288" w:type="dxa"/>
            <w:tcBorders/>
            <w:vAlign w:val="center"/>
          </w:tcPr>
          <w:p>
            <w:pPr>
              <w:pStyle w:val="TableContents"/>
              <w:pBdr/>
              <w:bidi w:val="0"/>
              <w:spacing w:before="0" w:after="0"/>
              <w:ind w:left="0" w:right="0" w:hanging="0"/>
              <w:jc w:val="left"/>
              <w:rPr/>
            </w:pPr>
            <w:hyperlink w:anchor="ITEM4CONTROLSANDPROCEDURES_659141">
              <w:r>
                <w:rPr>
                  <w:rStyle w:val="InternetLink"/>
                  <w:rFonts w:ascii="Times New Roman;Times;serif" w:hAnsi="Times New Roman;Times;serif"/>
                  <w:b w:val="false"/>
                  <w:i w:val="false"/>
                  <w:caps w:val="false"/>
                  <w:smallCaps w:val="false"/>
                  <w:sz w:val="20"/>
                </w:rPr>
                <w:t>Item 4. Controls and Procedures.</w:t>
              </w:r>
            </w:hyperlink>
          </w:p>
        </w:tc>
        <w:tc>
          <w:tcPr>
            <w:tcW w:w="346"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46</w:t>
            </w:r>
          </w:p>
        </w:tc>
      </w:tr>
      <w:tr>
        <w:trPr/>
        <w:tc>
          <w:tcPr>
            <w:tcW w:w="9288" w:type="dxa"/>
            <w:tcBorders/>
            <w:vAlign w:val="center"/>
          </w:tcPr>
          <w:p>
            <w:pPr>
              <w:pStyle w:val="TableContents"/>
              <w:pBdr/>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9288" w:type="dxa"/>
            <w:tcBorders/>
            <w:vAlign w:val="center"/>
          </w:tcPr>
          <w:p>
            <w:pPr>
              <w:pStyle w:val="TableContents"/>
              <w:pBdr/>
              <w:bidi w:val="0"/>
              <w:spacing w:before="0" w:after="0"/>
              <w:ind w:left="0" w:right="0" w:hanging="0"/>
              <w:jc w:val="left"/>
              <w:rPr/>
            </w:pPr>
            <w:hyperlink w:anchor="PARTIIOTHERINFORMATION_190891">
              <w:r>
                <w:rPr>
                  <w:rStyle w:val="InternetLink"/>
                  <w:rFonts w:ascii="Times New Roman;Times;serif" w:hAnsi="Times New Roman;Times;serif"/>
                  <w:b w:val="false"/>
                  <w:i w:val="false"/>
                  <w:caps w:val="false"/>
                  <w:smallCaps w:val="false"/>
                  <w:sz w:val="20"/>
                </w:rPr>
                <w:t>Part II - Other Information</w:t>
              </w:r>
            </w:hyperlink>
          </w:p>
        </w:tc>
        <w:tc>
          <w:tcPr>
            <w:tcW w:w="346"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47</w:t>
            </w:r>
          </w:p>
        </w:tc>
      </w:tr>
      <w:tr>
        <w:trPr/>
        <w:tc>
          <w:tcPr>
            <w:tcW w:w="9288" w:type="dxa"/>
            <w:tcBorders/>
            <w:vAlign w:val="center"/>
          </w:tcPr>
          <w:p>
            <w:pPr>
              <w:pStyle w:val="TableContents"/>
              <w:pBdr/>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9288" w:type="dxa"/>
            <w:tcBorders/>
            <w:vAlign w:val="center"/>
          </w:tcPr>
          <w:p>
            <w:pPr>
              <w:pStyle w:val="TableContents"/>
              <w:pBdr/>
              <w:bidi w:val="0"/>
              <w:spacing w:before="0" w:after="0"/>
              <w:ind w:left="0" w:right="0" w:hanging="0"/>
              <w:jc w:val="left"/>
              <w:rPr/>
            </w:pPr>
            <w:hyperlink w:anchor="ITEM1LEGALPROCEEDINGS_914444">
              <w:r>
                <w:rPr>
                  <w:rStyle w:val="InternetLink"/>
                  <w:rFonts w:ascii="Times New Roman;Times;serif" w:hAnsi="Times New Roman;Times;serif"/>
                  <w:b w:val="false"/>
                  <w:i w:val="false"/>
                  <w:caps w:val="false"/>
                  <w:smallCaps w:val="false"/>
                  <w:sz w:val="20"/>
                </w:rPr>
                <w:t>Item 1. Legal Proceedings.</w:t>
              </w:r>
            </w:hyperlink>
          </w:p>
        </w:tc>
        <w:tc>
          <w:tcPr>
            <w:tcW w:w="346"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47</w:t>
            </w:r>
          </w:p>
        </w:tc>
      </w:tr>
      <w:tr>
        <w:trPr/>
        <w:tc>
          <w:tcPr>
            <w:tcW w:w="9288" w:type="dxa"/>
            <w:tcBorders/>
            <w:vAlign w:val="center"/>
          </w:tcPr>
          <w:p>
            <w:pPr>
              <w:pStyle w:val="TableContents"/>
              <w:pBdr/>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9288" w:type="dxa"/>
            <w:tcBorders/>
            <w:vAlign w:val="center"/>
          </w:tcPr>
          <w:p>
            <w:pPr>
              <w:pStyle w:val="TableContents"/>
              <w:pBdr/>
              <w:bidi w:val="0"/>
              <w:spacing w:before="0" w:after="0"/>
              <w:ind w:left="0" w:right="0" w:hanging="0"/>
              <w:jc w:val="left"/>
              <w:rPr/>
            </w:pPr>
            <w:hyperlink w:anchor="ITEM1ARISKFACTORS_705545">
              <w:r>
                <w:rPr>
                  <w:rStyle w:val="InternetLink"/>
                  <w:rFonts w:ascii="Times New Roman;Times;serif" w:hAnsi="Times New Roman;Times;serif"/>
                  <w:b w:val="false"/>
                  <w:i w:val="false"/>
                  <w:caps w:val="false"/>
                  <w:smallCaps w:val="false"/>
                  <w:sz w:val="20"/>
                </w:rPr>
                <w:t>Item 1A. Risk Factors.</w:t>
              </w:r>
            </w:hyperlink>
          </w:p>
        </w:tc>
        <w:tc>
          <w:tcPr>
            <w:tcW w:w="346"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47</w:t>
            </w:r>
          </w:p>
        </w:tc>
      </w:tr>
      <w:tr>
        <w:trPr/>
        <w:tc>
          <w:tcPr>
            <w:tcW w:w="9288" w:type="dxa"/>
            <w:tcBorders/>
            <w:vAlign w:val="center"/>
          </w:tcPr>
          <w:p>
            <w:pPr>
              <w:pStyle w:val="TableContents"/>
              <w:pBdr/>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9288" w:type="dxa"/>
            <w:tcBorders/>
            <w:vAlign w:val="center"/>
          </w:tcPr>
          <w:p>
            <w:pPr>
              <w:pStyle w:val="TableContents"/>
              <w:pBdr/>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 Unregistered Sales of Equity Securities and Use of Proceeds.</w:t>
              </w:r>
            </w:hyperlink>
          </w:p>
        </w:tc>
        <w:tc>
          <w:tcPr>
            <w:tcW w:w="346"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47</w:t>
            </w:r>
          </w:p>
        </w:tc>
      </w:tr>
      <w:tr>
        <w:trPr/>
        <w:tc>
          <w:tcPr>
            <w:tcW w:w="9288" w:type="dxa"/>
            <w:tcBorders/>
            <w:vAlign w:val="center"/>
          </w:tcPr>
          <w:p>
            <w:pPr>
              <w:pStyle w:val="TableContents"/>
              <w:pBdr/>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9288" w:type="dxa"/>
            <w:tcBorders/>
            <w:vAlign w:val="center"/>
          </w:tcPr>
          <w:p>
            <w:pPr>
              <w:pStyle w:val="TableContents"/>
              <w:pBdr/>
              <w:bidi w:val="0"/>
              <w:spacing w:before="0" w:after="0"/>
              <w:ind w:left="0" w:right="0" w:hanging="0"/>
              <w:jc w:val="left"/>
              <w:rPr/>
            </w:pPr>
            <w:hyperlink w:anchor="_ITEM_3._DEFAULTS">
              <w:r>
                <w:rPr>
                  <w:rStyle w:val="InternetLink"/>
                  <w:rFonts w:ascii="Times New Roman;Times;serif" w:hAnsi="Times New Roman;Times;serif"/>
                  <w:b w:val="false"/>
                  <w:i w:val="false"/>
                  <w:caps w:val="false"/>
                  <w:smallCaps w:val="false"/>
                  <w:sz w:val="20"/>
                </w:rPr>
                <w:t>Item 3. Defaults Upon Senior Securities.</w:t>
              </w:r>
            </w:hyperlink>
          </w:p>
        </w:tc>
        <w:tc>
          <w:tcPr>
            <w:tcW w:w="346"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47</w:t>
            </w:r>
          </w:p>
        </w:tc>
      </w:tr>
      <w:tr>
        <w:trPr/>
        <w:tc>
          <w:tcPr>
            <w:tcW w:w="9288" w:type="dxa"/>
            <w:tcBorders/>
            <w:vAlign w:val="center"/>
          </w:tcPr>
          <w:p>
            <w:pPr>
              <w:pStyle w:val="TableContents"/>
              <w:pBdr/>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9288" w:type="dxa"/>
            <w:tcBorders/>
            <w:vAlign w:val="center"/>
          </w:tcPr>
          <w:p>
            <w:pPr>
              <w:pStyle w:val="TableContents"/>
              <w:pBdr/>
              <w:bidi w:val="0"/>
              <w:spacing w:before="0" w:after="0"/>
              <w:ind w:left="0" w:right="0" w:hanging="0"/>
              <w:jc w:val="left"/>
              <w:rPr/>
            </w:pPr>
            <w:hyperlink w:anchor="ITEM4MINESAFETYDISCLOSURES_772622">
              <w:r>
                <w:rPr>
                  <w:rStyle w:val="InternetLink"/>
                  <w:rFonts w:ascii="Times New Roman;Times;serif" w:hAnsi="Times New Roman;Times;serif"/>
                  <w:b w:val="false"/>
                  <w:i w:val="false"/>
                  <w:caps w:val="false"/>
                  <w:smallCaps w:val="false"/>
                  <w:sz w:val="20"/>
                </w:rPr>
                <w:t>Item 4. Mine Safety Disclosures.</w:t>
              </w:r>
            </w:hyperlink>
          </w:p>
        </w:tc>
        <w:tc>
          <w:tcPr>
            <w:tcW w:w="346"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47</w:t>
            </w:r>
          </w:p>
        </w:tc>
      </w:tr>
      <w:tr>
        <w:trPr/>
        <w:tc>
          <w:tcPr>
            <w:tcW w:w="9288" w:type="dxa"/>
            <w:tcBorders/>
            <w:vAlign w:val="center"/>
          </w:tcPr>
          <w:p>
            <w:pPr>
              <w:pStyle w:val="TableContents"/>
              <w:pBdr/>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9288" w:type="dxa"/>
            <w:tcBorders/>
            <w:vAlign w:val="center"/>
          </w:tcPr>
          <w:p>
            <w:pPr>
              <w:pStyle w:val="TableContents"/>
              <w:pBdr/>
              <w:bidi w:val="0"/>
              <w:spacing w:before="0" w:after="0"/>
              <w:ind w:left="0" w:right="0" w:hanging="0"/>
              <w:jc w:val="left"/>
              <w:rPr/>
            </w:pPr>
            <w:hyperlink w:anchor="ITEM5OTHERINFORMATION_308640">
              <w:r>
                <w:rPr>
                  <w:rStyle w:val="InternetLink"/>
                  <w:rFonts w:ascii="Times New Roman;Times;serif" w:hAnsi="Times New Roman;Times;serif"/>
                  <w:b w:val="false"/>
                  <w:i w:val="false"/>
                  <w:caps w:val="false"/>
                  <w:smallCaps w:val="false"/>
                  <w:sz w:val="20"/>
                </w:rPr>
                <w:t>Item 5. Other Information.</w:t>
              </w:r>
            </w:hyperlink>
          </w:p>
        </w:tc>
        <w:tc>
          <w:tcPr>
            <w:tcW w:w="346"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47</w:t>
            </w:r>
          </w:p>
        </w:tc>
      </w:tr>
      <w:tr>
        <w:trPr/>
        <w:tc>
          <w:tcPr>
            <w:tcW w:w="9288" w:type="dxa"/>
            <w:tcBorders/>
            <w:vAlign w:val="center"/>
          </w:tcPr>
          <w:p>
            <w:pPr>
              <w:pStyle w:val="TableContents"/>
              <w:pBdr/>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9288" w:type="dxa"/>
            <w:tcBorders/>
            <w:vAlign w:val="center"/>
          </w:tcPr>
          <w:p>
            <w:pPr>
              <w:pStyle w:val="TableContents"/>
              <w:pBdr/>
              <w:bidi w:val="0"/>
              <w:spacing w:before="0" w:after="0"/>
              <w:ind w:left="0" w:right="0" w:hanging="0"/>
              <w:jc w:val="left"/>
              <w:rPr/>
            </w:pPr>
            <w:hyperlink w:anchor="ITEM6EXHIBITS_542931">
              <w:r>
                <w:rPr>
                  <w:rStyle w:val="InternetLink"/>
                  <w:rFonts w:ascii="Times New Roman;Times;serif" w:hAnsi="Times New Roman;Times;serif"/>
                  <w:b w:val="false"/>
                  <w:i w:val="false"/>
                  <w:caps w:val="false"/>
                  <w:smallCaps w:val="false"/>
                  <w:sz w:val="20"/>
                </w:rPr>
                <w:t>Item 6. Exhibits.</w:t>
              </w:r>
            </w:hyperlink>
          </w:p>
        </w:tc>
        <w:tc>
          <w:tcPr>
            <w:tcW w:w="346"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48</w:t>
            </w:r>
          </w:p>
        </w:tc>
      </w:tr>
      <w:tr>
        <w:trPr/>
        <w:tc>
          <w:tcPr>
            <w:tcW w:w="9288" w:type="dxa"/>
            <w:tcBorders/>
            <w:vAlign w:val="center"/>
          </w:tcPr>
          <w:p>
            <w:pPr>
              <w:pStyle w:val="TableContents"/>
              <w:pBdr/>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9288" w:type="dxa"/>
            <w:tcBorders/>
            <w:vAlign w:val="center"/>
          </w:tcPr>
          <w:p>
            <w:pPr>
              <w:pStyle w:val="TableContents"/>
              <w:pBdr/>
              <w:bidi w:val="0"/>
              <w:spacing w:before="0" w:after="0"/>
              <w:ind w:left="0" w:right="0" w:hanging="0"/>
              <w:jc w:val="left"/>
              <w:rPr/>
            </w:pPr>
            <w:hyperlink w:anchor="SIGNATURES_468462">
              <w:r>
                <w:rPr>
                  <w:rStyle w:val="InternetLink"/>
                  <w:rFonts w:ascii="Times New Roman;Times;serif" w:hAnsi="Times New Roman;Times;serif"/>
                  <w:b w:val="false"/>
                  <w:i w:val="false"/>
                  <w:caps w:val="false"/>
                  <w:smallCaps w:val="false"/>
                  <w:sz w:val="20"/>
                </w:rPr>
                <w:t>SIGNATURES</w:t>
              </w:r>
            </w:hyperlink>
          </w:p>
        </w:tc>
        <w:tc>
          <w:tcPr>
            <w:tcW w:w="346"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49</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25" w:name="PartIFINANCIALINFORMATION_475750"/>
      <w:bookmarkStart w:id="26" w:name="_f54107d0_0652_4305_bb40_d6360c8fbf19"/>
      <w:bookmarkEnd w:id="25"/>
      <w:bookmarkEnd w:id="26"/>
      <w:r>
        <w:rPr>
          <w:rFonts w:ascii="Times New Roman;Times;serif" w:hAnsi="Times New Roman;Times;serif"/>
          <w:b/>
          <w:sz w:val="20"/>
        </w:rPr>
        <w:t>PART I – FINANCIAL INFORMATION</w:t>
      </w:r>
    </w:p>
    <w:p>
      <w:pPr>
        <w:pStyle w:val="TextBody"/>
        <w:bidi w:val="0"/>
        <w:spacing w:before="0" w:after="200"/>
        <w:ind w:left="0" w:right="0" w:hanging="0"/>
        <w:jc w:val="left"/>
        <w:rPr>
          <w:rFonts w:ascii="Times New Roman;Times;serif" w:hAnsi="Times New Roman;Times;serif"/>
          <w:b/>
          <w:sz w:val="20"/>
        </w:rPr>
      </w:pPr>
      <w:bookmarkStart w:id="27" w:name="Item1FINANCIALSTATEMENTS_848670"/>
      <w:bookmarkEnd w:id="27"/>
      <w:r>
        <w:rPr>
          <w:rFonts w:ascii="Times New Roman;Times;serif" w:hAnsi="Times New Roman;Times;serif"/>
          <w:b/>
          <w:sz w:val="20"/>
        </w:rPr>
        <w:t>ITEM 1. –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RYMAN HOSPITALITY PROPERTIES, INC. AND SUBSIDIARIES</w:t>
      </w:r>
    </w:p>
    <w:p>
      <w:pPr>
        <w:pStyle w:val="TextBody"/>
        <w:bidi w:val="0"/>
        <w:spacing w:before="0" w:after="0"/>
        <w:ind w:left="0" w:right="0" w:hanging="0"/>
        <w:jc w:val="center"/>
        <w:rPr>
          <w:rFonts w:ascii="Times New Roman;Times;serif" w:hAnsi="Times New Roman;Times;serif"/>
          <w:b/>
          <w:sz w:val="20"/>
        </w:rPr>
      </w:pPr>
      <w:bookmarkStart w:id="28" w:name="CONDENSEDCONSOLIDATEDBALANCESHEETS_60117"/>
      <w:bookmarkEnd w:id="28"/>
      <w:r>
        <w:rPr>
          <w:rFonts w:ascii="Times New Roman;Times;serif" w:hAnsi="Times New Roman;Times;serif"/>
          <w:b/>
          <w:sz w:val="20"/>
        </w:rPr>
        <w:t>CONDENSED CONSOLIDATED BALANCE SHEETS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Normal"/>
        <w:bidi w:val="0"/>
        <w:spacing w:before="0" w:after="0"/>
        <w:jc w:val="left"/>
        <w:rPr>
          <w:sz w:val="4"/>
          <w:szCs w:val="4"/>
        </w:rPr>
      </w:pPr>
      <w:r>
        <w:rPr>
          <w:sz w:val="4"/>
          <w:szCs w:val="4"/>
        </w:rPr>
      </w:r>
      <w:bookmarkStart w:id="29" w:name="Tc_mn8jTMTUJEef5YRwe6U49g_34_5"/>
      <w:bookmarkStart w:id="30" w:name="Tc_saQuC_z48Uuc1dh47gqXBw_34_2"/>
      <w:bookmarkStart w:id="31" w:name="Tc_RVKRBaG0JkmnHyYHuYc05g_34_0"/>
      <w:bookmarkStart w:id="32" w:name="Tc_31DCWMYTGke1ykSkCu-2Vg_33_0"/>
      <w:bookmarkStart w:id="33" w:name="Tc_P2R-e2IyGECO0py7epbicQ_32_0"/>
      <w:bookmarkStart w:id="34" w:name="Tc_RB8us7n4IkWI2162suc45A_31_0"/>
      <w:bookmarkStart w:id="35" w:name="Tc__hVvvnlOzUS_EcMmmlbk2w_30_0"/>
      <w:bookmarkStart w:id="36" w:name="Tc_Gbf55gT_rEapmdh63Si6xQ_29_0"/>
      <w:bookmarkStart w:id="37" w:name="Tc_W_YGMyqFrkSIuT12P5O7Ew_28_0"/>
      <w:bookmarkStart w:id="38" w:name="Tc_LVxFGdkhy0yYwWRGDC1WcA_27_0"/>
      <w:bookmarkStart w:id="39" w:name="Tc_EvkLKBj0Ek-6K26OSdQHxg_26_0"/>
      <w:bookmarkStart w:id="40" w:name="_383a212a_307a_45d4_b933_793edbbf247c_3"/>
      <w:bookmarkStart w:id="41" w:name="_383a212a_307a_45d4_b933_793edbbf247c_2"/>
      <w:bookmarkStart w:id="42" w:name="_383a212a_307a_45d4_b933_793edbbf247c"/>
      <w:bookmarkStart w:id="43" w:name="Tc_uya0BzdbX0iCOdpiZ68LUQ_25_0"/>
      <w:bookmarkStart w:id="44" w:name="Tc_y0_jwjUWmE25VET9ftEvwA_24_0"/>
      <w:bookmarkStart w:id="45" w:name="Tc_9LcMhpWT5UOZ3WBczGbU5w_23_0"/>
      <w:bookmarkStart w:id="46" w:name="Tc_hFRzv064i0u4t0tzvOz2nQ_22_0"/>
      <w:bookmarkStart w:id="47" w:name="Tc_z56lB_npCUqwBWsSBJYKvg_21_0"/>
      <w:bookmarkStart w:id="48" w:name="Tc__5u06pgZ9E6eiNXDLh-oGQ_20_0"/>
      <w:bookmarkStart w:id="49" w:name="Tc_XZznR4ARAEC-mAwUK412VQ_19_0"/>
      <w:bookmarkStart w:id="50" w:name="Tc_dp_u7OnSF0651EeT7Br-2g_18_0"/>
      <w:bookmarkStart w:id="51" w:name="Tc_4H7eUw5n40uGmzN18o5yCQ_17_0"/>
      <w:bookmarkStart w:id="52" w:name="Tc_AFG-lzdj-ECQ9O-SZb99Pw_16_0"/>
      <w:bookmarkStart w:id="53" w:name="Tc_AuiLKj8GfkK-HrELi5PeVA_15_5"/>
      <w:bookmarkStart w:id="54" w:name="Tc_O_Eeq8jwIEePyHxPymEvRw_15_2"/>
      <w:bookmarkStart w:id="55" w:name="Tc_FawNQXYrh0Ke_XBEpfCh2A_15_0"/>
      <w:bookmarkStart w:id="56" w:name="Tc_GPLOk8ZdzEmryT1B9cUrWw_14_0"/>
      <w:bookmarkStart w:id="57" w:name="Tc_MZrBUwtBJEeDuNHU7cpN8A_12_5"/>
      <w:bookmarkStart w:id="58" w:name="Tc_istjYagvRUytMOSkKqJGaQ_12_2"/>
      <w:bookmarkStart w:id="59" w:name="Tc_9tL5DHneI0q_jn7pkI82hw_12_0"/>
      <w:bookmarkStart w:id="60" w:name="Tc_gTY7-75xuUy1qIOGS20HKQ_11_0"/>
      <w:bookmarkStart w:id="61" w:name="Tc_D9_t2c8XNkCDemCnAS1fSg_10_0"/>
      <w:bookmarkStart w:id="62" w:name="Tc_JO8qVm86I0mNdElIErCzHg_9_0"/>
      <w:bookmarkStart w:id="63" w:name="Tc_T36ucTRiWUKjz_xDk85sCQ_8_0"/>
      <w:bookmarkStart w:id="64" w:name="Tc_92ev8yXJFkquCifAViZSkw_7_0"/>
      <w:bookmarkStart w:id="65" w:name="Tc_r14tBCZLc0O0l55yRt5kfA_6_0"/>
      <w:bookmarkStart w:id="66" w:name="Tc_qcz3uPbE5kubrqJOIkj9Eg_5_0"/>
      <w:bookmarkStart w:id="67" w:name="Tc_d_o_8Icdjk-5Jv0_-6Mwww_4_5"/>
      <w:bookmarkStart w:id="68" w:name="Tc_SUW2vClOO0Cc6mBEfAO-WQ_4_2"/>
      <w:bookmarkStart w:id="69" w:name="Tc_5OzlWbUnO0SKQ4IrGEmosg_4_0"/>
      <w:bookmarkStart w:id="70" w:name="Tc_zdXoSEo97kyiv-f1s5xyGA_3_0"/>
      <w:bookmarkStart w:id="71" w:name="Tc_7lPuVxdFlk-FJ9Vf8KDY1w_2_5"/>
      <w:bookmarkStart w:id="72" w:name="Tc_MX1liCqU9EGQ06bpUvNHEg_2_2"/>
      <w:bookmarkStart w:id="73" w:name="Tc_1vIvkBCcDEmq1v8cJP6XdA_1_5"/>
      <w:bookmarkStart w:id="74" w:name="Tc_ATO7m7ziC0KZiV-TD8Y01w_1_2"/>
      <w:bookmarkStart w:id="75" w:name="_110e886e_7efe_4884_a8b6_b1f05f238e1e"/>
      <w:bookmarkStart w:id="76" w:name="Tc_mn8jTMTUJEef5YRwe6U49g_34_5"/>
      <w:bookmarkStart w:id="77" w:name="Tc_saQuC_z48Uuc1dh47gqXBw_34_2"/>
      <w:bookmarkStart w:id="78" w:name="Tc_RVKRBaG0JkmnHyYHuYc05g_34_0"/>
      <w:bookmarkStart w:id="79" w:name="Tc_31DCWMYTGke1ykSkCu-2Vg_33_0"/>
      <w:bookmarkStart w:id="80" w:name="Tc_P2R-e2IyGECO0py7epbicQ_32_0"/>
      <w:bookmarkStart w:id="81" w:name="Tc_RB8us7n4IkWI2162suc45A_31_0"/>
      <w:bookmarkStart w:id="82" w:name="Tc__hVvvnlOzUS_EcMmmlbk2w_30_0"/>
      <w:bookmarkStart w:id="83" w:name="Tc_Gbf55gT_rEapmdh63Si6xQ_29_0"/>
      <w:bookmarkStart w:id="84" w:name="Tc_W_YGMyqFrkSIuT12P5O7Ew_28_0"/>
      <w:bookmarkStart w:id="85" w:name="Tc_LVxFGdkhy0yYwWRGDC1WcA_27_0"/>
      <w:bookmarkStart w:id="86" w:name="Tc_EvkLKBj0Ek-6K26OSdQHxg_26_0"/>
      <w:bookmarkStart w:id="87" w:name="_383a212a_307a_45d4_b933_793edbbf247c_3"/>
      <w:bookmarkStart w:id="88" w:name="_383a212a_307a_45d4_b933_793edbbf247c_2"/>
      <w:bookmarkStart w:id="89" w:name="_383a212a_307a_45d4_b933_793edbbf247c"/>
      <w:bookmarkStart w:id="90" w:name="Tc_uya0BzdbX0iCOdpiZ68LUQ_25_0"/>
      <w:bookmarkStart w:id="91" w:name="Tc_y0_jwjUWmE25VET9ftEvwA_24_0"/>
      <w:bookmarkStart w:id="92" w:name="Tc_9LcMhpWT5UOZ3WBczGbU5w_23_0"/>
      <w:bookmarkStart w:id="93" w:name="Tc_hFRzv064i0u4t0tzvOz2nQ_22_0"/>
      <w:bookmarkStart w:id="94" w:name="Tc_z56lB_npCUqwBWsSBJYKvg_21_0"/>
      <w:bookmarkStart w:id="95" w:name="Tc__5u06pgZ9E6eiNXDLh-oGQ_20_0"/>
      <w:bookmarkStart w:id="96" w:name="Tc_XZznR4ARAEC-mAwUK412VQ_19_0"/>
      <w:bookmarkStart w:id="97" w:name="Tc_dp_u7OnSF0651EeT7Br-2g_18_0"/>
      <w:bookmarkStart w:id="98" w:name="Tc_4H7eUw5n40uGmzN18o5yCQ_17_0"/>
      <w:bookmarkStart w:id="99" w:name="Tc_AFG-lzdj-ECQ9O-SZb99Pw_16_0"/>
      <w:bookmarkStart w:id="100" w:name="Tc_AuiLKj8GfkK-HrELi5PeVA_15_5"/>
      <w:bookmarkStart w:id="101" w:name="Tc_O_Eeq8jwIEePyHxPymEvRw_15_2"/>
      <w:bookmarkStart w:id="102" w:name="Tc_FawNQXYrh0Ke_XBEpfCh2A_15_0"/>
      <w:bookmarkStart w:id="103" w:name="Tc_GPLOk8ZdzEmryT1B9cUrWw_14_0"/>
      <w:bookmarkStart w:id="104" w:name="Tc_MZrBUwtBJEeDuNHU7cpN8A_12_5"/>
      <w:bookmarkStart w:id="105" w:name="Tc_istjYagvRUytMOSkKqJGaQ_12_2"/>
      <w:bookmarkStart w:id="106" w:name="Tc_9tL5DHneI0q_jn7pkI82hw_12_0"/>
      <w:bookmarkStart w:id="107" w:name="Tc_gTY7-75xuUy1qIOGS20HKQ_11_0"/>
      <w:bookmarkStart w:id="108" w:name="Tc_D9_t2c8XNkCDemCnAS1fSg_10_0"/>
      <w:bookmarkStart w:id="109" w:name="Tc_JO8qVm86I0mNdElIErCzHg_9_0"/>
      <w:bookmarkStart w:id="110" w:name="Tc_T36ucTRiWUKjz_xDk85sCQ_8_0"/>
      <w:bookmarkStart w:id="111" w:name="Tc_92ev8yXJFkquCifAViZSkw_7_0"/>
      <w:bookmarkStart w:id="112" w:name="Tc_r14tBCZLc0O0l55yRt5kfA_6_0"/>
      <w:bookmarkStart w:id="113" w:name="Tc_qcz3uPbE5kubrqJOIkj9Eg_5_0"/>
      <w:bookmarkStart w:id="114" w:name="Tc_d_o_8Icdjk-5Jv0_-6Mwww_4_5"/>
      <w:bookmarkStart w:id="115" w:name="Tc_SUW2vClOO0Cc6mBEfAO-WQ_4_2"/>
      <w:bookmarkStart w:id="116" w:name="Tc_5OzlWbUnO0SKQ4IrGEmosg_4_0"/>
      <w:bookmarkStart w:id="117" w:name="Tc_zdXoSEo97kyiv-f1s5xyGA_3_0"/>
      <w:bookmarkStart w:id="118" w:name="Tc_7lPuVxdFlk-FJ9Vf8KDY1w_2_5"/>
      <w:bookmarkStart w:id="119" w:name="Tc_MX1liCqU9EGQ06bpUvNHEg_2_2"/>
      <w:bookmarkStart w:id="120" w:name="Tc_1vIvkBCcDEmq1v8cJP6XdA_1_5"/>
      <w:bookmarkStart w:id="121" w:name="Tc_ATO7m7ziC0KZiV-TD8Y01w_1_2"/>
      <w:bookmarkStart w:id="122" w:name="_110e886e_7efe_4884_a8b6_b1f05f238e1e"/>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p>
    <w:tbl>
      <w:tblPr>
        <w:tblW w:w="10205" w:type="dxa"/>
        <w:jc w:val="left"/>
        <w:tblInd w:w="0" w:type="dxa"/>
        <w:tblLayout w:type="fixed"/>
        <w:tblCellMar>
          <w:top w:w="0" w:type="dxa"/>
          <w:left w:w="0" w:type="dxa"/>
          <w:bottom w:w="0" w:type="dxa"/>
          <w:right w:w="0" w:type="dxa"/>
        </w:tblCellMar>
      </w:tblPr>
      <w:tblGrid>
        <w:gridCol w:w="7124"/>
        <w:gridCol w:w="346"/>
        <w:gridCol w:w="211"/>
        <w:gridCol w:w="931"/>
        <w:gridCol w:w="346"/>
        <w:gridCol w:w="211"/>
        <w:gridCol w:w="1036"/>
      </w:tblGrid>
      <w:tr>
        <w:trPr/>
        <w:tc>
          <w:tcPr>
            <w:tcW w:w="7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4523740" cy="175260"/>
                      <wp:effectExtent l="0" t="0" r="0" b="0"/>
                      <wp:wrapNone/>
                      <wp:docPr id="3" name="Frame3"/>
                      <a:graphic xmlns:a="http://schemas.openxmlformats.org/drawingml/2006/main">
                        <a:graphicData uri="http://schemas.microsoft.com/office/word/2010/wordprocessingShape">
                          <wps:wsp>
                            <wps:cNvSpPr txBox="1"/>
                            <wps:spPr>
                              <a:xfrm>
                                <a:off x="0" y="0"/>
                                <a:ext cx="45237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19710" cy="175260"/>
                      <wp:effectExtent l="0" t="0" r="0" b="0"/>
                      <wp:wrapNone/>
                      <wp:docPr id="4" name="Frame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133985" cy="175260"/>
                      <wp:effectExtent l="0" t="0" r="0" b="0"/>
                      <wp:wrapNone/>
                      <wp:docPr id="5" name="Frame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591185" cy="175260"/>
                      <wp:effectExtent l="0" t="0" r="0" b="0"/>
                      <wp:wrapNone/>
                      <wp:docPr id="6" name="Frame6"/>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219710" cy="175260"/>
                      <wp:effectExtent l="0" t="0" r="0" b="0"/>
                      <wp:wrapNone/>
                      <wp:docPr id="7" name="Frame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133985" cy="175260"/>
                      <wp:effectExtent l="0" t="0" r="0" b="0"/>
                      <wp:wrapNone/>
                      <wp:docPr id="8" name="Frame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57860" cy="175260"/>
                      <wp:effectExtent l="0" t="0" r="0" b="0"/>
                      <wp:wrapNone/>
                      <wp:docPr id="9" name="Frame9"/>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12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1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1"/>
              <w:ind w:left="0" w:right="0" w:hanging="0"/>
              <w:jc w:val="left"/>
              <w:rPr/>
            </w:pPr>
            <w:r>
              <w:rPr/>
              <w:t>  ​ ​ ​</w:t>
            </w:r>
          </w:p>
        </w:tc>
        <w:tc>
          <w:tcPr>
            <w:tcW w:w="124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712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7124"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ASSETS:</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  ​</w:t>
            </w:r>
          </w:p>
        </w:tc>
      </w:tr>
      <w:tr>
        <w:trPr/>
        <w:tc>
          <w:tcPr>
            <w:tcW w:w="7124"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Property and equipment, net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5,078,259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4,970,429</w:t>
            </w:r>
          </w:p>
        </w:tc>
      </w:tr>
      <w:tr>
        <w:trPr/>
        <w:tc>
          <w:tcPr>
            <w:tcW w:w="7124"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Cash and cash equivalents - unrestricted</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366,125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471,421</w:t>
            </w:r>
          </w:p>
        </w:tc>
      </w:tr>
      <w:tr>
        <w:trPr/>
        <w:tc>
          <w:tcPr>
            <w:tcW w:w="7124"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Cash and cash equivalents - restricted</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31,695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28,759</w:t>
            </w:r>
          </w:p>
        </w:tc>
      </w:tr>
      <w:tr>
        <w:trPr/>
        <w:tc>
          <w:tcPr>
            <w:tcW w:w="7124"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Notes receivable, net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53,634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53,503</w:t>
            </w:r>
          </w:p>
        </w:tc>
      </w:tr>
      <w:tr>
        <w:trPr/>
        <w:tc>
          <w:tcPr>
            <w:tcW w:w="7124"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Trade receivables, net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122,120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105,903</w:t>
            </w:r>
          </w:p>
        </w:tc>
      </w:tr>
      <w:tr>
        <w:trPr/>
        <w:tc>
          <w:tcPr>
            <w:tcW w:w="7124"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Deferred income tax assets, net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51,150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67,669</w:t>
            </w:r>
          </w:p>
        </w:tc>
      </w:tr>
      <w:tr>
        <w:trPr/>
        <w:tc>
          <w:tcPr>
            <w:tcW w:w="7124"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Prepaid expenses and other assets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211,266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196,798</w:t>
            </w:r>
          </w:p>
        </w:tc>
      </w:tr>
      <w:tr>
        <w:trPr/>
        <w:tc>
          <w:tcPr>
            <w:tcW w:w="7124"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Intangible assets and goodwill, net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277,587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286,701</w:t>
            </w:r>
          </w:p>
        </w:tc>
      </w:tr>
      <w:tr>
        <w:trPr/>
        <w:tc>
          <w:tcPr>
            <w:tcW w:w="7124"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Total assets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6,191,836</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6,181,183</w:t>
            </w:r>
          </w:p>
        </w:tc>
      </w:tr>
      <w:tr>
        <w:trPr/>
        <w:tc>
          <w:tcPr>
            <w:tcW w:w="7124"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left"/>
              <w:rPr/>
            </w:pPr>
            <w:r>
              <w:rPr/>
              <w:t>​</w:t>
            </w:r>
          </w:p>
        </w:tc>
      </w:tr>
      <w:tr>
        <w:trPr/>
        <w:tc>
          <w:tcPr>
            <w:tcW w:w="7124" w:type="dxa"/>
            <w:tcBorders/>
            <w:vAlign w:val="center"/>
          </w:tcPr>
          <w:p>
            <w:pPr>
              <w:pStyle w:val="TableContents"/>
              <w:bidi w:val="0"/>
              <w:spacing w:before="0" w:after="1"/>
              <w:ind w:left="0" w:right="0" w:hanging="0"/>
              <w:jc w:val="both"/>
              <w:rPr>
                <w:rFonts w:ascii="Times New Roman;Times;serif" w:hAnsi="Times New Roman;Times;serif"/>
                <w:sz w:val="19"/>
              </w:rPr>
            </w:pPr>
            <w:r>
              <w:rPr>
                <w:rFonts w:ascii="Times New Roman;Times;serif" w:hAnsi="Times New Roman;Times;serif"/>
                <w:sz w:val="19"/>
              </w:rPr>
              <w:t>LIABILITIES AND EQUITY:</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pPr>
            <w:r>
              <w:rPr/>
              <w:t>  ​</w:t>
            </w:r>
          </w:p>
        </w:tc>
      </w:tr>
      <w:tr>
        <w:trPr/>
        <w:tc>
          <w:tcPr>
            <w:tcW w:w="7124"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Debt and finance lease obligations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3,969,453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3,976,913</w:t>
            </w:r>
          </w:p>
        </w:tc>
      </w:tr>
      <w:tr>
        <w:trPr/>
        <w:tc>
          <w:tcPr>
            <w:tcW w:w="7124"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Accounts payable and accrued liabilities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505,529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517,708</w:t>
            </w:r>
          </w:p>
        </w:tc>
      </w:tr>
      <w:tr>
        <w:trPr/>
        <w:tc>
          <w:tcPr>
            <w:tcW w:w="7124"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Distributions payable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78,229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78,819</w:t>
            </w:r>
          </w:p>
        </w:tc>
      </w:tr>
      <w:tr>
        <w:trPr/>
        <w:tc>
          <w:tcPr>
            <w:tcW w:w="7124"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Deferred management rights proceeds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162,541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162,901</w:t>
            </w:r>
          </w:p>
        </w:tc>
      </w:tr>
      <w:tr>
        <w:trPr/>
        <w:tc>
          <w:tcPr>
            <w:tcW w:w="7124"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Operating lease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163,143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158,815</w:t>
            </w:r>
          </w:p>
        </w:tc>
      </w:tr>
      <w:tr>
        <w:trPr/>
        <w:tc>
          <w:tcPr>
            <w:tcW w:w="7124"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Other liabilities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77,745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74,251</w:t>
            </w:r>
          </w:p>
        </w:tc>
      </w:tr>
      <w:tr>
        <w:trPr/>
        <w:tc>
          <w:tcPr>
            <w:tcW w:w="7124"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Total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4,956,640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4,969,407</w:t>
            </w:r>
          </w:p>
        </w:tc>
      </w:tr>
      <w:tr>
        <w:trPr/>
        <w:tc>
          <w:tcPr>
            <w:tcW w:w="7124"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Commitments and contingencies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pPr>
            <w:r>
              <w:rPr/>
              <w:t>​</w:t>
            </w:r>
          </w:p>
        </w:tc>
      </w:tr>
      <w:tr>
        <w:trPr/>
        <w:tc>
          <w:tcPr>
            <w:tcW w:w="7124"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Noncontrolling interest in Opry Entertainment Group</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444,096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422,691</w:t>
            </w:r>
          </w:p>
        </w:tc>
      </w:tr>
      <w:tr>
        <w:trPr/>
        <w:tc>
          <w:tcPr>
            <w:tcW w:w="7124"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Equity:</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w:t>
            </w:r>
          </w:p>
        </w:tc>
      </w:tr>
      <w:tr>
        <w:trPr/>
        <w:tc>
          <w:tcPr>
            <w:tcW w:w="712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9"/>
              </w:rPr>
              <w:t>Preferred stock, $.01</w:t>
            </w:r>
            <w:r>
              <w:rPr>
                <w:rFonts w:ascii="Times New Roman;Times;serif" w:hAnsi="Times New Roman;Times;serif"/>
                <w:sz w:val="18"/>
              </w:rPr>
              <w:t xml:space="preserve"> </w:t>
            </w:r>
            <w:r>
              <w:rPr>
                <w:rFonts w:ascii="Times New Roman;Times;serif" w:hAnsi="Times New Roman;Times;serif"/>
                <w:sz w:val="19"/>
              </w:rPr>
              <w:t>par value, 100,000</w:t>
            </w:r>
            <w:r>
              <w:rPr>
                <w:rFonts w:ascii="Times New Roman;Times;serif" w:hAnsi="Times New Roman;Times;serif"/>
                <w:sz w:val="18"/>
              </w:rPr>
              <w:t xml:space="preserve"> </w:t>
            </w:r>
            <w:r>
              <w:rPr>
                <w:rFonts w:ascii="Times New Roman;Times;serif" w:hAnsi="Times New Roman;Times;serif"/>
                <w:sz w:val="19"/>
              </w:rPr>
              <w:t>shares authorized, no</w:t>
            </w:r>
            <w:r>
              <w:rPr>
                <w:rFonts w:ascii="Times New Roman;Times;serif" w:hAnsi="Times New Roman;Times;serif"/>
                <w:sz w:val="18"/>
              </w:rPr>
              <w:t xml:space="preserve"> </w:t>
            </w:r>
            <w:r>
              <w:rPr>
                <w:rFonts w:ascii="Times New Roman;Times;serif" w:hAnsi="Times New Roman;Times;serif"/>
                <w:sz w:val="19"/>
              </w:rPr>
              <w:t>shares issued or outstanding</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caps w:val="false"/>
                <w:smallCaps w:val="false"/>
              </w:rPr>
            </w:pPr>
            <w:r>
              <w:rPr>
                <w:caps w:val="false"/>
                <w:smallCaps w:val="false"/>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caps w:val="false"/>
                <w:smallCaps w:val="false"/>
              </w:rPr>
            </w:pPr>
            <w:r>
              <w:rPr>
                <w:caps w:val="false"/>
                <w:smallCaps w:val="false"/>
              </w:rPr>
              <w:t>—</w:t>
            </w:r>
          </w:p>
        </w:tc>
      </w:tr>
      <w:tr>
        <w:trPr/>
        <w:tc>
          <w:tcPr>
            <w:tcW w:w="712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19"/>
              </w:rPr>
              <w:t>Common stock, $.01</w:t>
            </w:r>
            <w:r>
              <w:rPr>
                <w:rFonts w:ascii="Times New Roman;Times;serif" w:hAnsi="Times New Roman;Times;serif"/>
                <w:sz w:val="20"/>
              </w:rPr>
              <w:t xml:space="preserve"> </w:t>
            </w:r>
            <w:r>
              <w:rPr>
                <w:rFonts w:ascii="Times New Roman;Times;serif" w:hAnsi="Times New Roman;Times;serif"/>
                <w:sz w:val="19"/>
              </w:rPr>
              <w:t>par value, 400,000</w:t>
            </w:r>
            <w:r>
              <w:rPr>
                <w:rFonts w:ascii="Times New Roman;Times;serif" w:hAnsi="Times New Roman;Times;serif"/>
                <w:sz w:val="20"/>
              </w:rPr>
              <w:t xml:space="preserve"> </w:t>
            </w:r>
            <w:r>
              <w:rPr>
                <w:rFonts w:ascii="Times New Roman;Times;serif" w:hAnsi="Times New Roman;Times;serif"/>
                <w:sz w:val="19"/>
              </w:rPr>
              <w:t>shares authorized, 63,118</w:t>
            </w:r>
            <w:r>
              <w:rPr>
                <w:rFonts w:ascii="Times New Roman;Times;serif" w:hAnsi="Times New Roman;Times;serif"/>
                <w:sz w:val="20"/>
              </w:rPr>
              <w:t xml:space="preserve"> </w:t>
            </w:r>
            <w:r>
              <w:rPr>
                <w:rFonts w:ascii="Times New Roman;Times;serif" w:hAnsi="Times New Roman;Times;serif"/>
                <w:sz w:val="19"/>
              </w:rPr>
              <w:t>and 63,006</w:t>
            </w:r>
            <w:r>
              <w:rPr>
                <w:rFonts w:ascii="Times New Roman;Times;serif" w:hAnsi="Times New Roman;Times;serif"/>
                <w:sz w:val="20"/>
              </w:rPr>
              <w:t xml:space="preserve"> </w:t>
            </w:r>
            <w:r>
              <w:rPr>
                <w:rFonts w:ascii="Times New Roman;Times;serif" w:hAnsi="Times New Roman;Times;serif"/>
                <w:sz w:val="19"/>
              </w:rPr>
              <w:t xml:space="preserve">shares </w:t>
            </w:r>
            <w:r>
              <w:rPr>
                <w:rFonts w:ascii="Times New Roman;Times;serif" w:hAnsi="Times New Roman;Times;serif"/>
                <w:b w:val="false"/>
                <w:i w:val="false"/>
                <w:caps w:val="false"/>
                <w:smallCaps w:val="false"/>
                <w:sz w:val="19"/>
              </w:rPr>
              <w:t>issued</w:t>
            </w:r>
            <w:r>
              <w:rPr>
                <w:rFonts w:ascii="Times New Roman;Times;serif" w:hAnsi="Times New Roman;Times;serif"/>
                <w:sz w:val="20"/>
              </w:rPr>
              <w:t xml:space="preserve"> </w:t>
            </w:r>
            <w:r>
              <w:rPr>
                <w:rFonts w:ascii="Times New Roman;Times;serif" w:hAnsi="Times New Roman;Times;serif"/>
                <w:sz w:val="19"/>
              </w:rPr>
              <w:t xml:space="preserve">and </w:t>
            </w:r>
            <w:r>
              <w:rPr>
                <w:rFonts w:ascii="Times New Roman;Times;serif" w:hAnsi="Times New Roman;Times;serif"/>
                <w:b w:val="false"/>
                <w:i w:val="false"/>
                <w:caps w:val="false"/>
                <w:smallCaps w:val="false"/>
                <w:sz w:val="19"/>
              </w:rPr>
              <w:t>outstanding</w:t>
            </w:r>
            <w:r>
              <w:rPr>
                <w:rFonts w:ascii="Times New Roman;Times;serif" w:hAnsi="Times New Roman;Times;serif"/>
                <w:sz w:val="19"/>
              </w:rPr>
              <w:t>, respectively</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631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630</w:t>
            </w:r>
          </w:p>
        </w:tc>
      </w:tr>
      <w:tr>
        <w:trPr/>
        <w:tc>
          <w:tcPr>
            <w:tcW w:w="7124"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Additional paid-in capital</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1,706,935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1,722,332</w:t>
            </w:r>
          </w:p>
        </w:tc>
      </w:tr>
      <w:tr>
        <w:trPr/>
        <w:tc>
          <w:tcPr>
            <w:tcW w:w="712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9"/>
              </w:rPr>
              <w:t>Treasury stock of 738</w:t>
            </w:r>
            <w:r>
              <w:rPr>
                <w:rFonts w:ascii="Times New Roman;Times;serif" w:hAnsi="Times New Roman;Times;serif"/>
                <w:sz w:val="18"/>
              </w:rPr>
              <w:t xml:space="preserve"> </w:t>
            </w:r>
            <w:r>
              <w:rPr>
                <w:rFonts w:ascii="Times New Roman;Times;serif" w:hAnsi="Times New Roman;Times;serif"/>
                <w:sz w:val="19"/>
              </w:rPr>
              <w:t>and 730</w:t>
            </w:r>
            <w:r>
              <w:rPr>
                <w:rFonts w:ascii="Times New Roman;Times;serif" w:hAnsi="Times New Roman;Times;serif"/>
                <w:sz w:val="18"/>
              </w:rPr>
              <w:t xml:space="preserve"> </w:t>
            </w:r>
            <w:r>
              <w:rPr>
                <w:rFonts w:ascii="Times New Roman;Times;serif" w:hAnsi="Times New Roman;Times;serif"/>
                <w:sz w:val="19"/>
              </w:rPr>
              <w:t>shares, at cost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(27,573)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(26,788)</w:t>
            </w:r>
          </w:p>
        </w:tc>
      </w:tr>
      <w:tr>
        <w:trPr/>
        <w:tc>
          <w:tcPr>
            <w:tcW w:w="7124"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Distributions in excess of retained earnings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(921,814)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(933,250)</w:t>
            </w:r>
          </w:p>
        </w:tc>
      </w:tr>
      <w:tr>
        <w:trPr/>
        <w:tc>
          <w:tcPr>
            <w:tcW w:w="7124"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Accumulated other comprehensive loss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(9,858)</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(12,772)</w:t>
            </w:r>
          </w:p>
        </w:tc>
      </w:tr>
      <w:tr>
        <w:trPr/>
        <w:tc>
          <w:tcPr>
            <w:tcW w:w="7124"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Total stockholders' equity</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748,321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750,152</w:t>
            </w:r>
          </w:p>
        </w:tc>
      </w:tr>
      <w:tr>
        <w:trPr/>
        <w:tc>
          <w:tcPr>
            <w:tcW w:w="7124"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Noncontrolling interests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42,779</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38,933</w:t>
            </w:r>
          </w:p>
        </w:tc>
      </w:tr>
      <w:tr>
        <w:trPr/>
        <w:tc>
          <w:tcPr>
            <w:tcW w:w="7124"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Total equity</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791,100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789,085</w:t>
            </w:r>
          </w:p>
        </w:tc>
      </w:tr>
      <w:tr>
        <w:trPr/>
        <w:tc>
          <w:tcPr>
            <w:tcW w:w="7124"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Total liabilities and equity</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6,191,836</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103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19"/>
              </w:rPr>
            </w:pPr>
            <w:r>
              <w:rPr>
                <w:rFonts w:ascii="Times New Roman;Times;serif" w:hAnsi="Times New Roman;Times;serif"/>
                <w:sz w:val="19"/>
              </w:rPr>
              <w:t>6,181,183</w:t>
            </w:r>
          </w:p>
        </w:tc>
      </w:tr>
    </w:tbl>
    <w:p>
      <w:pPr>
        <w:pStyle w:val="TextBody"/>
        <w:bidi w:val="0"/>
        <w:spacing w:before="0" w:after="240"/>
        <w:ind w:left="0" w:right="0" w:hanging="0"/>
        <w:jc w:val="left"/>
        <w:rPr/>
      </w:pPr>
      <w:r>
        <w:rPr/>
        <w:t>​</w:t>
      </w:r>
    </w:p>
    <w:p>
      <w:pPr>
        <w:pStyle w:val="TextBody"/>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19"/>
        </w:rPr>
      </w:pPr>
      <w:bookmarkStart w:id="123" w:name="_40fcad72_2e31_4103_875a_a247977d521c"/>
      <w:bookmarkEnd w:id="123"/>
      <w:r>
        <w:rPr>
          <w:rFonts w:ascii="Times New Roman;Times;serif" w:hAnsi="Times New Roman;Times;serif"/>
          <w:b/>
          <w:sz w:val="19"/>
        </w:rPr>
        <w:t>RYMAN HOSPITALITY PROPERTIES, INC. AND SUBSIDIARIES</w:t>
      </w:r>
    </w:p>
    <w:p>
      <w:pPr>
        <w:pStyle w:val="TextBody"/>
        <w:bidi w:val="0"/>
        <w:spacing w:before="0" w:after="0"/>
        <w:ind w:left="0" w:right="0" w:hanging="0"/>
        <w:jc w:val="center"/>
        <w:rPr>
          <w:rFonts w:ascii="Times New Roman;Times;serif" w:hAnsi="Times New Roman;Times;serif"/>
          <w:b/>
          <w:sz w:val="19"/>
        </w:rPr>
      </w:pPr>
      <w:bookmarkStart w:id="124" w:name="CONDENSEDCONSOLIDATEDSTATEMENTSOFOPERATI"/>
      <w:bookmarkEnd w:id="124"/>
      <w:r>
        <w:rPr>
          <w:rFonts w:ascii="Times New Roman;Times;serif" w:hAnsi="Times New Roman;Times;serif"/>
          <w:b/>
          <w:sz w:val="19"/>
        </w:rPr>
        <w:t>CONDENSED CONSOLIDATED STATEMENTS OF OPERATIONS</w:t>
      </w:r>
    </w:p>
    <w:p>
      <w:pPr>
        <w:pStyle w:val="TextBody"/>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AND COMPREHENSIVE INCOME</w:t>
      </w:r>
    </w:p>
    <w:p>
      <w:pPr>
        <w:pStyle w:val="TextBody"/>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(Unaudited)</w:t>
      </w:r>
    </w:p>
    <w:p>
      <w:pPr>
        <w:pStyle w:val="TextBody"/>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(In thousands, except per share data)</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125" w:name="Tc_kNIApIKRakCVXeY3feQuQg_43_11"/>
      <w:bookmarkStart w:id="126" w:name="Tc_9Pcbk3SixkC4kdkxNUf8xg_43_8"/>
      <w:bookmarkStart w:id="127" w:name="Tc_hMzwGn3tQkqfis6L7Wm79g_43_5"/>
      <w:bookmarkStart w:id="128" w:name="Tc_QziL7CBn50K5U8k7JuqHCw_43_2"/>
      <w:bookmarkStart w:id="129" w:name="Tc_kN70H84lEkmumX0RL1nySQ_43_0"/>
      <w:bookmarkStart w:id="130" w:name="Tc_NBQhoDGvmEmiU-ulXHBFNQ_42_0"/>
      <w:bookmarkStart w:id="131" w:name="Tc_eBZkLt8R9kS6lcTWZgnkIw_41_0"/>
      <w:bookmarkStart w:id="132" w:name="Tc_0FlkyQyaJU2XRfRBWs-FhQ_40_11"/>
      <w:bookmarkStart w:id="133" w:name="Tc_d55WXLEIoUWpqj5GIV-I6Q_40_8"/>
      <w:bookmarkStart w:id="134" w:name="Tc_y7_1WzbU0UG6wT5vxzJyZg_40_5"/>
      <w:bookmarkStart w:id="135" w:name="Tc_Nv-htKWubUaUiLZGbN5SQw_40_2"/>
      <w:bookmarkStart w:id="136" w:name="Tc_vBO-l1U7ck6PeqLBB1xfXA_40_0"/>
      <w:bookmarkStart w:id="137" w:name="Tc_UUXYvC3c50SJ8ZXVcziVvg_38_11"/>
      <w:bookmarkStart w:id="138" w:name="Tc_5UQjIhbyUU6HsYGP2uc5ew_38_8"/>
      <w:bookmarkStart w:id="139" w:name="Tc_ywac3rTp5Ey4IutPSlMqGw_38_5"/>
      <w:bookmarkStart w:id="140" w:name="Tc_nIh6QZT7202c6wt8w1ZhZQ_38_2"/>
      <w:bookmarkStart w:id="141" w:name="Tc_hiOIs-OrBkWT4Cd244zj4g_38_0"/>
      <w:bookmarkStart w:id="142" w:name="Tc_uEcleJKAlkSfveCf2Yq2cA_37_11"/>
      <w:bookmarkStart w:id="143" w:name="Tc_z52GJX3BSUSGy5kcEFcLiw_37_8"/>
      <w:bookmarkStart w:id="144" w:name="Tc_oQ9WAfBCF06ehfUftR6Uqg_37_5"/>
      <w:bookmarkStart w:id="145" w:name="Tc_7b4dfBpVEEGYf7LuGXumcQ_37_2"/>
      <w:bookmarkStart w:id="146" w:name="Tc_KHvtW6YBVE6C8tJhsHH_Kg_37_0"/>
      <w:bookmarkStart w:id="147" w:name="Tc_VbsSgq_HXU6K7p0Cfkyczg_35_11"/>
      <w:bookmarkStart w:id="148" w:name="Tc_nIEKS1_-_UOapVmokhh0qg_35_8"/>
      <w:bookmarkStart w:id="149" w:name="Tc_sAESDZWUF0WMWhlWw_TQ0g_35_5"/>
      <w:bookmarkStart w:id="150" w:name="Tc_M70dIhsWjUaLi315TGoPzA_35_2"/>
      <w:bookmarkStart w:id="151" w:name="Tc_C2l0gvM6nk-lbOjAdFO9ag_35_0"/>
      <w:bookmarkStart w:id="152" w:name="Tc_sPd0oFavc0Ck4KFkanOqpg_34_0"/>
      <w:bookmarkStart w:id="153" w:name="Tc_-fTVq3AehEysx85ak0ovmw_33_0"/>
      <w:bookmarkStart w:id="154" w:name="Tc_yCVfzi_Wb0CPqY6JNOdtTQ_31_0"/>
      <w:bookmarkStart w:id="155" w:name="Tc_6Ht70MjJ50K9zeGGWrmD-A_30_0"/>
      <w:bookmarkStart w:id="156" w:name="Tc_ACuDUHrCVkiZvQP9L1jjpA_29_0"/>
      <w:bookmarkStart w:id="157" w:name="Tc_2pka7p037UegOtFcaMk65w_28_0"/>
      <w:bookmarkStart w:id="158" w:name="Tc_ZmnDWJxbWEOSMl2p1ggnVw_27_0"/>
      <w:bookmarkStart w:id="159" w:name="Tc_143XgfyXAkKyUPsU81iZVw_26_3"/>
      <w:bookmarkStart w:id="160" w:name="Tc_Qmhv-Q1b70mhSQpOmVsfeQ_26_0"/>
      <w:bookmarkStart w:id="161" w:name="Tc_MK9kmjfzxEiDyWRQ4Wf0QQ_25_0"/>
      <w:bookmarkStart w:id="162" w:name="Tc_pBhMeIyMt0iSts8RhGru6Q_24_0"/>
      <w:bookmarkStart w:id="163" w:name="Tc_M_9DR_QsX0OWflvf5Xigrw_23_0"/>
      <w:bookmarkStart w:id="164" w:name="Tc_cQEQkpCfHUeig43RN4NkjQ_21_0"/>
      <w:bookmarkStart w:id="165" w:name="Tc_2CJYryx-70qsmMqBD_uk_Q_20_0"/>
      <w:bookmarkStart w:id="166" w:name="Tc_Vhhz1NTP1k6xIKwgIERBEA_19_0"/>
      <w:bookmarkStart w:id="167" w:name="Tc_8HefbxUuqkKeZ10nmloeVQ_18_0"/>
      <w:bookmarkStart w:id="168" w:name="Tc_PyNsHG2yBUqdOu8_YyRQOg_17_0"/>
      <w:bookmarkStart w:id="169" w:name="Tc_dawpsGV9skas3QDsbilpsg_16_0"/>
      <w:bookmarkStart w:id="170" w:name="Tc_NhI607ae1068yQSBvVIi6g_15_0"/>
      <w:bookmarkStart w:id="171" w:name="Tc_QauCC8dBCUOqZ968CFCuiw_14_0"/>
      <w:bookmarkStart w:id="172" w:name="Tc_ueEQJoJuok2XveV_mjWmSw_13_0"/>
      <w:bookmarkStart w:id="173" w:name="Tc_y2G4V3-P4Uay76HQkL2hUw_12_0"/>
      <w:bookmarkStart w:id="174" w:name="Tc_8a5HqTPI-E6rPYaTDkzrxQ_11_0"/>
      <w:bookmarkStart w:id="175" w:name="Tc_KX0yyEJkmkSt_CbdOj5prw_9_0"/>
      <w:bookmarkStart w:id="176" w:name="Tc_ujuCmJ6c8kuXtGaBI2qxqw_8_0"/>
      <w:bookmarkStart w:id="177" w:name="Tc_8zVSZP19UU2xPSOwGEV1fw_7_0"/>
      <w:bookmarkStart w:id="178" w:name="Tc_CuRTDrBSK0Swh5qK2kwYnQ_6_0"/>
      <w:bookmarkStart w:id="179" w:name="Tc_ayuGvfgeSU27ZBpQUH31pQ_5_11"/>
      <w:bookmarkStart w:id="180" w:name="Tc_-TiLZFBM6EaEnA02rpPgFw_5_8"/>
      <w:bookmarkStart w:id="181" w:name="Tc_TKal1BdFPEW2RyAFvzX4Pg_5_5"/>
      <w:bookmarkStart w:id="182" w:name="Tc_ERjrdzYuVkyE7BUFsyb-NQ_5_2"/>
      <w:bookmarkStart w:id="183" w:name="Tc_4uuQCHhpeEuc0jGImpGOcw_5_0"/>
      <w:bookmarkStart w:id="184" w:name="Tc_RhAa4BHETEW1POhV1NwDZA_4_0"/>
      <w:bookmarkStart w:id="185" w:name="Tc_7ajZD3hzykygLjPDr8sGDQ_3_11"/>
      <w:bookmarkStart w:id="186" w:name="Tc_IABzVhFAH0iyZ9B9mUXFFQ_3_8"/>
      <w:bookmarkStart w:id="187" w:name="Tc_1EjyuIZi10GN3UN75u0hdA_3_5"/>
      <w:bookmarkStart w:id="188" w:name="Tc_Q8jlojj3d0-Okjv507NwpQ_3_2"/>
      <w:bookmarkStart w:id="189" w:name="Tc_0NSScTneJUeezdmgd5D6KQ_2_8"/>
      <w:bookmarkStart w:id="190" w:name="Tc_xoSaIpu-ckKXCbVJue2MlQ_2_2"/>
      <w:bookmarkStart w:id="191" w:name="Tc_XJykGSlS-0u4lLf1qoJGHg_1_8"/>
      <w:bookmarkStart w:id="192" w:name="Tc_sGetajhqrE2VajB8k0X0fg_1_2"/>
      <w:bookmarkStart w:id="193" w:name="_25eeeed0_836f_4495_a762_553853bea537"/>
      <w:bookmarkStart w:id="194" w:name="Tc_kNIApIKRakCVXeY3feQuQg_43_11"/>
      <w:bookmarkStart w:id="195" w:name="Tc_9Pcbk3SixkC4kdkxNUf8xg_43_8"/>
      <w:bookmarkStart w:id="196" w:name="Tc_hMzwGn3tQkqfis6L7Wm79g_43_5"/>
      <w:bookmarkStart w:id="197" w:name="Tc_QziL7CBn50K5U8k7JuqHCw_43_2"/>
      <w:bookmarkStart w:id="198" w:name="Tc_kN70H84lEkmumX0RL1nySQ_43_0"/>
      <w:bookmarkStart w:id="199" w:name="Tc_NBQhoDGvmEmiU-ulXHBFNQ_42_0"/>
      <w:bookmarkStart w:id="200" w:name="Tc_eBZkLt8R9kS6lcTWZgnkIw_41_0"/>
      <w:bookmarkStart w:id="201" w:name="Tc_0FlkyQyaJU2XRfRBWs-FhQ_40_11"/>
      <w:bookmarkStart w:id="202" w:name="Tc_d55WXLEIoUWpqj5GIV-I6Q_40_8"/>
      <w:bookmarkStart w:id="203" w:name="Tc_y7_1WzbU0UG6wT5vxzJyZg_40_5"/>
      <w:bookmarkStart w:id="204" w:name="Tc_Nv-htKWubUaUiLZGbN5SQw_40_2"/>
      <w:bookmarkStart w:id="205" w:name="Tc_vBO-l1U7ck6PeqLBB1xfXA_40_0"/>
      <w:bookmarkStart w:id="206" w:name="Tc_UUXYvC3c50SJ8ZXVcziVvg_38_11"/>
      <w:bookmarkStart w:id="207" w:name="Tc_5UQjIhbyUU6HsYGP2uc5ew_38_8"/>
      <w:bookmarkStart w:id="208" w:name="Tc_ywac3rTp5Ey4IutPSlMqGw_38_5"/>
      <w:bookmarkStart w:id="209" w:name="Tc_nIh6QZT7202c6wt8w1ZhZQ_38_2"/>
      <w:bookmarkStart w:id="210" w:name="Tc_hiOIs-OrBkWT4Cd244zj4g_38_0"/>
      <w:bookmarkStart w:id="211" w:name="Tc_uEcleJKAlkSfveCf2Yq2cA_37_11"/>
      <w:bookmarkStart w:id="212" w:name="Tc_z52GJX3BSUSGy5kcEFcLiw_37_8"/>
      <w:bookmarkStart w:id="213" w:name="Tc_oQ9WAfBCF06ehfUftR6Uqg_37_5"/>
      <w:bookmarkStart w:id="214" w:name="Tc_7b4dfBpVEEGYf7LuGXumcQ_37_2"/>
      <w:bookmarkStart w:id="215" w:name="Tc_KHvtW6YBVE6C8tJhsHH_Kg_37_0"/>
      <w:bookmarkStart w:id="216" w:name="Tc_VbsSgq_HXU6K7p0Cfkyczg_35_11"/>
      <w:bookmarkStart w:id="217" w:name="Tc_nIEKS1_-_UOapVmokhh0qg_35_8"/>
      <w:bookmarkStart w:id="218" w:name="Tc_sAESDZWUF0WMWhlWw_TQ0g_35_5"/>
      <w:bookmarkStart w:id="219" w:name="Tc_M70dIhsWjUaLi315TGoPzA_35_2"/>
      <w:bookmarkStart w:id="220" w:name="Tc_C2l0gvM6nk-lbOjAdFO9ag_35_0"/>
      <w:bookmarkStart w:id="221" w:name="Tc_sPd0oFavc0Ck4KFkanOqpg_34_0"/>
      <w:bookmarkStart w:id="222" w:name="Tc_-fTVq3AehEysx85ak0ovmw_33_0"/>
      <w:bookmarkStart w:id="223" w:name="Tc_yCVfzi_Wb0CPqY6JNOdtTQ_31_0"/>
      <w:bookmarkStart w:id="224" w:name="Tc_6Ht70MjJ50K9zeGGWrmD-A_30_0"/>
      <w:bookmarkStart w:id="225" w:name="Tc_ACuDUHrCVkiZvQP9L1jjpA_29_0"/>
      <w:bookmarkStart w:id="226" w:name="Tc_2pka7p037UegOtFcaMk65w_28_0"/>
      <w:bookmarkStart w:id="227" w:name="Tc_ZmnDWJxbWEOSMl2p1ggnVw_27_0"/>
      <w:bookmarkStart w:id="228" w:name="Tc_143XgfyXAkKyUPsU81iZVw_26_3"/>
      <w:bookmarkStart w:id="229" w:name="Tc_Qmhv-Q1b70mhSQpOmVsfeQ_26_0"/>
      <w:bookmarkStart w:id="230" w:name="Tc_MK9kmjfzxEiDyWRQ4Wf0QQ_25_0"/>
      <w:bookmarkStart w:id="231" w:name="Tc_pBhMeIyMt0iSts8RhGru6Q_24_0"/>
      <w:bookmarkStart w:id="232" w:name="Tc_M_9DR_QsX0OWflvf5Xigrw_23_0"/>
      <w:bookmarkStart w:id="233" w:name="Tc_cQEQkpCfHUeig43RN4NkjQ_21_0"/>
      <w:bookmarkStart w:id="234" w:name="Tc_2CJYryx-70qsmMqBD_uk_Q_20_0"/>
      <w:bookmarkStart w:id="235" w:name="Tc_Vhhz1NTP1k6xIKwgIERBEA_19_0"/>
      <w:bookmarkStart w:id="236" w:name="Tc_8HefbxUuqkKeZ10nmloeVQ_18_0"/>
      <w:bookmarkStart w:id="237" w:name="Tc_PyNsHG2yBUqdOu8_YyRQOg_17_0"/>
      <w:bookmarkStart w:id="238" w:name="Tc_dawpsGV9skas3QDsbilpsg_16_0"/>
      <w:bookmarkStart w:id="239" w:name="Tc_NhI607ae1068yQSBvVIi6g_15_0"/>
      <w:bookmarkStart w:id="240" w:name="Tc_QauCC8dBCUOqZ968CFCuiw_14_0"/>
      <w:bookmarkStart w:id="241" w:name="Tc_ueEQJoJuok2XveV_mjWmSw_13_0"/>
      <w:bookmarkStart w:id="242" w:name="Tc_y2G4V3-P4Uay76HQkL2hUw_12_0"/>
      <w:bookmarkStart w:id="243" w:name="Tc_8a5HqTPI-E6rPYaTDkzrxQ_11_0"/>
      <w:bookmarkStart w:id="244" w:name="Tc_KX0yyEJkmkSt_CbdOj5prw_9_0"/>
      <w:bookmarkStart w:id="245" w:name="Tc_ujuCmJ6c8kuXtGaBI2qxqw_8_0"/>
      <w:bookmarkStart w:id="246" w:name="Tc_8zVSZP19UU2xPSOwGEV1fw_7_0"/>
      <w:bookmarkStart w:id="247" w:name="Tc_CuRTDrBSK0Swh5qK2kwYnQ_6_0"/>
      <w:bookmarkStart w:id="248" w:name="Tc_ayuGvfgeSU27ZBpQUH31pQ_5_11"/>
      <w:bookmarkStart w:id="249" w:name="Tc_-TiLZFBM6EaEnA02rpPgFw_5_8"/>
      <w:bookmarkStart w:id="250" w:name="Tc_TKal1BdFPEW2RyAFvzX4Pg_5_5"/>
      <w:bookmarkStart w:id="251" w:name="Tc_ERjrdzYuVkyE7BUFsyb-NQ_5_2"/>
      <w:bookmarkStart w:id="252" w:name="Tc_4uuQCHhpeEuc0jGImpGOcw_5_0"/>
      <w:bookmarkStart w:id="253" w:name="Tc_RhAa4BHETEW1POhV1NwDZA_4_0"/>
      <w:bookmarkStart w:id="254" w:name="Tc_7ajZD3hzykygLjPDr8sGDQ_3_11"/>
      <w:bookmarkStart w:id="255" w:name="Tc_IABzVhFAH0iyZ9B9mUXFFQ_3_8"/>
      <w:bookmarkStart w:id="256" w:name="Tc_1EjyuIZi10GN3UN75u0hdA_3_5"/>
      <w:bookmarkStart w:id="257" w:name="Tc_Q8jlojj3d0-Okjv507NwpQ_3_2"/>
      <w:bookmarkStart w:id="258" w:name="Tc_0NSScTneJUeezdmgd5D6KQ_2_8"/>
      <w:bookmarkStart w:id="259" w:name="Tc_xoSaIpu-ckKXCbVJue2MlQ_2_2"/>
      <w:bookmarkStart w:id="260" w:name="Tc_XJykGSlS-0u4lLf1qoJGHg_1_8"/>
      <w:bookmarkStart w:id="261" w:name="Tc_sGetajhqrE2VajB8k0X0fg_1_2"/>
      <w:bookmarkStart w:id="262" w:name="_25eeeed0_836f_4495_a762_553853bea537"/>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p>
    <w:tbl>
      <w:tblPr>
        <w:tblW w:w="10205" w:type="dxa"/>
        <w:jc w:val="left"/>
        <w:tblInd w:w="0" w:type="dxa"/>
        <w:tblLayout w:type="fixed"/>
        <w:tblCellMar>
          <w:top w:w="0" w:type="dxa"/>
          <w:left w:w="0" w:type="dxa"/>
          <w:bottom w:w="0" w:type="dxa"/>
          <w:right w:w="0" w:type="dxa"/>
        </w:tblCellMar>
      </w:tblPr>
      <w:tblGrid>
        <w:gridCol w:w="4585"/>
        <w:gridCol w:w="346"/>
        <w:gridCol w:w="196"/>
        <w:gridCol w:w="704"/>
        <w:gridCol w:w="346"/>
        <w:gridCol w:w="196"/>
        <w:gridCol w:w="704"/>
        <w:gridCol w:w="346"/>
        <w:gridCol w:w="196"/>
        <w:gridCol w:w="826"/>
        <w:gridCol w:w="346"/>
        <w:gridCol w:w="196"/>
        <w:gridCol w:w="826"/>
        <w:gridCol w:w="392"/>
      </w:tblGrid>
      <w:tr>
        <w:trPr/>
        <w:tc>
          <w:tcPr>
            <w:tcW w:w="45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911475" cy="175260"/>
                      <wp:effectExtent l="0" t="0" r="0" b="0"/>
                      <wp:wrapNone/>
                      <wp:docPr id="10" name="Frame10"/>
                      <a:graphic xmlns:a="http://schemas.openxmlformats.org/drawingml/2006/main">
                        <a:graphicData uri="http://schemas.microsoft.com/office/word/2010/wordprocessingShape">
                          <wps:wsp>
                            <wps:cNvSpPr txBox="1"/>
                            <wps:spPr>
                              <a:xfrm>
                                <a:off x="0" y="0"/>
                                <a:ext cx="29114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219710" cy="175260"/>
                      <wp:effectExtent l="0" t="0" r="0" b="0"/>
                      <wp:wrapNone/>
                      <wp:docPr id="11" name="Frame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124460" cy="175260"/>
                      <wp:effectExtent l="0" t="0" r="0" b="0"/>
                      <wp:wrapNone/>
                      <wp:docPr id="12" name="Frame1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447040" cy="175260"/>
                      <wp:effectExtent l="0" t="0" r="0" b="0"/>
                      <wp:wrapNone/>
                      <wp:docPr id="13" name="Frame13"/>
                      <a:graphic xmlns:a="http://schemas.openxmlformats.org/drawingml/2006/main">
                        <a:graphicData uri="http://schemas.microsoft.com/office/word/2010/wordprocessingShape">
                          <wps:wsp>
                            <wps:cNvSpPr txBox="1"/>
                            <wps:spPr>
                              <a:xfrm>
                                <a:off x="0" y="0"/>
                                <a:ext cx="4470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219710" cy="175260"/>
                      <wp:effectExtent l="0" t="0" r="0" b="0"/>
                      <wp:wrapNone/>
                      <wp:docPr id="14" name="Frame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124460" cy="175260"/>
                      <wp:effectExtent l="0" t="0" r="0" b="0"/>
                      <wp:wrapNone/>
                      <wp:docPr id="15" name="Frame1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447040" cy="175260"/>
                      <wp:effectExtent l="0" t="0" r="0" b="0"/>
                      <wp:wrapNone/>
                      <wp:docPr id="16" name="Frame16"/>
                      <a:graphic xmlns:a="http://schemas.openxmlformats.org/drawingml/2006/main">
                        <a:graphicData uri="http://schemas.microsoft.com/office/word/2010/wordprocessingShape">
                          <wps:wsp>
                            <wps:cNvSpPr txBox="1"/>
                            <wps:spPr>
                              <a:xfrm>
                                <a:off x="0" y="0"/>
                                <a:ext cx="4470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19710" cy="175260"/>
                      <wp:effectExtent l="0" t="0" r="0" b="0"/>
                      <wp:wrapNone/>
                      <wp:docPr id="17" name="Frame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124460" cy="175260"/>
                      <wp:effectExtent l="0" t="0" r="0" b="0"/>
                      <wp:wrapNone/>
                      <wp:docPr id="18" name="Frame1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524510" cy="175260"/>
                      <wp:effectExtent l="0" t="0" r="0" b="0"/>
                      <wp:wrapNone/>
                      <wp:docPr id="19" name="Frame19"/>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19710" cy="175260"/>
                      <wp:effectExtent l="0" t="0" r="0" b="0"/>
                      <wp:wrapNone/>
                      <wp:docPr id="20" name="Frame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124460" cy="175260"/>
                      <wp:effectExtent l="0" t="0" r="0" b="0"/>
                      <wp:wrapNone/>
                      <wp:docPr id="21" name="Frame2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524510" cy="175260"/>
                      <wp:effectExtent l="0" t="0" r="0" b="0"/>
                      <wp:wrapNone/>
                      <wp:docPr id="22" name="Frame22"/>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48920" cy="175260"/>
                      <wp:effectExtent l="0" t="0" r="0" b="0"/>
                      <wp:wrapNone/>
                      <wp:docPr id="23" name="Frame23"/>
                      <a:graphic xmlns:a="http://schemas.openxmlformats.org/drawingml/2006/main">
                        <a:graphicData uri="http://schemas.microsoft.com/office/word/2010/wordprocessingShape">
                          <wps:wsp>
                            <wps:cNvSpPr txBox="1"/>
                            <wps:spPr>
                              <a:xfrm>
                                <a:off x="0" y="0"/>
                                <a:ext cx="2489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58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46"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1"/>
              <w:ind w:left="0" w:right="0" w:hanging="0"/>
              <w:jc w:val="left"/>
              <w:rPr/>
            </w:pPr>
            <w:r>
              <w:rPr/>
              <w:t>​</w:t>
            </w:r>
          </w:p>
        </w:tc>
        <w:tc>
          <w:tcPr>
            <w:tcW w:w="239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92" w:type="dxa"/>
            <w:tcBorders/>
            <w:vAlign w:val="center"/>
          </w:tcPr>
          <w:p>
            <w:pPr>
              <w:pStyle w:val="TableContents"/>
              <w:bidi w:val="0"/>
              <w:spacing w:before="0" w:after="1"/>
              <w:ind w:left="0" w:right="0" w:hanging="0"/>
              <w:jc w:val="left"/>
              <w:rPr/>
            </w:pPr>
            <w:r>
              <w:rPr/>
              <w:t>​</w:t>
            </w:r>
          </w:p>
        </w:tc>
      </w:tr>
      <w:tr>
        <w:trPr/>
        <w:tc>
          <w:tcPr>
            <w:tcW w:w="458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46"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1"/>
              <w:ind w:left="0" w:right="0" w:hanging="0"/>
              <w:jc w:val="left"/>
              <w:rPr/>
            </w:pPr>
            <w:r>
              <w:rPr/>
              <w:t>​</w:t>
            </w:r>
          </w:p>
        </w:tc>
        <w:tc>
          <w:tcPr>
            <w:tcW w:w="239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92" w:type="dxa"/>
            <w:tcBorders/>
            <w:vAlign w:val="center"/>
          </w:tcPr>
          <w:p>
            <w:pPr>
              <w:pStyle w:val="TableContents"/>
              <w:bidi w:val="0"/>
              <w:spacing w:before="0" w:after="1"/>
              <w:ind w:left="0" w:right="0" w:hanging="0"/>
              <w:jc w:val="left"/>
              <w:rPr/>
            </w:pPr>
            <w:r>
              <w:rPr/>
              <w:t>​</w:t>
            </w:r>
          </w:p>
        </w:tc>
      </w:tr>
      <w:tr>
        <w:trPr/>
        <w:tc>
          <w:tcPr>
            <w:tcW w:w="458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0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90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2" w:type="dxa"/>
            <w:tcBorders/>
            <w:vAlign w:val="center"/>
          </w:tcPr>
          <w:p>
            <w:pPr>
              <w:pStyle w:val="TableContents"/>
              <w:bidi w:val="0"/>
              <w:spacing w:before="0" w:after="1"/>
              <w:ind w:left="0" w:right="0" w:hanging="0"/>
              <w:jc w:val="left"/>
              <w:rPr/>
            </w:pPr>
            <w:r>
              <w:rPr/>
              <w:t>  ​ ​ ​</w:t>
            </w:r>
          </w:p>
        </w:tc>
      </w:tr>
      <w:tr>
        <w:trPr/>
        <w:tc>
          <w:tcPr>
            <w:tcW w:w="458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Revenues:</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704"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704"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  ​</w:t>
            </w:r>
          </w:p>
        </w:tc>
        <w:tc>
          <w:tcPr>
            <w:tcW w:w="392" w:type="dxa"/>
            <w:tcBorders/>
            <w:shd w:fill="CCEEFF" w:val="clear"/>
            <w:vAlign w:val="center"/>
          </w:tcPr>
          <w:p>
            <w:pPr>
              <w:pStyle w:val="TableContents"/>
              <w:bidi w:val="0"/>
              <w:spacing w:before="0" w:after="1"/>
              <w:ind w:left="0" w:right="0" w:hanging="0"/>
              <w:jc w:val="left"/>
              <w:rPr/>
            </w:pPr>
            <w:r>
              <w:rPr/>
              <w:t> </w:t>
            </w:r>
          </w:p>
        </w:tc>
      </w:tr>
      <w:tr>
        <w:trPr/>
        <w:tc>
          <w:tcPr>
            <w:tcW w:w="458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Rooms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0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232,366</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0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200,900</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456,124</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390,132</w:t>
            </w:r>
          </w:p>
        </w:tc>
        <w:tc>
          <w:tcPr>
            <w:tcW w:w="392" w:type="dxa"/>
            <w:tcBorders/>
            <w:vAlign w:val="center"/>
          </w:tcPr>
          <w:p>
            <w:pPr>
              <w:pStyle w:val="TableContents"/>
              <w:bidi w:val="0"/>
              <w:spacing w:before="0" w:after="1"/>
              <w:ind w:left="0" w:right="0" w:hanging="0"/>
              <w:jc w:val="left"/>
              <w:rPr/>
            </w:pPr>
            <w:r>
              <w:rPr/>
              <w:t>​</w:t>
            </w:r>
          </w:p>
        </w:tc>
      </w:tr>
      <w:tr>
        <w:trPr/>
        <w:tc>
          <w:tcPr>
            <w:tcW w:w="458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Food and beverage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0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296,437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0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250,391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585,784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503,654</w:t>
            </w:r>
          </w:p>
        </w:tc>
        <w:tc>
          <w:tcPr>
            <w:tcW w:w="392" w:type="dxa"/>
            <w:tcBorders/>
            <w:shd w:fill="CCEEFF" w:val="clear"/>
            <w:vAlign w:val="center"/>
          </w:tcPr>
          <w:p>
            <w:pPr>
              <w:pStyle w:val="TableContents"/>
              <w:bidi w:val="0"/>
              <w:spacing w:before="0" w:after="1"/>
              <w:ind w:left="0" w:right="0" w:hanging="0"/>
              <w:jc w:val="left"/>
              <w:rPr/>
            </w:pPr>
            <w:r>
              <w:rPr/>
              <w:t>​</w:t>
            </w:r>
          </w:p>
        </w:tc>
      </w:tr>
      <w:tr>
        <w:trPr/>
        <w:tc>
          <w:tcPr>
            <w:tcW w:w="458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hotel revenue</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0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76,161</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0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64,920</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148,445</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120,155</w:t>
            </w:r>
          </w:p>
        </w:tc>
        <w:tc>
          <w:tcPr>
            <w:tcW w:w="392" w:type="dxa"/>
            <w:tcBorders/>
            <w:vAlign w:val="center"/>
          </w:tcPr>
          <w:p>
            <w:pPr>
              <w:pStyle w:val="TableContents"/>
              <w:bidi w:val="0"/>
              <w:spacing w:before="0" w:after="1"/>
              <w:ind w:left="0" w:right="0" w:hanging="0"/>
              <w:jc w:val="left"/>
              <w:rPr/>
            </w:pPr>
            <w:r>
              <w:rPr/>
              <w:t>​</w:t>
            </w:r>
          </w:p>
        </w:tc>
      </w:tr>
      <w:tr>
        <w:trPr/>
        <w:tc>
          <w:tcPr>
            <w:tcW w:w="458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Entertainment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0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144,014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0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143,304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223,197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232,854</w:t>
            </w:r>
          </w:p>
        </w:tc>
        <w:tc>
          <w:tcPr>
            <w:tcW w:w="392" w:type="dxa"/>
            <w:tcBorders/>
            <w:shd w:fill="CCEEFF" w:val="clear"/>
            <w:vAlign w:val="center"/>
          </w:tcPr>
          <w:p>
            <w:pPr>
              <w:pStyle w:val="TableContents"/>
              <w:bidi w:val="0"/>
              <w:spacing w:before="0" w:after="1"/>
              <w:ind w:left="0" w:right="0" w:hanging="0"/>
              <w:jc w:val="left"/>
              <w:rPr/>
            </w:pPr>
            <w:r>
              <w:rPr/>
              <w:t>​</w:t>
            </w:r>
          </w:p>
        </w:tc>
      </w:tr>
      <w:tr>
        <w:trPr/>
        <w:tc>
          <w:tcPr>
            <w:tcW w:w="458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0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748,978</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0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659,515</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1,413,550</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1,246,795</w:t>
            </w:r>
          </w:p>
        </w:tc>
        <w:tc>
          <w:tcPr>
            <w:tcW w:w="392" w:type="dxa"/>
            <w:tcBorders/>
            <w:vAlign w:val="center"/>
          </w:tcPr>
          <w:p>
            <w:pPr>
              <w:pStyle w:val="TableContents"/>
              <w:bidi w:val="0"/>
              <w:spacing w:before="0" w:after="1"/>
              <w:ind w:left="0" w:right="0" w:hanging="0"/>
              <w:jc w:val="left"/>
              <w:rPr/>
            </w:pPr>
            <w:r>
              <w:rPr/>
              <w:t>​</w:t>
            </w:r>
          </w:p>
        </w:tc>
      </w:tr>
      <w:tr>
        <w:trPr/>
        <w:tc>
          <w:tcPr>
            <w:tcW w:w="4585"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04"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04"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left"/>
              <w:rPr/>
            </w:pPr>
            <w:r>
              <w:rPr/>
              <w:t>​</w:t>
            </w:r>
          </w:p>
        </w:tc>
        <w:tc>
          <w:tcPr>
            <w:tcW w:w="392" w:type="dxa"/>
            <w:tcBorders/>
            <w:shd w:fill="CCEEFF" w:val="clear"/>
            <w:vAlign w:val="center"/>
          </w:tcPr>
          <w:p>
            <w:pPr>
              <w:pStyle w:val="TableContents"/>
              <w:bidi w:val="0"/>
              <w:spacing w:before="0" w:after="1"/>
              <w:ind w:left="0" w:right="0" w:hanging="0"/>
              <w:jc w:val="left"/>
              <w:rPr/>
            </w:pPr>
            <w:r>
              <w:rPr/>
              <w:t>​</w:t>
            </w:r>
          </w:p>
        </w:tc>
      </w:tr>
      <w:tr>
        <w:trPr/>
        <w:tc>
          <w:tcPr>
            <w:tcW w:w="458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04"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04"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left"/>
              <w:rPr/>
            </w:pPr>
            <w:r>
              <w:rPr/>
              <w:t>​</w:t>
            </w:r>
          </w:p>
        </w:tc>
        <w:tc>
          <w:tcPr>
            <w:tcW w:w="392" w:type="dxa"/>
            <w:tcBorders/>
            <w:vAlign w:val="center"/>
          </w:tcPr>
          <w:p>
            <w:pPr>
              <w:pStyle w:val="TableContents"/>
              <w:bidi w:val="0"/>
              <w:spacing w:before="0" w:after="1"/>
              <w:ind w:left="0" w:right="0" w:hanging="0"/>
              <w:jc w:val="left"/>
              <w:rPr/>
            </w:pPr>
            <w:r>
              <w:rPr/>
              <w:t>​</w:t>
            </w:r>
          </w:p>
        </w:tc>
      </w:tr>
      <w:tr>
        <w:trPr/>
        <w:tc>
          <w:tcPr>
            <w:tcW w:w="458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Rooms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0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52,581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0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47,238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103,175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93,527</w:t>
            </w:r>
          </w:p>
        </w:tc>
        <w:tc>
          <w:tcPr>
            <w:tcW w:w="392" w:type="dxa"/>
            <w:tcBorders/>
            <w:shd w:fill="CCEEFF" w:val="clear"/>
            <w:vAlign w:val="center"/>
          </w:tcPr>
          <w:p>
            <w:pPr>
              <w:pStyle w:val="TableContents"/>
              <w:bidi w:val="0"/>
              <w:spacing w:before="0" w:after="1"/>
              <w:ind w:left="0" w:right="0" w:hanging="0"/>
              <w:jc w:val="left"/>
              <w:rPr/>
            </w:pPr>
            <w:r>
              <w:rPr/>
              <w:t>​</w:t>
            </w:r>
          </w:p>
        </w:tc>
      </w:tr>
      <w:tr>
        <w:trPr/>
        <w:tc>
          <w:tcPr>
            <w:tcW w:w="458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Food and beverage</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0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159,120</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0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136,152</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317,283</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274,291</w:t>
            </w:r>
          </w:p>
        </w:tc>
        <w:tc>
          <w:tcPr>
            <w:tcW w:w="392" w:type="dxa"/>
            <w:tcBorders/>
            <w:vAlign w:val="center"/>
          </w:tcPr>
          <w:p>
            <w:pPr>
              <w:pStyle w:val="TableContents"/>
              <w:bidi w:val="0"/>
              <w:spacing w:before="0" w:after="1"/>
              <w:ind w:left="0" w:right="0" w:hanging="0"/>
              <w:jc w:val="left"/>
              <w:rPr/>
            </w:pPr>
            <w:r>
              <w:rPr/>
              <w:t>​</w:t>
            </w:r>
          </w:p>
        </w:tc>
      </w:tr>
      <w:tr>
        <w:trPr/>
        <w:tc>
          <w:tcPr>
            <w:tcW w:w="458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hotel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0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150,260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0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130,588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294,882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254,512</w:t>
            </w:r>
          </w:p>
        </w:tc>
        <w:tc>
          <w:tcPr>
            <w:tcW w:w="392" w:type="dxa"/>
            <w:tcBorders/>
            <w:shd w:fill="CCEEFF" w:val="clear"/>
            <w:vAlign w:val="center"/>
          </w:tcPr>
          <w:p>
            <w:pPr>
              <w:pStyle w:val="TableContents"/>
              <w:bidi w:val="0"/>
              <w:spacing w:before="0" w:after="1"/>
              <w:ind w:left="0" w:right="0" w:hanging="0"/>
              <w:jc w:val="left"/>
              <w:rPr/>
            </w:pPr>
            <w:r>
              <w:rPr/>
              <w:t>​</w:t>
            </w:r>
          </w:p>
        </w:tc>
      </w:tr>
      <w:tr>
        <w:trPr/>
        <w:tc>
          <w:tcPr>
            <w:tcW w:w="458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Management fees, net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0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22,142</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0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17,916</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43,057</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36,379</w:t>
            </w:r>
          </w:p>
        </w:tc>
        <w:tc>
          <w:tcPr>
            <w:tcW w:w="392" w:type="dxa"/>
            <w:tcBorders/>
            <w:vAlign w:val="center"/>
          </w:tcPr>
          <w:p>
            <w:pPr>
              <w:pStyle w:val="TableContents"/>
              <w:bidi w:val="0"/>
              <w:spacing w:before="0" w:after="1"/>
              <w:ind w:left="0" w:right="0" w:hanging="0"/>
              <w:jc w:val="left"/>
              <w:rPr/>
            </w:pPr>
            <w:r>
              <w:rPr/>
              <w:t>​</w:t>
            </w:r>
          </w:p>
        </w:tc>
      </w:tr>
      <w:tr>
        <w:trPr/>
        <w:tc>
          <w:tcPr>
            <w:tcW w:w="458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hotel operating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0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384,103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0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331,894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758,397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658,709</w:t>
            </w:r>
          </w:p>
        </w:tc>
        <w:tc>
          <w:tcPr>
            <w:tcW w:w="392" w:type="dxa"/>
            <w:tcBorders/>
            <w:shd w:fill="CCEEFF" w:val="clear"/>
            <w:vAlign w:val="center"/>
          </w:tcPr>
          <w:p>
            <w:pPr>
              <w:pStyle w:val="TableContents"/>
              <w:bidi w:val="0"/>
              <w:spacing w:before="0" w:after="1"/>
              <w:ind w:left="0" w:right="0" w:hanging="0"/>
              <w:jc w:val="left"/>
              <w:rPr/>
            </w:pPr>
            <w:r>
              <w:rPr/>
              <w:t>​</w:t>
            </w:r>
          </w:p>
        </w:tc>
      </w:tr>
      <w:tr>
        <w:trPr/>
        <w:tc>
          <w:tcPr>
            <w:tcW w:w="458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Entertainment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0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101,563</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0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110,376</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166,672</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180,146</w:t>
            </w:r>
          </w:p>
        </w:tc>
        <w:tc>
          <w:tcPr>
            <w:tcW w:w="392" w:type="dxa"/>
            <w:tcBorders/>
            <w:vAlign w:val="center"/>
          </w:tcPr>
          <w:p>
            <w:pPr>
              <w:pStyle w:val="TableContents"/>
              <w:bidi w:val="0"/>
              <w:spacing w:before="0" w:after="1"/>
              <w:ind w:left="0" w:right="0" w:hanging="0"/>
              <w:jc w:val="left"/>
              <w:rPr/>
            </w:pPr>
            <w:r>
              <w:rPr/>
              <w:t>​</w:t>
            </w:r>
          </w:p>
        </w:tc>
      </w:tr>
      <w:tr>
        <w:trPr/>
        <w:tc>
          <w:tcPr>
            <w:tcW w:w="458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Corporate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0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11,245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0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10,759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22,530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21,529</w:t>
            </w:r>
          </w:p>
        </w:tc>
        <w:tc>
          <w:tcPr>
            <w:tcW w:w="392" w:type="dxa"/>
            <w:tcBorders/>
            <w:shd w:fill="CCEEFF" w:val="clear"/>
            <w:vAlign w:val="center"/>
          </w:tcPr>
          <w:p>
            <w:pPr>
              <w:pStyle w:val="TableContents"/>
              <w:bidi w:val="0"/>
              <w:spacing w:before="0" w:after="1"/>
              <w:ind w:left="0" w:right="0" w:hanging="0"/>
              <w:jc w:val="left"/>
              <w:rPr/>
            </w:pPr>
            <w:r>
              <w:rPr/>
              <w:t>​</w:t>
            </w:r>
          </w:p>
        </w:tc>
      </w:tr>
      <w:tr>
        <w:trPr/>
        <w:tc>
          <w:tcPr>
            <w:tcW w:w="458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Preopening costs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0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438</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0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98</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825</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185</w:t>
            </w:r>
          </w:p>
        </w:tc>
        <w:tc>
          <w:tcPr>
            <w:tcW w:w="392" w:type="dxa"/>
            <w:tcBorders/>
            <w:vAlign w:val="center"/>
          </w:tcPr>
          <w:p>
            <w:pPr>
              <w:pStyle w:val="TableContents"/>
              <w:bidi w:val="0"/>
              <w:spacing w:before="0" w:after="1"/>
              <w:ind w:left="0" w:right="0" w:hanging="0"/>
              <w:jc w:val="left"/>
              <w:rPr/>
            </w:pPr>
            <w:r>
              <w:rPr/>
              <w:t>​</w:t>
            </w:r>
          </w:p>
        </w:tc>
      </w:tr>
      <w:tr>
        <w:trPr/>
        <w:tc>
          <w:tcPr>
            <w:tcW w:w="458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0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77,084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0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66,963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152,785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130,680</w:t>
            </w:r>
          </w:p>
        </w:tc>
        <w:tc>
          <w:tcPr>
            <w:tcW w:w="392" w:type="dxa"/>
            <w:tcBorders/>
            <w:shd w:fill="CCEEFF" w:val="clear"/>
            <w:vAlign w:val="center"/>
          </w:tcPr>
          <w:p>
            <w:pPr>
              <w:pStyle w:val="TableContents"/>
              <w:bidi w:val="0"/>
              <w:spacing w:before="0" w:after="1"/>
              <w:ind w:left="0" w:right="0" w:hanging="0"/>
              <w:jc w:val="left"/>
              <w:rPr/>
            </w:pPr>
            <w:r>
              <w:rPr/>
              <w:t>​</w:t>
            </w:r>
          </w:p>
        </w:tc>
      </w:tr>
      <w:tr>
        <w:trPr/>
        <w:tc>
          <w:tcPr>
            <w:tcW w:w="458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0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574,433</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0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520,090</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1,101,209</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991,249</w:t>
            </w:r>
          </w:p>
        </w:tc>
        <w:tc>
          <w:tcPr>
            <w:tcW w:w="392" w:type="dxa"/>
            <w:tcBorders/>
            <w:vAlign w:val="center"/>
          </w:tcPr>
          <w:p>
            <w:pPr>
              <w:pStyle w:val="TableContents"/>
              <w:bidi w:val="0"/>
              <w:spacing w:before="0" w:after="1"/>
              <w:ind w:left="0" w:right="0" w:hanging="0"/>
              <w:jc w:val="left"/>
              <w:rPr/>
            </w:pPr>
            <w:r>
              <w:rPr/>
              <w:t>​</w:t>
            </w:r>
          </w:p>
        </w:tc>
      </w:tr>
      <w:tr>
        <w:trPr/>
        <w:tc>
          <w:tcPr>
            <w:tcW w:w="4585"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04"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04"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left"/>
              <w:rPr/>
            </w:pPr>
            <w:r>
              <w:rPr/>
              <w:t>​</w:t>
            </w:r>
          </w:p>
        </w:tc>
        <w:tc>
          <w:tcPr>
            <w:tcW w:w="392" w:type="dxa"/>
            <w:tcBorders/>
            <w:shd w:fill="CCEEFF" w:val="clear"/>
            <w:vAlign w:val="center"/>
          </w:tcPr>
          <w:p>
            <w:pPr>
              <w:pStyle w:val="TableContents"/>
              <w:bidi w:val="0"/>
              <w:spacing w:before="0" w:after="1"/>
              <w:ind w:left="0" w:right="0" w:hanging="0"/>
              <w:jc w:val="left"/>
              <w:rPr/>
            </w:pPr>
            <w:r>
              <w:rPr/>
              <w:t>​</w:t>
            </w:r>
          </w:p>
        </w:tc>
      </w:tr>
      <w:tr>
        <w:trPr/>
        <w:tc>
          <w:tcPr>
            <w:tcW w:w="458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0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174,545</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right"/>
              <w:rPr/>
            </w:pPr>
            <w:r>
              <w:rPr/>
              <w:t>​</w:t>
            </w:r>
          </w:p>
        </w:tc>
        <w:tc>
          <w:tcPr>
            <w:tcW w:w="70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139,425</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312,341</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255,546</w:t>
            </w:r>
          </w:p>
        </w:tc>
        <w:tc>
          <w:tcPr>
            <w:tcW w:w="392" w:type="dxa"/>
            <w:tcBorders/>
            <w:vAlign w:val="center"/>
          </w:tcPr>
          <w:p>
            <w:pPr>
              <w:pStyle w:val="TableContents"/>
              <w:bidi w:val="0"/>
              <w:spacing w:before="0" w:after="1"/>
              <w:ind w:left="0" w:right="0" w:hanging="0"/>
              <w:jc w:val="left"/>
              <w:rPr/>
            </w:pPr>
            <w:r>
              <w:rPr/>
              <w:t>​</w:t>
            </w:r>
          </w:p>
        </w:tc>
      </w:tr>
      <w:tr>
        <w:trPr/>
        <w:tc>
          <w:tcPr>
            <w:tcW w:w="458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0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(63,875)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0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(58,534)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(127,994)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(112,817)</w:t>
            </w:r>
          </w:p>
        </w:tc>
        <w:tc>
          <w:tcPr>
            <w:tcW w:w="392" w:type="dxa"/>
            <w:tcBorders/>
            <w:shd w:fill="CCEEFF" w:val="clear"/>
            <w:vAlign w:val="center"/>
          </w:tcPr>
          <w:p>
            <w:pPr>
              <w:pStyle w:val="TableContents"/>
              <w:bidi w:val="0"/>
              <w:spacing w:before="0" w:after="1"/>
              <w:ind w:left="0" w:right="0" w:hanging="0"/>
              <w:jc w:val="left"/>
              <w:rPr/>
            </w:pPr>
            <w:r>
              <w:rPr/>
              <w:t>​</w:t>
            </w:r>
          </w:p>
        </w:tc>
      </w:tr>
      <w:tr>
        <w:trPr/>
        <w:tc>
          <w:tcPr>
            <w:tcW w:w="458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0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3,727</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0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5,583</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8,913</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11,042</w:t>
            </w:r>
          </w:p>
        </w:tc>
        <w:tc>
          <w:tcPr>
            <w:tcW w:w="392" w:type="dxa"/>
            <w:tcBorders/>
            <w:vAlign w:val="center"/>
          </w:tcPr>
          <w:p>
            <w:pPr>
              <w:pStyle w:val="TableContents"/>
              <w:bidi w:val="0"/>
              <w:spacing w:before="0" w:after="1"/>
              <w:ind w:left="0" w:right="0" w:hanging="0"/>
              <w:jc w:val="left"/>
              <w:rPr/>
            </w:pPr>
            <w:r>
              <w:rPr/>
              <w:t>​</w:t>
            </w:r>
          </w:p>
        </w:tc>
      </w:tr>
      <w:tr>
        <w:trPr/>
        <w:tc>
          <w:tcPr>
            <w:tcW w:w="458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on extinguishment of debt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0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0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(2,542)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(2,200)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(2,542)</w:t>
            </w:r>
          </w:p>
        </w:tc>
        <w:tc>
          <w:tcPr>
            <w:tcW w:w="392" w:type="dxa"/>
            <w:tcBorders/>
            <w:shd w:fill="CCEEFF" w:val="clear"/>
            <w:vAlign w:val="center"/>
          </w:tcPr>
          <w:p>
            <w:pPr>
              <w:pStyle w:val="TableContents"/>
              <w:bidi w:val="0"/>
              <w:spacing w:before="0" w:after="1"/>
              <w:ind w:left="0" w:right="0" w:hanging="0"/>
              <w:jc w:val="left"/>
              <w:rPr/>
            </w:pPr>
            <w:r>
              <w:rPr/>
              <w:t>​</w:t>
            </w:r>
          </w:p>
        </w:tc>
      </w:tr>
      <w:tr>
        <w:trPr/>
        <w:tc>
          <w:tcPr>
            <w:tcW w:w="458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(loss) from unconsolidated joint ventures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0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0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w:t>
            </w:r>
          </w:p>
        </w:tc>
        <w:tc>
          <w:tcPr>
            <w:tcW w:w="392" w:type="dxa"/>
            <w:tcBorders/>
            <w:vAlign w:val="center"/>
          </w:tcPr>
          <w:p>
            <w:pPr>
              <w:pStyle w:val="TableContents"/>
              <w:bidi w:val="0"/>
              <w:spacing w:before="0" w:after="1"/>
              <w:ind w:left="0" w:right="0" w:hanging="0"/>
              <w:jc w:val="left"/>
              <w:rPr/>
            </w:pPr>
            <w:r>
              <w:rPr/>
              <w:t>​</w:t>
            </w:r>
          </w:p>
        </w:tc>
      </w:tr>
      <w:tr>
        <w:trPr/>
        <w:tc>
          <w:tcPr>
            <w:tcW w:w="458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gains and (losses), net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0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0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(196)</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(621)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(304)</w:t>
            </w:r>
          </w:p>
        </w:tc>
        <w:tc>
          <w:tcPr>
            <w:tcW w:w="392" w:type="dxa"/>
            <w:tcBorders/>
            <w:shd w:fill="CCEEFF" w:val="clear"/>
            <w:vAlign w:val="center"/>
          </w:tcPr>
          <w:p>
            <w:pPr>
              <w:pStyle w:val="TableContents"/>
              <w:bidi w:val="0"/>
              <w:spacing w:before="0" w:after="1"/>
              <w:ind w:left="0" w:right="0" w:hanging="0"/>
              <w:jc w:val="left"/>
              <w:rPr/>
            </w:pPr>
            <w:r>
              <w:rPr/>
              <w:t>​</w:t>
            </w:r>
          </w:p>
        </w:tc>
      </w:tr>
      <w:tr>
        <w:trPr/>
        <w:tc>
          <w:tcPr>
            <w:tcW w:w="458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before income taxes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0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114,142</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0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83,723</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190,443</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150,896</w:t>
            </w:r>
          </w:p>
        </w:tc>
        <w:tc>
          <w:tcPr>
            <w:tcW w:w="392" w:type="dxa"/>
            <w:tcBorders/>
            <w:vAlign w:val="center"/>
          </w:tcPr>
          <w:p>
            <w:pPr>
              <w:pStyle w:val="TableContents"/>
              <w:bidi w:val="0"/>
              <w:spacing w:before="0" w:after="1"/>
              <w:ind w:left="0" w:right="0" w:hanging="0"/>
              <w:jc w:val="left"/>
              <w:rPr/>
            </w:pPr>
            <w:r>
              <w:rPr/>
              <w:t>​</w:t>
            </w:r>
          </w:p>
        </w:tc>
      </w:tr>
      <w:tr>
        <w:trPr/>
        <w:tc>
          <w:tcPr>
            <w:tcW w:w="458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0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(12,063)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0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(7,848)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(18,962)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(12,007)</w:t>
            </w:r>
          </w:p>
        </w:tc>
        <w:tc>
          <w:tcPr>
            <w:tcW w:w="392" w:type="dxa"/>
            <w:tcBorders/>
            <w:shd w:fill="CCEEFF" w:val="clear"/>
            <w:vAlign w:val="center"/>
          </w:tcPr>
          <w:p>
            <w:pPr>
              <w:pStyle w:val="TableContents"/>
              <w:bidi w:val="0"/>
              <w:spacing w:before="0" w:after="1"/>
              <w:ind w:left="0" w:right="0" w:hanging="0"/>
              <w:jc w:val="left"/>
              <w:rPr/>
            </w:pPr>
            <w:r>
              <w:rPr/>
              <w:t>​</w:t>
            </w:r>
          </w:p>
        </w:tc>
      </w:tr>
      <w:tr>
        <w:trPr/>
        <w:tc>
          <w:tcPr>
            <w:tcW w:w="458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0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102,079</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0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75,875</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171,481</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138,889</w:t>
            </w:r>
          </w:p>
        </w:tc>
        <w:tc>
          <w:tcPr>
            <w:tcW w:w="392" w:type="dxa"/>
            <w:tcBorders/>
            <w:vAlign w:val="center"/>
          </w:tcPr>
          <w:p>
            <w:pPr>
              <w:pStyle w:val="TableContents"/>
              <w:bidi w:val="0"/>
              <w:spacing w:before="0" w:after="1"/>
              <w:ind w:left="0" w:right="0" w:hanging="0"/>
              <w:jc w:val="left"/>
              <w:rPr/>
            </w:pPr>
            <w:r>
              <w:rPr/>
              <w:t>​</w:t>
            </w:r>
          </w:p>
        </w:tc>
      </w:tr>
      <w:tr>
        <w:trPr/>
        <w:tc>
          <w:tcPr>
            <w:tcW w:w="4585"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0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0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392" w:type="dxa"/>
            <w:tcBorders/>
            <w:shd w:fill="CCEEFF" w:val="clear"/>
            <w:vAlign w:val="center"/>
          </w:tcPr>
          <w:p>
            <w:pPr>
              <w:pStyle w:val="TableContents"/>
              <w:bidi w:val="0"/>
              <w:spacing w:before="0" w:after="1"/>
              <w:ind w:left="0" w:right="0" w:hanging="0"/>
              <w:jc w:val="left"/>
              <w:rPr/>
            </w:pPr>
            <w:r>
              <w:rPr/>
              <w:t>​</w:t>
            </w:r>
          </w:p>
        </w:tc>
      </w:tr>
      <w:tr>
        <w:trPr/>
        <w:tc>
          <w:tcPr>
            <w:tcW w:w="458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attributable to noncontrolling interest in Opry Entertainment Group</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0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(4,050)</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0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(2,094)</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(3,462)</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(2,805)</w:t>
            </w:r>
          </w:p>
        </w:tc>
        <w:tc>
          <w:tcPr>
            <w:tcW w:w="392" w:type="dxa"/>
            <w:tcBorders/>
            <w:vAlign w:val="center"/>
          </w:tcPr>
          <w:p>
            <w:pPr>
              <w:pStyle w:val="TableContents"/>
              <w:bidi w:val="0"/>
              <w:spacing w:before="0" w:after="1"/>
              <w:ind w:left="0" w:right="0" w:hanging="0"/>
              <w:jc w:val="left"/>
              <w:rPr/>
            </w:pPr>
            <w:r>
              <w:rPr/>
              <w:t>​</w:t>
            </w:r>
          </w:p>
        </w:tc>
      </w:tr>
      <w:tr>
        <w:trPr/>
        <w:tc>
          <w:tcPr>
            <w:tcW w:w="458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attributable to other noncontrolling interests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0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(5,279)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0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(2,028)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(4,794)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(1,370)</w:t>
            </w:r>
          </w:p>
        </w:tc>
        <w:tc>
          <w:tcPr>
            <w:tcW w:w="392" w:type="dxa"/>
            <w:tcBorders/>
            <w:shd w:fill="CCEEFF" w:val="clear"/>
            <w:vAlign w:val="center"/>
          </w:tcPr>
          <w:p>
            <w:pPr>
              <w:pStyle w:val="TableContents"/>
              <w:bidi w:val="0"/>
              <w:spacing w:before="0" w:after="1"/>
              <w:ind w:left="0" w:right="0" w:hanging="0"/>
              <w:jc w:val="left"/>
              <w:rPr/>
            </w:pPr>
            <w:r>
              <w:rPr/>
              <w:t>​</w:t>
            </w:r>
          </w:p>
        </w:tc>
      </w:tr>
      <w:tr>
        <w:trPr/>
        <w:tc>
          <w:tcPr>
            <w:tcW w:w="458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available to common stockholders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0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92,750</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0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71,753</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163,225</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134,714</w:t>
            </w:r>
          </w:p>
        </w:tc>
        <w:tc>
          <w:tcPr>
            <w:tcW w:w="392" w:type="dxa"/>
            <w:tcBorders/>
            <w:vAlign w:val="center"/>
          </w:tcPr>
          <w:p>
            <w:pPr>
              <w:pStyle w:val="TableContents"/>
              <w:bidi w:val="0"/>
              <w:spacing w:before="0" w:after="1"/>
              <w:ind w:left="0" w:right="0" w:hanging="0"/>
              <w:jc w:val="left"/>
              <w:rPr/>
            </w:pPr>
            <w:r>
              <w:rPr/>
              <w:t>​</w:t>
            </w:r>
          </w:p>
        </w:tc>
      </w:tr>
      <w:tr>
        <w:trPr/>
        <w:tc>
          <w:tcPr>
            <w:tcW w:w="4585"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04"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04"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left"/>
              <w:rPr/>
            </w:pPr>
            <w:r>
              <w:rPr/>
              <w:t>​</w:t>
            </w:r>
          </w:p>
        </w:tc>
        <w:tc>
          <w:tcPr>
            <w:tcW w:w="392" w:type="dxa"/>
            <w:tcBorders/>
            <w:shd w:fill="CCEEFF" w:val="clear"/>
            <w:vAlign w:val="center"/>
          </w:tcPr>
          <w:p>
            <w:pPr>
              <w:pStyle w:val="TableContents"/>
              <w:bidi w:val="0"/>
              <w:spacing w:before="0" w:after="1"/>
              <w:ind w:left="0" w:right="0" w:hanging="0"/>
              <w:jc w:val="left"/>
              <w:rPr/>
            </w:pPr>
            <w:r>
              <w:rPr/>
              <w:t>​</w:t>
            </w:r>
          </w:p>
        </w:tc>
      </w:tr>
      <w:tr>
        <w:trPr/>
        <w:tc>
          <w:tcPr>
            <w:tcW w:w="458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 income per share available to common stockholders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0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1.47</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0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1.17</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2.59</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2.22</w:t>
            </w:r>
          </w:p>
        </w:tc>
        <w:tc>
          <w:tcPr>
            <w:tcW w:w="392" w:type="dxa"/>
            <w:tcBorders/>
            <w:vAlign w:val="center"/>
          </w:tcPr>
          <w:p>
            <w:pPr>
              <w:pStyle w:val="TableContents"/>
              <w:bidi w:val="0"/>
              <w:spacing w:before="0" w:after="1"/>
              <w:ind w:left="0" w:right="0" w:hanging="0"/>
              <w:jc w:val="left"/>
              <w:rPr/>
            </w:pPr>
            <w:r>
              <w:rPr/>
              <w:t>​</w:t>
            </w:r>
          </w:p>
        </w:tc>
      </w:tr>
      <w:tr>
        <w:trPr/>
        <w:tc>
          <w:tcPr>
            <w:tcW w:w="458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Diluted income per share available to common stockholders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0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0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2.46</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2.13</w:t>
            </w:r>
          </w:p>
        </w:tc>
        <w:tc>
          <w:tcPr>
            <w:tcW w:w="392" w:type="dxa"/>
            <w:tcBorders/>
            <w:shd w:fill="CCEEFF" w:val="clear"/>
            <w:vAlign w:val="center"/>
          </w:tcPr>
          <w:p>
            <w:pPr>
              <w:pStyle w:val="TableContents"/>
              <w:bidi w:val="0"/>
              <w:spacing w:before="0" w:after="1"/>
              <w:ind w:left="0" w:right="0" w:hanging="0"/>
              <w:jc w:val="left"/>
              <w:rPr/>
            </w:pPr>
            <w:r>
              <w:rPr/>
              <w:t>​</w:t>
            </w:r>
          </w:p>
        </w:tc>
      </w:tr>
      <w:tr>
        <w:trPr/>
        <w:tc>
          <w:tcPr>
            <w:tcW w:w="458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0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0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left"/>
              <w:rPr/>
            </w:pPr>
            <w:r>
              <w:rPr/>
              <w:t>​</w:t>
            </w:r>
          </w:p>
        </w:tc>
        <w:tc>
          <w:tcPr>
            <w:tcW w:w="392" w:type="dxa"/>
            <w:tcBorders/>
            <w:vAlign w:val="center"/>
          </w:tcPr>
          <w:p>
            <w:pPr>
              <w:pStyle w:val="TableContents"/>
              <w:bidi w:val="0"/>
              <w:spacing w:before="0" w:after="1"/>
              <w:ind w:left="0" w:right="0" w:hanging="0"/>
              <w:jc w:val="left"/>
              <w:rPr/>
            </w:pPr>
            <w:r>
              <w:rPr/>
              <w:t>​</w:t>
            </w:r>
          </w:p>
        </w:tc>
      </w:tr>
      <w:tr>
        <w:trPr/>
        <w:tc>
          <w:tcPr>
            <w:tcW w:w="458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Comprehensive income, net of taxes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0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103,770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0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75,980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174,395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138,906</w:t>
            </w:r>
          </w:p>
        </w:tc>
        <w:tc>
          <w:tcPr>
            <w:tcW w:w="392" w:type="dxa"/>
            <w:tcBorders/>
            <w:shd w:fill="CCEEFF" w:val="clear"/>
            <w:vAlign w:val="center"/>
          </w:tcPr>
          <w:p>
            <w:pPr>
              <w:pStyle w:val="TableContents"/>
              <w:bidi w:val="0"/>
              <w:spacing w:before="0" w:after="1"/>
              <w:ind w:left="0" w:right="0" w:hanging="0"/>
              <w:jc w:val="left"/>
              <w:rPr/>
            </w:pPr>
            <w:r>
              <w:rPr/>
              <w:t>​</w:t>
            </w:r>
          </w:p>
        </w:tc>
      </w:tr>
      <w:tr>
        <w:trPr/>
        <w:tc>
          <w:tcPr>
            <w:tcW w:w="458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Comprehensive income, net of taxes, attributable to noncontrolling interest in Opry Entertainment Group</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0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(4,575)</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0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(2,143)</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(4,376)</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(2,866)</w:t>
            </w:r>
          </w:p>
        </w:tc>
        <w:tc>
          <w:tcPr>
            <w:tcW w:w="392" w:type="dxa"/>
            <w:tcBorders/>
            <w:vAlign w:val="center"/>
          </w:tcPr>
          <w:p>
            <w:pPr>
              <w:pStyle w:val="TableContents"/>
              <w:bidi w:val="0"/>
              <w:spacing w:before="0" w:after="1"/>
              <w:ind w:left="0" w:right="0" w:hanging="0"/>
              <w:jc w:val="left"/>
              <w:rPr/>
            </w:pPr>
            <w:r>
              <w:rPr/>
              <w:t>​</w:t>
            </w:r>
          </w:p>
        </w:tc>
      </w:tr>
      <w:tr>
        <w:trPr/>
        <w:tc>
          <w:tcPr>
            <w:tcW w:w="458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Comprehensive income, net of taxes, attributable to other noncontrolling interests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0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(5,290)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0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(2,029)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(4,812)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(1,370)</w:t>
            </w:r>
          </w:p>
        </w:tc>
        <w:tc>
          <w:tcPr>
            <w:tcW w:w="392" w:type="dxa"/>
            <w:tcBorders/>
            <w:shd w:fill="CCEEFF" w:val="clear"/>
            <w:vAlign w:val="center"/>
          </w:tcPr>
          <w:p>
            <w:pPr>
              <w:pStyle w:val="TableContents"/>
              <w:bidi w:val="0"/>
              <w:spacing w:before="0" w:after="1"/>
              <w:ind w:left="0" w:right="0" w:hanging="0"/>
              <w:jc w:val="left"/>
              <w:rPr/>
            </w:pPr>
            <w:r>
              <w:rPr/>
              <w:t>​</w:t>
            </w:r>
          </w:p>
        </w:tc>
      </w:tr>
      <w:tr>
        <w:trPr/>
        <w:tc>
          <w:tcPr>
            <w:tcW w:w="458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Comprehensive income, net of taxes, available to common stockholders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0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93,905</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0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71,808</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165,207</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134,670</w:t>
            </w:r>
          </w:p>
        </w:tc>
        <w:tc>
          <w:tcPr>
            <w:tcW w:w="392" w:type="dxa"/>
            <w:tcBorders/>
            <w:vAlign w:val="center"/>
          </w:tcPr>
          <w:p>
            <w:pPr>
              <w:pStyle w:val="TableContents"/>
              <w:bidi w:val="0"/>
              <w:spacing w:before="0" w:after="1"/>
              <w:ind w:left="0" w:right="0" w:hanging="0"/>
              <w:jc w:val="left"/>
              <w:rPr/>
            </w:pPr>
            <w:r>
              <w:rPr/>
              <w:t>​</w:t>
            </w:r>
          </w:p>
        </w:tc>
      </w:tr>
    </w:tbl>
    <w:p>
      <w:pPr>
        <w:pStyle w:val="TextBody"/>
        <w:bidi w:val="0"/>
        <w:spacing w:before="0" w:after="200"/>
        <w:ind w:left="0" w:right="0" w:hanging="0"/>
        <w:jc w:val="center"/>
        <w:rPr>
          <w:rFonts w:ascii="Times New Roman;Times;serif" w:hAnsi="Times New Roman;Times;serif"/>
          <w:sz w:val="19"/>
        </w:rPr>
      </w:pPr>
      <w:r>
        <w:rPr>
          <w:rFonts w:ascii="Times New Roman;Times;serif" w:hAnsi="Times New Roman;Times;serif"/>
          <w:sz w:val="19"/>
        </w:rPr>
        <w:t>The accompanying notes are an integral part of these condensed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63" w:name="_d6b02384_e3cc_4b05_b12e_da36d0318632"/>
      <w:bookmarkEnd w:id="263"/>
      <w:r>
        <w:rPr>
          <w:rFonts w:ascii="Times New Roman;Times;serif" w:hAnsi="Times New Roman;Times;serif"/>
          <w:b/>
          <w:sz w:val="20"/>
        </w:rPr>
        <w:t>RYMAN HOSPITALITY PROPERTIES, INC. AND SUBSIDIARIES</w:t>
      </w:r>
    </w:p>
    <w:p>
      <w:pPr>
        <w:pStyle w:val="TextBody"/>
        <w:bidi w:val="0"/>
        <w:spacing w:before="0" w:after="0"/>
        <w:ind w:left="0" w:right="0" w:hanging="0"/>
        <w:jc w:val="center"/>
        <w:rPr>
          <w:rFonts w:ascii="Times New Roman;Times;serif" w:hAnsi="Times New Roman;Times;serif"/>
          <w:b/>
          <w:sz w:val="20"/>
        </w:rPr>
      </w:pPr>
      <w:bookmarkStart w:id="264" w:name="CONDENSEDCONSOLIDATEDSTATEMENTSOFCASHFLO"/>
      <w:bookmarkEnd w:id="264"/>
      <w:r>
        <w:rPr>
          <w:rFonts w:ascii="Times New Roman;Times;serif" w:hAnsi="Times New Roman;Times;serif"/>
          <w:b/>
          <w:sz w:val="20"/>
        </w:rPr>
        <w:t>CONDENSED CONSOLIDATED STATEMENTS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Normal"/>
        <w:bidi w:val="0"/>
        <w:spacing w:before="0" w:after="0"/>
        <w:jc w:val="left"/>
        <w:rPr>
          <w:sz w:val="4"/>
          <w:szCs w:val="4"/>
        </w:rPr>
      </w:pPr>
      <w:r>
        <w:rPr>
          <w:sz w:val="4"/>
          <w:szCs w:val="4"/>
        </w:rPr>
      </w:r>
      <w:bookmarkStart w:id="265" w:name="Tc_0F4cqR6x60OMwdQKukAHJQ_47_5"/>
      <w:bookmarkStart w:id="266" w:name="Tc_MpM4YBOKYk6EE6LYhrCWxg_47_2"/>
      <w:bookmarkStart w:id="267" w:name="Tc_dFccClrFqkuFePPcutmjAA_47_0"/>
      <w:bookmarkStart w:id="268" w:name="Tc_LrrcTM8pCUeR_hAuply-jA_46_0"/>
      <w:bookmarkStart w:id="269" w:name="Tc_q2KrlmjGg0itGxjCsD6PXw_45_5"/>
      <w:bookmarkStart w:id="270" w:name="Tc_0djts-vltU6Zhy_9h5WrYw_45_2"/>
      <w:bookmarkStart w:id="271" w:name="Tc_sWR8o0XjdEGglrULEvsRIg_45_0"/>
      <w:bookmarkStart w:id="272" w:name="Tc_KspBSSDDAU66U1-eSn6jcQ_44_0"/>
      <w:bookmarkStart w:id="273" w:name="Tc_4UBbD-9IlESUHExrGmDv7Q_42_5"/>
      <w:bookmarkStart w:id="274" w:name="Tc_ouLbWYgTqk-TljU5QGhclA_42_2"/>
      <w:bookmarkStart w:id="275" w:name="Tc_m_qoeG0fN0m_htLvClpuxg_42_0"/>
      <w:bookmarkStart w:id="276" w:name="Tc_Mob9Pcl6TUq8xonG1pLPFQ_41_0"/>
      <w:bookmarkStart w:id="277" w:name="Tc_4jg2HbDu4k6OzeZKkZg4_w_40_0"/>
      <w:bookmarkStart w:id="278" w:name="Tc_VHl8NNfa7keqo031SKKjNQ_38_0"/>
      <w:bookmarkStart w:id="279" w:name="Tc_PjsIL860WkOwfKIZLUWcCw_37_0"/>
      <w:bookmarkStart w:id="280" w:name="Tc_AWEGQuNavEqDDs2AN7egow_36_0"/>
      <w:bookmarkStart w:id="281" w:name="Tc_c5OngiNGQEyi8eh4d7QFKg_35_0"/>
      <w:bookmarkStart w:id="282" w:name="Tc_EwfuSWlwm0-K-FmhgMtV5A_34_3"/>
      <w:bookmarkStart w:id="283" w:name="Tc_yOls2K2ugUiqU9xfbEQXtQ_34_0"/>
      <w:bookmarkStart w:id="284" w:name="Tc_HkMBQJp4lEK3U2RgRSChkQ_33_0"/>
      <w:bookmarkStart w:id="285" w:name="Tc_MVAFgLYgYkOTUIO5EQIRfQ_32_6"/>
      <w:bookmarkStart w:id="286" w:name="Tc_y367PdEdUEqlbmBwUeSoGw_32_0"/>
      <w:bookmarkStart w:id="287" w:name="Tc_SuWGjpgOM0OU1yjmHJjEuA_31_0"/>
      <w:bookmarkStart w:id="288" w:name="Tc_9eUiE2fnv0alXRadLP544Q_30_3"/>
      <w:bookmarkStart w:id="289" w:name="Tc_CiwKcFQcEk6oFUT3zobpfg_30_0"/>
      <w:bookmarkStart w:id="290" w:name="Tc_bPcqS9CqR0-KPrS_dYFPwQ_29_0"/>
      <w:bookmarkStart w:id="291" w:name="Tc_QboRUGtIdUG2v3-ZtSFM8Q_28_3"/>
      <w:bookmarkStart w:id="292" w:name="Tc_qiu9YjgmpEa-5gwQ7G7qBQ_28_0"/>
      <w:bookmarkStart w:id="293" w:name="Tc_wo5mb8UiTES60aiYzy82lQ_27_3"/>
      <w:bookmarkStart w:id="294" w:name="Tc_sEGI3cO0Qkq0WWFokww7rg_27_0"/>
      <w:bookmarkStart w:id="295" w:name="Tc_EduvRaVWJkGDRFFmjENi2A_26_3"/>
      <w:bookmarkStart w:id="296" w:name="Tc_3piDyfeMQkul_OIxJQXGfA_26_0"/>
      <w:bookmarkStart w:id="297" w:name="Tc_UUqrIcVgPUKDAjVUN1S_Sw_25_0"/>
      <w:bookmarkStart w:id="298" w:name="Tc_SSQtwUSh5UC9yIbBM2LkNg_24_0"/>
      <w:bookmarkStart w:id="299" w:name="Tc_wI9VyZE7P0WZu3asObTb2g_22_0"/>
      <w:bookmarkStart w:id="300" w:name="Tc_7Uoywv1kt0mqUAXuKUbBeQ_21_0"/>
      <w:bookmarkStart w:id="301" w:name="Tc_fxvMoYUF7UCkyJndeWvXNw_20_3"/>
      <w:bookmarkStart w:id="302" w:name="Tc_1hMQCfbJCU2maHsZGiGFxg_20_0"/>
      <w:bookmarkStart w:id="303" w:name="Tc_3J6qZd8IpUuSolfNN8WVsw_19_0"/>
      <w:bookmarkStart w:id="304" w:name="Tc_1s_XvubStkuWv-lPwuqUPg_18_0"/>
      <w:bookmarkStart w:id="305" w:name="Tc_4kudb94LNEK_P4Ca237ocA_16_0"/>
      <w:bookmarkStart w:id="306" w:name="Tc_NpZmZTVYUkivubKWbms8ow_15_0"/>
      <w:bookmarkStart w:id="307" w:name="Tc_Xpb39QFdgUSHa-k_AA7_pA_14_0"/>
      <w:bookmarkStart w:id="308" w:name="Tc_YyiGCJr0pUmXEYVCsHBkuw_13_0"/>
      <w:bookmarkStart w:id="309" w:name="Tc_b09IJMSXBUePSOCK_-YArg_12_0"/>
      <w:bookmarkStart w:id="310" w:name="Tc_q6rqO2S8CkWpmc_wAfZ5ZA_11_0"/>
      <w:bookmarkStart w:id="311" w:name="Tc_2J8IeeBca0CTzIKO7ddrHQ_10_0"/>
      <w:bookmarkStart w:id="312" w:name="Tc_qwjoBP_RSUuvGIZ5nAr4cw_9_0"/>
      <w:bookmarkStart w:id="313" w:name="Tc_LAidDqwPoUufORJkQvnJeg_8_0"/>
      <w:bookmarkStart w:id="314" w:name="Tc_J51HYp7RV0-AaJpc2Cr2HQ_7_0"/>
      <w:bookmarkStart w:id="315" w:name="Tc_Im3GBTbOwUi8Tv-LXud7yg_6_0"/>
      <w:bookmarkStart w:id="316" w:name="Tc_qwXu6g5dcEKkBzQ_KpV01Q_5_5"/>
      <w:bookmarkStart w:id="317" w:name="Tc_r7Bab1dVtkmaJehs77MUgA_5_2"/>
      <w:bookmarkStart w:id="318" w:name="Tc_XjQ7QTNc2k-ejav1IE0b7g_5_0"/>
      <w:bookmarkStart w:id="319" w:name="Tc_Brf1W3L03Uedo0-eq0466w_4_0"/>
      <w:bookmarkStart w:id="320" w:name="Tc_7RZLUDLJi0-fSpVRAWYSxw_3_5"/>
      <w:bookmarkStart w:id="321" w:name="Tc_NEj28YaGhEyRDTzkrksayg_3_2"/>
      <w:bookmarkStart w:id="322" w:name="Tc_uHIZ6gZCEU28GCgp3KomcQ_2_2"/>
      <w:bookmarkStart w:id="323" w:name="Tc_RAF1ET7tMUirsZdGwUoKtA_1_2"/>
      <w:bookmarkStart w:id="324" w:name="_18819778_86a0_47a8_83ed_28330e03dac6"/>
      <w:bookmarkStart w:id="325" w:name="Tc_0F4cqR6x60OMwdQKukAHJQ_47_5"/>
      <w:bookmarkStart w:id="326" w:name="Tc_MpM4YBOKYk6EE6LYhrCWxg_47_2"/>
      <w:bookmarkStart w:id="327" w:name="Tc_dFccClrFqkuFePPcutmjAA_47_0"/>
      <w:bookmarkStart w:id="328" w:name="Tc_LrrcTM8pCUeR_hAuply-jA_46_0"/>
      <w:bookmarkStart w:id="329" w:name="Tc_q2KrlmjGg0itGxjCsD6PXw_45_5"/>
      <w:bookmarkStart w:id="330" w:name="Tc_0djts-vltU6Zhy_9h5WrYw_45_2"/>
      <w:bookmarkStart w:id="331" w:name="Tc_sWR8o0XjdEGglrULEvsRIg_45_0"/>
      <w:bookmarkStart w:id="332" w:name="Tc_KspBSSDDAU66U1-eSn6jcQ_44_0"/>
      <w:bookmarkStart w:id="333" w:name="Tc_4UBbD-9IlESUHExrGmDv7Q_42_5"/>
      <w:bookmarkStart w:id="334" w:name="Tc_ouLbWYgTqk-TljU5QGhclA_42_2"/>
      <w:bookmarkStart w:id="335" w:name="Tc_m_qoeG0fN0m_htLvClpuxg_42_0"/>
      <w:bookmarkStart w:id="336" w:name="Tc_Mob9Pcl6TUq8xonG1pLPFQ_41_0"/>
      <w:bookmarkStart w:id="337" w:name="Tc_4jg2HbDu4k6OzeZKkZg4_w_40_0"/>
      <w:bookmarkStart w:id="338" w:name="Tc_VHl8NNfa7keqo031SKKjNQ_38_0"/>
      <w:bookmarkStart w:id="339" w:name="Tc_PjsIL860WkOwfKIZLUWcCw_37_0"/>
      <w:bookmarkStart w:id="340" w:name="Tc_AWEGQuNavEqDDs2AN7egow_36_0"/>
      <w:bookmarkStart w:id="341" w:name="Tc_c5OngiNGQEyi8eh4d7QFKg_35_0"/>
      <w:bookmarkStart w:id="342" w:name="Tc_EwfuSWlwm0-K-FmhgMtV5A_34_3"/>
      <w:bookmarkStart w:id="343" w:name="Tc_yOls2K2ugUiqU9xfbEQXtQ_34_0"/>
      <w:bookmarkStart w:id="344" w:name="Tc_HkMBQJp4lEK3U2RgRSChkQ_33_0"/>
      <w:bookmarkStart w:id="345" w:name="Tc_MVAFgLYgYkOTUIO5EQIRfQ_32_6"/>
      <w:bookmarkStart w:id="346" w:name="Tc_y367PdEdUEqlbmBwUeSoGw_32_0"/>
      <w:bookmarkStart w:id="347" w:name="Tc_SuWGjpgOM0OU1yjmHJjEuA_31_0"/>
      <w:bookmarkStart w:id="348" w:name="Tc_9eUiE2fnv0alXRadLP544Q_30_3"/>
      <w:bookmarkStart w:id="349" w:name="Tc_CiwKcFQcEk6oFUT3zobpfg_30_0"/>
      <w:bookmarkStart w:id="350" w:name="Tc_bPcqS9CqR0-KPrS_dYFPwQ_29_0"/>
      <w:bookmarkStart w:id="351" w:name="Tc_QboRUGtIdUG2v3-ZtSFM8Q_28_3"/>
      <w:bookmarkStart w:id="352" w:name="Tc_qiu9YjgmpEa-5gwQ7G7qBQ_28_0"/>
      <w:bookmarkStart w:id="353" w:name="Tc_wo5mb8UiTES60aiYzy82lQ_27_3"/>
      <w:bookmarkStart w:id="354" w:name="Tc_sEGI3cO0Qkq0WWFokww7rg_27_0"/>
      <w:bookmarkStart w:id="355" w:name="Tc_EduvRaVWJkGDRFFmjENi2A_26_3"/>
      <w:bookmarkStart w:id="356" w:name="Tc_3piDyfeMQkul_OIxJQXGfA_26_0"/>
      <w:bookmarkStart w:id="357" w:name="Tc_UUqrIcVgPUKDAjVUN1S_Sw_25_0"/>
      <w:bookmarkStart w:id="358" w:name="Tc_SSQtwUSh5UC9yIbBM2LkNg_24_0"/>
      <w:bookmarkStart w:id="359" w:name="Tc_wI9VyZE7P0WZu3asObTb2g_22_0"/>
      <w:bookmarkStart w:id="360" w:name="Tc_7Uoywv1kt0mqUAXuKUbBeQ_21_0"/>
      <w:bookmarkStart w:id="361" w:name="Tc_fxvMoYUF7UCkyJndeWvXNw_20_3"/>
      <w:bookmarkStart w:id="362" w:name="Tc_1hMQCfbJCU2maHsZGiGFxg_20_0"/>
      <w:bookmarkStart w:id="363" w:name="Tc_3J6qZd8IpUuSolfNN8WVsw_19_0"/>
      <w:bookmarkStart w:id="364" w:name="Tc_1s_XvubStkuWv-lPwuqUPg_18_0"/>
      <w:bookmarkStart w:id="365" w:name="Tc_4kudb94LNEK_P4Ca237ocA_16_0"/>
      <w:bookmarkStart w:id="366" w:name="Tc_NpZmZTVYUkivubKWbms8ow_15_0"/>
      <w:bookmarkStart w:id="367" w:name="Tc_Xpb39QFdgUSHa-k_AA7_pA_14_0"/>
      <w:bookmarkStart w:id="368" w:name="Tc_YyiGCJr0pUmXEYVCsHBkuw_13_0"/>
      <w:bookmarkStart w:id="369" w:name="Tc_b09IJMSXBUePSOCK_-YArg_12_0"/>
      <w:bookmarkStart w:id="370" w:name="Tc_q6rqO2S8CkWpmc_wAfZ5ZA_11_0"/>
      <w:bookmarkStart w:id="371" w:name="Tc_2J8IeeBca0CTzIKO7ddrHQ_10_0"/>
      <w:bookmarkStart w:id="372" w:name="Tc_qwjoBP_RSUuvGIZ5nAr4cw_9_0"/>
      <w:bookmarkStart w:id="373" w:name="Tc_LAidDqwPoUufORJkQvnJeg_8_0"/>
      <w:bookmarkStart w:id="374" w:name="Tc_J51HYp7RV0-AaJpc2Cr2HQ_7_0"/>
      <w:bookmarkStart w:id="375" w:name="Tc_Im3GBTbOwUi8Tv-LXud7yg_6_0"/>
      <w:bookmarkStart w:id="376" w:name="Tc_qwXu6g5dcEKkBzQ_KpV01Q_5_5"/>
      <w:bookmarkStart w:id="377" w:name="Tc_r7Bab1dVtkmaJehs77MUgA_5_2"/>
      <w:bookmarkStart w:id="378" w:name="Tc_XjQ7QTNc2k-ejav1IE0b7g_5_0"/>
      <w:bookmarkStart w:id="379" w:name="Tc_Brf1W3L03Uedo0-eq0466w_4_0"/>
      <w:bookmarkStart w:id="380" w:name="Tc_7RZLUDLJi0-fSpVRAWYSxw_3_5"/>
      <w:bookmarkStart w:id="381" w:name="Tc_NEj28YaGhEyRDTzkrksayg_3_2"/>
      <w:bookmarkStart w:id="382" w:name="Tc_uHIZ6gZCEU28GCgp3KomcQ_2_2"/>
      <w:bookmarkStart w:id="383" w:name="Tc_RAF1ET7tMUirsZdGwUoKtA_1_2"/>
      <w:bookmarkStart w:id="384" w:name="_18819778_86a0_47a8_83ed_28330e03dac6"/>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p>
    <w:tbl>
      <w:tblPr>
        <w:tblW w:w="9143" w:type="dxa"/>
        <w:jc w:val="left"/>
        <w:tblInd w:w="0" w:type="dxa"/>
        <w:tblLayout w:type="fixed"/>
        <w:tblCellMar>
          <w:top w:w="0" w:type="dxa"/>
          <w:left w:w="0" w:type="dxa"/>
          <w:bottom w:w="0" w:type="dxa"/>
          <w:right w:w="0" w:type="dxa"/>
        </w:tblCellMar>
      </w:tblPr>
      <w:tblGrid>
        <w:gridCol w:w="5911"/>
        <w:gridCol w:w="346"/>
        <w:gridCol w:w="196"/>
        <w:gridCol w:w="811"/>
        <w:gridCol w:w="346"/>
        <w:gridCol w:w="196"/>
        <w:gridCol w:w="946"/>
        <w:gridCol w:w="391"/>
      </w:tblGrid>
      <w:tr>
        <w:trPr/>
        <w:tc>
          <w:tcPr>
            <w:tcW w:w="59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3753485" cy="175260"/>
                      <wp:effectExtent l="0" t="0" r="0" b="0"/>
                      <wp:wrapNone/>
                      <wp:docPr id="24" name="Frame24"/>
                      <a:graphic xmlns:a="http://schemas.openxmlformats.org/drawingml/2006/main">
                        <a:graphicData uri="http://schemas.microsoft.com/office/word/2010/wordprocessingShape">
                          <wps:wsp>
                            <wps:cNvSpPr txBox="1"/>
                            <wps:spPr>
                              <a:xfrm>
                                <a:off x="0" y="0"/>
                                <a:ext cx="3753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19710" cy="175260"/>
                      <wp:effectExtent l="0" t="0" r="0" b="0"/>
                      <wp:wrapNone/>
                      <wp:docPr id="25" name="Frame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24460" cy="175260"/>
                      <wp:effectExtent l="0" t="0" r="0" b="0"/>
                      <wp:wrapNone/>
                      <wp:docPr id="26" name="Frame2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514985" cy="175260"/>
                      <wp:effectExtent l="0" t="0" r="0" b="0"/>
                      <wp:wrapNone/>
                      <wp:docPr id="27" name="Frame27"/>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19710" cy="175260"/>
                      <wp:effectExtent l="0" t="0" r="0" b="0"/>
                      <wp:wrapNone/>
                      <wp:docPr id="28" name="Frame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24460" cy="175260"/>
                      <wp:effectExtent l="0" t="0" r="0" b="0"/>
                      <wp:wrapNone/>
                      <wp:docPr id="29" name="Frame2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00710" cy="175260"/>
                      <wp:effectExtent l="0" t="0" r="0" b="0"/>
                      <wp:wrapNone/>
                      <wp:docPr id="30" name="Frame30"/>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48285" cy="175260"/>
                      <wp:effectExtent l="0" t="0" r="0" b="0"/>
                      <wp:wrapNone/>
                      <wp:docPr id="31" name="Frame31"/>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9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49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91" w:type="dxa"/>
            <w:tcBorders/>
            <w:vAlign w:val="center"/>
          </w:tcPr>
          <w:p>
            <w:pPr>
              <w:pStyle w:val="TableContents"/>
              <w:bidi w:val="0"/>
              <w:spacing w:before="0" w:after="1"/>
              <w:ind w:left="0" w:right="0" w:hanging="0"/>
              <w:jc w:val="left"/>
              <w:rPr/>
            </w:pPr>
            <w:r>
              <w:rPr/>
              <w:t>​</w:t>
            </w:r>
          </w:p>
        </w:tc>
      </w:tr>
      <w:tr>
        <w:trPr/>
        <w:tc>
          <w:tcPr>
            <w:tcW w:w="59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49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91" w:type="dxa"/>
            <w:tcBorders/>
            <w:vAlign w:val="center"/>
          </w:tcPr>
          <w:p>
            <w:pPr>
              <w:pStyle w:val="TableContents"/>
              <w:bidi w:val="0"/>
              <w:spacing w:before="0" w:after="1"/>
              <w:ind w:left="0" w:right="0" w:hanging="0"/>
              <w:jc w:val="left"/>
              <w:rPr/>
            </w:pPr>
            <w:r>
              <w:rPr/>
              <w:t>​</w:t>
            </w:r>
          </w:p>
        </w:tc>
      </w:tr>
      <w:tr>
        <w:trPr/>
        <w:tc>
          <w:tcPr>
            <w:tcW w:w="59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1" w:type="dxa"/>
            <w:tcBorders/>
            <w:vAlign w:val="center"/>
          </w:tcPr>
          <w:p>
            <w:pPr>
              <w:pStyle w:val="TableContents"/>
              <w:bidi w:val="0"/>
              <w:spacing w:before="0" w:after="1"/>
              <w:ind w:left="0" w:right="0" w:hanging="0"/>
              <w:jc w:val="left"/>
              <w:rPr/>
            </w:pPr>
            <w:r>
              <w:rPr/>
              <w:t>  ​ ​ ​</w:t>
            </w:r>
          </w:p>
        </w:tc>
      </w:tr>
      <w:tr>
        <w:trPr/>
        <w:tc>
          <w:tcPr>
            <w:tcW w:w="5911"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Cash Flows from Operating Activities:</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pPr>
            <w:r>
              <w:rPr/>
              <w:t>  ​</w:t>
            </w:r>
          </w:p>
        </w:tc>
        <w:tc>
          <w:tcPr>
            <w:tcW w:w="391" w:type="dxa"/>
            <w:tcBorders/>
            <w:shd w:fill="CCEEFF" w:val="clear"/>
            <w:vAlign w:val="center"/>
          </w:tcPr>
          <w:p>
            <w:pPr>
              <w:pStyle w:val="TableContents"/>
              <w:bidi w:val="0"/>
              <w:spacing w:before="0" w:after="1"/>
              <w:ind w:left="0" w:right="0" w:hanging="0"/>
              <w:jc w:val="left"/>
              <w:rPr/>
            </w:pPr>
            <w:r>
              <w:rPr/>
              <w:t> </w:t>
            </w:r>
          </w:p>
        </w:tc>
      </w:tr>
      <w:tr>
        <w:trPr/>
        <w:tc>
          <w:tcPr>
            <w:tcW w:w="5911"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Net income</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171,481</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138,889</w:t>
            </w:r>
          </w:p>
        </w:tc>
        <w:tc>
          <w:tcPr>
            <w:tcW w:w="391" w:type="dxa"/>
            <w:tcBorders/>
            <w:vAlign w:val="center"/>
          </w:tcPr>
          <w:p>
            <w:pPr>
              <w:pStyle w:val="TableContents"/>
              <w:bidi w:val="0"/>
              <w:spacing w:before="0" w:after="1"/>
              <w:ind w:left="0" w:right="0" w:hanging="0"/>
              <w:jc w:val="left"/>
              <w:rPr/>
            </w:pPr>
            <w:r>
              <w:rPr/>
              <w:t>​</w:t>
            </w:r>
          </w:p>
        </w:tc>
      </w:tr>
      <w:tr>
        <w:trPr/>
        <w:tc>
          <w:tcPr>
            <w:tcW w:w="5911"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Amounts to reconcile net income to net cash flows provided by operating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pPr>
            <w:r>
              <w:rPr/>
              <w:t>​</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5911"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Provision for deferred income taxes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16,611</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9,470</w:t>
            </w:r>
          </w:p>
        </w:tc>
        <w:tc>
          <w:tcPr>
            <w:tcW w:w="391" w:type="dxa"/>
            <w:tcBorders/>
            <w:vAlign w:val="center"/>
          </w:tcPr>
          <w:p>
            <w:pPr>
              <w:pStyle w:val="TableContents"/>
              <w:bidi w:val="0"/>
              <w:spacing w:before="0" w:after="1"/>
              <w:ind w:left="0" w:right="0" w:hanging="0"/>
              <w:jc w:val="left"/>
              <w:rPr/>
            </w:pPr>
            <w:r>
              <w:rPr/>
              <w:t>​</w:t>
            </w:r>
          </w:p>
        </w:tc>
      </w:tr>
      <w:tr>
        <w:trPr/>
        <w:tc>
          <w:tcPr>
            <w:tcW w:w="5911"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Depreciation and amortization</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152,785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130,680</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5911"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Amortization of deferred financing costs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6,352</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5,607</w:t>
            </w:r>
          </w:p>
        </w:tc>
        <w:tc>
          <w:tcPr>
            <w:tcW w:w="391" w:type="dxa"/>
            <w:tcBorders/>
            <w:vAlign w:val="center"/>
          </w:tcPr>
          <w:p>
            <w:pPr>
              <w:pStyle w:val="TableContents"/>
              <w:bidi w:val="0"/>
              <w:spacing w:before="0" w:after="1"/>
              <w:ind w:left="0" w:right="0" w:hanging="0"/>
              <w:jc w:val="left"/>
              <w:rPr/>
            </w:pPr>
            <w:r>
              <w:rPr/>
              <w:t>​</w:t>
            </w:r>
          </w:p>
        </w:tc>
      </w:tr>
      <w:tr>
        <w:trPr/>
        <w:tc>
          <w:tcPr>
            <w:tcW w:w="5911"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(Income) loss from unconsolidated joint ventures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29</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5911"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Equity-based compensation expense</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7,629</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7,117</w:t>
            </w:r>
          </w:p>
        </w:tc>
        <w:tc>
          <w:tcPr>
            <w:tcW w:w="391" w:type="dxa"/>
            <w:tcBorders/>
            <w:vAlign w:val="center"/>
          </w:tcPr>
          <w:p>
            <w:pPr>
              <w:pStyle w:val="TableContents"/>
              <w:bidi w:val="0"/>
              <w:spacing w:before="0" w:after="1"/>
              <w:ind w:left="0" w:right="0" w:hanging="0"/>
              <w:jc w:val="left"/>
              <w:rPr/>
            </w:pPr>
            <w:r>
              <w:rPr/>
              <w:t>​</w:t>
            </w:r>
          </w:p>
        </w:tc>
      </w:tr>
      <w:tr>
        <w:trPr/>
        <w:tc>
          <w:tcPr>
            <w:tcW w:w="5911"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Changes in:</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pPr>
            <w:r>
              <w:rPr/>
              <w:t>​</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5911"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Trade receivables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(16,218)</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(21,048)</w:t>
            </w:r>
          </w:p>
        </w:tc>
        <w:tc>
          <w:tcPr>
            <w:tcW w:w="391" w:type="dxa"/>
            <w:tcBorders/>
            <w:vAlign w:val="center"/>
          </w:tcPr>
          <w:p>
            <w:pPr>
              <w:pStyle w:val="TableContents"/>
              <w:bidi w:val="0"/>
              <w:spacing w:before="0" w:after="1"/>
              <w:ind w:left="0" w:right="0" w:hanging="0"/>
              <w:jc w:val="left"/>
              <w:rPr/>
            </w:pPr>
            <w:r>
              <w:rPr/>
              <w:t>​</w:t>
            </w:r>
          </w:p>
        </w:tc>
      </w:tr>
      <w:tr>
        <w:trPr/>
        <w:tc>
          <w:tcPr>
            <w:tcW w:w="5911"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Accounts payable and accrued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(24,245)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(65,351)</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5911"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Other assets and liabilities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7,550</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15,326</w:t>
            </w:r>
          </w:p>
        </w:tc>
        <w:tc>
          <w:tcPr>
            <w:tcW w:w="391" w:type="dxa"/>
            <w:tcBorders/>
            <w:vAlign w:val="center"/>
          </w:tcPr>
          <w:p>
            <w:pPr>
              <w:pStyle w:val="TableContents"/>
              <w:bidi w:val="0"/>
              <w:spacing w:before="0" w:after="1"/>
              <w:ind w:left="0" w:right="0" w:hanging="0"/>
              <w:jc w:val="left"/>
              <w:rPr/>
            </w:pPr>
            <w:r>
              <w:rPr/>
              <w:t>​</w:t>
            </w:r>
          </w:p>
        </w:tc>
      </w:tr>
      <w:tr>
        <w:trPr/>
        <w:tc>
          <w:tcPr>
            <w:tcW w:w="5911"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Net cash flows provided by operating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321,941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220,719</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59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left"/>
              <w:rPr/>
            </w:pPr>
            <w:r>
              <w:rPr/>
              <w:t>​</w:t>
            </w:r>
          </w:p>
        </w:tc>
        <w:tc>
          <w:tcPr>
            <w:tcW w:w="391" w:type="dxa"/>
            <w:tcBorders/>
            <w:vAlign w:val="center"/>
          </w:tcPr>
          <w:p>
            <w:pPr>
              <w:pStyle w:val="TableContents"/>
              <w:bidi w:val="0"/>
              <w:spacing w:before="0" w:after="1"/>
              <w:ind w:left="0" w:right="0" w:hanging="0"/>
              <w:jc w:val="left"/>
              <w:rPr/>
            </w:pPr>
            <w:r>
              <w:rPr/>
              <w:t>​</w:t>
            </w:r>
          </w:p>
        </w:tc>
      </w:tr>
      <w:tr>
        <w:trPr/>
        <w:tc>
          <w:tcPr>
            <w:tcW w:w="5911"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Cash Flows from Investing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46" w:type="dxa"/>
            <w:tcBorders/>
            <w:shd w:fill="CCEEFF" w:val="clear"/>
            <w:vAlign w:val="center"/>
          </w:tcPr>
          <w:p>
            <w:pPr>
              <w:pStyle w:val="TableContents"/>
              <w:bidi w:val="0"/>
              <w:spacing w:before="0" w:after="1"/>
              <w:ind w:left="0" w:right="0" w:hanging="0"/>
              <w:jc w:val="right"/>
              <w:rPr/>
            </w:pPr>
            <w:r>
              <w:rPr/>
              <w:t>  ​</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5911"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Purchases of property and equipment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(241,190)</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(182,238)</w:t>
            </w:r>
          </w:p>
        </w:tc>
        <w:tc>
          <w:tcPr>
            <w:tcW w:w="391" w:type="dxa"/>
            <w:tcBorders/>
            <w:vAlign w:val="center"/>
          </w:tcPr>
          <w:p>
            <w:pPr>
              <w:pStyle w:val="TableContents"/>
              <w:bidi w:val="0"/>
              <w:spacing w:before="0" w:after="1"/>
              <w:ind w:left="0" w:right="0" w:hanging="0"/>
              <w:jc w:val="left"/>
              <w:rPr/>
            </w:pPr>
            <w:r>
              <w:rPr/>
              <w:t>​</w:t>
            </w:r>
          </w:p>
        </w:tc>
      </w:tr>
      <w:tr>
        <w:trPr/>
        <w:tc>
          <w:tcPr>
            <w:tcW w:w="5911"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Purchase of JW Marriott Desert Ridge, net of cash acquired</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(861,958)</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5911"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Other investing activities, net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(851)</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(18,609)</w:t>
            </w:r>
          </w:p>
        </w:tc>
        <w:tc>
          <w:tcPr>
            <w:tcW w:w="391" w:type="dxa"/>
            <w:tcBorders/>
            <w:vAlign w:val="center"/>
          </w:tcPr>
          <w:p>
            <w:pPr>
              <w:pStyle w:val="TableContents"/>
              <w:bidi w:val="0"/>
              <w:spacing w:before="0" w:after="1"/>
              <w:ind w:left="0" w:right="0" w:hanging="0"/>
              <w:jc w:val="left"/>
              <w:rPr/>
            </w:pPr>
            <w:r>
              <w:rPr/>
              <w:t>​</w:t>
            </w:r>
          </w:p>
        </w:tc>
      </w:tr>
      <w:tr>
        <w:trPr/>
        <w:tc>
          <w:tcPr>
            <w:tcW w:w="5911"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Net cash flows used in investing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(242,041)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(1,062,805)</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59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left"/>
              <w:rPr/>
            </w:pPr>
            <w:r>
              <w:rPr/>
              <w:t>​</w:t>
            </w:r>
          </w:p>
        </w:tc>
        <w:tc>
          <w:tcPr>
            <w:tcW w:w="391" w:type="dxa"/>
            <w:tcBorders/>
            <w:vAlign w:val="center"/>
          </w:tcPr>
          <w:p>
            <w:pPr>
              <w:pStyle w:val="TableContents"/>
              <w:bidi w:val="0"/>
              <w:spacing w:before="0" w:after="1"/>
              <w:ind w:left="0" w:right="0" w:hanging="0"/>
              <w:jc w:val="left"/>
              <w:rPr/>
            </w:pPr>
            <w:r>
              <w:rPr/>
              <w:t>​</w:t>
            </w:r>
          </w:p>
        </w:tc>
      </w:tr>
      <w:tr>
        <w:trPr/>
        <w:tc>
          <w:tcPr>
            <w:tcW w:w="5911"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Cash Flows from Financing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46" w:type="dxa"/>
            <w:tcBorders/>
            <w:shd w:fill="CCEEFF" w:val="clear"/>
            <w:vAlign w:val="center"/>
          </w:tcPr>
          <w:p>
            <w:pPr>
              <w:pStyle w:val="TableContents"/>
              <w:bidi w:val="0"/>
              <w:spacing w:before="0" w:after="1"/>
              <w:ind w:left="0" w:right="0" w:hanging="0"/>
              <w:jc w:val="right"/>
              <w:rPr/>
            </w:pPr>
            <w:r>
              <w:rPr/>
              <w:t>  ​</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5911"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Repayments under term loan B</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(1,468)</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(1,468)</w:t>
            </w:r>
          </w:p>
        </w:tc>
        <w:tc>
          <w:tcPr>
            <w:tcW w:w="391" w:type="dxa"/>
            <w:tcBorders/>
            <w:vAlign w:val="center"/>
          </w:tcPr>
          <w:p>
            <w:pPr>
              <w:pStyle w:val="TableContents"/>
              <w:bidi w:val="0"/>
              <w:spacing w:before="0" w:after="1"/>
              <w:ind w:left="0" w:right="0" w:hanging="0"/>
              <w:jc w:val="left"/>
              <w:rPr/>
            </w:pPr>
            <w:r>
              <w:rPr/>
              <w:t>​</w:t>
            </w:r>
          </w:p>
        </w:tc>
      </w:tr>
      <w:tr>
        <w:trPr/>
        <w:tc>
          <w:tcPr>
            <w:tcW w:w="5911"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Borrowings under OEG revolving credit facility</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5,000</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5911"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Repayments under OEG revolving credit facility</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(26,000)</w:t>
            </w:r>
          </w:p>
        </w:tc>
        <w:tc>
          <w:tcPr>
            <w:tcW w:w="391" w:type="dxa"/>
            <w:tcBorders/>
            <w:vAlign w:val="center"/>
          </w:tcPr>
          <w:p>
            <w:pPr>
              <w:pStyle w:val="TableContents"/>
              <w:bidi w:val="0"/>
              <w:spacing w:before="0" w:after="1"/>
              <w:ind w:left="0" w:right="0" w:hanging="0"/>
              <w:jc w:val="left"/>
              <w:rPr/>
            </w:pPr>
            <w:r>
              <w:rPr/>
              <w:t>​</w:t>
            </w:r>
          </w:p>
        </w:tc>
      </w:tr>
      <w:tr>
        <w:trPr/>
        <w:tc>
          <w:tcPr>
            <w:tcW w:w="5911"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Borrowings under OEG term loan</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128,128</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5911"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Repayments under OEG term loan</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(2,153)</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(1,827)</w:t>
            </w:r>
          </w:p>
        </w:tc>
        <w:tc>
          <w:tcPr>
            <w:tcW w:w="391" w:type="dxa"/>
            <w:tcBorders/>
            <w:vAlign w:val="center"/>
          </w:tcPr>
          <w:p>
            <w:pPr>
              <w:pStyle w:val="TableContents"/>
              <w:bidi w:val="0"/>
              <w:spacing w:before="0" w:after="1"/>
              <w:ind w:left="0" w:right="0" w:hanging="0"/>
              <w:jc w:val="left"/>
              <w:rPr/>
            </w:pPr>
            <w:r>
              <w:rPr/>
              <w:t>​</w:t>
            </w:r>
          </w:p>
        </w:tc>
      </w:tr>
      <w:tr>
        <w:trPr/>
        <w:tc>
          <w:tcPr>
            <w:tcW w:w="5911"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Repayments under Block 21 CMBS loan</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(128,967)</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5911"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Issuance of senior notes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700,000</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625,000</w:t>
            </w:r>
          </w:p>
        </w:tc>
        <w:tc>
          <w:tcPr>
            <w:tcW w:w="391" w:type="dxa"/>
            <w:tcBorders/>
            <w:vAlign w:val="center"/>
          </w:tcPr>
          <w:p>
            <w:pPr>
              <w:pStyle w:val="TableContents"/>
              <w:bidi w:val="0"/>
              <w:spacing w:before="0" w:after="1"/>
              <w:ind w:left="0" w:right="0" w:hanging="0"/>
              <w:jc w:val="left"/>
              <w:rPr/>
            </w:pPr>
            <w:r>
              <w:rPr/>
              <w:t>​</w:t>
            </w:r>
          </w:p>
        </w:tc>
      </w:tr>
      <w:tr>
        <w:trPr/>
        <w:tc>
          <w:tcPr>
            <w:tcW w:w="5911"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Redemption of senior notes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(700,000)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pPr>
            <w:r>
              <w:rPr/>
              <w:t>—</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5911"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Deferred financing costs paid</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(19,276)</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(12,572)</w:t>
            </w:r>
          </w:p>
        </w:tc>
        <w:tc>
          <w:tcPr>
            <w:tcW w:w="391" w:type="dxa"/>
            <w:tcBorders/>
            <w:vAlign w:val="center"/>
          </w:tcPr>
          <w:p>
            <w:pPr>
              <w:pStyle w:val="TableContents"/>
              <w:bidi w:val="0"/>
              <w:spacing w:before="0" w:after="1"/>
              <w:ind w:left="0" w:right="0" w:hanging="0"/>
              <w:jc w:val="left"/>
              <w:rPr/>
            </w:pPr>
            <w:r>
              <w:rPr/>
              <w:t>​</w:t>
            </w:r>
          </w:p>
        </w:tc>
      </w:tr>
      <w:tr>
        <w:trPr/>
        <w:tc>
          <w:tcPr>
            <w:tcW w:w="5911"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Issuance of common stock, net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275,532</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5911"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Payment of distributions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(153,731)</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(139,721)</w:t>
            </w:r>
          </w:p>
        </w:tc>
        <w:tc>
          <w:tcPr>
            <w:tcW w:w="391" w:type="dxa"/>
            <w:tcBorders/>
            <w:vAlign w:val="center"/>
          </w:tcPr>
          <w:p>
            <w:pPr>
              <w:pStyle w:val="TableContents"/>
              <w:bidi w:val="0"/>
              <w:spacing w:before="0" w:after="1"/>
              <w:ind w:left="0" w:right="0" w:hanging="0"/>
              <w:jc w:val="left"/>
              <w:rPr/>
            </w:pPr>
            <w:r>
              <w:rPr/>
              <w:t>​</w:t>
            </w:r>
          </w:p>
        </w:tc>
      </w:tr>
      <w:tr>
        <w:trPr/>
        <w:tc>
          <w:tcPr>
            <w:tcW w:w="5911"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Payment of tax withholdings for equity-based compensation</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(5,429)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(5,472)</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5911"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Other financing activities, net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(203)</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(1,070)</w:t>
            </w:r>
          </w:p>
        </w:tc>
        <w:tc>
          <w:tcPr>
            <w:tcW w:w="391" w:type="dxa"/>
            <w:tcBorders/>
            <w:vAlign w:val="center"/>
          </w:tcPr>
          <w:p>
            <w:pPr>
              <w:pStyle w:val="TableContents"/>
              <w:bidi w:val="0"/>
              <w:spacing w:before="0" w:after="1"/>
              <w:ind w:left="0" w:right="0" w:hanging="0"/>
              <w:jc w:val="left"/>
              <w:rPr/>
            </w:pPr>
            <w:r>
              <w:rPr/>
              <w:t>​</w:t>
            </w:r>
          </w:p>
        </w:tc>
      </w:tr>
      <w:tr>
        <w:trPr/>
        <w:tc>
          <w:tcPr>
            <w:tcW w:w="5911"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Net cash flows provided by (used in) financing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(182,260)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716,563</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59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left"/>
              <w:rPr/>
            </w:pPr>
            <w:r>
              <w:rPr/>
              <w:t>​</w:t>
            </w:r>
          </w:p>
        </w:tc>
        <w:tc>
          <w:tcPr>
            <w:tcW w:w="391" w:type="dxa"/>
            <w:tcBorders/>
            <w:vAlign w:val="center"/>
          </w:tcPr>
          <w:p>
            <w:pPr>
              <w:pStyle w:val="TableContents"/>
              <w:bidi w:val="0"/>
              <w:spacing w:before="0" w:after="1"/>
              <w:ind w:left="0" w:right="0" w:hanging="0"/>
              <w:jc w:val="left"/>
              <w:rPr/>
            </w:pPr>
            <w:r>
              <w:rPr/>
              <w:t>​</w:t>
            </w:r>
          </w:p>
        </w:tc>
      </w:tr>
      <w:tr>
        <w:trPr/>
        <w:tc>
          <w:tcPr>
            <w:tcW w:w="5911"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Net change in cash, cash equivalents, and restricted cash</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(102,360)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(125,523)</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5911"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Cash, cash equivalents, and restricted cash, beginning of period</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500,180</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576,228</w:t>
            </w:r>
          </w:p>
        </w:tc>
        <w:tc>
          <w:tcPr>
            <w:tcW w:w="391" w:type="dxa"/>
            <w:tcBorders/>
            <w:vAlign w:val="center"/>
          </w:tcPr>
          <w:p>
            <w:pPr>
              <w:pStyle w:val="TableContents"/>
              <w:bidi w:val="0"/>
              <w:spacing w:before="0" w:after="1"/>
              <w:ind w:left="0" w:right="0" w:hanging="0"/>
              <w:jc w:val="left"/>
              <w:rPr/>
            </w:pPr>
            <w:r>
              <w:rPr/>
              <w:t>​</w:t>
            </w:r>
          </w:p>
        </w:tc>
      </w:tr>
      <w:tr>
        <w:trPr/>
        <w:tc>
          <w:tcPr>
            <w:tcW w:w="5911"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Cash, cash equivalents, and restricted cash, end of period</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8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397,820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9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450,705</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59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left"/>
              <w:rPr/>
            </w:pPr>
            <w:r>
              <w:rPr/>
              <w:t>​</w:t>
            </w:r>
          </w:p>
        </w:tc>
        <w:tc>
          <w:tcPr>
            <w:tcW w:w="391" w:type="dxa"/>
            <w:tcBorders/>
            <w:vAlign w:val="center"/>
          </w:tcPr>
          <w:p>
            <w:pPr>
              <w:pStyle w:val="TableContents"/>
              <w:bidi w:val="0"/>
              <w:spacing w:before="0" w:after="1"/>
              <w:ind w:left="0" w:right="0" w:hanging="0"/>
              <w:jc w:val="left"/>
              <w:rPr/>
            </w:pPr>
            <w:r>
              <w:rPr/>
              <w:t>​</w:t>
            </w:r>
          </w:p>
        </w:tc>
      </w:tr>
      <w:tr>
        <w:trPr/>
        <w:tc>
          <w:tcPr>
            <w:tcW w:w="5911"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Reconciliation of cash, cash equivalents, and restricted cash to balance sheet: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left"/>
              <w:rPr/>
            </w:pPr>
            <w:r>
              <w:rPr/>
              <w:t>​</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5911"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Cash and cash equivalents - unrestricted</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366,125</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420,579</w:t>
            </w:r>
          </w:p>
        </w:tc>
        <w:tc>
          <w:tcPr>
            <w:tcW w:w="391" w:type="dxa"/>
            <w:tcBorders/>
            <w:vAlign w:val="center"/>
          </w:tcPr>
          <w:p>
            <w:pPr>
              <w:pStyle w:val="TableContents"/>
              <w:bidi w:val="0"/>
              <w:spacing w:before="0" w:after="1"/>
              <w:ind w:left="0" w:right="0" w:hanging="0"/>
              <w:jc w:val="left"/>
              <w:rPr/>
            </w:pPr>
            <w:r>
              <w:rPr/>
              <w:t>​</w:t>
            </w:r>
          </w:p>
        </w:tc>
      </w:tr>
      <w:tr>
        <w:trPr/>
        <w:tc>
          <w:tcPr>
            <w:tcW w:w="5911"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Cash and cash equivalents - restricted</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31,695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30,126</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5911"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Cash, cash equivalents, and restricted cash, end of period</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81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397,820</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94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450,705</w:t>
            </w:r>
          </w:p>
        </w:tc>
        <w:tc>
          <w:tcPr>
            <w:tcW w:w="391"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385" w:name="_dcba8062_6db2_4a61_b436_4e6f93d8f49f"/>
      <w:bookmarkEnd w:id="385"/>
      <w:r>
        <w:rPr>
          <w:rFonts w:ascii="Times New Roman;Times;serif" w:hAnsi="Times New Roman;Times;serif"/>
          <w:b/>
          <w:sz w:val="20"/>
        </w:rPr>
        <w:t>RYMAN HOSPITALITY PROPERTIES, INC. AND SUBSIDIARIES</w:t>
      </w:r>
    </w:p>
    <w:p>
      <w:pPr>
        <w:pStyle w:val="TextBody"/>
        <w:bidi w:val="0"/>
        <w:spacing w:before="0" w:after="0"/>
        <w:ind w:left="0" w:right="0" w:hanging="0"/>
        <w:jc w:val="center"/>
        <w:rPr>
          <w:rFonts w:ascii="Times New Roman;Times;serif" w:hAnsi="Times New Roman;Times;serif"/>
          <w:b/>
          <w:sz w:val="20"/>
        </w:rPr>
      </w:pPr>
      <w:bookmarkStart w:id="386" w:name="CONSOLIDATEDSTATEMENTSOFSTOCKHOLDERSEQUI"/>
      <w:bookmarkEnd w:id="386"/>
      <w:r>
        <w:rPr>
          <w:rFonts w:ascii="Times New Roman;Times;serif" w:hAnsi="Times New Roman;Times;serif"/>
          <w:b/>
          <w:sz w:val="20"/>
        </w:rPr>
        <w:t>CONDENSED CONSOLIDATED STATEMENTS OF EQUITY</w:t>
        <w:br/>
        <w:t>AND NONCONTROLLING INTEREST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387" w:name="Tc_aC0-9aOyx0CQ7NZ2r2W7_w_19_26"/>
      <w:bookmarkStart w:id="388" w:name="Tc_LAzFPx88WUajR0JXm98WbA_19_23"/>
      <w:bookmarkStart w:id="389" w:name="Tc_45-MyQY2g0ST5ujYAIqo5g_19_20"/>
      <w:bookmarkStart w:id="390" w:name="Tc_rg1ijs5yuEKu3ObuToUC1A_19_17"/>
      <w:bookmarkStart w:id="391" w:name="Tc_kNFgtVSl70-CwpfFhB4wRA_19_14"/>
      <w:bookmarkStart w:id="392" w:name="Tc_ESf924FpKkqSTnl53PghkQ_19_11"/>
      <w:bookmarkStart w:id="393" w:name="Tc_LBuusP2KWUGVs4XlmE4ddQ_19_8"/>
      <w:bookmarkStart w:id="394" w:name="Tc_ZAuAdBmR5UW50ciRvpo-6w_19_5"/>
      <w:bookmarkStart w:id="395" w:name="Tc_4UsdtmiXB0W0mrAJVNx3lg_19_2"/>
      <w:bookmarkStart w:id="396" w:name="Tc_4ZeNGH5sskO35Jl_gRaxHg_19_0"/>
      <w:bookmarkStart w:id="397" w:name="Tc_obj9b5BwbUyIWvb9sVOnvg_18_27"/>
      <w:bookmarkStart w:id="398" w:name="Tc_di9uAh0Os0e9tnpxOEA-3Q_18_21"/>
      <w:bookmarkStart w:id="399" w:name="Tc_R8Y8pyQO30qkNq8N4httEw_18_15"/>
      <w:bookmarkStart w:id="400" w:name="Tc_I5AUcN9WIUuaJQpx8E1IVw_18_12"/>
      <w:bookmarkStart w:id="401" w:name="Tc__s0jGJlPt0O0nMxD6uKoXQ_18_9"/>
      <w:bookmarkStart w:id="402" w:name="Tc_V2j1JeKWBU6fOnF9FRuN6g_18_3"/>
      <w:bookmarkStart w:id="403" w:name="Tc_hyvjtGGWt0Shp07PGmQL-A_18_0"/>
      <w:bookmarkStart w:id="404" w:name="Tc_q12gXL5GaEqwdRqu-hsqaQ_17_27"/>
      <w:bookmarkStart w:id="405" w:name="Tc_9qbqyUxVsESy9JsrYU5-0w_17_21"/>
      <w:bookmarkStart w:id="406" w:name="Tc_62KZuycrakC5XwDZU4bzxw_17_15"/>
      <w:bookmarkStart w:id="407" w:name="Tc_-5Q6kj_Ul0CeTAC0V7BoDA_17_12"/>
      <w:bookmarkStart w:id="408" w:name="Tc_6p0O-M-lyUmxz2S_utax2w_17_9"/>
      <w:bookmarkStart w:id="409" w:name="Tc_1FmNcR0OjU-TAjUBSR8DDw_17_3"/>
      <w:bookmarkStart w:id="410" w:name="Tc_y-yN0udWnEGPkEI9Oy9eDQ_17_0"/>
      <w:bookmarkStart w:id="411" w:name="Tc_nbZ7cm6ti0SJa6HTVbOnrA_16_27"/>
      <w:bookmarkStart w:id="412" w:name="Tc_78hyStLiXUyrClXztliajg_16_15"/>
      <w:bookmarkStart w:id="413" w:name="Tc_RI59p-bfwEuxGiCEZYu49g_16_9"/>
      <w:bookmarkStart w:id="414" w:name="Tc_8NQUv4tq0UGMpVpWIzLFTA_16_3"/>
      <w:bookmarkStart w:id="415" w:name="Tc_2J-OgDU5zk2-QwO740R0Ug_16_0"/>
      <w:bookmarkStart w:id="416" w:name="Tc_8CLyz1hUaEO7phCOYAYfaQ_15_21"/>
      <w:bookmarkStart w:id="417" w:name="Tc_H94tPFPNSUeVEYM4E2t4og_15_15"/>
      <w:bookmarkStart w:id="418" w:name="Tc_0bg0rxDxN0-QCAqN4Gag7A_15_12"/>
      <w:bookmarkStart w:id="419" w:name="Tc__LBHyqYw0UGu9XoF2NrIQg_15_9"/>
      <w:bookmarkStart w:id="420" w:name="Tc_UXCDAE-kEEO6njkNrKB6nw_15_3"/>
      <w:bookmarkStart w:id="421" w:name="Tc_d7v5jwnA9kSsYAjbuyzM-w_15_0"/>
      <w:bookmarkStart w:id="422" w:name="Tc_OX4rVaQbOEOE-bpqyD3dNw_14_27"/>
      <w:bookmarkStart w:id="423" w:name="Tc_5RiFmznO-02s_7RZ4EKEvw_14_21"/>
      <w:bookmarkStart w:id="424" w:name="Tc_2kVs-gkfKU2z7pLD5Moxtw_14_12"/>
      <w:bookmarkStart w:id="425" w:name="Tc_51ZCg98jHk-XjvKpV_ywLQ_14_9"/>
      <w:bookmarkStart w:id="426" w:name="Tc_l0OCLT4pB0GYry0a2qHMxg_14_6"/>
      <w:bookmarkStart w:id="427" w:name="Tc_vh0yg3yVVEaiCX-3Rvb2oA_14_3"/>
      <w:bookmarkStart w:id="428" w:name="Tc_6E6reYtwiEuy60nz8ptVaQ_14_0"/>
      <w:bookmarkStart w:id="429" w:name="Tc_2EpqwM9QAU-6dfK3aTj6CA_13_15"/>
      <w:bookmarkStart w:id="430" w:name="Tc_58Fdqsdq5k2-tylE15zxKw_13_9"/>
      <w:bookmarkStart w:id="431" w:name="Tc_hrF_qkSCzkuBlAycJMOTiA_13_6"/>
      <w:bookmarkStart w:id="432" w:name="Tc_PKcIJV9OsUi6Z4TXMs1FLA_13_3"/>
      <w:bookmarkStart w:id="433" w:name="Tc_zub4CcfT0EWLKmKzdSMp-w_13_0"/>
      <w:bookmarkStart w:id="434" w:name="Tc_hwe2uHxhyECQb1QNTr3dyQ_12_26"/>
      <w:bookmarkStart w:id="435" w:name="Tc_LF9ujwVpwkefQvL_covyYw_12_23"/>
      <w:bookmarkStart w:id="436" w:name="Tc_blbQ1bgaNkGnXhvZSutvsw_12_20"/>
      <w:bookmarkStart w:id="437" w:name="Tc_htXtDYWjBEaxGnCL-iIQVg_12_17"/>
      <w:bookmarkStart w:id="438" w:name="Tc_LTmG4frsdUK1U6UQrjMvow_12_14"/>
      <w:bookmarkStart w:id="439" w:name="Tc_zT-h1x_9uUW3C6B9d1SG1g_12_11"/>
      <w:bookmarkStart w:id="440" w:name="Tc__g2uvOtPDEChKZ6c-QboXA_12_8"/>
      <w:bookmarkStart w:id="441" w:name="Tc_-Okn93xCrUWoQvv7jjOR2g_12_5"/>
      <w:bookmarkStart w:id="442" w:name="Tc_m_tulfnqDkSIPtsHG_plVQ_12_2"/>
      <w:bookmarkStart w:id="443" w:name="Tc_KzGe0gMqyUi_4aLyZO5tJg_12_0"/>
      <w:bookmarkStart w:id="444" w:name="Tc_oS3_mn2u_kO_HiCM5SphJA_11_27"/>
      <w:bookmarkStart w:id="445" w:name="Tc_YANPtyUN7k6F3QV6lB9SMg_11_21"/>
      <w:bookmarkStart w:id="446" w:name="Tc_PL4dEpCK1kCS41LIjeAOHA_11_15"/>
      <w:bookmarkStart w:id="447" w:name="Tc_Frz5yAHqdUaVO3DmUYl0Yg_11_12"/>
      <w:bookmarkStart w:id="448" w:name="Tc_ee333dNO8UmQ_CgFbhZKeQ_11_9"/>
      <w:bookmarkStart w:id="449" w:name="Tc_g0eiWwfubEelUSMDcN9Ynw_11_3"/>
      <w:bookmarkStart w:id="450" w:name="Tc_xLcfZDAXjUecqqLDFeKBRg_11_0"/>
      <w:bookmarkStart w:id="451" w:name="Tc_dIdNiGrQCUuJmrDDwZtmVg_10_27"/>
      <w:bookmarkStart w:id="452" w:name="Tc__pYxgM9vhUWWGC_91zmBrA_10_21"/>
      <w:bookmarkStart w:id="453" w:name="Tc_sKu1DXkFrUWKDvfkFX2WPg_10_15"/>
      <w:bookmarkStart w:id="454" w:name="Tc_yStZYw8_JUC60JZEsu2Rog_10_12"/>
      <w:bookmarkStart w:id="455" w:name="Tc_TXGWtMgoy0mL-HeOoJ6PVw_10_9"/>
      <w:bookmarkStart w:id="456" w:name="Tc_s4RBIk3BykWdCNn2nxoUSQ_10_0"/>
      <w:bookmarkStart w:id="457" w:name="Tc_InWM3p_bGUuY186IwqhnDA_9_27"/>
      <w:bookmarkStart w:id="458" w:name="Tc_3yQ_2JYCIkmNc5qNu_iNXA_9_15"/>
      <w:bookmarkStart w:id="459" w:name="Tc_KzE930O_90CpG7HcY8oH6A_9_3"/>
      <w:bookmarkStart w:id="460" w:name="Tc_4Fow-4SSmUy-gvgn9LGD4Q_9_0"/>
      <w:bookmarkStart w:id="461" w:name="Tc_dwBxZQ7OtUmV_i3_BEFJYw_8_21"/>
      <w:bookmarkStart w:id="462" w:name="Tc_T1RzpEergk2vHUXjv4_VGQ_8_15"/>
      <w:bookmarkStart w:id="463" w:name="Tc_GBcNq-Tc-Uil0aPXgtv_BQ_8_12"/>
      <w:bookmarkStart w:id="464" w:name="Tc_ikBZ5PFrmUi_ITG17W0_BQ_8_9"/>
      <w:bookmarkStart w:id="465" w:name="Tc_kF1gZeP1VE-1CSpJvWCPyw_8_3"/>
      <w:bookmarkStart w:id="466" w:name="Tc_vo6hbcU_90OgmSwduCrFvQ_8_0"/>
      <w:bookmarkStart w:id="467" w:name="Tc_Rc2X1LvoT0-ULZkAdklsJA_7_27"/>
      <w:bookmarkStart w:id="468" w:name="Tc_FkOgSc92kU6tJ_He6ltEZg_7_21"/>
      <w:bookmarkStart w:id="469" w:name="Tc_j78-xl4LKUqCSNxcvDursg_7_12"/>
      <w:bookmarkStart w:id="470" w:name="Tc__a6b3Sblu0mjgGKes5jviQ_7_9"/>
      <w:bookmarkStart w:id="471" w:name="Tc_uYJK5oG-tkajettJlabILg_7_6"/>
      <w:bookmarkStart w:id="472" w:name="Tc_F7r95Yw1ek29QsKPcnUb8Q_7_3"/>
      <w:bookmarkStart w:id="473" w:name="Tc_LVxNkM4Zc0-2u63ndcKQzw_7_0"/>
      <w:bookmarkStart w:id="474" w:name="Tc_YNHGakQ8bEanbpZu1a8HdQ_6_15"/>
      <w:bookmarkStart w:id="475" w:name="Tc_geLECvzmdkWHkeE6Wh-Onw_6_9"/>
      <w:bookmarkStart w:id="476" w:name="Tc_cP8V2T_I00OKbHwjly6sUg_6_6"/>
      <w:bookmarkStart w:id="477" w:name="Tc_hqHKx8xaD0aBStyjgvObIA_6_3"/>
      <w:bookmarkStart w:id="478" w:name="Tc_SNA2EVanwk6IwReg5cKmJQ_6_0"/>
      <w:bookmarkStart w:id="479" w:name="Tc_0ZpQTewGrUyJVD8L_nbsXA_5_26"/>
      <w:bookmarkStart w:id="480" w:name="Tc_iJK4KZspmU28YeTHwJNQHw_5_23"/>
      <w:bookmarkStart w:id="481" w:name="Tc_x8lxtNDlEESsYUztMgonrA_5_20"/>
      <w:bookmarkStart w:id="482" w:name="Tc_UoOixNezEkKvYG0eraydBg_5_17"/>
      <w:bookmarkStart w:id="483" w:name="Tc_EC1uFKB680OuEtYZuYQY6w_5_14"/>
      <w:bookmarkStart w:id="484" w:name="Tc_mqPeWJChCkWBa2_pzGa8DQ_5_11"/>
      <w:bookmarkStart w:id="485" w:name="Tc_Gn5wITCMEUmejGcnXj8KtQ_5_8"/>
      <w:bookmarkStart w:id="486" w:name="Tc_c_Q-qLVpI0qWOWt8j8lufQ_5_5"/>
      <w:bookmarkStart w:id="487" w:name="Tc_r2FQrhKc7EODB7_tmq4qqg_5_2"/>
      <w:bookmarkStart w:id="488" w:name="Tc_Ew20mX-2JUezxsGUbKEf6A_5_0"/>
      <w:bookmarkStart w:id="489" w:name="Tc_oNJZrLVi5Ei_u-KEV6mutA_4_26"/>
      <w:bookmarkStart w:id="490" w:name="Tc_WFVIvXWiyUuy02M5iyQ9Wg_4_23"/>
      <w:bookmarkStart w:id="491" w:name="Tc_jMZEobtJFkuSFbqD3L_Ixw_4_20"/>
      <w:bookmarkStart w:id="492" w:name="Tc_dX_3WzB51kK2ZfZZKKExbg_4_17"/>
      <w:bookmarkStart w:id="493" w:name="Tc_i6J7FFWCl0-7AOzDqCWG2g_4_14"/>
      <w:bookmarkStart w:id="494" w:name="Tc_5GrH4DS3cE20RCh-oPmcaA_4_11"/>
      <w:bookmarkStart w:id="495" w:name="Tc_dve19TBQ20S8zWpDHmGJ2g_4_8"/>
      <w:bookmarkStart w:id="496" w:name="Tc_R3KpWDR0eUOyJXS0_IywNA_4_5"/>
      <w:bookmarkStart w:id="497" w:name="Tc_k0z2AyUg-0KPnb7faINZzg_4_2"/>
      <w:bookmarkStart w:id="498" w:name="Tc_ywIZVEbBNUeXBjsZIBdfdg_3_26"/>
      <w:bookmarkStart w:id="499" w:name="Tc_ZubsVnV5iUiAABYEIYWxfw_3_23"/>
      <w:bookmarkStart w:id="500" w:name="Tc_jYTZFKPYj0SKPr86vsgRvg_3_20"/>
      <w:bookmarkStart w:id="501" w:name="Tc_IWlttfskKk-_lFViN8NUyQ_3_17"/>
      <w:bookmarkStart w:id="502" w:name="Tc_GZikUytXckyRPMU1HJhzCQ_3_14"/>
      <w:bookmarkStart w:id="503" w:name="Tc_ANYC652P50CI7L0i8G5UDQ_3_11"/>
      <w:bookmarkStart w:id="504" w:name="Tc_9U-kc6cKEkeeEhTpDo1fIA_3_8"/>
      <w:bookmarkStart w:id="505" w:name="Tc_TvVM18yG90-um9Y8kugWng_3_5"/>
      <w:bookmarkStart w:id="506" w:name="Tc_t_wDD9G4G02g1GtWUvH_SQ_3_2"/>
      <w:bookmarkStart w:id="507" w:name="Tc_4L9fnsM8oESCPuNrhF8waA_2_26"/>
      <w:bookmarkStart w:id="508" w:name="Tc_Q4qQfejKsUa_UOtVgCKTkA_2_17"/>
      <w:bookmarkStart w:id="509" w:name="Tc_VuSHYYsg2EyuyJlI8QAq-g_2_14"/>
      <w:bookmarkStart w:id="510" w:name="Tc_ba1_a2jmJkybfGgOLNROZA_2_11"/>
      <w:bookmarkStart w:id="511" w:name="Tc_Hoax3XzKoEK6o8G0edwgyg_2_5"/>
      <w:bookmarkStart w:id="512" w:name="Tc_xXOOq16B0U2l2pyiU9csdg_1_14"/>
      <w:bookmarkStart w:id="513" w:name="Tc_QZp2gddkg0edBg51Ul3dJw_1_11"/>
      <w:bookmarkStart w:id="514" w:name="_ec1984b6_7b40_49ed_b640_6636fee93399"/>
      <w:bookmarkStart w:id="515" w:name="Tc_aC0-9aOyx0CQ7NZ2r2W7_w_19_26"/>
      <w:bookmarkStart w:id="516" w:name="Tc_LAzFPx88WUajR0JXm98WbA_19_23"/>
      <w:bookmarkStart w:id="517" w:name="Tc_45-MyQY2g0ST5ujYAIqo5g_19_20"/>
      <w:bookmarkStart w:id="518" w:name="Tc_rg1ijs5yuEKu3ObuToUC1A_19_17"/>
      <w:bookmarkStart w:id="519" w:name="Tc_kNFgtVSl70-CwpfFhB4wRA_19_14"/>
      <w:bookmarkStart w:id="520" w:name="Tc_ESf924FpKkqSTnl53PghkQ_19_11"/>
      <w:bookmarkStart w:id="521" w:name="Tc_LBuusP2KWUGVs4XlmE4ddQ_19_8"/>
      <w:bookmarkStart w:id="522" w:name="Tc_ZAuAdBmR5UW50ciRvpo-6w_19_5"/>
      <w:bookmarkStart w:id="523" w:name="Tc_4UsdtmiXB0W0mrAJVNx3lg_19_2"/>
      <w:bookmarkStart w:id="524" w:name="Tc_4ZeNGH5sskO35Jl_gRaxHg_19_0"/>
      <w:bookmarkStart w:id="525" w:name="Tc_obj9b5BwbUyIWvb9sVOnvg_18_27"/>
      <w:bookmarkStart w:id="526" w:name="Tc_di9uAh0Os0e9tnpxOEA-3Q_18_21"/>
      <w:bookmarkStart w:id="527" w:name="Tc_R8Y8pyQO30qkNq8N4httEw_18_15"/>
      <w:bookmarkStart w:id="528" w:name="Tc_I5AUcN9WIUuaJQpx8E1IVw_18_12"/>
      <w:bookmarkStart w:id="529" w:name="Tc__s0jGJlPt0O0nMxD6uKoXQ_18_9"/>
      <w:bookmarkStart w:id="530" w:name="Tc_V2j1JeKWBU6fOnF9FRuN6g_18_3"/>
      <w:bookmarkStart w:id="531" w:name="Tc_hyvjtGGWt0Shp07PGmQL-A_18_0"/>
      <w:bookmarkStart w:id="532" w:name="Tc_q12gXL5GaEqwdRqu-hsqaQ_17_27"/>
      <w:bookmarkStart w:id="533" w:name="Tc_9qbqyUxVsESy9JsrYU5-0w_17_21"/>
      <w:bookmarkStart w:id="534" w:name="Tc_62KZuycrakC5XwDZU4bzxw_17_15"/>
      <w:bookmarkStart w:id="535" w:name="Tc_-5Q6kj_Ul0CeTAC0V7BoDA_17_12"/>
      <w:bookmarkStart w:id="536" w:name="Tc_6p0O-M-lyUmxz2S_utax2w_17_9"/>
      <w:bookmarkStart w:id="537" w:name="Tc_1FmNcR0OjU-TAjUBSR8DDw_17_3"/>
      <w:bookmarkStart w:id="538" w:name="Tc_y-yN0udWnEGPkEI9Oy9eDQ_17_0"/>
      <w:bookmarkStart w:id="539" w:name="Tc_nbZ7cm6ti0SJa6HTVbOnrA_16_27"/>
      <w:bookmarkStart w:id="540" w:name="Tc_78hyStLiXUyrClXztliajg_16_15"/>
      <w:bookmarkStart w:id="541" w:name="Tc_RI59p-bfwEuxGiCEZYu49g_16_9"/>
      <w:bookmarkStart w:id="542" w:name="Tc_8NQUv4tq0UGMpVpWIzLFTA_16_3"/>
      <w:bookmarkStart w:id="543" w:name="Tc_2J-OgDU5zk2-QwO740R0Ug_16_0"/>
      <w:bookmarkStart w:id="544" w:name="Tc_8CLyz1hUaEO7phCOYAYfaQ_15_21"/>
      <w:bookmarkStart w:id="545" w:name="Tc_H94tPFPNSUeVEYM4E2t4og_15_15"/>
      <w:bookmarkStart w:id="546" w:name="Tc_0bg0rxDxN0-QCAqN4Gag7A_15_12"/>
      <w:bookmarkStart w:id="547" w:name="Tc__LBHyqYw0UGu9XoF2NrIQg_15_9"/>
      <w:bookmarkStart w:id="548" w:name="Tc_UXCDAE-kEEO6njkNrKB6nw_15_3"/>
      <w:bookmarkStart w:id="549" w:name="Tc_d7v5jwnA9kSsYAjbuyzM-w_15_0"/>
      <w:bookmarkStart w:id="550" w:name="Tc_OX4rVaQbOEOE-bpqyD3dNw_14_27"/>
      <w:bookmarkStart w:id="551" w:name="Tc_5RiFmznO-02s_7RZ4EKEvw_14_21"/>
      <w:bookmarkStart w:id="552" w:name="Tc_2kVs-gkfKU2z7pLD5Moxtw_14_12"/>
      <w:bookmarkStart w:id="553" w:name="Tc_51ZCg98jHk-XjvKpV_ywLQ_14_9"/>
      <w:bookmarkStart w:id="554" w:name="Tc_l0OCLT4pB0GYry0a2qHMxg_14_6"/>
      <w:bookmarkStart w:id="555" w:name="Tc_vh0yg3yVVEaiCX-3Rvb2oA_14_3"/>
      <w:bookmarkStart w:id="556" w:name="Tc_6E6reYtwiEuy60nz8ptVaQ_14_0"/>
      <w:bookmarkStart w:id="557" w:name="Tc_2EpqwM9QAU-6dfK3aTj6CA_13_15"/>
      <w:bookmarkStart w:id="558" w:name="Tc_58Fdqsdq5k2-tylE15zxKw_13_9"/>
      <w:bookmarkStart w:id="559" w:name="Tc_hrF_qkSCzkuBlAycJMOTiA_13_6"/>
      <w:bookmarkStart w:id="560" w:name="Tc_PKcIJV9OsUi6Z4TXMs1FLA_13_3"/>
      <w:bookmarkStart w:id="561" w:name="Tc_zub4CcfT0EWLKmKzdSMp-w_13_0"/>
      <w:bookmarkStart w:id="562" w:name="Tc_hwe2uHxhyECQb1QNTr3dyQ_12_26"/>
      <w:bookmarkStart w:id="563" w:name="Tc_LF9ujwVpwkefQvL_covyYw_12_23"/>
      <w:bookmarkStart w:id="564" w:name="Tc_blbQ1bgaNkGnXhvZSutvsw_12_20"/>
      <w:bookmarkStart w:id="565" w:name="Tc_htXtDYWjBEaxGnCL-iIQVg_12_17"/>
      <w:bookmarkStart w:id="566" w:name="Tc_LTmG4frsdUK1U6UQrjMvow_12_14"/>
      <w:bookmarkStart w:id="567" w:name="Tc_zT-h1x_9uUW3C6B9d1SG1g_12_11"/>
      <w:bookmarkStart w:id="568" w:name="Tc__g2uvOtPDEChKZ6c-QboXA_12_8"/>
      <w:bookmarkStart w:id="569" w:name="Tc_-Okn93xCrUWoQvv7jjOR2g_12_5"/>
      <w:bookmarkStart w:id="570" w:name="Tc_m_tulfnqDkSIPtsHG_plVQ_12_2"/>
      <w:bookmarkStart w:id="571" w:name="Tc_KzGe0gMqyUi_4aLyZO5tJg_12_0"/>
      <w:bookmarkStart w:id="572" w:name="Tc_oS3_mn2u_kO_HiCM5SphJA_11_27"/>
      <w:bookmarkStart w:id="573" w:name="Tc_YANPtyUN7k6F3QV6lB9SMg_11_21"/>
      <w:bookmarkStart w:id="574" w:name="Tc_PL4dEpCK1kCS41LIjeAOHA_11_15"/>
      <w:bookmarkStart w:id="575" w:name="Tc_Frz5yAHqdUaVO3DmUYl0Yg_11_12"/>
      <w:bookmarkStart w:id="576" w:name="Tc_ee333dNO8UmQ_CgFbhZKeQ_11_9"/>
      <w:bookmarkStart w:id="577" w:name="Tc_g0eiWwfubEelUSMDcN9Ynw_11_3"/>
      <w:bookmarkStart w:id="578" w:name="Tc_xLcfZDAXjUecqqLDFeKBRg_11_0"/>
      <w:bookmarkStart w:id="579" w:name="Tc_dIdNiGrQCUuJmrDDwZtmVg_10_27"/>
      <w:bookmarkStart w:id="580" w:name="Tc__pYxgM9vhUWWGC_91zmBrA_10_21"/>
      <w:bookmarkStart w:id="581" w:name="Tc_sKu1DXkFrUWKDvfkFX2WPg_10_15"/>
      <w:bookmarkStart w:id="582" w:name="Tc_yStZYw8_JUC60JZEsu2Rog_10_12"/>
      <w:bookmarkStart w:id="583" w:name="Tc_TXGWtMgoy0mL-HeOoJ6PVw_10_9"/>
      <w:bookmarkStart w:id="584" w:name="Tc_s4RBIk3BykWdCNn2nxoUSQ_10_0"/>
      <w:bookmarkStart w:id="585" w:name="Tc_InWM3p_bGUuY186IwqhnDA_9_27"/>
      <w:bookmarkStart w:id="586" w:name="Tc_3yQ_2JYCIkmNc5qNu_iNXA_9_15"/>
      <w:bookmarkStart w:id="587" w:name="Tc_KzE930O_90CpG7HcY8oH6A_9_3"/>
      <w:bookmarkStart w:id="588" w:name="Tc_4Fow-4SSmUy-gvgn9LGD4Q_9_0"/>
      <w:bookmarkStart w:id="589" w:name="Tc_dwBxZQ7OtUmV_i3_BEFJYw_8_21"/>
      <w:bookmarkStart w:id="590" w:name="Tc_T1RzpEergk2vHUXjv4_VGQ_8_15"/>
      <w:bookmarkStart w:id="591" w:name="Tc_GBcNq-Tc-Uil0aPXgtv_BQ_8_12"/>
      <w:bookmarkStart w:id="592" w:name="Tc_ikBZ5PFrmUi_ITG17W0_BQ_8_9"/>
      <w:bookmarkStart w:id="593" w:name="Tc_kF1gZeP1VE-1CSpJvWCPyw_8_3"/>
      <w:bookmarkStart w:id="594" w:name="Tc_vo6hbcU_90OgmSwduCrFvQ_8_0"/>
      <w:bookmarkStart w:id="595" w:name="Tc_Rc2X1LvoT0-ULZkAdklsJA_7_27"/>
      <w:bookmarkStart w:id="596" w:name="Tc_FkOgSc92kU6tJ_He6ltEZg_7_21"/>
      <w:bookmarkStart w:id="597" w:name="Tc_j78-xl4LKUqCSNxcvDursg_7_12"/>
      <w:bookmarkStart w:id="598" w:name="Tc__a6b3Sblu0mjgGKes5jviQ_7_9"/>
      <w:bookmarkStart w:id="599" w:name="Tc_uYJK5oG-tkajettJlabILg_7_6"/>
      <w:bookmarkStart w:id="600" w:name="Tc_F7r95Yw1ek29QsKPcnUb8Q_7_3"/>
      <w:bookmarkStart w:id="601" w:name="Tc_LVxNkM4Zc0-2u63ndcKQzw_7_0"/>
      <w:bookmarkStart w:id="602" w:name="Tc_YNHGakQ8bEanbpZu1a8HdQ_6_15"/>
      <w:bookmarkStart w:id="603" w:name="Tc_geLECvzmdkWHkeE6Wh-Onw_6_9"/>
      <w:bookmarkStart w:id="604" w:name="Tc_cP8V2T_I00OKbHwjly6sUg_6_6"/>
      <w:bookmarkStart w:id="605" w:name="Tc_hqHKx8xaD0aBStyjgvObIA_6_3"/>
      <w:bookmarkStart w:id="606" w:name="Tc_SNA2EVanwk6IwReg5cKmJQ_6_0"/>
      <w:bookmarkStart w:id="607" w:name="Tc_0ZpQTewGrUyJVD8L_nbsXA_5_26"/>
      <w:bookmarkStart w:id="608" w:name="Tc_iJK4KZspmU28YeTHwJNQHw_5_23"/>
      <w:bookmarkStart w:id="609" w:name="Tc_x8lxtNDlEESsYUztMgonrA_5_20"/>
      <w:bookmarkStart w:id="610" w:name="Tc_UoOixNezEkKvYG0eraydBg_5_17"/>
      <w:bookmarkStart w:id="611" w:name="Tc_EC1uFKB680OuEtYZuYQY6w_5_14"/>
      <w:bookmarkStart w:id="612" w:name="Tc_mqPeWJChCkWBa2_pzGa8DQ_5_11"/>
      <w:bookmarkStart w:id="613" w:name="Tc_Gn5wITCMEUmejGcnXj8KtQ_5_8"/>
      <w:bookmarkStart w:id="614" w:name="Tc_c_Q-qLVpI0qWOWt8j8lufQ_5_5"/>
      <w:bookmarkStart w:id="615" w:name="Tc_r2FQrhKc7EODB7_tmq4qqg_5_2"/>
      <w:bookmarkStart w:id="616" w:name="Tc_Ew20mX-2JUezxsGUbKEf6A_5_0"/>
      <w:bookmarkStart w:id="617" w:name="Tc_oNJZrLVi5Ei_u-KEV6mutA_4_26"/>
      <w:bookmarkStart w:id="618" w:name="Tc_WFVIvXWiyUuy02M5iyQ9Wg_4_23"/>
      <w:bookmarkStart w:id="619" w:name="Tc_jMZEobtJFkuSFbqD3L_Ixw_4_20"/>
      <w:bookmarkStart w:id="620" w:name="Tc_dX_3WzB51kK2ZfZZKKExbg_4_17"/>
      <w:bookmarkStart w:id="621" w:name="Tc_i6J7FFWCl0-7AOzDqCWG2g_4_14"/>
      <w:bookmarkStart w:id="622" w:name="Tc_5GrH4DS3cE20RCh-oPmcaA_4_11"/>
      <w:bookmarkStart w:id="623" w:name="Tc_dve19TBQ20S8zWpDHmGJ2g_4_8"/>
      <w:bookmarkStart w:id="624" w:name="Tc_R3KpWDR0eUOyJXS0_IywNA_4_5"/>
      <w:bookmarkStart w:id="625" w:name="Tc_k0z2AyUg-0KPnb7faINZzg_4_2"/>
      <w:bookmarkStart w:id="626" w:name="Tc_ywIZVEbBNUeXBjsZIBdfdg_3_26"/>
      <w:bookmarkStart w:id="627" w:name="Tc_ZubsVnV5iUiAABYEIYWxfw_3_23"/>
      <w:bookmarkStart w:id="628" w:name="Tc_jYTZFKPYj0SKPr86vsgRvg_3_20"/>
      <w:bookmarkStart w:id="629" w:name="Tc_IWlttfskKk-_lFViN8NUyQ_3_17"/>
      <w:bookmarkStart w:id="630" w:name="Tc_GZikUytXckyRPMU1HJhzCQ_3_14"/>
      <w:bookmarkStart w:id="631" w:name="Tc_ANYC652P50CI7L0i8G5UDQ_3_11"/>
      <w:bookmarkStart w:id="632" w:name="Tc_9U-kc6cKEkeeEhTpDo1fIA_3_8"/>
      <w:bookmarkStart w:id="633" w:name="Tc_TvVM18yG90-um9Y8kugWng_3_5"/>
      <w:bookmarkStart w:id="634" w:name="Tc_t_wDD9G4G02g1GtWUvH_SQ_3_2"/>
      <w:bookmarkStart w:id="635" w:name="Tc_4L9fnsM8oESCPuNrhF8waA_2_26"/>
      <w:bookmarkStart w:id="636" w:name="Tc_Q4qQfejKsUa_UOtVgCKTkA_2_17"/>
      <w:bookmarkStart w:id="637" w:name="Tc_VuSHYYsg2EyuyJlI8QAq-g_2_14"/>
      <w:bookmarkStart w:id="638" w:name="Tc_ba1_a2jmJkybfGgOLNROZA_2_11"/>
      <w:bookmarkStart w:id="639" w:name="Tc_Hoax3XzKoEK6o8G0edwgyg_2_5"/>
      <w:bookmarkStart w:id="640" w:name="Tc_xXOOq16B0U2l2pyiU9csdg_1_14"/>
      <w:bookmarkStart w:id="641" w:name="Tc_QZp2gddkg0edBg51Ul3dJw_1_11"/>
      <w:bookmarkStart w:id="642" w:name="_ec1984b6_7b40_49ed_b640_6636fee93399"/>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p>
    <w:tbl>
      <w:tblPr>
        <w:tblW w:w="12022" w:type="dxa"/>
        <w:jc w:val="left"/>
        <w:tblInd w:w="0" w:type="dxa"/>
        <w:tblLayout w:type="fixed"/>
        <w:tblCellMar>
          <w:top w:w="0" w:type="dxa"/>
          <w:left w:w="0" w:type="dxa"/>
          <w:bottom w:w="0" w:type="dxa"/>
          <w:right w:w="0" w:type="dxa"/>
        </w:tblCellMar>
      </w:tblPr>
      <w:tblGrid>
        <w:gridCol w:w="1006"/>
        <w:gridCol w:w="346"/>
        <w:gridCol w:w="216"/>
        <w:gridCol w:w="415"/>
        <w:gridCol w:w="346"/>
        <w:gridCol w:w="181"/>
        <w:gridCol w:w="691"/>
        <w:gridCol w:w="346"/>
        <w:gridCol w:w="181"/>
        <w:gridCol w:w="556"/>
        <w:gridCol w:w="346"/>
        <w:gridCol w:w="200"/>
        <w:gridCol w:w="701"/>
        <w:gridCol w:w="346"/>
        <w:gridCol w:w="249"/>
        <w:gridCol w:w="772"/>
        <w:gridCol w:w="346"/>
        <w:gridCol w:w="209"/>
        <w:gridCol w:w="677"/>
        <w:gridCol w:w="346"/>
        <w:gridCol w:w="267"/>
        <w:gridCol w:w="754"/>
        <w:gridCol w:w="346"/>
        <w:gridCol w:w="181"/>
        <w:gridCol w:w="586"/>
        <w:gridCol w:w="346"/>
        <w:gridCol w:w="225"/>
        <w:gridCol w:w="841"/>
      </w:tblGrid>
      <w:tr>
        <w:trPr/>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38810" cy="175260"/>
                      <wp:effectExtent l="0" t="0" r="0" b="0"/>
                      <wp:wrapNone/>
                      <wp:docPr id="32" name="Frame32"/>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19710" cy="175260"/>
                      <wp:effectExtent l="0" t="0" r="0" b="0"/>
                      <wp:wrapNone/>
                      <wp:docPr id="33" name="Frame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37160" cy="175260"/>
                      <wp:effectExtent l="0" t="0" r="0" b="0"/>
                      <wp:wrapNone/>
                      <wp:docPr id="34" name="Frame34"/>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63525" cy="175260"/>
                      <wp:effectExtent l="0" t="0" r="0" b="0"/>
                      <wp:wrapNone/>
                      <wp:docPr id="35" name="Frame35"/>
                      <a:graphic xmlns:a="http://schemas.openxmlformats.org/drawingml/2006/main">
                        <a:graphicData uri="http://schemas.microsoft.com/office/word/2010/wordprocessingShape">
                          <wps:wsp>
                            <wps:cNvSpPr txBox="1"/>
                            <wps:spPr>
                              <a:xfrm>
                                <a:off x="0" y="0"/>
                                <a:ext cx="2635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19710" cy="175260"/>
                      <wp:effectExtent l="0" t="0" r="0" b="0"/>
                      <wp:wrapNone/>
                      <wp:docPr id="36" name="Frame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114935" cy="175260"/>
                      <wp:effectExtent l="0" t="0" r="0" b="0"/>
                      <wp:wrapNone/>
                      <wp:docPr id="37" name="Frame37"/>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438785" cy="175260"/>
                      <wp:effectExtent l="0" t="0" r="0" b="0"/>
                      <wp:wrapNone/>
                      <wp:docPr id="38" name="Frame3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19710" cy="175260"/>
                      <wp:effectExtent l="0" t="0" r="0" b="0"/>
                      <wp:wrapNone/>
                      <wp:docPr id="39" name="Frame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114935" cy="175260"/>
                      <wp:effectExtent l="0" t="0" r="0" b="0"/>
                      <wp:wrapNone/>
                      <wp:docPr id="40" name="Frame40"/>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353060" cy="175260"/>
                      <wp:effectExtent l="0" t="0" r="0" b="0"/>
                      <wp:wrapNone/>
                      <wp:docPr id="41" name="Frame41"/>
                      <a:graphic xmlns:a="http://schemas.openxmlformats.org/drawingml/2006/main">
                        <a:graphicData uri="http://schemas.microsoft.com/office/word/2010/wordprocessingShape">
                          <wps:wsp>
                            <wps:cNvSpPr txBox="1"/>
                            <wps:spPr>
                              <a:xfrm>
                                <a:off x="0" y="0"/>
                                <a:ext cx="353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19710" cy="175260"/>
                      <wp:effectExtent l="0" t="0" r="0" b="0"/>
                      <wp:wrapNone/>
                      <wp:docPr id="42" name="Frame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127000" cy="175260"/>
                      <wp:effectExtent l="0" t="0" r="0" b="0"/>
                      <wp:wrapNone/>
                      <wp:docPr id="43" name="Frame43"/>
                      <a:graphic xmlns:a="http://schemas.openxmlformats.org/drawingml/2006/main">
                        <a:graphicData uri="http://schemas.microsoft.com/office/word/2010/wordprocessingShape">
                          <wps:wsp>
                            <wps:cNvSpPr txBox="1"/>
                            <wps:spPr>
                              <a:xfrm>
                                <a:off x="0" y="0"/>
                                <a:ext cx="1270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445135" cy="175260"/>
                      <wp:effectExtent l="0" t="0" r="0" b="0"/>
                      <wp:wrapNone/>
                      <wp:docPr id="44" name="Frame44"/>
                      <a:graphic xmlns:a="http://schemas.openxmlformats.org/drawingml/2006/main">
                        <a:graphicData uri="http://schemas.microsoft.com/office/word/2010/wordprocessingShape">
                          <wps:wsp>
                            <wps:cNvSpPr txBox="1"/>
                            <wps:spPr>
                              <a:xfrm>
                                <a:off x="0" y="0"/>
                                <a:ext cx="445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19710" cy="175260"/>
                      <wp:effectExtent l="0" t="0" r="0" b="0"/>
                      <wp:wrapNone/>
                      <wp:docPr id="45" name="Frame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158115" cy="175260"/>
                      <wp:effectExtent l="0" t="0" r="0" b="0"/>
                      <wp:wrapNone/>
                      <wp:docPr id="46" name="Frame46"/>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490220" cy="175260"/>
                      <wp:effectExtent l="0" t="0" r="0" b="0"/>
                      <wp:wrapNone/>
                      <wp:docPr id="47" name="Frame47"/>
                      <a:graphic xmlns:a="http://schemas.openxmlformats.org/drawingml/2006/main">
                        <a:graphicData uri="http://schemas.microsoft.com/office/word/2010/wordprocessingShape">
                          <wps:wsp>
                            <wps:cNvSpPr txBox="1"/>
                            <wps:spPr>
                              <a:xfrm>
                                <a:off x="0" y="0"/>
                                <a:ext cx="4902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19710" cy="175260"/>
                      <wp:effectExtent l="0" t="0" r="0" b="0"/>
                      <wp:wrapNone/>
                      <wp:docPr id="48" name="Frame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132715" cy="175260"/>
                      <wp:effectExtent l="0" t="0" r="0" b="0"/>
                      <wp:wrapNone/>
                      <wp:docPr id="49" name="Frame49"/>
                      <a:graphic xmlns:a="http://schemas.openxmlformats.org/drawingml/2006/main">
                        <a:graphicData uri="http://schemas.microsoft.com/office/word/2010/wordprocessingShape">
                          <wps:wsp>
                            <wps:cNvSpPr txBox="1"/>
                            <wps:spPr>
                              <a:xfrm>
                                <a:off x="0" y="0"/>
                                <a:ext cx="1327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429895" cy="175260"/>
                      <wp:effectExtent l="0" t="0" r="0" b="0"/>
                      <wp:wrapNone/>
                      <wp:docPr id="50" name="Frame50"/>
                      <a:graphic xmlns:a="http://schemas.openxmlformats.org/drawingml/2006/main">
                        <a:graphicData uri="http://schemas.microsoft.com/office/word/2010/wordprocessingShape">
                          <wps:wsp>
                            <wps:cNvSpPr txBox="1"/>
                            <wps:spPr>
                              <a:xfrm>
                                <a:off x="0" y="0"/>
                                <a:ext cx="4298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19710" cy="175260"/>
                      <wp:effectExtent l="0" t="0" r="0" b="0"/>
                      <wp:wrapNone/>
                      <wp:docPr id="51" name="Frame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169545" cy="175260"/>
                      <wp:effectExtent l="0" t="0" r="0" b="0"/>
                      <wp:wrapNone/>
                      <wp:docPr id="52" name="Frame52"/>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478790" cy="175260"/>
                      <wp:effectExtent l="0" t="0" r="0" b="0"/>
                      <wp:wrapNone/>
                      <wp:docPr id="53" name="Frame53"/>
                      <a:graphic xmlns:a="http://schemas.openxmlformats.org/drawingml/2006/main">
                        <a:graphicData uri="http://schemas.microsoft.com/office/word/2010/wordprocessingShape">
                          <wps:wsp>
                            <wps:cNvSpPr txBox="1"/>
                            <wps:spPr>
                              <a:xfrm>
                                <a:off x="0" y="0"/>
                                <a:ext cx="478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19710" cy="175260"/>
                      <wp:effectExtent l="0" t="0" r="0" b="0"/>
                      <wp:wrapNone/>
                      <wp:docPr id="54" name="Frame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114935" cy="175260"/>
                      <wp:effectExtent l="0" t="0" r="0" b="0"/>
                      <wp:wrapNone/>
                      <wp:docPr id="55" name="Frame55"/>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372110" cy="175260"/>
                      <wp:effectExtent l="0" t="0" r="0" b="0"/>
                      <wp:wrapNone/>
                      <wp:docPr id="56" name="Frame56"/>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19710" cy="175260"/>
                      <wp:effectExtent l="0" t="0" r="0" b="0"/>
                      <wp:wrapNone/>
                      <wp:docPr id="57" name="Frame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142875" cy="175260"/>
                      <wp:effectExtent l="0" t="0" r="0" b="0"/>
                      <wp:wrapNone/>
                      <wp:docPr id="58" name="Frame58"/>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534035" cy="175260"/>
                      <wp:effectExtent l="0" t="0" r="0" b="0"/>
                      <wp:wrapNone/>
                      <wp:docPr id="59" name="Frame59"/>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0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216"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181" w:type="dxa"/>
            <w:tcBorders/>
            <w:vAlign w:val="center"/>
          </w:tcPr>
          <w:p>
            <w:pPr>
              <w:pStyle w:val="TableContents"/>
              <w:bidi w:val="0"/>
              <w:spacing w:before="0" w:after="1"/>
              <w:ind w:left="0" w:right="0" w:hanging="0"/>
              <w:jc w:val="left"/>
              <w:rPr/>
            </w:pPr>
            <w:r>
              <w:rPr/>
              <w:t>​</w:t>
            </w:r>
          </w:p>
        </w:tc>
        <w:tc>
          <w:tcPr>
            <w:tcW w:w="55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901" w:type="dxa"/>
            <w:gridSpan w:val="2"/>
            <w:tcBorders/>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Distributions</w:t>
            </w:r>
          </w:p>
        </w:tc>
        <w:tc>
          <w:tcPr>
            <w:tcW w:w="346" w:type="dxa"/>
            <w:tcBorders/>
            <w:vAlign w:val="center"/>
          </w:tcPr>
          <w:p>
            <w:pPr>
              <w:pStyle w:val="TableContents"/>
              <w:bidi w:val="0"/>
              <w:spacing w:before="0" w:after="1"/>
              <w:ind w:left="0" w:right="0" w:hanging="0"/>
              <w:jc w:val="left"/>
              <w:rPr/>
            </w:pPr>
            <w:r>
              <w:rPr/>
              <w:t>  ​ ​ ​</w:t>
            </w:r>
          </w:p>
        </w:tc>
        <w:tc>
          <w:tcPr>
            <w:tcW w:w="1021" w:type="dxa"/>
            <w:gridSpan w:val="2"/>
            <w:tcBorders/>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Accumulated</w:t>
            </w:r>
          </w:p>
        </w:tc>
        <w:tc>
          <w:tcPr>
            <w:tcW w:w="346" w:type="dxa"/>
            <w:tcBorders/>
            <w:vAlign w:val="center"/>
          </w:tcPr>
          <w:p>
            <w:pPr>
              <w:pStyle w:val="TableContents"/>
              <w:bidi w:val="0"/>
              <w:spacing w:before="0" w:after="1"/>
              <w:ind w:left="0" w:right="0" w:hanging="0"/>
              <w:jc w:val="left"/>
              <w:rPr/>
            </w:pPr>
            <w:r>
              <w:rPr/>
              <w:t>  ​ ​ ​</w:t>
            </w:r>
          </w:p>
        </w:tc>
        <w:tc>
          <w:tcPr>
            <w:tcW w:w="209" w:type="dxa"/>
            <w:tcBorders/>
            <w:vAlign w:val="center"/>
          </w:tcPr>
          <w:p>
            <w:pPr>
              <w:pStyle w:val="TableContents"/>
              <w:bidi w:val="0"/>
              <w:spacing w:before="0" w:after="1"/>
              <w:ind w:left="0" w:right="0" w:hanging="0"/>
              <w:jc w:val="left"/>
              <w:rPr/>
            </w:pPr>
            <w:r>
              <w:rPr/>
              <w:t>​</w:t>
            </w:r>
          </w:p>
        </w:tc>
        <w:tc>
          <w:tcPr>
            <w:tcW w:w="677"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1021"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1066" w:type="dxa"/>
            <w:gridSpan w:val="2"/>
            <w:tcBorders/>
            <w:vAlign w:val="center"/>
          </w:tcPr>
          <w:p>
            <w:pPr>
              <w:pStyle w:val="TableContents"/>
              <w:bidi w:val="0"/>
              <w:spacing w:before="0" w:after="1"/>
              <w:ind w:left="0" w:right="0" w:hanging="0"/>
              <w:jc w:val="center"/>
              <w:rPr/>
            </w:pPr>
            <w:r>
              <w:rPr/>
              <w:t>​</w:t>
            </w:r>
          </w:p>
        </w:tc>
      </w:tr>
      <w:tr>
        <w:trPr/>
        <w:tc>
          <w:tcPr>
            <w:tcW w:w="10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872" w:type="dxa"/>
            <w:gridSpan w:val="2"/>
            <w:tcBorders/>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Additional</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5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901" w:type="dxa"/>
            <w:gridSpan w:val="2"/>
            <w:tcBorders/>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in Excess of</w:t>
            </w:r>
          </w:p>
        </w:tc>
        <w:tc>
          <w:tcPr>
            <w:tcW w:w="346" w:type="dxa"/>
            <w:tcBorders/>
            <w:vAlign w:val="center"/>
          </w:tcPr>
          <w:p>
            <w:pPr>
              <w:pStyle w:val="TableContents"/>
              <w:bidi w:val="0"/>
              <w:spacing w:before="0" w:after="1"/>
              <w:ind w:left="0" w:right="0" w:hanging="0"/>
              <w:jc w:val="left"/>
              <w:rPr/>
            </w:pPr>
            <w:r>
              <w:rPr/>
              <w:t>​</w:t>
            </w:r>
          </w:p>
        </w:tc>
        <w:tc>
          <w:tcPr>
            <w:tcW w:w="1021" w:type="dxa"/>
            <w:gridSpan w:val="2"/>
            <w:tcBorders/>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Other</w:t>
            </w:r>
          </w:p>
        </w:tc>
        <w:tc>
          <w:tcPr>
            <w:tcW w:w="346" w:type="dxa"/>
            <w:tcBorders/>
            <w:vAlign w:val="center"/>
          </w:tcPr>
          <w:p>
            <w:pPr>
              <w:pStyle w:val="TableContents"/>
              <w:bidi w:val="0"/>
              <w:spacing w:before="0" w:after="1"/>
              <w:ind w:left="0" w:right="0" w:hanging="0"/>
              <w:jc w:val="left"/>
              <w:rPr/>
            </w:pPr>
            <w:r>
              <w:rPr/>
              <w:t>​</w:t>
            </w:r>
          </w:p>
        </w:tc>
        <w:tc>
          <w:tcPr>
            <w:tcW w:w="886" w:type="dxa"/>
            <w:gridSpan w:val="2"/>
            <w:tcBorders/>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Total</w:t>
            </w:r>
          </w:p>
        </w:tc>
        <w:tc>
          <w:tcPr>
            <w:tcW w:w="346" w:type="dxa"/>
            <w:tcBorders/>
            <w:vAlign w:val="center"/>
          </w:tcPr>
          <w:p>
            <w:pPr>
              <w:pStyle w:val="TableContents"/>
              <w:bidi w:val="0"/>
              <w:spacing w:before="0" w:after="1"/>
              <w:ind w:left="0" w:right="0" w:hanging="0"/>
              <w:jc w:val="left"/>
              <w:rPr/>
            </w:pPr>
            <w:r>
              <w:rPr/>
              <w:t>​</w:t>
            </w:r>
          </w:p>
        </w:tc>
        <w:tc>
          <w:tcPr>
            <w:tcW w:w="1021"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767"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066" w:type="dxa"/>
            <w:gridSpan w:val="2"/>
            <w:tcBorders/>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Noncontrolling</w:t>
            </w:r>
          </w:p>
        </w:tc>
      </w:tr>
      <w:tr>
        <w:trPr/>
        <w:tc>
          <w:tcPr>
            <w:tcW w:w="10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31" w:type="dxa"/>
            <w:gridSpan w:val="2"/>
            <w:tcBorders/>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Common</w:t>
            </w:r>
          </w:p>
        </w:tc>
        <w:tc>
          <w:tcPr>
            <w:tcW w:w="346" w:type="dxa"/>
            <w:tcBorders/>
            <w:vAlign w:val="center"/>
          </w:tcPr>
          <w:p>
            <w:pPr>
              <w:pStyle w:val="TableContents"/>
              <w:bidi w:val="0"/>
              <w:spacing w:before="0" w:after="1"/>
              <w:ind w:left="0" w:right="0" w:hanging="0"/>
              <w:jc w:val="left"/>
              <w:rPr/>
            </w:pPr>
            <w:r>
              <w:rPr/>
              <w:t>​</w:t>
            </w:r>
          </w:p>
        </w:tc>
        <w:tc>
          <w:tcPr>
            <w:tcW w:w="872" w:type="dxa"/>
            <w:gridSpan w:val="2"/>
            <w:tcBorders/>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Paid-in</w:t>
            </w:r>
          </w:p>
        </w:tc>
        <w:tc>
          <w:tcPr>
            <w:tcW w:w="346" w:type="dxa"/>
            <w:tcBorders/>
            <w:vAlign w:val="center"/>
          </w:tcPr>
          <w:p>
            <w:pPr>
              <w:pStyle w:val="TableContents"/>
              <w:bidi w:val="0"/>
              <w:spacing w:before="0" w:after="1"/>
              <w:ind w:left="0" w:right="0" w:hanging="0"/>
              <w:jc w:val="left"/>
              <w:rPr/>
            </w:pPr>
            <w:r>
              <w:rPr/>
              <w:t>​</w:t>
            </w:r>
          </w:p>
        </w:tc>
        <w:tc>
          <w:tcPr>
            <w:tcW w:w="737" w:type="dxa"/>
            <w:gridSpan w:val="2"/>
            <w:tcBorders/>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Treasury</w:t>
            </w:r>
          </w:p>
        </w:tc>
        <w:tc>
          <w:tcPr>
            <w:tcW w:w="346" w:type="dxa"/>
            <w:tcBorders/>
            <w:vAlign w:val="center"/>
          </w:tcPr>
          <w:p>
            <w:pPr>
              <w:pStyle w:val="TableContents"/>
              <w:bidi w:val="0"/>
              <w:spacing w:before="0" w:after="1"/>
              <w:ind w:left="0" w:right="0" w:hanging="0"/>
              <w:jc w:val="left"/>
              <w:rPr/>
            </w:pPr>
            <w:r>
              <w:rPr/>
              <w:t>​</w:t>
            </w:r>
          </w:p>
        </w:tc>
        <w:tc>
          <w:tcPr>
            <w:tcW w:w="901" w:type="dxa"/>
            <w:gridSpan w:val="2"/>
            <w:tcBorders/>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Retained</w:t>
            </w:r>
          </w:p>
        </w:tc>
        <w:tc>
          <w:tcPr>
            <w:tcW w:w="346" w:type="dxa"/>
            <w:tcBorders/>
            <w:vAlign w:val="center"/>
          </w:tcPr>
          <w:p>
            <w:pPr>
              <w:pStyle w:val="TableContents"/>
              <w:bidi w:val="0"/>
              <w:spacing w:before="0" w:after="1"/>
              <w:ind w:left="0" w:right="0" w:hanging="0"/>
              <w:jc w:val="left"/>
              <w:rPr/>
            </w:pPr>
            <w:r>
              <w:rPr/>
              <w:t>​</w:t>
            </w:r>
          </w:p>
        </w:tc>
        <w:tc>
          <w:tcPr>
            <w:tcW w:w="1021" w:type="dxa"/>
            <w:gridSpan w:val="2"/>
            <w:tcBorders/>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Comprehensive</w:t>
            </w:r>
          </w:p>
        </w:tc>
        <w:tc>
          <w:tcPr>
            <w:tcW w:w="346" w:type="dxa"/>
            <w:tcBorders/>
            <w:vAlign w:val="center"/>
          </w:tcPr>
          <w:p>
            <w:pPr>
              <w:pStyle w:val="TableContents"/>
              <w:bidi w:val="0"/>
              <w:spacing w:before="0" w:after="1"/>
              <w:ind w:left="0" w:right="0" w:hanging="0"/>
              <w:jc w:val="left"/>
              <w:rPr/>
            </w:pPr>
            <w:r>
              <w:rPr/>
              <w:t>​</w:t>
            </w:r>
          </w:p>
        </w:tc>
        <w:tc>
          <w:tcPr>
            <w:tcW w:w="886" w:type="dxa"/>
            <w:gridSpan w:val="2"/>
            <w:tcBorders/>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Stockholders'</w:t>
            </w:r>
          </w:p>
        </w:tc>
        <w:tc>
          <w:tcPr>
            <w:tcW w:w="346" w:type="dxa"/>
            <w:tcBorders/>
            <w:vAlign w:val="center"/>
          </w:tcPr>
          <w:p>
            <w:pPr>
              <w:pStyle w:val="TableContents"/>
              <w:bidi w:val="0"/>
              <w:spacing w:before="0" w:after="1"/>
              <w:ind w:left="0" w:right="0" w:hanging="0"/>
              <w:jc w:val="left"/>
              <w:rPr/>
            </w:pPr>
            <w:r>
              <w:rPr/>
              <w:t>​</w:t>
            </w:r>
          </w:p>
        </w:tc>
        <w:tc>
          <w:tcPr>
            <w:tcW w:w="1021" w:type="dxa"/>
            <w:gridSpan w:val="2"/>
            <w:tcBorders/>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Noncontrolling</w:t>
            </w:r>
          </w:p>
        </w:tc>
        <w:tc>
          <w:tcPr>
            <w:tcW w:w="346" w:type="dxa"/>
            <w:tcBorders/>
            <w:vAlign w:val="center"/>
          </w:tcPr>
          <w:p>
            <w:pPr>
              <w:pStyle w:val="TableContents"/>
              <w:bidi w:val="0"/>
              <w:spacing w:before="0" w:after="1"/>
              <w:ind w:left="0" w:right="0" w:hanging="0"/>
              <w:jc w:val="left"/>
              <w:rPr/>
            </w:pPr>
            <w:r>
              <w:rPr/>
              <w:t>​</w:t>
            </w:r>
          </w:p>
        </w:tc>
        <w:tc>
          <w:tcPr>
            <w:tcW w:w="767" w:type="dxa"/>
            <w:gridSpan w:val="2"/>
            <w:tcBorders/>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Total</w:t>
            </w:r>
          </w:p>
        </w:tc>
        <w:tc>
          <w:tcPr>
            <w:tcW w:w="346" w:type="dxa"/>
            <w:tcBorders/>
            <w:vAlign w:val="center"/>
          </w:tcPr>
          <w:p>
            <w:pPr>
              <w:pStyle w:val="TableContents"/>
              <w:bidi w:val="0"/>
              <w:spacing w:before="0" w:after="1"/>
              <w:ind w:left="0" w:right="0" w:hanging="0"/>
              <w:jc w:val="left"/>
              <w:rPr/>
            </w:pPr>
            <w:r>
              <w:rPr/>
              <w:t>​</w:t>
            </w:r>
          </w:p>
        </w:tc>
        <w:tc>
          <w:tcPr>
            <w:tcW w:w="1066" w:type="dxa"/>
            <w:gridSpan w:val="2"/>
            <w:tcBorders/>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Interest</w:t>
            </w:r>
          </w:p>
        </w:tc>
      </w:tr>
      <w:tr>
        <w:trPr/>
        <w:tc>
          <w:tcPr>
            <w:tcW w:w="10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Stock </w:t>
            </w:r>
          </w:p>
        </w:tc>
        <w:tc>
          <w:tcPr>
            <w:tcW w:w="346" w:type="dxa"/>
            <w:tcBorders/>
            <w:vAlign w:val="center"/>
          </w:tcPr>
          <w:p>
            <w:pPr>
              <w:pStyle w:val="TableContents"/>
              <w:bidi w:val="0"/>
              <w:spacing w:before="0" w:after="1"/>
              <w:ind w:left="0" w:right="0" w:hanging="0"/>
              <w:jc w:val="left"/>
              <w:rPr/>
            </w:pPr>
            <w:r>
              <w:rPr/>
              <w:t>​</w:t>
            </w:r>
          </w:p>
        </w:tc>
        <w:tc>
          <w:tcPr>
            <w:tcW w:w="87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Capital </w:t>
            </w:r>
          </w:p>
        </w:tc>
        <w:tc>
          <w:tcPr>
            <w:tcW w:w="346" w:type="dxa"/>
            <w:tcBorders/>
            <w:vAlign w:val="center"/>
          </w:tcPr>
          <w:p>
            <w:pPr>
              <w:pStyle w:val="TableContents"/>
              <w:bidi w:val="0"/>
              <w:spacing w:before="0" w:after="1"/>
              <w:ind w:left="0" w:right="0" w:hanging="0"/>
              <w:jc w:val="left"/>
              <w:rPr/>
            </w:pPr>
            <w:r>
              <w:rPr/>
              <w:t>​</w:t>
            </w:r>
          </w:p>
        </w:tc>
        <w:tc>
          <w:tcPr>
            <w:tcW w:w="73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Stock</w:t>
            </w:r>
          </w:p>
        </w:tc>
        <w:tc>
          <w:tcPr>
            <w:tcW w:w="346" w:type="dxa"/>
            <w:tcBorders/>
            <w:vAlign w:val="center"/>
          </w:tcPr>
          <w:p>
            <w:pPr>
              <w:pStyle w:val="TableContents"/>
              <w:bidi w:val="0"/>
              <w:spacing w:before="0" w:after="1"/>
              <w:ind w:left="0" w:right="0" w:hanging="0"/>
              <w:jc w:val="left"/>
              <w:rPr/>
            </w:pPr>
            <w:r>
              <w:rPr/>
              <w:t>​</w:t>
            </w:r>
          </w:p>
        </w:tc>
        <w:tc>
          <w:tcPr>
            <w:tcW w:w="9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Earnings</w:t>
            </w:r>
          </w:p>
        </w:tc>
        <w:tc>
          <w:tcPr>
            <w:tcW w:w="346" w:type="dxa"/>
            <w:tcBorders/>
            <w:vAlign w:val="center"/>
          </w:tcPr>
          <w:p>
            <w:pPr>
              <w:pStyle w:val="TableContents"/>
              <w:bidi w:val="0"/>
              <w:spacing w:before="0" w:after="1"/>
              <w:ind w:left="0" w:right="0" w:hanging="0"/>
              <w:jc w:val="left"/>
              <w:rPr/>
            </w:pPr>
            <w:r>
              <w:rPr/>
              <w:t>​</w:t>
            </w:r>
          </w:p>
        </w:tc>
        <w:tc>
          <w:tcPr>
            <w:tcW w:w="10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Loss</w:t>
            </w:r>
          </w:p>
        </w:tc>
        <w:tc>
          <w:tcPr>
            <w:tcW w:w="346" w:type="dxa"/>
            <w:tcBorders/>
            <w:vAlign w:val="center"/>
          </w:tcPr>
          <w:p>
            <w:pPr>
              <w:pStyle w:val="TableContents"/>
              <w:bidi w:val="0"/>
              <w:spacing w:before="0" w:after="1"/>
              <w:ind w:left="0" w:right="0" w:hanging="0"/>
              <w:jc w:val="left"/>
              <w:rPr/>
            </w:pPr>
            <w:r>
              <w:rPr/>
              <w:t>​</w:t>
            </w:r>
          </w:p>
        </w:tc>
        <w:tc>
          <w:tcPr>
            <w:tcW w:w="88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Equity</w:t>
            </w:r>
          </w:p>
        </w:tc>
        <w:tc>
          <w:tcPr>
            <w:tcW w:w="346" w:type="dxa"/>
            <w:tcBorders/>
            <w:vAlign w:val="center"/>
          </w:tcPr>
          <w:p>
            <w:pPr>
              <w:pStyle w:val="TableContents"/>
              <w:bidi w:val="0"/>
              <w:spacing w:before="0" w:after="1"/>
              <w:ind w:left="0" w:right="0" w:hanging="0"/>
              <w:jc w:val="left"/>
              <w:rPr/>
            </w:pPr>
            <w:r>
              <w:rPr/>
              <w:t>​</w:t>
            </w:r>
          </w:p>
        </w:tc>
        <w:tc>
          <w:tcPr>
            <w:tcW w:w="10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Interests</w:t>
            </w:r>
          </w:p>
        </w:tc>
        <w:tc>
          <w:tcPr>
            <w:tcW w:w="346" w:type="dxa"/>
            <w:tcBorders/>
            <w:vAlign w:val="center"/>
          </w:tcPr>
          <w:p>
            <w:pPr>
              <w:pStyle w:val="TableContents"/>
              <w:bidi w:val="0"/>
              <w:spacing w:before="0" w:after="1"/>
              <w:ind w:left="0" w:right="0" w:hanging="0"/>
              <w:jc w:val="left"/>
              <w:rPr/>
            </w:pPr>
            <w:r>
              <w:rPr/>
              <w:t>​</w:t>
            </w:r>
          </w:p>
        </w:tc>
        <w:tc>
          <w:tcPr>
            <w:tcW w:w="7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Equity</w:t>
            </w:r>
          </w:p>
        </w:tc>
        <w:tc>
          <w:tcPr>
            <w:tcW w:w="346" w:type="dxa"/>
            <w:tcBorders/>
            <w:vAlign w:val="center"/>
          </w:tcPr>
          <w:p>
            <w:pPr>
              <w:pStyle w:val="TableContents"/>
              <w:bidi w:val="0"/>
              <w:spacing w:before="0" w:after="1"/>
              <w:ind w:left="0" w:right="0" w:hanging="0"/>
              <w:jc w:val="left"/>
              <w:rPr/>
            </w:pPr>
            <w:r>
              <w:rPr/>
              <w:t>​</w:t>
            </w:r>
          </w:p>
        </w:tc>
        <w:tc>
          <w:tcPr>
            <w:tcW w:w="106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in OEG</w:t>
            </w:r>
          </w:p>
        </w:tc>
      </w:tr>
      <w:tr>
        <w:trPr/>
        <w:tc>
          <w:tcPr>
            <w:tcW w:w="100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BALANCE, December 31, 2025</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1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630</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1,722,332</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5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(26,788)</w:t>
            </w:r>
          </w:p>
        </w:tc>
        <w:tc>
          <w:tcPr>
            <w:tcW w:w="346" w:type="dxa"/>
            <w:tcBorders/>
            <w:shd w:fill="CCEEFF" w:val="clear"/>
            <w:vAlign w:val="center"/>
          </w:tcPr>
          <w:p>
            <w:pPr>
              <w:pStyle w:val="TableContents"/>
              <w:bidi w:val="0"/>
              <w:spacing w:before="0" w:after="1"/>
              <w:ind w:left="0" w:right="0" w:hanging="0"/>
              <w:jc w:val="left"/>
              <w:rPr/>
            </w:pPr>
            <w:r>
              <w:rPr/>
              <w:t>​</w:t>
            </w:r>
          </w:p>
        </w:tc>
        <w:tc>
          <w:tcPr>
            <w:tcW w:w="200"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0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(933,250)</w:t>
            </w:r>
          </w:p>
        </w:tc>
        <w:tc>
          <w:tcPr>
            <w:tcW w:w="34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72"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(12,772)</w:t>
            </w:r>
          </w:p>
        </w:tc>
        <w:tc>
          <w:tcPr>
            <w:tcW w:w="346" w:type="dxa"/>
            <w:tcBorders/>
            <w:shd w:fill="CCEEFF" w:val="clear"/>
            <w:vAlign w:val="center"/>
          </w:tcPr>
          <w:p>
            <w:pPr>
              <w:pStyle w:val="TableContents"/>
              <w:bidi w:val="0"/>
              <w:spacing w:before="0" w:after="1"/>
              <w:ind w:left="0" w:right="0" w:hanging="0"/>
              <w:jc w:val="left"/>
              <w:rPr/>
            </w:pPr>
            <w:r>
              <w:rPr/>
              <w:t>​</w:t>
            </w:r>
          </w:p>
        </w:tc>
        <w:tc>
          <w:tcPr>
            <w:tcW w:w="209"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77"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750,152</w:t>
            </w:r>
          </w:p>
        </w:tc>
        <w:tc>
          <w:tcPr>
            <w:tcW w:w="34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54"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38,933</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789,085</w:t>
            </w:r>
          </w:p>
        </w:tc>
        <w:tc>
          <w:tcPr>
            <w:tcW w:w="34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422,691</w:t>
            </w:r>
          </w:p>
        </w:tc>
      </w:tr>
      <w:tr>
        <w:trPr/>
        <w:tc>
          <w:tcPr>
            <w:tcW w:w="100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Net income (loss)</w:t>
            </w:r>
          </w:p>
        </w:tc>
        <w:tc>
          <w:tcPr>
            <w:tcW w:w="34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 </w:t>
            </w:r>
          </w:p>
        </w:tc>
        <w:tc>
          <w:tcPr>
            <w:tcW w:w="41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55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00" w:type="dxa"/>
            <w:tcBorders/>
            <w:vAlign w:val="center"/>
          </w:tcPr>
          <w:p>
            <w:pPr>
              <w:pStyle w:val="TableContents"/>
              <w:bidi w:val="0"/>
              <w:spacing w:before="0" w:after="1"/>
              <w:ind w:left="0" w:right="0" w:hanging="0"/>
              <w:jc w:val="left"/>
              <w:rPr/>
            </w:pPr>
            <w:r>
              <w:rPr/>
              <w:t> </w:t>
            </w:r>
          </w:p>
        </w:tc>
        <w:tc>
          <w:tcPr>
            <w:tcW w:w="70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70,475</w:t>
            </w:r>
          </w:p>
        </w:tc>
        <w:tc>
          <w:tcPr>
            <w:tcW w:w="34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77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09" w:type="dxa"/>
            <w:tcBorders/>
            <w:vAlign w:val="center"/>
          </w:tcPr>
          <w:p>
            <w:pPr>
              <w:pStyle w:val="TableContents"/>
              <w:bidi w:val="0"/>
              <w:spacing w:before="0" w:after="1"/>
              <w:ind w:left="0" w:right="0" w:hanging="0"/>
              <w:jc w:val="left"/>
              <w:rPr/>
            </w:pPr>
            <w:r>
              <w:rPr/>
              <w:t> </w:t>
            </w:r>
          </w:p>
        </w:tc>
        <w:tc>
          <w:tcPr>
            <w:tcW w:w="677"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70,475</w:t>
            </w:r>
          </w:p>
        </w:tc>
        <w:tc>
          <w:tcPr>
            <w:tcW w:w="346"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left"/>
              <w:rPr/>
            </w:pPr>
            <w:r>
              <w:rPr/>
              <w:t> </w:t>
            </w:r>
          </w:p>
        </w:tc>
        <w:tc>
          <w:tcPr>
            <w:tcW w:w="754"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(485)</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69,990</w:t>
            </w:r>
          </w:p>
        </w:tc>
        <w:tc>
          <w:tcPr>
            <w:tcW w:w="34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(588)</w:t>
            </w:r>
          </w:p>
        </w:tc>
      </w:tr>
      <w:tr>
        <w:trPr/>
        <w:tc>
          <w:tcPr>
            <w:tcW w:w="100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Other comprehensive income, net of income taxes</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 </w:t>
            </w:r>
          </w:p>
        </w:tc>
        <w:tc>
          <w:tcPr>
            <w:tcW w:w="41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55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00" w:type="dxa"/>
            <w:tcBorders/>
            <w:shd w:fill="CCEEFF" w:val="clear"/>
            <w:vAlign w:val="center"/>
          </w:tcPr>
          <w:p>
            <w:pPr>
              <w:pStyle w:val="TableContents"/>
              <w:bidi w:val="0"/>
              <w:spacing w:before="0" w:after="1"/>
              <w:ind w:left="0" w:right="0" w:hanging="0"/>
              <w:jc w:val="left"/>
              <w:rPr/>
            </w:pPr>
            <w:r>
              <w:rPr/>
              <w:t> </w:t>
            </w:r>
          </w:p>
        </w:tc>
        <w:tc>
          <w:tcPr>
            <w:tcW w:w="7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 </w:t>
            </w:r>
          </w:p>
        </w:tc>
        <w:tc>
          <w:tcPr>
            <w:tcW w:w="772"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1,223</w:t>
            </w:r>
          </w:p>
        </w:tc>
        <w:tc>
          <w:tcPr>
            <w:tcW w:w="346" w:type="dxa"/>
            <w:tcBorders/>
            <w:shd w:fill="CCEEFF" w:val="clear"/>
            <w:vAlign w:val="center"/>
          </w:tcPr>
          <w:p>
            <w:pPr>
              <w:pStyle w:val="TableContents"/>
              <w:bidi w:val="0"/>
              <w:spacing w:before="0" w:after="1"/>
              <w:ind w:left="0" w:right="0" w:hanging="0"/>
              <w:jc w:val="left"/>
              <w:rPr/>
            </w:pPr>
            <w:r>
              <w:rPr/>
              <w:t>​</w:t>
            </w:r>
          </w:p>
        </w:tc>
        <w:tc>
          <w:tcPr>
            <w:tcW w:w="209" w:type="dxa"/>
            <w:tcBorders/>
            <w:shd w:fill="CCEEFF" w:val="clear"/>
            <w:vAlign w:val="center"/>
          </w:tcPr>
          <w:p>
            <w:pPr>
              <w:pStyle w:val="TableContents"/>
              <w:bidi w:val="0"/>
              <w:spacing w:before="0" w:after="1"/>
              <w:ind w:left="0" w:right="0" w:hanging="0"/>
              <w:jc w:val="left"/>
              <w:rPr/>
            </w:pPr>
            <w:r>
              <w:rPr/>
              <w:t> </w:t>
            </w:r>
          </w:p>
        </w:tc>
        <w:tc>
          <w:tcPr>
            <w:tcW w:w="677"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1,223</w:t>
            </w:r>
          </w:p>
        </w:tc>
        <w:tc>
          <w:tcPr>
            <w:tcW w:w="34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pPr>
            <w:r>
              <w:rPr/>
              <w:t> </w:t>
            </w:r>
          </w:p>
        </w:tc>
        <w:tc>
          <w:tcPr>
            <w:tcW w:w="75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1,223</w:t>
            </w:r>
          </w:p>
        </w:tc>
        <w:tc>
          <w:tcPr>
            <w:tcW w:w="34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pPr>
            <w:r>
              <w:rPr/>
              <w:t>—</w:t>
            </w:r>
          </w:p>
        </w:tc>
      </w:tr>
      <w:tr>
        <w:trPr/>
        <w:tc>
          <w:tcPr>
            <w:tcW w:w="100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Adjustment of noncontrolling interest to redemption value</w:t>
            </w:r>
          </w:p>
        </w:tc>
        <w:tc>
          <w:tcPr>
            <w:tcW w:w="34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(11,291)</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5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00" w:type="dxa"/>
            <w:tcBorders/>
            <w:vAlign w:val="center"/>
          </w:tcPr>
          <w:p>
            <w:pPr>
              <w:pStyle w:val="TableContents"/>
              <w:bidi w:val="0"/>
              <w:spacing w:before="0" w:after="1"/>
              <w:ind w:left="0" w:right="0" w:hanging="0"/>
              <w:jc w:val="left"/>
              <w:rPr/>
            </w:pPr>
            <w:r>
              <w:rPr/>
              <w:t>​</w:t>
            </w:r>
          </w:p>
        </w:tc>
        <w:tc>
          <w:tcPr>
            <w:tcW w:w="7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77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09" w:type="dxa"/>
            <w:tcBorders/>
            <w:vAlign w:val="center"/>
          </w:tcPr>
          <w:p>
            <w:pPr>
              <w:pStyle w:val="TableContents"/>
              <w:bidi w:val="0"/>
              <w:spacing w:before="0" w:after="1"/>
              <w:ind w:left="0" w:right="0" w:hanging="0"/>
              <w:jc w:val="left"/>
              <w:rPr/>
            </w:pPr>
            <w:r>
              <w:rPr/>
              <w:t>​</w:t>
            </w:r>
          </w:p>
        </w:tc>
        <w:tc>
          <w:tcPr>
            <w:tcW w:w="677"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(11,291)</w:t>
            </w:r>
          </w:p>
        </w:tc>
        <w:tc>
          <w:tcPr>
            <w:tcW w:w="346"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left"/>
              <w:rPr/>
            </w:pPr>
            <w:r>
              <w:rPr/>
              <w:t>​</w:t>
            </w:r>
          </w:p>
        </w:tc>
        <w:tc>
          <w:tcPr>
            <w:tcW w:w="75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(11,291)</w:t>
            </w:r>
          </w:p>
        </w:tc>
        <w:tc>
          <w:tcPr>
            <w:tcW w:w="34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11,291</w:t>
            </w:r>
          </w:p>
        </w:tc>
      </w:tr>
      <w:tr>
        <w:trPr/>
        <w:tc>
          <w:tcPr>
            <w:tcW w:w="100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Dividends and distributions declared ($1.20 per share)</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 </w:t>
            </w:r>
          </w:p>
        </w:tc>
        <w:tc>
          <w:tcPr>
            <w:tcW w:w="41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190</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5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(785)</w:t>
            </w:r>
          </w:p>
        </w:tc>
        <w:tc>
          <w:tcPr>
            <w:tcW w:w="346" w:type="dxa"/>
            <w:tcBorders/>
            <w:shd w:fill="CCEEFF" w:val="clear"/>
            <w:vAlign w:val="center"/>
          </w:tcPr>
          <w:p>
            <w:pPr>
              <w:pStyle w:val="TableContents"/>
              <w:bidi w:val="0"/>
              <w:spacing w:before="0" w:after="1"/>
              <w:ind w:left="0" w:right="0" w:hanging="0"/>
              <w:jc w:val="left"/>
              <w:rPr/>
            </w:pPr>
            <w:r>
              <w:rPr/>
              <w:t>​</w:t>
            </w:r>
          </w:p>
        </w:tc>
        <w:tc>
          <w:tcPr>
            <w:tcW w:w="200" w:type="dxa"/>
            <w:tcBorders/>
            <w:shd w:fill="CCEEFF" w:val="clear"/>
            <w:vAlign w:val="center"/>
          </w:tcPr>
          <w:p>
            <w:pPr>
              <w:pStyle w:val="TableContents"/>
              <w:bidi w:val="0"/>
              <w:spacing w:before="0" w:after="1"/>
              <w:ind w:left="0" w:right="0" w:hanging="0"/>
              <w:jc w:val="left"/>
              <w:rPr/>
            </w:pPr>
            <w:r>
              <w:rPr/>
              <w:t>​</w:t>
            </w:r>
          </w:p>
        </w:tc>
        <w:tc>
          <w:tcPr>
            <w:tcW w:w="70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(75,536)</w:t>
            </w:r>
          </w:p>
        </w:tc>
        <w:tc>
          <w:tcPr>
            <w:tcW w:w="34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 </w:t>
            </w:r>
          </w:p>
        </w:tc>
        <w:tc>
          <w:tcPr>
            <w:tcW w:w="77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09" w:type="dxa"/>
            <w:tcBorders/>
            <w:shd w:fill="CCEEFF" w:val="clear"/>
            <w:vAlign w:val="center"/>
          </w:tcPr>
          <w:p>
            <w:pPr>
              <w:pStyle w:val="TableContents"/>
              <w:bidi w:val="0"/>
              <w:spacing w:before="0" w:after="1"/>
              <w:ind w:left="0" w:right="0" w:hanging="0"/>
              <w:jc w:val="left"/>
              <w:rPr/>
            </w:pPr>
            <w:r>
              <w:rPr/>
              <w:t> </w:t>
            </w:r>
          </w:p>
        </w:tc>
        <w:tc>
          <w:tcPr>
            <w:tcW w:w="677"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(76,131)</w:t>
            </w:r>
          </w:p>
        </w:tc>
        <w:tc>
          <w:tcPr>
            <w:tcW w:w="34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pPr>
            <w:r>
              <w:rPr/>
              <w:t> </w:t>
            </w:r>
          </w:p>
        </w:tc>
        <w:tc>
          <w:tcPr>
            <w:tcW w:w="754"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(474)</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(76,605)</w:t>
            </w:r>
          </w:p>
        </w:tc>
        <w:tc>
          <w:tcPr>
            <w:tcW w:w="34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pPr>
            <w:r>
              <w:rPr/>
              <w:t>—</w:t>
            </w:r>
          </w:p>
        </w:tc>
      </w:tr>
      <w:tr>
        <w:trPr/>
        <w:tc>
          <w:tcPr>
            <w:tcW w:w="100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Restricted stock units surrendered</w:t>
            </w:r>
          </w:p>
        </w:tc>
        <w:tc>
          <w:tcPr>
            <w:tcW w:w="34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 </w:t>
            </w:r>
          </w:p>
        </w:tc>
        <w:tc>
          <w:tcPr>
            <w:tcW w:w="41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(5,388)</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55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00" w:type="dxa"/>
            <w:tcBorders/>
            <w:vAlign w:val="center"/>
          </w:tcPr>
          <w:p>
            <w:pPr>
              <w:pStyle w:val="TableContents"/>
              <w:bidi w:val="0"/>
              <w:spacing w:before="0" w:after="1"/>
              <w:ind w:left="0" w:right="0" w:hanging="0"/>
              <w:jc w:val="left"/>
              <w:rPr/>
            </w:pPr>
            <w:r>
              <w:rPr/>
              <w:t> </w:t>
            </w:r>
          </w:p>
        </w:tc>
        <w:tc>
          <w:tcPr>
            <w:tcW w:w="7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77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09" w:type="dxa"/>
            <w:tcBorders/>
            <w:vAlign w:val="center"/>
          </w:tcPr>
          <w:p>
            <w:pPr>
              <w:pStyle w:val="TableContents"/>
              <w:bidi w:val="0"/>
              <w:spacing w:before="0" w:after="1"/>
              <w:ind w:left="0" w:right="0" w:hanging="0"/>
              <w:jc w:val="left"/>
              <w:rPr/>
            </w:pPr>
            <w:r>
              <w:rPr/>
              <w:t> </w:t>
            </w:r>
          </w:p>
        </w:tc>
        <w:tc>
          <w:tcPr>
            <w:tcW w:w="677"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(5,387)</w:t>
            </w:r>
          </w:p>
        </w:tc>
        <w:tc>
          <w:tcPr>
            <w:tcW w:w="346"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left"/>
              <w:rPr/>
            </w:pPr>
            <w:r>
              <w:rPr/>
              <w:t> </w:t>
            </w:r>
          </w:p>
        </w:tc>
        <w:tc>
          <w:tcPr>
            <w:tcW w:w="75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(5,387)</w:t>
            </w:r>
          </w:p>
        </w:tc>
        <w:tc>
          <w:tcPr>
            <w:tcW w:w="34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pPr>
            <w:r>
              <w:rPr/>
              <w:t>—</w:t>
            </w:r>
          </w:p>
        </w:tc>
      </w:tr>
      <w:tr>
        <w:trPr/>
        <w:tc>
          <w:tcPr>
            <w:tcW w:w="100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Equity-based compensation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1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3,802</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0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7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0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3,802</w:t>
            </w:r>
          </w:p>
        </w:tc>
        <w:tc>
          <w:tcPr>
            <w:tcW w:w="346" w:type="dxa"/>
            <w:tcBorders/>
            <w:shd w:fill="CCEEFF" w:val="clear"/>
            <w:vAlign w:val="center"/>
          </w:tcPr>
          <w:p>
            <w:pPr>
              <w:pStyle w:val="TableContents"/>
              <w:bidi w:val="0"/>
              <w:spacing w:before="0" w:after="1"/>
              <w:ind w:left="0" w:right="0" w:hanging="0"/>
              <w:jc w:val="left"/>
              <w:rPr/>
            </w:pPr>
            <w:r>
              <w:rPr/>
              <w:t>​</w:t>
            </w:r>
          </w:p>
        </w:tc>
        <w:tc>
          <w:tcPr>
            <w:tcW w:w="26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5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3,802</w:t>
            </w:r>
          </w:p>
        </w:tc>
        <w:tc>
          <w:tcPr>
            <w:tcW w:w="346" w:type="dxa"/>
            <w:tcBorders/>
            <w:shd w:fill="CCEEFF" w:val="clear"/>
            <w:vAlign w:val="center"/>
          </w:tcPr>
          <w:p>
            <w:pPr>
              <w:pStyle w:val="TableContents"/>
              <w:bidi w:val="0"/>
              <w:spacing w:before="0" w:after="1"/>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100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BALANCE, March 31, 2026</w:t>
            </w:r>
          </w:p>
        </w:tc>
        <w:tc>
          <w:tcPr>
            <w:tcW w:w="346" w:type="dxa"/>
            <w:tcBorders/>
            <w:vAlign w:val="center"/>
          </w:tcPr>
          <w:p>
            <w:pPr>
              <w:pStyle w:val="TableContents"/>
              <w:bidi w:val="0"/>
              <w:spacing w:before="0" w:after="1"/>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1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631</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1,709,645</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5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(27,573)</w:t>
            </w:r>
          </w:p>
        </w:tc>
        <w:tc>
          <w:tcPr>
            <w:tcW w:w="346" w:type="dxa"/>
            <w:tcBorders/>
            <w:vAlign w:val="center"/>
          </w:tcPr>
          <w:p>
            <w:pPr>
              <w:pStyle w:val="TableContents"/>
              <w:bidi w:val="0"/>
              <w:spacing w:before="0" w:after="1"/>
              <w:ind w:left="0" w:right="0" w:hanging="0"/>
              <w:jc w:val="left"/>
              <w:rPr/>
            </w:pPr>
            <w:r>
              <w:rPr/>
              <w:t>​</w:t>
            </w:r>
          </w:p>
        </w:tc>
        <w:tc>
          <w:tcPr>
            <w:tcW w:w="200"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(938,311)</w:t>
            </w:r>
          </w:p>
        </w:tc>
        <w:tc>
          <w:tcPr>
            <w:tcW w:w="346" w:type="dxa"/>
            <w:tcBorders/>
            <w:vAlign w:val="center"/>
          </w:tcPr>
          <w:p>
            <w:pPr>
              <w:pStyle w:val="TableContents"/>
              <w:bidi w:val="0"/>
              <w:spacing w:before="0" w:after="1"/>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7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(11,549)</w:t>
            </w:r>
          </w:p>
        </w:tc>
        <w:tc>
          <w:tcPr>
            <w:tcW w:w="346" w:type="dxa"/>
            <w:tcBorders/>
            <w:vAlign w:val="center"/>
          </w:tcPr>
          <w:p>
            <w:pPr>
              <w:pStyle w:val="TableContents"/>
              <w:bidi w:val="0"/>
              <w:spacing w:before="0" w:after="1"/>
              <w:ind w:left="0" w:right="0" w:hanging="0"/>
              <w:jc w:val="left"/>
              <w:rPr/>
            </w:pPr>
            <w:r>
              <w:rPr/>
              <w:t>​</w:t>
            </w:r>
          </w:p>
        </w:tc>
        <w:tc>
          <w:tcPr>
            <w:tcW w:w="209"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7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732,843</w:t>
            </w:r>
          </w:p>
        </w:tc>
        <w:tc>
          <w:tcPr>
            <w:tcW w:w="346" w:type="dxa"/>
            <w:tcBorders/>
            <w:vAlign w:val="center"/>
          </w:tcPr>
          <w:p>
            <w:pPr>
              <w:pStyle w:val="TableContents"/>
              <w:bidi w:val="0"/>
              <w:spacing w:before="0" w:after="1"/>
              <w:ind w:left="0" w:right="0" w:hanging="0"/>
              <w:jc w:val="left"/>
              <w:rPr/>
            </w:pPr>
            <w:r>
              <w:rPr/>
              <w:t>​</w:t>
            </w:r>
          </w:p>
        </w:tc>
        <w:tc>
          <w:tcPr>
            <w:tcW w:w="267"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5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37,974</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770,817</w:t>
            </w:r>
          </w:p>
        </w:tc>
        <w:tc>
          <w:tcPr>
            <w:tcW w:w="346" w:type="dxa"/>
            <w:tcBorders/>
            <w:vAlign w:val="center"/>
          </w:tcPr>
          <w:p>
            <w:pPr>
              <w:pStyle w:val="TableContents"/>
              <w:bidi w:val="0"/>
              <w:spacing w:before="0" w:after="1"/>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433,394</w:t>
            </w:r>
          </w:p>
        </w:tc>
      </w:tr>
      <w:tr>
        <w:trPr/>
        <w:tc>
          <w:tcPr>
            <w:tcW w:w="100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Net income</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 </w:t>
            </w:r>
          </w:p>
        </w:tc>
        <w:tc>
          <w:tcPr>
            <w:tcW w:w="41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55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00" w:type="dxa"/>
            <w:tcBorders/>
            <w:shd w:fill="CCEEFF" w:val="clear"/>
            <w:vAlign w:val="center"/>
          </w:tcPr>
          <w:p>
            <w:pPr>
              <w:pStyle w:val="TableContents"/>
              <w:bidi w:val="0"/>
              <w:spacing w:before="0" w:after="1"/>
              <w:ind w:left="0" w:right="0" w:hanging="0"/>
              <w:jc w:val="left"/>
              <w:rPr/>
            </w:pPr>
            <w:r>
              <w:rPr/>
              <w:t> </w:t>
            </w:r>
          </w:p>
        </w:tc>
        <w:tc>
          <w:tcPr>
            <w:tcW w:w="70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92,750</w:t>
            </w:r>
          </w:p>
        </w:tc>
        <w:tc>
          <w:tcPr>
            <w:tcW w:w="34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 </w:t>
            </w:r>
          </w:p>
        </w:tc>
        <w:tc>
          <w:tcPr>
            <w:tcW w:w="77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09" w:type="dxa"/>
            <w:tcBorders/>
            <w:shd w:fill="CCEEFF" w:val="clear"/>
            <w:vAlign w:val="center"/>
          </w:tcPr>
          <w:p>
            <w:pPr>
              <w:pStyle w:val="TableContents"/>
              <w:bidi w:val="0"/>
              <w:spacing w:before="0" w:after="1"/>
              <w:ind w:left="0" w:right="0" w:hanging="0"/>
              <w:jc w:val="left"/>
              <w:rPr/>
            </w:pPr>
            <w:r>
              <w:rPr/>
              <w:t> </w:t>
            </w:r>
          </w:p>
        </w:tc>
        <w:tc>
          <w:tcPr>
            <w:tcW w:w="677"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92,750</w:t>
            </w:r>
          </w:p>
        </w:tc>
        <w:tc>
          <w:tcPr>
            <w:tcW w:w="34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pPr>
            <w:r>
              <w:rPr/>
              <w:t> </w:t>
            </w:r>
          </w:p>
        </w:tc>
        <w:tc>
          <w:tcPr>
            <w:tcW w:w="754"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5,279</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98,029</w:t>
            </w:r>
          </w:p>
        </w:tc>
        <w:tc>
          <w:tcPr>
            <w:tcW w:w="34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4,050</w:t>
            </w:r>
          </w:p>
        </w:tc>
      </w:tr>
      <w:tr>
        <w:trPr/>
        <w:tc>
          <w:tcPr>
            <w:tcW w:w="100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Other comprehensive income, net of income taxes</w:t>
            </w:r>
          </w:p>
        </w:tc>
        <w:tc>
          <w:tcPr>
            <w:tcW w:w="34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 </w:t>
            </w:r>
          </w:p>
        </w:tc>
        <w:tc>
          <w:tcPr>
            <w:tcW w:w="41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55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00" w:type="dxa"/>
            <w:tcBorders/>
            <w:vAlign w:val="center"/>
          </w:tcPr>
          <w:p>
            <w:pPr>
              <w:pStyle w:val="TableContents"/>
              <w:bidi w:val="0"/>
              <w:spacing w:before="0" w:after="1"/>
              <w:ind w:left="0" w:right="0" w:hanging="0"/>
              <w:jc w:val="left"/>
              <w:rPr/>
            </w:pPr>
            <w:r>
              <w:rPr/>
              <w:t> </w:t>
            </w:r>
          </w:p>
        </w:tc>
        <w:tc>
          <w:tcPr>
            <w:tcW w:w="7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772"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1,691</w:t>
            </w:r>
          </w:p>
        </w:tc>
        <w:tc>
          <w:tcPr>
            <w:tcW w:w="346" w:type="dxa"/>
            <w:tcBorders/>
            <w:vAlign w:val="center"/>
          </w:tcPr>
          <w:p>
            <w:pPr>
              <w:pStyle w:val="TableContents"/>
              <w:bidi w:val="0"/>
              <w:spacing w:before="0" w:after="1"/>
              <w:ind w:left="0" w:right="0" w:hanging="0"/>
              <w:jc w:val="left"/>
              <w:rPr/>
            </w:pPr>
            <w:r>
              <w:rPr/>
              <w:t>​</w:t>
            </w:r>
          </w:p>
        </w:tc>
        <w:tc>
          <w:tcPr>
            <w:tcW w:w="209" w:type="dxa"/>
            <w:tcBorders/>
            <w:vAlign w:val="center"/>
          </w:tcPr>
          <w:p>
            <w:pPr>
              <w:pStyle w:val="TableContents"/>
              <w:bidi w:val="0"/>
              <w:spacing w:before="0" w:after="1"/>
              <w:ind w:left="0" w:right="0" w:hanging="0"/>
              <w:jc w:val="left"/>
              <w:rPr/>
            </w:pPr>
            <w:r>
              <w:rPr/>
              <w:t> </w:t>
            </w:r>
          </w:p>
        </w:tc>
        <w:tc>
          <w:tcPr>
            <w:tcW w:w="677"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1,691</w:t>
            </w:r>
          </w:p>
        </w:tc>
        <w:tc>
          <w:tcPr>
            <w:tcW w:w="346"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left"/>
              <w:rPr/>
            </w:pPr>
            <w:r>
              <w:rPr/>
              <w:t> </w:t>
            </w:r>
          </w:p>
        </w:tc>
        <w:tc>
          <w:tcPr>
            <w:tcW w:w="75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1,691</w:t>
            </w:r>
          </w:p>
        </w:tc>
        <w:tc>
          <w:tcPr>
            <w:tcW w:w="34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pPr>
            <w:r>
              <w:rPr/>
              <w:t>—</w:t>
            </w:r>
          </w:p>
        </w:tc>
      </w:tr>
      <w:tr>
        <w:trPr/>
        <w:tc>
          <w:tcPr>
            <w:tcW w:w="100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Adjustment of noncontrolling interest to redemption value</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w:t>
            </w:r>
          </w:p>
        </w:tc>
        <w:tc>
          <w:tcPr>
            <w:tcW w:w="41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(6,652)</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5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00" w:type="dxa"/>
            <w:tcBorders/>
            <w:shd w:fill="CCEEFF" w:val="clear"/>
            <w:vAlign w:val="center"/>
          </w:tcPr>
          <w:p>
            <w:pPr>
              <w:pStyle w:val="TableContents"/>
              <w:bidi w:val="0"/>
              <w:spacing w:before="0" w:after="1"/>
              <w:ind w:left="0" w:right="0" w:hanging="0"/>
              <w:jc w:val="left"/>
              <w:rPr/>
            </w:pPr>
            <w:r>
              <w:rPr/>
              <w:t>​</w:t>
            </w:r>
          </w:p>
        </w:tc>
        <w:tc>
          <w:tcPr>
            <w:tcW w:w="7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w:t>
            </w:r>
          </w:p>
        </w:tc>
        <w:tc>
          <w:tcPr>
            <w:tcW w:w="77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09" w:type="dxa"/>
            <w:tcBorders/>
            <w:shd w:fill="CCEEFF" w:val="clear"/>
            <w:vAlign w:val="center"/>
          </w:tcPr>
          <w:p>
            <w:pPr>
              <w:pStyle w:val="TableContents"/>
              <w:bidi w:val="0"/>
              <w:spacing w:before="0" w:after="1"/>
              <w:ind w:left="0" w:right="0" w:hanging="0"/>
              <w:jc w:val="left"/>
              <w:rPr/>
            </w:pPr>
            <w:r>
              <w:rPr/>
              <w:t>​</w:t>
            </w:r>
          </w:p>
        </w:tc>
        <w:tc>
          <w:tcPr>
            <w:tcW w:w="677"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(6,652)</w:t>
            </w:r>
          </w:p>
        </w:tc>
        <w:tc>
          <w:tcPr>
            <w:tcW w:w="34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pPr>
            <w:r>
              <w:rPr/>
              <w:t>​</w:t>
            </w:r>
          </w:p>
        </w:tc>
        <w:tc>
          <w:tcPr>
            <w:tcW w:w="75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(6,652)</w:t>
            </w:r>
          </w:p>
        </w:tc>
        <w:tc>
          <w:tcPr>
            <w:tcW w:w="34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6,652</w:t>
            </w:r>
          </w:p>
        </w:tc>
      </w:tr>
      <w:tr>
        <w:trPr/>
        <w:tc>
          <w:tcPr>
            <w:tcW w:w="100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Dividends and distributions declared ($1.20 per share)</w:t>
            </w:r>
          </w:p>
        </w:tc>
        <w:tc>
          <w:tcPr>
            <w:tcW w:w="34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 </w:t>
            </w:r>
          </w:p>
        </w:tc>
        <w:tc>
          <w:tcPr>
            <w:tcW w:w="41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192</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5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00" w:type="dxa"/>
            <w:tcBorders/>
            <w:vAlign w:val="center"/>
          </w:tcPr>
          <w:p>
            <w:pPr>
              <w:pStyle w:val="TableContents"/>
              <w:bidi w:val="0"/>
              <w:spacing w:before="0" w:after="1"/>
              <w:ind w:left="0" w:right="0" w:hanging="0"/>
              <w:jc w:val="left"/>
              <w:rPr/>
            </w:pPr>
            <w:r>
              <w:rPr/>
              <w:t>​</w:t>
            </w:r>
          </w:p>
        </w:tc>
        <w:tc>
          <w:tcPr>
            <w:tcW w:w="70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(76,253)</w:t>
            </w:r>
          </w:p>
        </w:tc>
        <w:tc>
          <w:tcPr>
            <w:tcW w:w="34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77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09" w:type="dxa"/>
            <w:tcBorders/>
            <w:vAlign w:val="center"/>
          </w:tcPr>
          <w:p>
            <w:pPr>
              <w:pStyle w:val="TableContents"/>
              <w:bidi w:val="0"/>
              <w:spacing w:before="0" w:after="1"/>
              <w:ind w:left="0" w:right="0" w:hanging="0"/>
              <w:jc w:val="left"/>
              <w:rPr/>
            </w:pPr>
            <w:r>
              <w:rPr/>
              <w:t> </w:t>
            </w:r>
          </w:p>
        </w:tc>
        <w:tc>
          <w:tcPr>
            <w:tcW w:w="677"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(76,061)</w:t>
            </w:r>
          </w:p>
        </w:tc>
        <w:tc>
          <w:tcPr>
            <w:tcW w:w="346"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left"/>
              <w:rPr/>
            </w:pPr>
            <w:r>
              <w:rPr/>
              <w:t> </w:t>
            </w:r>
          </w:p>
        </w:tc>
        <w:tc>
          <w:tcPr>
            <w:tcW w:w="754"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(474)</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(76,535)</w:t>
            </w:r>
          </w:p>
        </w:tc>
        <w:tc>
          <w:tcPr>
            <w:tcW w:w="34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pPr>
            <w:r>
              <w:rPr/>
              <w:t>—</w:t>
            </w:r>
          </w:p>
        </w:tc>
      </w:tr>
      <w:tr>
        <w:trPr/>
        <w:tc>
          <w:tcPr>
            <w:tcW w:w="100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Restricted stock units surrendered</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 </w:t>
            </w:r>
          </w:p>
        </w:tc>
        <w:tc>
          <w:tcPr>
            <w:tcW w:w="41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(77)</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55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00" w:type="dxa"/>
            <w:tcBorders/>
            <w:shd w:fill="CCEEFF" w:val="clear"/>
            <w:vAlign w:val="center"/>
          </w:tcPr>
          <w:p>
            <w:pPr>
              <w:pStyle w:val="TableContents"/>
              <w:bidi w:val="0"/>
              <w:spacing w:before="0" w:after="1"/>
              <w:ind w:left="0" w:right="0" w:hanging="0"/>
              <w:jc w:val="left"/>
              <w:rPr/>
            </w:pPr>
            <w:r>
              <w:rPr/>
              <w:t> </w:t>
            </w:r>
          </w:p>
        </w:tc>
        <w:tc>
          <w:tcPr>
            <w:tcW w:w="7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 </w:t>
            </w:r>
          </w:p>
        </w:tc>
        <w:tc>
          <w:tcPr>
            <w:tcW w:w="77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09" w:type="dxa"/>
            <w:tcBorders/>
            <w:shd w:fill="CCEEFF" w:val="clear"/>
            <w:vAlign w:val="center"/>
          </w:tcPr>
          <w:p>
            <w:pPr>
              <w:pStyle w:val="TableContents"/>
              <w:bidi w:val="0"/>
              <w:spacing w:before="0" w:after="1"/>
              <w:ind w:left="0" w:right="0" w:hanging="0"/>
              <w:jc w:val="left"/>
              <w:rPr/>
            </w:pPr>
            <w:r>
              <w:rPr/>
              <w:t> </w:t>
            </w:r>
          </w:p>
        </w:tc>
        <w:tc>
          <w:tcPr>
            <w:tcW w:w="677"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(77)</w:t>
            </w:r>
          </w:p>
        </w:tc>
        <w:tc>
          <w:tcPr>
            <w:tcW w:w="34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pPr>
            <w:r>
              <w:rPr/>
              <w:t> </w:t>
            </w:r>
          </w:p>
        </w:tc>
        <w:tc>
          <w:tcPr>
            <w:tcW w:w="75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(77)</w:t>
            </w:r>
          </w:p>
        </w:tc>
        <w:tc>
          <w:tcPr>
            <w:tcW w:w="34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pPr>
            <w:r>
              <w:rPr/>
              <w:t>—</w:t>
            </w:r>
          </w:p>
        </w:tc>
      </w:tr>
      <w:tr>
        <w:trPr/>
        <w:tc>
          <w:tcPr>
            <w:tcW w:w="100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Equity-based compensation expense</w:t>
            </w:r>
          </w:p>
        </w:tc>
        <w:tc>
          <w:tcPr>
            <w:tcW w:w="346" w:type="dxa"/>
            <w:tcBorders/>
            <w:vAlign w:val="center"/>
          </w:tcPr>
          <w:p>
            <w:pPr>
              <w:pStyle w:val="TableContents"/>
              <w:bidi w:val="0"/>
              <w:spacing w:before="0" w:after="1"/>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41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3,827</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5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0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0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7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0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3,827</w:t>
            </w:r>
          </w:p>
        </w:tc>
        <w:tc>
          <w:tcPr>
            <w:tcW w:w="346" w:type="dxa"/>
            <w:tcBorders/>
            <w:vAlign w:val="center"/>
          </w:tcPr>
          <w:p>
            <w:pPr>
              <w:pStyle w:val="TableContents"/>
              <w:bidi w:val="0"/>
              <w:spacing w:before="0" w:after="1"/>
              <w:ind w:left="0" w:right="0" w:hanging="0"/>
              <w:jc w:val="left"/>
              <w:rPr/>
            </w:pPr>
            <w:r>
              <w:rPr/>
              <w:t>​</w:t>
            </w:r>
          </w:p>
        </w:tc>
        <w:tc>
          <w:tcPr>
            <w:tcW w:w="26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5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3,827</w:t>
            </w:r>
          </w:p>
        </w:tc>
        <w:tc>
          <w:tcPr>
            <w:tcW w:w="346" w:type="dxa"/>
            <w:tcBorders/>
            <w:vAlign w:val="center"/>
          </w:tcPr>
          <w:p>
            <w:pPr>
              <w:pStyle w:val="TableContents"/>
              <w:bidi w:val="0"/>
              <w:spacing w:before="0" w:after="1"/>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100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BALANCE, June 30, 2026</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1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631</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1,706,935</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5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(27,573)</w:t>
            </w:r>
          </w:p>
        </w:tc>
        <w:tc>
          <w:tcPr>
            <w:tcW w:w="346" w:type="dxa"/>
            <w:tcBorders/>
            <w:shd w:fill="CCEEFF" w:val="clear"/>
            <w:vAlign w:val="center"/>
          </w:tcPr>
          <w:p>
            <w:pPr>
              <w:pStyle w:val="TableContents"/>
              <w:bidi w:val="0"/>
              <w:spacing w:before="0" w:after="1"/>
              <w:ind w:left="0" w:right="0" w:hanging="0"/>
              <w:jc w:val="left"/>
              <w:rPr/>
            </w:pPr>
            <w:r>
              <w:rPr/>
              <w:t>​</w:t>
            </w:r>
          </w:p>
        </w:tc>
        <w:tc>
          <w:tcPr>
            <w:tcW w:w="20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(921,814)</w:t>
            </w:r>
          </w:p>
        </w:tc>
        <w:tc>
          <w:tcPr>
            <w:tcW w:w="346" w:type="dxa"/>
            <w:tcBorders/>
            <w:shd w:fill="CCEEFF" w:val="clear"/>
            <w:vAlign w:val="center"/>
          </w:tcPr>
          <w:p>
            <w:pPr>
              <w:pStyle w:val="TableContents"/>
              <w:bidi w:val="0"/>
              <w:spacing w:before="0" w:after="1"/>
              <w:ind w:left="0" w:right="0" w:hanging="0"/>
              <w:jc w:val="left"/>
              <w:rPr/>
            </w:pPr>
            <w:r>
              <w:rPr/>
              <w:t>​</w:t>
            </w:r>
          </w:p>
        </w:tc>
        <w:tc>
          <w:tcPr>
            <w:tcW w:w="24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7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(9,858)</w:t>
            </w:r>
          </w:p>
        </w:tc>
        <w:tc>
          <w:tcPr>
            <w:tcW w:w="346" w:type="dxa"/>
            <w:tcBorders/>
            <w:shd w:fill="CCEEFF" w:val="clear"/>
            <w:vAlign w:val="center"/>
          </w:tcPr>
          <w:p>
            <w:pPr>
              <w:pStyle w:val="TableContents"/>
              <w:bidi w:val="0"/>
              <w:spacing w:before="0" w:after="1"/>
              <w:ind w:left="0" w:right="0" w:hanging="0"/>
              <w:jc w:val="left"/>
              <w:rPr/>
            </w:pPr>
            <w:r>
              <w:rPr/>
              <w:t>​</w:t>
            </w:r>
          </w:p>
        </w:tc>
        <w:tc>
          <w:tcPr>
            <w:tcW w:w="20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7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748,321</w:t>
            </w:r>
          </w:p>
        </w:tc>
        <w:tc>
          <w:tcPr>
            <w:tcW w:w="346" w:type="dxa"/>
            <w:tcBorders/>
            <w:shd w:fill="CCEEFF" w:val="clear"/>
            <w:vAlign w:val="center"/>
          </w:tcPr>
          <w:p>
            <w:pPr>
              <w:pStyle w:val="TableContents"/>
              <w:bidi w:val="0"/>
              <w:spacing w:before="0" w:after="1"/>
              <w:ind w:left="0" w:right="0" w:hanging="0"/>
              <w:jc w:val="left"/>
              <w:rPr/>
            </w:pPr>
            <w:r>
              <w:rPr/>
              <w:t>​</w:t>
            </w:r>
          </w:p>
        </w:tc>
        <w:tc>
          <w:tcPr>
            <w:tcW w:w="26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5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42,779</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791,100</w:t>
            </w:r>
          </w:p>
        </w:tc>
        <w:tc>
          <w:tcPr>
            <w:tcW w:w="346" w:type="dxa"/>
            <w:tcBorders/>
            <w:shd w:fill="CCEEFF" w:val="clear"/>
            <w:vAlign w:val="center"/>
          </w:tcPr>
          <w:p>
            <w:pPr>
              <w:pStyle w:val="TableContents"/>
              <w:bidi w:val="0"/>
              <w:spacing w:before="0" w:after="1"/>
              <w:ind w:left="0" w:right="0" w:hanging="0"/>
              <w:jc w:val="left"/>
              <w:rPr/>
            </w:pPr>
            <w:r>
              <w:rPr/>
              <w:t>​</w:t>
            </w:r>
          </w:p>
        </w:tc>
        <w:tc>
          <w:tcPr>
            <w:tcW w:w="22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841" w:type="dxa"/>
            <w:tcBorders>
              <w:bottom w:val="double" w:sz="6" w:space="0" w:color="000000"/>
            </w:tcBorders>
            <w:shd w:fill="CCEEFF" w:val="clear"/>
            <w:tcMar>
              <w:bottom w:w="28" w:type="dxa"/>
            </w:tcMar>
            <w:vAlign w:val="center"/>
          </w:tcPr>
          <w:p>
            <w:pPr>
              <w:pStyle w:val="TableContents"/>
              <w:bidi w:val="0"/>
              <w:spacing w:before="0" w:after="1"/>
              <w:ind w:left="0" w:right="45" w:hanging="0"/>
              <w:jc w:val="right"/>
              <w:rPr>
                <w:rFonts w:ascii="Times New Roman;Times;serif" w:hAnsi="Times New Roman;Times;serif"/>
                <w:sz w:val="14"/>
              </w:rPr>
            </w:pPr>
            <w:r>
              <w:rPr>
                <w:rFonts w:ascii="Times New Roman;Times;serif" w:hAnsi="Times New Roman;Times;serif"/>
                <w:sz w:val="14"/>
              </w:rPr>
              <w:t>444,096</w:t>
            </w:r>
          </w:p>
        </w:tc>
      </w:tr>
    </w:tbl>
    <w:p>
      <w:pPr>
        <w:pStyle w:val="TextBody"/>
        <w:bidi w:val="0"/>
        <w:spacing w:before="0" w:after="240"/>
        <w:ind w:left="0" w:right="0" w:hanging="0"/>
        <w:jc w:val="center"/>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643" w:name="Tc_m25Hs3lCf0yAX7YQpYc5jw_22_26"/>
      <w:bookmarkStart w:id="644" w:name="Tc_UmhHdmcgT0qu_haiyGbVMA_22_23"/>
      <w:bookmarkStart w:id="645" w:name="Tc_VhKMd24AFESc6bRDH8c1lA_22_20"/>
      <w:bookmarkStart w:id="646" w:name="Tc_ZdVXjT1Z_EeF9QGaFO4g-Q_22_17"/>
      <w:bookmarkStart w:id="647" w:name="Tc_C0xig2WPCES2Kxgjmi1siA_22_14"/>
      <w:bookmarkStart w:id="648" w:name="Tc_4SMjFhO9802WyRlD-1BJsQ_22_11"/>
      <w:bookmarkStart w:id="649" w:name="Tc_Us5FzTvtME-obPaexLIdDA_22_8"/>
      <w:bookmarkStart w:id="650" w:name="Tc_kffsiYDAVECfgiX8KqJ6eg_22_5"/>
      <w:bookmarkStart w:id="651" w:name="Tc_E2D_S79QiU2hZQ-Lphs3Uw_22_2"/>
      <w:bookmarkStart w:id="652" w:name="Tc_ZhUlD0T_T0aRihPnLU-D-g_22_0"/>
      <w:bookmarkStart w:id="653" w:name="Tc_N_dSjhtiZ0Ki9hwRdyH90A_21_27"/>
      <w:bookmarkStart w:id="654" w:name="Tc_Xr9bYr8iykm2nVxTDxRQww_21_21"/>
      <w:bookmarkStart w:id="655" w:name="Tc_-6gN3OcHRUW5TZAQk0YQ6w_21_15"/>
      <w:bookmarkStart w:id="656" w:name="Tc_w4TuaXguVU28aQPHwdflQA_21_12"/>
      <w:bookmarkStart w:id="657" w:name="Tc_YleHNL8PNkSBaqb4oZT6-g_21_9"/>
      <w:bookmarkStart w:id="658" w:name="Tc_piOPKEoG40mOSNfy8HkkSA_21_3"/>
      <w:bookmarkStart w:id="659" w:name="Tc_YEhTpBp8GkWyzVWRTaEA1Q_21_0"/>
      <w:bookmarkStart w:id="660" w:name="Tc_TbQ_CZH2rkyT_EgsW2wl_Q_20_27"/>
      <w:bookmarkStart w:id="661" w:name="Tc_MMl0aQtxUEeMD43GuEhevw_20_21"/>
      <w:bookmarkStart w:id="662" w:name="Tc_acLvKGKACECfklubgCvprQ_20_15"/>
      <w:bookmarkStart w:id="663" w:name="Tc_Fb79NVV9NkeRCZfZ76h8fA_20_12"/>
      <w:bookmarkStart w:id="664" w:name="Tc_xVG0OtzlqkueQNvu4JdFDw_20_9"/>
      <w:bookmarkStart w:id="665" w:name="Tc_O36Ggl-Mf0OPmznljPPe7w_20_3"/>
      <w:bookmarkStart w:id="666" w:name="Tc_VM5fKOSLF0iMLWeHxR3ing_20_0"/>
      <w:bookmarkStart w:id="667" w:name="Tc_gj26ac_NEUib7VDLxH8hww_19_27"/>
      <w:bookmarkStart w:id="668" w:name="Tc_k5VXuZGuVUGHpxi8yQlbAQ_19_15"/>
      <w:bookmarkStart w:id="669" w:name="Tc_67VlYq3_q0KA2pJkhw0awA_19_3"/>
      <w:bookmarkStart w:id="670" w:name="Tc_l0GXOQWl90CjtWe-4Ufciw_19_0"/>
      <w:bookmarkStart w:id="671" w:name="Tc_cKwPWToFBEKb4eBfZSgLAQ_18_27"/>
      <w:bookmarkStart w:id="672" w:name="Tc_hIJt98-pKUWTunqMIcpUGA_18_21"/>
      <w:bookmarkStart w:id="673" w:name="Tc_IliHYTU8wEK7J48ubSv77A_18_15"/>
      <w:bookmarkStart w:id="674" w:name="Tc_1AnHDBD4N0iJX-5Ol2lL7g_18_12"/>
      <w:bookmarkStart w:id="675" w:name="Tc_G3qRJnF1WEOCUG52tEJK0Q_18_9"/>
      <w:bookmarkStart w:id="676" w:name="Tc_NtODs_3atU-qmF2mBID7IQ_18_0"/>
      <w:bookmarkStart w:id="677" w:name="Tc_JSsn-mBL6UKRlJOSxs3qdA_17_27"/>
      <w:bookmarkStart w:id="678" w:name="Tc_kOk0SYg_iEy_LHmdptShIw_17_24"/>
      <w:bookmarkStart w:id="679" w:name="Tc_JqiccWO_l0q9eobIGfIwbQ_17_15"/>
      <w:bookmarkStart w:id="680" w:name="Tc_4bff7iwH6EKk1xuTlM9M3g_17_12"/>
      <w:bookmarkStart w:id="681" w:name="Tc_tpiL1Nsnl0eSO83tNwFiMg_17_9"/>
      <w:bookmarkStart w:id="682" w:name="Tc_9YFzQadK6kmp7CSud2vVMg_17_3"/>
      <w:bookmarkStart w:id="683" w:name="Tc_q7VVkBSVhki7ljRxa6epBw_17_0"/>
      <w:bookmarkStart w:id="684" w:name="Tc_iS1GVTrILUavyy-TjOAO_w_16_21"/>
      <w:bookmarkStart w:id="685" w:name="Tc_T8KrT49f5U2DKm8z1Yxt9A_16_15"/>
      <w:bookmarkStart w:id="686" w:name="Tc_R1yb_UjUl02-Tsk3Q-8PrA_16_12"/>
      <w:bookmarkStart w:id="687" w:name="Tc_11wsTtmim0yhYKM-FvZvOQ_16_9"/>
      <w:bookmarkStart w:id="688" w:name="Tc_HzYkOEUzFki6i5IEB-boFw_16_3"/>
      <w:bookmarkStart w:id="689" w:name="Tc_8uWU3EBlWUCo-SqJ4M9maQ_16_0"/>
      <w:bookmarkStart w:id="690" w:name="Tc_gCNo3dzj4ESWAMbs-RL9Wg_15_27"/>
      <w:bookmarkStart w:id="691" w:name="Tc_OLtpHhMubUiCUBhXpiKvsw_15_21"/>
      <w:bookmarkStart w:id="692" w:name="Tc_YqjDV0XygkGFEPTDlAJu2Q_15_12"/>
      <w:bookmarkStart w:id="693" w:name="Tc_6DtixvaDFU2UZQHk9fnc9Q_15_9"/>
      <w:bookmarkStart w:id="694" w:name="Tc_MmkQVJKnhkCMUhtdECnZ7w_15_6"/>
      <w:bookmarkStart w:id="695" w:name="Tc_3mtuTtrApEu9_1emaxFrjg_15_3"/>
      <w:bookmarkStart w:id="696" w:name="Tc_vODGGGHaXUKbbG_bBva0Kg_15_0"/>
      <w:bookmarkStart w:id="697" w:name="Tc_QAOunPly7kG-EsdQmYSGtQ_14_15"/>
      <w:bookmarkStart w:id="698" w:name="Tc_WthiGO7FT0OntDq9CKd69g_14_9"/>
      <w:bookmarkStart w:id="699" w:name="Tc_hTk4FJBinE6SCxgie2HbFw_14_6"/>
      <w:bookmarkStart w:id="700" w:name="Tc_CYWMcqaIAUe_38Y4_sxj8g_14_3"/>
      <w:bookmarkStart w:id="701" w:name="Tc_TxpMY0a2o0qMXDOZGssKcw_14_0"/>
      <w:bookmarkStart w:id="702" w:name="Tc_kFe7IbzNVU6GrlKqcoGIUw_13_26"/>
      <w:bookmarkStart w:id="703" w:name="Tc_9YMMlNY8gkKE75up9YdTcQ_13_23"/>
      <w:bookmarkStart w:id="704" w:name="Tc_U45U7RUW10W3DBaELf0mNQ_13_20"/>
      <w:bookmarkStart w:id="705" w:name="Tc_EM_BBn_uQU6gZTAIvITaPw_13_17"/>
      <w:bookmarkStart w:id="706" w:name="Tc_aLJnnH115EaN-wifwcoOVA_13_14"/>
      <w:bookmarkStart w:id="707" w:name="Tc_4PxZCdVdtkWt742LuSPF7A_13_11"/>
      <w:bookmarkStart w:id="708" w:name="Tc_KMZdHHZkWkywI99wSsJesA_13_8"/>
      <w:bookmarkStart w:id="709" w:name="Tc_YaspYFVZOkedSsaCC4c4tA_13_5"/>
      <w:bookmarkStart w:id="710" w:name="Tc_CzlW5mfZHk2xCl5R9x2Rkg_13_2"/>
      <w:bookmarkStart w:id="711" w:name="Tc_JFED0BbEX0qQruRsIDCVeg_13_0"/>
      <w:bookmarkStart w:id="712" w:name="Tc_VfLL1_lqnEKm_eAc26MEkA_12_27"/>
      <w:bookmarkStart w:id="713" w:name="Tc_mwSsVIESNE6naoG-TvByEQ_12_21"/>
      <w:bookmarkStart w:id="714" w:name="Tc_IGI5fbUjqUO8JKbW_nsTaA_12_15"/>
      <w:bookmarkStart w:id="715" w:name="Tc_PqKcI773BUKUbAA1H54liQ_12_12"/>
      <w:bookmarkStart w:id="716" w:name="Tc_OQBUQFu-2k-56LGGNNVi-A_12_9"/>
      <w:bookmarkStart w:id="717" w:name="Tc_hheSr7IJfESRKe7kVvtrTg_12_3"/>
      <w:bookmarkStart w:id="718" w:name="Tc_G6qEpiutR0SewroxJfhPAw_12_0"/>
      <w:bookmarkStart w:id="719" w:name="Tc_WMDwA4OpIkGahuGyHn_fHg_11_27"/>
      <w:bookmarkStart w:id="720" w:name="Tc_zumh2z1U_UaGHBOQy5JPOg_11_21"/>
      <w:bookmarkStart w:id="721" w:name="Tc_w7xRNbxkO0qUXOceW9Dskw_11_15"/>
      <w:bookmarkStart w:id="722" w:name="Tc_uqC3c_JBakufSxu5REtdjQ_11_12"/>
      <w:bookmarkStart w:id="723" w:name="Tc_U5nP2JpQjkC7ZIOkkPYRzw_11_9"/>
      <w:bookmarkStart w:id="724" w:name="Tc_gFHWl9NoyU69spNgVhQ9QQ_11_0"/>
      <w:bookmarkStart w:id="725" w:name="Tc_p7-7Qi9fLU2OyiLQ-YhL2Q_10_27"/>
      <w:bookmarkStart w:id="726" w:name="Tc_DADKQ4C2Hk-yA-ljrdps7g_10_15"/>
      <w:bookmarkStart w:id="727" w:name="Tc_PTEYAeIJkEG57QxILEWx2Q_10_3"/>
      <w:bookmarkStart w:id="728" w:name="Tc__XDxeiyqfEqyArZ-rgDdIg_10_0"/>
      <w:bookmarkStart w:id="729" w:name="Tc_2GFWn992qUuh1ipx-UNsHw_9_27"/>
      <w:bookmarkStart w:id="730" w:name="Tc_sXdz1kmAy0-5FleU-8oA4A_9_18"/>
      <w:bookmarkStart w:id="731" w:name="Tc_-CN6TzwayEWY0-lu9UBvWg_9_15"/>
      <w:bookmarkStart w:id="732" w:name="Tc_rEO8InRSlEaiUQJqx6zfSA_9_12"/>
      <w:bookmarkStart w:id="733" w:name="Tc_7ST3_OKqVUWjc61U6aSOng_9_9"/>
      <w:bookmarkStart w:id="734" w:name="Tc_dUQMj7qHJ0WhapQlp7QMCQ_9_6"/>
      <w:bookmarkStart w:id="735" w:name="Tc_RG22SjOhoU66F7nN30QHJA_9_3"/>
      <w:bookmarkStart w:id="736" w:name="Tc_cx5MKOjBSU64HFixYIdBKA_9_0"/>
      <w:bookmarkStart w:id="737" w:name="Tc_P01gg8LkfE2p7_tfbo40dA_8_21"/>
      <w:bookmarkStart w:id="738" w:name="Tc_0r0hSKbKnkK0OowRQOgHQQ_8_15"/>
      <w:bookmarkStart w:id="739" w:name="Tc_dvzdleAPJk6xPBixM-wThQ_8_12"/>
      <w:bookmarkStart w:id="740" w:name="Tc_zoM7hEaDmUq_0BabDT4Vjw_8_9"/>
      <w:bookmarkStart w:id="741" w:name="Tc_EC2jTi7LO0WXaJLv5XIESQ_8_3"/>
      <w:bookmarkStart w:id="742" w:name="Tc_04KbIe71CU-PENyCqpp4wA_8_0"/>
      <w:bookmarkStart w:id="743" w:name="Tc_0jKqQUqPNkK1GCD4mG5nDA_7_27"/>
      <w:bookmarkStart w:id="744" w:name="Tc_E88t3_Pne0CdTM1LFQtNeg_7_21"/>
      <w:bookmarkStart w:id="745" w:name="Tc_l4m3DyGIVkKdCxCRZnqPKg_7_12"/>
      <w:bookmarkStart w:id="746" w:name="Tc_3UGWCMDTeUGjd_ORQj9qfw_7_9"/>
      <w:bookmarkStart w:id="747" w:name="Tc_VEq06WWITkGc5PbNMuBiXA_7_6"/>
      <w:bookmarkStart w:id="748" w:name="Tc_RrdANRMA9kaTfe08li2hkQ_7_3"/>
      <w:bookmarkStart w:id="749" w:name="Tc_HwPC-k4rXUiCt4NOJNXnwA_7_0"/>
      <w:bookmarkStart w:id="750" w:name="Tc_A4mwA872GkeGuk4LUJhF6w_6_15"/>
      <w:bookmarkStart w:id="751" w:name="Tc_eflUiBoJbE2-PAuxDlBZHQ_6_9"/>
      <w:bookmarkStart w:id="752" w:name="Tc_QEjNZUlOOEanv0Ge3ejnxw_6_6"/>
      <w:bookmarkStart w:id="753" w:name="Tc_m95x-4tQCEqC2WEKz3VwGA_6_3"/>
      <w:bookmarkStart w:id="754" w:name="Tc_bF9iLd4A3kuAa5VwPqYhFA_6_0"/>
      <w:bookmarkStart w:id="755" w:name="Tc_aWHUPqwXSEa5ifVG9cOjAg_5_26"/>
      <w:bookmarkStart w:id="756" w:name="Tc_yeP9A_SPYkKvpWbKcx093Q_5_23"/>
      <w:bookmarkStart w:id="757" w:name="Tc_JLgBLuUH00-P2YXCYOdg0g_5_20"/>
      <w:bookmarkStart w:id="758" w:name="Tc_FGTCvUGqtUmPdS5E6dDFAw_5_17"/>
      <w:bookmarkStart w:id="759" w:name="Tc_tV9GGc01vUGI7XuN_kXYdA_5_14"/>
      <w:bookmarkStart w:id="760" w:name="Tc_dTUropmKJkix21NY5_Tv5Q_5_11"/>
      <w:bookmarkStart w:id="761" w:name="Tc_h3cpVKcjIEKI9ai33R2w8w_5_8"/>
      <w:bookmarkStart w:id="762" w:name="Tc_GYYSbSBv0keOB5oyBTH5gQ_5_5"/>
      <w:bookmarkStart w:id="763" w:name="Tc__dnHjhvF7E6TXFsMVxzOtw_5_2"/>
      <w:bookmarkStart w:id="764" w:name="Tc_-2n0-eKx2EWObE4-D2zvtQ_5_0"/>
      <w:bookmarkStart w:id="765" w:name="Tc_o5mUDlCzI0SHqaK4CHYAyA_4_26"/>
      <w:bookmarkStart w:id="766" w:name="Tc_iNc78JhjPU-16_hqTcbKQQ_4_23"/>
      <w:bookmarkStart w:id="767" w:name="Tc_vWZ1tKU6e0GopokezQwIwQ_4_20"/>
      <w:bookmarkStart w:id="768" w:name="Tc_McWsnHovwk2Qx3qrayQ-Dw_4_17"/>
      <w:bookmarkStart w:id="769" w:name="Tc_69pD2nzywEuuCwm1ht58vg_4_14"/>
      <w:bookmarkStart w:id="770" w:name="Tc_vC67-1qjrkyLg760XeER1g_4_11"/>
      <w:bookmarkStart w:id="771" w:name="Tc_xO0dedNSzEqM8Dt6wSgJeQ_4_8"/>
      <w:bookmarkStart w:id="772" w:name="Tc_gNRGDWkxUUyVGAWE2g70mQ_4_5"/>
      <w:bookmarkStart w:id="773" w:name="Tc_f0SlbvoeXkirgD4UKUXOJA_4_2"/>
      <w:bookmarkStart w:id="774" w:name="Tc_8u4op2W-lEGIDHRLIrt_HA_3_26"/>
      <w:bookmarkStart w:id="775" w:name="Tc_jRsblPftJU6r_q5XZDZa_A_3_23"/>
      <w:bookmarkStart w:id="776" w:name="Tc_Q0x2iSVWCk6I4gJJmezrFQ_3_20"/>
      <w:bookmarkStart w:id="777" w:name="Tc_FLPH2EeH-UGQHVxN5asuXQ_3_17"/>
      <w:bookmarkStart w:id="778" w:name="Tc_5UhVo8fyKEKMBCLRGt0Wow_3_14"/>
      <w:bookmarkStart w:id="779" w:name="Tc_Lm_WAKmqh0i3SH9hr-dIEw_3_11"/>
      <w:bookmarkStart w:id="780" w:name="Tc_XWnR_8W1jEyCfF1gLktdzw_3_8"/>
      <w:bookmarkStart w:id="781" w:name="Tc_Qo4o13pp9kCp6ESL5RLkdw_3_5"/>
      <w:bookmarkStart w:id="782" w:name="Tc_iX4V3St1pEGpJfxkGHPlGA_3_2"/>
      <w:bookmarkStart w:id="783" w:name="Tc_khj17xH7tE-X-u70x3OfDg_2_26"/>
      <w:bookmarkStart w:id="784" w:name="Tc_P5hlPk8VrkOumkE7yiB9_w_2_17"/>
      <w:bookmarkStart w:id="785" w:name="Tc_9PWxqo2lsk-nEp7GQKWC2g_2_14"/>
      <w:bookmarkStart w:id="786" w:name="Tc_iB9qLfCTIUepHuRuJSmrYw_2_11"/>
      <w:bookmarkStart w:id="787" w:name="Tc_YhmFsYbORUSZ6tAup22ELw_2_5"/>
      <w:bookmarkStart w:id="788" w:name="Tc_dwrnP3N_cEykGxEMJwemEw_1_14"/>
      <w:bookmarkStart w:id="789" w:name="Tc_lKaMm13h9UaxU4ewSYcJnA_1_11"/>
      <w:bookmarkStart w:id="790" w:name="_6f825e86_1baf_47d8_8727_ea784b92b8e3"/>
      <w:bookmarkStart w:id="791" w:name="Tc_m25Hs3lCf0yAX7YQpYc5jw_22_26"/>
      <w:bookmarkStart w:id="792" w:name="Tc_UmhHdmcgT0qu_haiyGbVMA_22_23"/>
      <w:bookmarkStart w:id="793" w:name="Tc_VhKMd24AFESc6bRDH8c1lA_22_20"/>
      <w:bookmarkStart w:id="794" w:name="Tc_ZdVXjT1Z_EeF9QGaFO4g-Q_22_17"/>
      <w:bookmarkStart w:id="795" w:name="Tc_C0xig2WPCES2Kxgjmi1siA_22_14"/>
      <w:bookmarkStart w:id="796" w:name="Tc_4SMjFhO9802WyRlD-1BJsQ_22_11"/>
      <w:bookmarkStart w:id="797" w:name="Tc_Us5FzTvtME-obPaexLIdDA_22_8"/>
      <w:bookmarkStart w:id="798" w:name="Tc_kffsiYDAVECfgiX8KqJ6eg_22_5"/>
      <w:bookmarkStart w:id="799" w:name="Tc_E2D_S79QiU2hZQ-Lphs3Uw_22_2"/>
      <w:bookmarkStart w:id="800" w:name="Tc_ZhUlD0T_T0aRihPnLU-D-g_22_0"/>
      <w:bookmarkStart w:id="801" w:name="Tc_N_dSjhtiZ0Ki9hwRdyH90A_21_27"/>
      <w:bookmarkStart w:id="802" w:name="Tc_Xr9bYr8iykm2nVxTDxRQww_21_21"/>
      <w:bookmarkStart w:id="803" w:name="Tc_-6gN3OcHRUW5TZAQk0YQ6w_21_15"/>
      <w:bookmarkStart w:id="804" w:name="Tc_w4TuaXguVU28aQPHwdflQA_21_12"/>
      <w:bookmarkStart w:id="805" w:name="Tc_YleHNL8PNkSBaqb4oZT6-g_21_9"/>
      <w:bookmarkStart w:id="806" w:name="Tc_piOPKEoG40mOSNfy8HkkSA_21_3"/>
      <w:bookmarkStart w:id="807" w:name="Tc_YEhTpBp8GkWyzVWRTaEA1Q_21_0"/>
      <w:bookmarkStart w:id="808" w:name="Tc_TbQ_CZH2rkyT_EgsW2wl_Q_20_27"/>
      <w:bookmarkStart w:id="809" w:name="Tc_MMl0aQtxUEeMD43GuEhevw_20_21"/>
      <w:bookmarkStart w:id="810" w:name="Tc_acLvKGKACECfklubgCvprQ_20_15"/>
      <w:bookmarkStart w:id="811" w:name="Tc_Fb79NVV9NkeRCZfZ76h8fA_20_12"/>
      <w:bookmarkStart w:id="812" w:name="Tc_xVG0OtzlqkueQNvu4JdFDw_20_9"/>
      <w:bookmarkStart w:id="813" w:name="Tc_O36Ggl-Mf0OPmznljPPe7w_20_3"/>
      <w:bookmarkStart w:id="814" w:name="Tc_VM5fKOSLF0iMLWeHxR3ing_20_0"/>
      <w:bookmarkStart w:id="815" w:name="Tc_gj26ac_NEUib7VDLxH8hww_19_27"/>
      <w:bookmarkStart w:id="816" w:name="Tc_k5VXuZGuVUGHpxi8yQlbAQ_19_15"/>
      <w:bookmarkStart w:id="817" w:name="Tc_67VlYq3_q0KA2pJkhw0awA_19_3"/>
      <w:bookmarkStart w:id="818" w:name="Tc_l0GXOQWl90CjtWe-4Ufciw_19_0"/>
      <w:bookmarkStart w:id="819" w:name="Tc_cKwPWToFBEKb4eBfZSgLAQ_18_27"/>
      <w:bookmarkStart w:id="820" w:name="Tc_hIJt98-pKUWTunqMIcpUGA_18_21"/>
      <w:bookmarkStart w:id="821" w:name="Tc_IliHYTU8wEK7J48ubSv77A_18_15"/>
      <w:bookmarkStart w:id="822" w:name="Tc_1AnHDBD4N0iJX-5Ol2lL7g_18_12"/>
      <w:bookmarkStart w:id="823" w:name="Tc_G3qRJnF1WEOCUG52tEJK0Q_18_9"/>
      <w:bookmarkStart w:id="824" w:name="Tc_NtODs_3atU-qmF2mBID7IQ_18_0"/>
      <w:bookmarkStart w:id="825" w:name="Tc_JSsn-mBL6UKRlJOSxs3qdA_17_27"/>
      <w:bookmarkStart w:id="826" w:name="Tc_kOk0SYg_iEy_LHmdptShIw_17_24"/>
      <w:bookmarkStart w:id="827" w:name="Tc_JqiccWO_l0q9eobIGfIwbQ_17_15"/>
      <w:bookmarkStart w:id="828" w:name="Tc_4bff7iwH6EKk1xuTlM9M3g_17_12"/>
      <w:bookmarkStart w:id="829" w:name="Tc_tpiL1Nsnl0eSO83tNwFiMg_17_9"/>
      <w:bookmarkStart w:id="830" w:name="Tc_9YFzQadK6kmp7CSud2vVMg_17_3"/>
      <w:bookmarkStart w:id="831" w:name="Tc_q7VVkBSVhki7ljRxa6epBw_17_0"/>
      <w:bookmarkStart w:id="832" w:name="Tc_iS1GVTrILUavyy-TjOAO_w_16_21"/>
      <w:bookmarkStart w:id="833" w:name="Tc_T8KrT49f5U2DKm8z1Yxt9A_16_15"/>
      <w:bookmarkStart w:id="834" w:name="Tc_R1yb_UjUl02-Tsk3Q-8PrA_16_12"/>
      <w:bookmarkStart w:id="835" w:name="Tc_11wsTtmim0yhYKM-FvZvOQ_16_9"/>
      <w:bookmarkStart w:id="836" w:name="Tc_HzYkOEUzFki6i5IEB-boFw_16_3"/>
      <w:bookmarkStart w:id="837" w:name="Tc_8uWU3EBlWUCo-SqJ4M9maQ_16_0"/>
      <w:bookmarkStart w:id="838" w:name="Tc_gCNo3dzj4ESWAMbs-RL9Wg_15_27"/>
      <w:bookmarkStart w:id="839" w:name="Tc_OLtpHhMubUiCUBhXpiKvsw_15_21"/>
      <w:bookmarkStart w:id="840" w:name="Tc_YqjDV0XygkGFEPTDlAJu2Q_15_12"/>
      <w:bookmarkStart w:id="841" w:name="Tc_6DtixvaDFU2UZQHk9fnc9Q_15_9"/>
      <w:bookmarkStart w:id="842" w:name="Tc_MmkQVJKnhkCMUhtdECnZ7w_15_6"/>
      <w:bookmarkStart w:id="843" w:name="Tc_3mtuTtrApEu9_1emaxFrjg_15_3"/>
      <w:bookmarkStart w:id="844" w:name="Tc_vODGGGHaXUKbbG_bBva0Kg_15_0"/>
      <w:bookmarkStart w:id="845" w:name="Tc_QAOunPly7kG-EsdQmYSGtQ_14_15"/>
      <w:bookmarkStart w:id="846" w:name="Tc_WthiGO7FT0OntDq9CKd69g_14_9"/>
      <w:bookmarkStart w:id="847" w:name="Tc_hTk4FJBinE6SCxgie2HbFw_14_6"/>
      <w:bookmarkStart w:id="848" w:name="Tc_CYWMcqaIAUe_38Y4_sxj8g_14_3"/>
      <w:bookmarkStart w:id="849" w:name="Tc_TxpMY0a2o0qMXDOZGssKcw_14_0"/>
      <w:bookmarkStart w:id="850" w:name="Tc_kFe7IbzNVU6GrlKqcoGIUw_13_26"/>
      <w:bookmarkStart w:id="851" w:name="Tc_9YMMlNY8gkKE75up9YdTcQ_13_23"/>
      <w:bookmarkStart w:id="852" w:name="Tc_U45U7RUW10W3DBaELf0mNQ_13_20"/>
      <w:bookmarkStart w:id="853" w:name="Tc_EM_BBn_uQU6gZTAIvITaPw_13_17"/>
      <w:bookmarkStart w:id="854" w:name="Tc_aLJnnH115EaN-wifwcoOVA_13_14"/>
      <w:bookmarkStart w:id="855" w:name="Tc_4PxZCdVdtkWt742LuSPF7A_13_11"/>
      <w:bookmarkStart w:id="856" w:name="Tc_KMZdHHZkWkywI99wSsJesA_13_8"/>
      <w:bookmarkStart w:id="857" w:name="Tc_YaspYFVZOkedSsaCC4c4tA_13_5"/>
      <w:bookmarkStart w:id="858" w:name="Tc_CzlW5mfZHk2xCl5R9x2Rkg_13_2"/>
      <w:bookmarkStart w:id="859" w:name="Tc_JFED0BbEX0qQruRsIDCVeg_13_0"/>
      <w:bookmarkStart w:id="860" w:name="Tc_VfLL1_lqnEKm_eAc26MEkA_12_27"/>
      <w:bookmarkStart w:id="861" w:name="Tc_mwSsVIESNE6naoG-TvByEQ_12_21"/>
      <w:bookmarkStart w:id="862" w:name="Tc_IGI5fbUjqUO8JKbW_nsTaA_12_15"/>
      <w:bookmarkStart w:id="863" w:name="Tc_PqKcI773BUKUbAA1H54liQ_12_12"/>
      <w:bookmarkStart w:id="864" w:name="Tc_OQBUQFu-2k-56LGGNNVi-A_12_9"/>
      <w:bookmarkStart w:id="865" w:name="Tc_hheSr7IJfESRKe7kVvtrTg_12_3"/>
      <w:bookmarkStart w:id="866" w:name="Tc_G6qEpiutR0SewroxJfhPAw_12_0"/>
      <w:bookmarkStart w:id="867" w:name="Tc_WMDwA4OpIkGahuGyHn_fHg_11_27"/>
      <w:bookmarkStart w:id="868" w:name="Tc_zumh2z1U_UaGHBOQy5JPOg_11_21"/>
      <w:bookmarkStart w:id="869" w:name="Tc_w7xRNbxkO0qUXOceW9Dskw_11_15"/>
      <w:bookmarkStart w:id="870" w:name="Tc_uqC3c_JBakufSxu5REtdjQ_11_12"/>
      <w:bookmarkStart w:id="871" w:name="Tc_U5nP2JpQjkC7ZIOkkPYRzw_11_9"/>
      <w:bookmarkStart w:id="872" w:name="Tc_gFHWl9NoyU69spNgVhQ9QQ_11_0"/>
      <w:bookmarkStart w:id="873" w:name="Tc_p7-7Qi9fLU2OyiLQ-YhL2Q_10_27"/>
      <w:bookmarkStart w:id="874" w:name="Tc_DADKQ4C2Hk-yA-ljrdps7g_10_15"/>
      <w:bookmarkStart w:id="875" w:name="Tc_PTEYAeIJkEG57QxILEWx2Q_10_3"/>
      <w:bookmarkStart w:id="876" w:name="Tc__XDxeiyqfEqyArZ-rgDdIg_10_0"/>
      <w:bookmarkStart w:id="877" w:name="Tc_2GFWn992qUuh1ipx-UNsHw_9_27"/>
      <w:bookmarkStart w:id="878" w:name="Tc_sXdz1kmAy0-5FleU-8oA4A_9_18"/>
      <w:bookmarkStart w:id="879" w:name="Tc_-CN6TzwayEWY0-lu9UBvWg_9_15"/>
      <w:bookmarkStart w:id="880" w:name="Tc_rEO8InRSlEaiUQJqx6zfSA_9_12"/>
      <w:bookmarkStart w:id="881" w:name="Tc_7ST3_OKqVUWjc61U6aSOng_9_9"/>
      <w:bookmarkStart w:id="882" w:name="Tc_dUQMj7qHJ0WhapQlp7QMCQ_9_6"/>
      <w:bookmarkStart w:id="883" w:name="Tc_RG22SjOhoU66F7nN30QHJA_9_3"/>
      <w:bookmarkStart w:id="884" w:name="Tc_cx5MKOjBSU64HFixYIdBKA_9_0"/>
      <w:bookmarkStart w:id="885" w:name="Tc_P01gg8LkfE2p7_tfbo40dA_8_21"/>
      <w:bookmarkStart w:id="886" w:name="Tc_0r0hSKbKnkK0OowRQOgHQQ_8_15"/>
      <w:bookmarkStart w:id="887" w:name="Tc_dvzdleAPJk6xPBixM-wThQ_8_12"/>
      <w:bookmarkStart w:id="888" w:name="Tc_zoM7hEaDmUq_0BabDT4Vjw_8_9"/>
      <w:bookmarkStart w:id="889" w:name="Tc_EC2jTi7LO0WXaJLv5XIESQ_8_3"/>
      <w:bookmarkStart w:id="890" w:name="Tc_04KbIe71CU-PENyCqpp4wA_8_0"/>
      <w:bookmarkStart w:id="891" w:name="Tc_0jKqQUqPNkK1GCD4mG5nDA_7_27"/>
      <w:bookmarkStart w:id="892" w:name="Tc_E88t3_Pne0CdTM1LFQtNeg_7_21"/>
      <w:bookmarkStart w:id="893" w:name="Tc_l4m3DyGIVkKdCxCRZnqPKg_7_12"/>
      <w:bookmarkStart w:id="894" w:name="Tc_3UGWCMDTeUGjd_ORQj9qfw_7_9"/>
      <w:bookmarkStart w:id="895" w:name="Tc_VEq06WWITkGc5PbNMuBiXA_7_6"/>
      <w:bookmarkStart w:id="896" w:name="Tc_RrdANRMA9kaTfe08li2hkQ_7_3"/>
      <w:bookmarkStart w:id="897" w:name="Tc_HwPC-k4rXUiCt4NOJNXnwA_7_0"/>
      <w:bookmarkStart w:id="898" w:name="Tc_A4mwA872GkeGuk4LUJhF6w_6_15"/>
      <w:bookmarkStart w:id="899" w:name="Tc_eflUiBoJbE2-PAuxDlBZHQ_6_9"/>
      <w:bookmarkStart w:id="900" w:name="Tc_QEjNZUlOOEanv0Ge3ejnxw_6_6"/>
      <w:bookmarkStart w:id="901" w:name="Tc_m95x-4tQCEqC2WEKz3VwGA_6_3"/>
      <w:bookmarkStart w:id="902" w:name="Tc_bF9iLd4A3kuAa5VwPqYhFA_6_0"/>
      <w:bookmarkStart w:id="903" w:name="Tc_aWHUPqwXSEa5ifVG9cOjAg_5_26"/>
      <w:bookmarkStart w:id="904" w:name="Tc_yeP9A_SPYkKvpWbKcx093Q_5_23"/>
      <w:bookmarkStart w:id="905" w:name="Tc_JLgBLuUH00-P2YXCYOdg0g_5_20"/>
      <w:bookmarkStart w:id="906" w:name="Tc_FGTCvUGqtUmPdS5E6dDFAw_5_17"/>
      <w:bookmarkStart w:id="907" w:name="Tc_tV9GGc01vUGI7XuN_kXYdA_5_14"/>
      <w:bookmarkStart w:id="908" w:name="Tc_dTUropmKJkix21NY5_Tv5Q_5_11"/>
      <w:bookmarkStart w:id="909" w:name="Tc_h3cpVKcjIEKI9ai33R2w8w_5_8"/>
      <w:bookmarkStart w:id="910" w:name="Tc_GYYSbSBv0keOB5oyBTH5gQ_5_5"/>
      <w:bookmarkStart w:id="911" w:name="Tc__dnHjhvF7E6TXFsMVxzOtw_5_2"/>
      <w:bookmarkStart w:id="912" w:name="Tc_-2n0-eKx2EWObE4-D2zvtQ_5_0"/>
      <w:bookmarkStart w:id="913" w:name="Tc_o5mUDlCzI0SHqaK4CHYAyA_4_26"/>
      <w:bookmarkStart w:id="914" w:name="Tc_iNc78JhjPU-16_hqTcbKQQ_4_23"/>
      <w:bookmarkStart w:id="915" w:name="Tc_vWZ1tKU6e0GopokezQwIwQ_4_20"/>
      <w:bookmarkStart w:id="916" w:name="Tc_McWsnHovwk2Qx3qrayQ-Dw_4_17"/>
      <w:bookmarkStart w:id="917" w:name="Tc_69pD2nzywEuuCwm1ht58vg_4_14"/>
      <w:bookmarkStart w:id="918" w:name="Tc_vC67-1qjrkyLg760XeER1g_4_11"/>
      <w:bookmarkStart w:id="919" w:name="Tc_xO0dedNSzEqM8Dt6wSgJeQ_4_8"/>
      <w:bookmarkStart w:id="920" w:name="Tc_gNRGDWkxUUyVGAWE2g70mQ_4_5"/>
      <w:bookmarkStart w:id="921" w:name="Tc_f0SlbvoeXkirgD4UKUXOJA_4_2"/>
      <w:bookmarkStart w:id="922" w:name="Tc_8u4op2W-lEGIDHRLIrt_HA_3_26"/>
      <w:bookmarkStart w:id="923" w:name="Tc_jRsblPftJU6r_q5XZDZa_A_3_23"/>
      <w:bookmarkStart w:id="924" w:name="Tc_Q0x2iSVWCk6I4gJJmezrFQ_3_20"/>
      <w:bookmarkStart w:id="925" w:name="Tc_FLPH2EeH-UGQHVxN5asuXQ_3_17"/>
      <w:bookmarkStart w:id="926" w:name="Tc_5UhVo8fyKEKMBCLRGt0Wow_3_14"/>
      <w:bookmarkStart w:id="927" w:name="Tc_Lm_WAKmqh0i3SH9hr-dIEw_3_11"/>
      <w:bookmarkStart w:id="928" w:name="Tc_XWnR_8W1jEyCfF1gLktdzw_3_8"/>
      <w:bookmarkStart w:id="929" w:name="Tc_Qo4o13pp9kCp6ESL5RLkdw_3_5"/>
      <w:bookmarkStart w:id="930" w:name="Tc_iX4V3St1pEGpJfxkGHPlGA_3_2"/>
      <w:bookmarkStart w:id="931" w:name="Tc_khj17xH7tE-X-u70x3OfDg_2_26"/>
      <w:bookmarkStart w:id="932" w:name="Tc_P5hlPk8VrkOumkE7yiB9_w_2_17"/>
      <w:bookmarkStart w:id="933" w:name="Tc_9PWxqo2lsk-nEp7GQKWC2g_2_14"/>
      <w:bookmarkStart w:id="934" w:name="Tc_iB9qLfCTIUepHuRuJSmrYw_2_11"/>
      <w:bookmarkStart w:id="935" w:name="Tc_YhmFsYbORUSZ6tAup22ELw_2_5"/>
      <w:bookmarkStart w:id="936" w:name="Tc_dwrnP3N_cEykGxEMJwemEw_1_14"/>
      <w:bookmarkStart w:id="937" w:name="Tc_lKaMm13h9UaxU4ewSYcJnA_1_11"/>
      <w:bookmarkStart w:id="938" w:name="_6f825e86_1baf_47d8_8727_ea784b92b8e3"/>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p>
    <w:tbl>
      <w:tblPr>
        <w:tblW w:w="12022" w:type="dxa"/>
        <w:jc w:val="left"/>
        <w:tblInd w:w="0" w:type="dxa"/>
        <w:tblLayout w:type="fixed"/>
        <w:tblCellMar>
          <w:top w:w="0" w:type="dxa"/>
          <w:left w:w="0" w:type="dxa"/>
          <w:bottom w:w="0" w:type="dxa"/>
          <w:right w:w="0" w:type="dxa"/>
        </w:tblCellMar>
      </w:tblPr>
      <w:tblGrid>
        <w:gridCol w:w="1006"/>
        <w:gridCol w:w="346"/>
        <w:gridCol w:w="216"/>
        <w:gridCol w:w="415"/>
        <w:gridCol w:w="346"/>
        <w:gridCol w:w="181"/>
        <w:gridCol w:w="691"/>
        <w:gridCol w:w="346"/>
        <w:gridCol w:w="181"/>
        <w:gridCol w:w="556"/>
        <w:gridCol w:w="346"/>
        <w:gridCol w:w="200"/>
        <w:gridCol w:w="701"/>
        <w:gridCol w:w="346"/>
        <w:gridCol w:w="249"/>
        <w:gridCol w:w="772"/>
        <w:gridCol w:w="346"/>
        <w:gridCol w:w="209"/>
        <w:gridCol w:w="677"/>
        <w:gridCol w:w="346"/>
        <w:gridCol w:w="267"/>
        <w:gridCol w:w="754"/>
        <w:gridCol w:w="346"/>
        <w:gridCol w:w="181"/>
        <w:gridCol w:w="586"/>
        <w:gridCol w:w="346"/>
        <w:gridCol w:w="225"/>
        <w:gridCol w:w="841"/>
      </w:tblGrid>
      <w:tr>
        <w:trPr/>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38810" cy="175260"/>
                      <wp:effectExtent l="0" t="0" r="0" b="0"/>
                      <wp:wrapNone/>
                      <wp:docPr id="60" name="Frame60"/>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19710" cy="175260"/>
                      <wp:effectExtent l="0" t="0" r="0" b="0"/>
                      <wp:wrapNone/>
                      <wp:docPr id="61" name="Frame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137160" cy="175260"/>
                      <wp:effectExtent l="0" t="0" r="0" b="0"/>
                      <wp:wrapNone/>
                      <wp:docPr id="62" name="Frame62"/>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63525" cy="175260"/>
                      <wp:effectExtent l="0" t="0" r="0" b="0"/>
                      <wp:wrapNone/>
                      <wp:docPr id="63" name="Frame63"/>
                      <a:graphic xmlns:a="http://schemas.openxmlformats.org/drawingml/2006/main">
                        <a:graphicData uri="http://schemas.microsoft.com/office/word/2010/wordprocessingShape">
                          <wps:wsp>
                            <wps:cNvSpPr txBox="1"/>
                            <wps:spPr>
                              <a:xfrm>
                                <a:off x="0" y="0"/>
                                <a:ext cx="2635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19710" cy="175260"/>
                      <wp:effectExtent l="0" t="0" r="0" b="0"/>
                      <wp:wrapNone/>
                      <wp:docPr id="64" name="Frame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114935" cy="175260"/>
                      <wp:effectExtent l="0" t="0" r="0" b="0"/>
                      <wp:wrapNone/>
                      <wp:docPr id="65" name="Frame65"/>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438785" cy="175260"/>
                      <wp:effectExtent l="0" t="0" r="0" b="0"/>
                      <wp:wrapNone/>
                      <wp:docPr id="66" name="Frame6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19710" cy="175260"/>
                      <wp:effectExtent l="0" t="0" r="0" b="0"/>
                      <wp:wrapNone/>
                      <wp:docPr id="67" name="Frame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114935" cy="175260"/>
                      <wp:effectExtent l="0" t="0" r="0" b="0"/>
                      <wp:wrapNone/>
                      <wp:docPr id="68" name="Frame68"/>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353060" cy="175260"/>
                      <wp:effectExtent l="0" t="0" r="0" b="0"/>
                      <wp:wrapNone/>
                      <wp:docPr id="69" name="Frame69"/>
                      <a:graphic xmlns:a="http://schemas.openxmlformats.org/drawingml/2006/main">
                        <a:graphicData uri="http://schemas.microsoft.com/office/word/2010/wordprocessingShape">
                          <wps:wsp>
                            <wps:cNvSpPr txBox="1"/>
                            <wps:spPr>
                              <a:xfrm>
                                <a:off x="0" y="0"/>
                                <a:ext cx="353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19710" cy="175260"/>
                      <wp:effectExtent l="0" t="0" r="0" b="0"/>
                      <wp:wrapNone/>
                      <wp:docPr id="70" name="Frame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127000" cy="175260"/>
                      <wp:effectExtent l="0" t="0" r="0" b="0"/>
                      <wp:wrapNone/>
                      <wp:docPr id="71" name="Frame71"/>
                      <a:graphic xmlns:a="http://schemas.openxmlformats.org/drawingml/2006/main">
                        <a:graphicData uri="http://schemas.microsoft.com/office/word/2010/wordprocessingShape">
                          <wps:wsp>
                            <wps:cNvSpPr txBox="1"/>
                            <wps:spPr>
                              <a:xfrm>
                                <a:off x="0" y="0"/>
                                <a:ext cx="1270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445135" cy="175260"/>
                      <wp:effectExtent l="0" t="0" r="0" b="0"/>
                      <wp:wrapNone/>
                      <wp:docPr id="72" name="Frame72"/>
                      <a:graphic xmlns:a="http://schemas.openxmlformats.org/drawingml/2006/main">
                        <a:graphicData uri="http://schemas.microsoft.com/office/word/2010/wordprocessingShape">
                          <wps:wsp>
                            <wps:cNvSpPr txBox="1"/>
                            <wps:spPr>
                              <a:xfrm>
                                <a:off x="0" y="0"/>
                                <a:ext cx="445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19710" cy="175260"/>
                      <wp:effectExtent l="0" t="0" r="0" b="0"/>
                      <wp:wrapNone/>
                      <wp:docPr id="73" name="Frame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158115" cy="175260"/>
                      <wp:effectExtent l="0" t="0" r="0" b="0"/>
                      <wp:wrapNone/>
                      <wp:docPr id="74" name="Frame74"/>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490220" cy="175260"/>
                      <wp:effectExtent l="0" t="0" r="0" b="0"/>
                      <wp:wrapNone/>
                      <wp:docPr id="75" name="Frame75"/>
                      <a:graphic xmlns:a="http://schemas.openxmlformats.org/drawingml/2006/main">
                        <a:graphicData uri="http://schemas.microsoft.com/office/word/2010/wordprocessingShape">
                          <wps:wsp>
                            <wps:cNvSpPr txBox="1"/>
                            <wps:spPr>
                              <a:xfrm>
                                <a:off x="0" y="0"/>
                                <a:ext cx="4902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219710" cy="175260"/>
                      <wp:effectExtent l="0" t="0" r="0" b="0"/>
                      <wp:wrapNone/>
                      <wp:docPr id="76" name="Frame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132715" cy="175260"/>
                      <wp:effectExtent l="0" t="0" r="0" b="0"/>
                      <wp:wrapNone/>
                      <wp:docPr id="77" name="Frame77"/>
                      <a:graphic xmlns:a="http://schemas.openxmlformats.org/drawingml/2006/main">
                        <a:graphicData uri="http://schemas.microsoft.com/office/word/2010/wordprocessingShape">
                          <wps:wsp>
                            <wps:cNvSpPr txBox="1"/>
                            <wps:spPr>
                              <a:xfrm>
                                <a:off x="0" y="0"/>
                                <a:ext cx="1327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429895" cy="175260"/>
                      <wp:effectExtent l="0" t="0" r="0" b="0"/>
                      <wp:wrapNone/>
                      <wp:docPr id="78" name="Frame78"/>
                      <a:graphic xmlns:a="http://schemas.openxmlformats.org/drawingml/2006/main">
                        <a:graphicData uri="http://schemas.microsoft.com/office/word/2010/wordprocessingShape">
                          <wps:wsp>
                            <wps:cNvSpPr txBox="1"/>
                            <wps:spPr>
                              <a:xfrm>
                                <a:off x="0" y="0"/>
                                <a:ext cx="4298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19710" cy="175260"/>
                      <wp:effectExtent l="0" t="0" r="0" b="0"/>
                      <wp:wrapNone/>
                      <wp:docPr id="79" name="Frame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169545" cy="175260"/>
                      <wp:effectExtent l="0" t="0" r="0" b="0"/>
                      <wp:wrapNone/>
                      <wp:docPr id="80" name="Frame80"/>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478790" cy="175260"/>
                      <wp:effectExtent l="0" t="0" r="0" b="0"/>
                      <wp:wrapNone/>
                      <wp:docPr id="81" name="Frame81"/>
                      <a:graphic xmlns:a="http://schemas.openxmlformats.org/drawingml/2006/main">
                        <a:graphicData uri="http://schemas.microsoft.com/office/word/2010/wordprocessingShape">
                          <wps:wsp>
                            <wps:cNvSpPr txBox="1"/>
                            <wps:spPr>
                              <a:xfrm>
                                <a:off x="0" y="0"/>
                                <a:ext cx="478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19710" cy="175260"/>
                      <wp:effectExtent l="0" t="0" r="0" b="0"/>
                      <wp:wrapNone/>
                      <wp:docPr id="82" name="Frame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114935" cy="175260"/>
                      <wp:effectExtent l="0" t="0" r="0" b="0"/>
                      <wp:wrapNone/>
                      <wp:docPr id="83" name="Frame83"/>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372110" cy="175260"/>
                      <wp:effectExtent l="0" t="0" r="0" b="0"/>
                      <wp:wrapNone/>
                      <wp:docPr id="84" name="Frame84"/>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19710" cy="175260"/>
                      <wp:effectExtent l="0" t="0" r="0" b="0"/>
                      <wp:wrapNone/>
                      <wp:docPr id="85" name="Frame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142875" cy="175260"/>
                      <wp:effectExtent l="0" t="0" r="0" b="0"/>
                      <wp:wrapNone/>
                      <wp:docPr id="86" name="Frame86"/>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534035" cy="175260"/>
                      <wp:effectExtent l="0" t="0" r="0" b="0"/>
                      <wp:wrapNone/>
                      <wp:docPr id="87" name="Frame87"/>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0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216"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181" w:type="dxa"/>
            <w:tcBorders/>
            <w:vAlign w:val="center"/>
          </w:tcPr>
          <w:p>
            <w:pPr>
              <w:pStyle w:val="TableContents"/>
              <w:bidi w:val="0"/>
              <w:spacing w:before="0" w:after="1"/>
              <w:ind w:left="0" w:right="0" w:hanging="0"/>
              <w:jc w:val="left"/>
              <w:rPr/>
            </w:pPr>
            <w:r>
              <w:rPr/>
              <w:t>​</w:t>
            </w:r>
          </w:p>
        </w:tc>
        <w:tc>
          <w:tcPr>
            <w:tcW w:w="55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901" w:type="dxa"/>
            <w:gridSpan w:val="2"/>
            <w:tcBorders/>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Distributions</w:t>
            </w:r>
          </w:p>
        </w:tc>
        <w:tc>
          <w:tcPr>
            <w:tcW w:w="346" w:type="dxa"/>
            <w:tcBorders/>
            <w:vAlign w:val="center"/>
          </w:tcPr>
          <w:p>
            <w:pPr>
              <w:pStyle w:val="TableContents"/>
              <w:bidi w:val="0"/>
              <w:spacing w:before="0" w:after="1"/>
              <w:ind w:left="0" w:right="0" w:hanging="0"/>
              <w:jc w:val="left"/>
              <w:rPr/>
            </w:pPr>
            <w:r>
              <w:rPr/>
              <w:t>  ​ ​ ​</w:t>
            </w:r>
          </w:p>
        </w:tc>
        <w:tc>
          <w:tcPr>
            <w:tcW w:w="1021" w:type="dxa"/>
            <w:gridSpan w:val="2"/>
            <w:tcBorders/>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Accumulated</w:t>
            </w:r>
          </w:p>
        </w:tc>
        <w:tc>
          <w:tcPr>
            <w:tcW w:w="346" w:type="dxa"/>
            <w:tcBorders/>
            <w:vAlign w:val="center"/>
          </w:tcPr>
          <w:p>
            <w:pPr>
              <w:pStyle w:val="TableContents"/>
              <w:bidi w:val="0"/>
              <w:spacing w:before="0" w:after="1"/>
              <w:ind w:left="0" w:right="0" w:hanging="0"/>
              <w:jc w:val="left"/>
              <w:rPr/>
            </w:pPr>
            <w:r>
              <w:rPr/>
              <w:t>  ​ ​ ​</w:t>
            </w:r>
          </w:p>
        </w:tc>
        <w:tc>
          <w:tcPr>
            <w:tcW w:w="209" w:type="dxa"/>
            <w:tcBorders/>
            <w:vAlign w:val="center"/>
          </w:tcPr>
          <w:p>
            <w:pPr>
              <w:pStyle w:val="TableContents"/>
              <w:bidi w:val="0"/>
              <w:spacing w:before="0" w:after="1"/>
              <w:ind w:left="0" w:right="0" w:hanging="0"/>
              <w:jc w:val="left"/>
              <w:rPr/>
            </w:pPr>
            <w:r>
              <w:rPr/>
              <w:t>​</w:t>
            </w:r>
          </w:p>
        </w:tc>
        <w:tc>
          <w:tcPr>
            <w:tcW w:w="677"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1021"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1066" w:type="dxa"/>
            <w:gridSpan w:val="2"/>
            <w:tcBorders/>
            <w:vAlign w:val="center"/>
          </w:tcPr>
          <w:p>
            <w:pPr>
              <w:pStyle w:val="TableContents"/>
              <w:bidi w:val="0"/>
              <w:spacing w:before="0" w:after="1"/>
              <w:ind w:left="0" w:right="0" w:hanging="0"/>
              <w:jc w:val="center"/>
              <w:rPr/>
            </w:pPr>
            <w:r>
              <w:rPr/>
              <w:t>​</w:t>
            </w:r>
          </w:p>
        </w:tc>
      </w:tr>
      <w:tr>
        <w:trPr/>
        <w:tc>
          <w:tcPr>
            <w:tcW w:w="10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872" w:type="dxa"/>
            <w:gridSpan w:val="2"/>
            <w:tcBorders/>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Additional</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5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901" w:type="dxa"/>
            <w:gridSpan w:val="2"/>
            <w:tcBorders/>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in Excess of</w:t>
            </w:r>
          </w:p>
        </w:tc>
        <w:tc>
          <w:tcPr>
            <w:tcW w:w="346" w:type="dxa"/>
            <w:tcBorders/>
            <w:vAlign w:val="center"/>
          </w:tcPr>
          <w:p>
            <w:pPr>
              <w:pStyle w:val="TableContents"/>
              <w:bidi w:val="0"/>
              <w:spacing w:before="0" w:after="1"/>
              <w:ind w:left="0" w:right="0" w:hanging="0"/>
              <w:jc w:val="left"/>
              <w:rPr/>
            </w:pPr>
            <w:r>
              <w:rPr/>
              <w:t>​</w:t>
            </w:r>
          </w:p>
        </w:tc>
        <w:tc>
          <w:tcPr>
            <w:tcW w:w="1021" w:type="dxa"/>
            <w:gridSpan w:val="2"/>
            <w:tcBorders/>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Other</w:t>
            </w:r>
          </w:p>
        </w:tc>
        <w:tc>
          <w:tcPr>
            <w:tcW w:w="346" w:type="dxa"/>
            <w:tcBorders/>
            <w:vAlign w:val="center"/>
          </w:tcPr>
          <w:p>
            <w:pPr>
              <w:pStyle w:val="TableContents"/>
              <w:bidi w:val="0"/>
              <w:spacing w:before="0" w:after="1"/>
              <w:ind w:left="0" w:right="0" w:hanging="0"/>
              <w:jc w:val="left"/>
              <w:rPr/>
            </w:pPr>
            <w:r>
              <w:rPr/>
              <w:t>​</w:t>
            </w:r>
          </w:p>
        </w:tc>
        <w:tc>
          <w:tcPr>
            <w:tcW w:w="886" w:type="dxa"/>
            <w:gridSpan w:val="2"/>
            <w:tcBorders/>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Total</w:t>
            </w:r>
          </w:p>
        </w:tc>
        <w:tc>
          <w:tcPr>
            <w:tcW w:w="346" w:type="dxa"/>
            <w:tcBorders/>
            <w:vAlign w:val="center"/>
          </w:tcPr>
          <w:p>
            <w:pPr>
              <w:pStyle w:val="TableContents"/>
              <w:bidi w:val="0"/>
              <w:spacing w:before="0" w:after="1"/>
              <w:ind w:left="0" w:right="0" w:hanging="0"/>
              <w:jc w:val="left"/>
              <w:rPr/>
            </w:pPr>
            <w:r>
              <w:rPr/>
              <w:t>​</w:t>
            </w:r>
          </w:p>
        </w:tc>
        <w:tc>
          <w:tcPr>
            <w:tcW w:w="1021"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767"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066" w:type="dxa"/>
            <w:gridSpan w:val="2"/>
            <w:tcBorders/>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Noncontrolling</w:t>
            </w:r>
          </w:p>
        </w:tc>
      </w:tr>
      <w:tr>
        <w:trPr/>
        <w:tc>
          <w:tcPr>
            <w:tcW w:w="10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31" w:type="dxa"/>
            <w:gridSpan w:val="2"/>
            <w:tcBorders/>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Common</w:t>
            </w:r>
          </w:p>
        </w:tc>
        <w:tc>
          <w:tcPr>
            <w:tcW w:w="346" w:type="dxa"/>
            <w:tcBorders/>
            <w:vAlign w:val="center"/>
          </w:tcPr>
          <w:p>
            <w:pPr>
              <w:pStyle w:val="TableContents"/>
              <w:bidi w:val="0"/>
              <w:spacing w:before="0" w:after="1"/>
              <w:ind w:left="0" w:right="0" w:hanging="0"/>
              <w:jc w:val="left"/>
              <w:rPr/>
            </w:pPr>
            <w:r>
              <w:rPr/>
              <w:t>​</w:t>
            </w:r>
          </w:p>
        </w:tc>
        <w:tc>
          <w:tcPr>
            <w:tcW w:w="872" w:type="dxa"/>
            <w:gridSpan w:val="2"/>
            <w:tcBorders/>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Paid-in</w:t>
            </w:r>
          </w:p>
        </w:tc>
        <w:tc>
          <w:tcPr>
            <w:tcW w:w="346" w:type="dxa"/>
            <w:tcBorders/>
            <w:vAlign w:val="center"/>
          </w:tcPr>
          <w:p>
            <w:pPr>
              <w:pStyle w:val="TableContents"/>
              <w:bidi w:val="0"/>
              <w:spacing w:before="0" w:after="1"/>
              <w:ind w:left="0" w:right="0" w:hanging="0"/>
              <w:jc w:val="left"/>
              <w:rPr/>
            </w:pPr>
            <w:r>
              <w:rPr/>
              <w:t>​</w:t>
            </w:r>
          </w:p>
        </w:tc>
        <w:tc>
          <w:tcPr>
            <w:tcW w:w="737" w:type="dxa"/>
            <w:gridSpan w:val="2"/>
            <w:tcBorders/>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Treasury</w:t>
            </w:r>
          </w:p>
        </w:tc>
        <w:tc>
          <w:tcPr>
            <w:tcW w:w="346" w:type="dxa"/>
            <w:tcBorders/>
            <w:vAlign w:val="center"/>
          </w:tcPr>
          <w:p>
            <w:pPr>
              <w:pStyle w:val="TableContents"/>
              <w:bidi w:val="0"/>
              <w:spacing w:before="0" w:after="1"/>
              <w:ind w:left="0" w:right="0" w:hanging="0"/>
              <w:jc w:val="left"/>
              <w:rPr/>
            </w:pPr>
            <w:r>
              <w:rPr/>
              <w:t>​</w:t>
            </w:r>
          </w:p>
        </w:tc>
        <w:tc>
          <w:tcPr>
            <w:tcW w:w="901" w:type="dxa"/>
            <w:gridSpan w:val="2"/>
            <w:tcBorders/>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Retained</w:t>
            </w:r>
          </w:p>
        </w:tc>
        <w:tc>
          <w:tcPr>
            <w:tcW w:w="346" w:type="dxa"/>
            <w:tcBorders/>
            <w:vAlign w:val="center"/>
          </w:tcPr>
          <w:p>
            <w:pPr>
              <w:pStyle w:val="TableContents"/>
              <w:bidi w:val="0"/>
              <w:spacing w:before="0" w:after="1"/>
              <w:ind w:left="0" w:right="0" w:hanging="0"/>
              <w:jc w:val="left"/>
              <w:rPr/>
            </w:pPr>
            <w:r>
              <w:rPr/>
              <w:t>​</w:t>
            </w:r>
          </w:p>
        </w:tc>
        <w:tc>
          <w:tcPr>
            <w:tcW w:w="1021" w:type="dxa"/>
            <w:gridSpan w:val="2"/>
            <w:tcBorders/>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Comprehensive</w:t>
            </w:r>
          </w:p>
        </w:tc>
        <w:tc>
          <w:tcPr>
            <w:tcW w:w="346" w:type="dxa"/>
            <w:tcBorders/>
            <w:vAlign w:val="center"/>
          </w:tcPr>
          <w:p>
            <w:pPr>
              <w:pStyle w:val="TableContents"/>
              <w:bidi w:val="0"/>
              <w:spacing w:before="0" w:after="1"/>
              <w:ind w:left="0" w:right="0" w:hanging="0"/>
              <w:jc w:val="left"/>
              <w:rPr/>
            </w:pPr>
            <w:r>
              <w:rPr/>
              <w:t>​</w:t>
            </w:r>
          </w:p>
        </w:tc>
        <w:tc>
          <w:tcPr>
            <w:tcW w:w="886" w:type="dxa"/>
            <w:gridSpan w:val="2"/>
            <w:tcBorders/>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Stockholders'</w:t>
            </w:r>
          </w:p>
        </w:tc>
        <w:tc>
          <w:tcPr>
            <w:tcW w:w="346" w:type="dxa"/>
            <w:tcBorders/>
            <w:vAlign w:val="center"/>
          </w:tcPr>
          <w:p>
            <w:pPr>
              <w:pStyle w:val="TableContents"/>
              <w:bidi w:val="0"/>
              <w:spacing w:before="0" w:after="1"/>
              <w:ind w:left="0" w:right="0" w:hanging="0"/>
              <w:jc w:val="left"/>
              <w:rPr/>
            </w:pPr>
            <w:r>
              <w:rPr/>
              <w:t>​</w:t>
            </w:r>
          </w:p>
        </w:tc>
        <w:tc>
          <w:tcPr>
            <w:tcW w:w="1021" w:type="dxa"/>
            <w:gridSpan w:val="2"/>
            <w:tcBorders/>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Noncontrolling</w:t>
            </w:r>
          </w:p>
        </w:tc>
        <w:tc>
          <w:tcPr>
            <w:tcW w:w="346" w:type="dxa"/>
            <w:tcBorders/>
            <w:vAlign w:val="center"/>
          </w:tcPr>
          <w:p>
            <w:pPr>
              <w:pStyle w:val="TableContents"/>
              <w:bidi w:val="0"/>
              <w:spacing w:before="0" w:after="1"/>
              <w:ind w:left="0" w:right="0" w:hanging="0"/>
              <w:jc w:val="left"/>
              <w:rPr/>
            </w:pPr>
            <w:r>
              <w:rPr/>
              <w:t>​</w:t>
            </w:r>
          </w:p>
        </w:tc>
        <w:tc>
          <w:tcPr>
            <w:tcW w:w="767" w:type="dxa"/>
            <w:gridSpan w:val="2"/>
            <w:tcBorders/>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Total</w:t>
            </w:r>
          </w:p>
        </w:tc>
        <w:tc>
          <w:tcPr>
            <w:tcW w:w="346" w:type="dxa"/>
            <w:tcBorders/>
            <w:vAlign w:val="center"/>
          </w:tcPr>
          <w:p>
            <w:pPr>
              <w:pStyle w:val="TableContents"/>
              <w:bidi w:val="0"/>
              <w:spacing w:before="0" w:after="1"/>
              <w:ind w:left="0" w:right="0" w:hanging="0"/>
              <w:jc w:val="left"/>
              <w:rPr/>
            </w:pPr>
            <w:r>
              <w:rPr/>
              <w:t>​</w:t>
            </w:r>
          </w:p>
        </w:tc>
        <w:tc>
          <w:tcPr>
            <w:tcW w:w="1066" w:type="dxa"/>
            <w:gridSpan w:val="2"/>
            <w:tcBorders/>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Interest</w:t>
            </w:r>
          </w:p>
        </w:tc>
      </w:tr>
      <w:tr>
        <w:trPr/>
        <w:tc>
          <w:tcPr>
            <w:tcW w:w="10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Stock </w:t>
            </w:r>
          </w:p>
        </w:tc>
        <w:tc>
          <w:tcPr>
            <w:tcW w:w="346" w:type="dxa"/>
            <w:tcBorders/>
            <w:vAlign w:val="center"/>
          </w:tcPr>
          <w:p>
            <w:pPr>
              <w:pStyle w:val="TableContents"/>
              <w:bidi w:val="0"/>
              <w:spacing w:before="0" w:after="1"/>
              <w:ind w:left="0" w:right="0" w:hanging="0"/>
              <w:jc w:val="left"/>
              <w:rPr/>
            </w:pPr>
            <w:r>
              <w:rPr/>
              <w:t>​</w:t>
            </w:r>
          </w:p>
        </w:tc>
        <w:tc>
          <w:tcPr>
            <w:tcW w:w="87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Capital </w:t>
            </w:r>
          </w:p>
        </w:tc>
        <w:tc>
          <w:tcPr>
            <w:tcW w:w="346" w:type="dxa"/>
            <w:tcBorders/>
            <w:vAlign w:val="center"/>
          </w:tcPr>
          <w:p>
            <w:pPr>
              <w:pStyle w:val="TableContents"/>
              <w:bidi w:val="0"/>
              <w:spacing w:before="0" w:after="1"/>
              <w:ind w:left="0" w:right="0" w:hanging="0"/>
              <w:jc w:val="left"/>
              <w:rPr/>
            </w:pPr>
            <w:r>
              <w:rPr/>
              <w:t>​</w:t>
            </w:r>
          </w:p>
        </w:tc>
        <w:tc>
          <w:tcPr>
            <w:tcW w:w="73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Stock</w:t>
            </w:r>
          </w:p>
        </w:tc>
        <w:tc>
          <w:tcPr>
            <w:tcW w:w="346" w:type="dxa"/>
            <w:tcBorders/>
            <w:vAlign w:val="center"/>
          </w:tcPr>
          <w:p>
            <w:pPr>
              <w:pStyle w:val="TableContents"/>
              <w:bidi w:val="0"/>
              <w:spacing w:before="0" w:after="1"/>
              <w:ind w:left="0" w:right="0" w:hanging="0"/>
              <w:jc w:val="left"/>
              <w:rPr/>
            </w:pPr>
            <w:r>
              <w:rPr/>
              <w:t>​</w:t>
            </w:r>
          </w:p>
        </w:tc>
        <w:tc>
          <w:tcPr>
            <w:tcW w:w="9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Earnings</w:t>
            </w:r>
          </w:p>
        </w:tc>
        <w:tc>
          <w:tcPr>
            <w:tcW w:w="346" w:type="dxa"/>
            <w:tcBorders/>
            <w:vAlign w:val="center"/>
          </w:tcPr>
          <w:p>
            <w:pPr>
              <w:pStyle w:val="TableContents"/>
              <w:bidi w:val="0"/>
              <w:spacing w:before="0" w:after="1"/>
              <w:ind w:left="0" w:right="0" w:hanging="0"/>
              <w:jc w:val="left"/>
              <w:rPr/>
            </w:pPr>
            <w:r>
              <w:rPr/>
              <w:t>​</w:t>
            </w:r>
          </w:p>
        </w:tc>
        <w:tc>
          <w:tcPr>
            <w:tcW w:w="10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Loss</w:t>
            </w:r>
          </w:p>
        </w:tc>
        <w:tc>
          <w:tcPr>
            <w:tcW w:w="346" w:type="dxa"/>
            <w:tcBorders/>
            <w:vAlign w:val="center"/>
          </w:tcPr>
          <w:p>
            <w:pPr>
              <w:pStyle w:val="TableContents"/>
              <w:bidi w:val="0"/>
              <w:spacing w:before="0" w:after="1"/>
              <w:ind w:left="0" w:right="0" w:hanging="0"/>
              <w:jc w:val="left"/>
              <w:rPr/>
            </w:pPr>
            <w:r>
              <w:rPr/>
              <w:t>​</w:t>
            </w:r>
          </w:p>
        </w:tc>
        <w:tc>
          <w:tcPr>
            <w:tcW w:w="88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Equity</w:t>
            </w:r>
          </w:p>
        </w:tc>
        <w:tc>
          <w:tcPr>
            <w:tcW w:w="346" w:type="dxa"/>
            <w:tcBorders/>
            <w:vAlign w:val="center"/>
          </w:tcPr>
          <w:p>
            <w:pPr>
              <w:pStyle w:val="TableContents"/>
              <w:bidi w:val="0"/>
              <w:spacing w:before="0" w:after="1"/>
              <w:ind w:left="0" w:right="0" w:hanging="0"/>
              <w:jc w:val="left"/>
              <w:rPr/>
            </w:pPr>
            <w:r>
              <w:rPr/>
              <w:t>​</w:t>
            </w:r>
          </w:p>
        </w:tc>
        <w:tc>
          <w:tcPr>
            <w:tcW w:w="10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Interests</w:t>
            </w:r>
          </w:p>
        </w:tc>
        <w:tc>
          <w:tcPr>
            <w:tcW w:w="346" w:type="dxa"/>
            <w:tcBorders/>
            <w:vAlign w:val="center"/>
          </w:tcPr>
          <w:p>
            <w:pPr>
              <w:pStyle w:val="TableContents"/>
              <w:bidi w:val="0"/>
              <w:spacing w:before="0" w:after="1"/>
              <w:ind w:left="0" w:right="0" w:hanging="0"/>
              <w:jc w:val="left"/>
              <w:rPr/>
            </w:pPr>
            <w:r>
              <w:rPr/>
              <w:t>​</w:t>
            </w:r>
          </w:p>
        </w:tc>
        <w:tc>
          <w:tcPr>
            <w:tcW w:w="7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Equity</w:t>
            </w:r>
          </w:p>
        </w:tc>
        <w:tc>
          <w:tcPr>
            <w:tcW w:w="346" w:type="dxa"/>
            <w:tcBorders/>
            <w:vAlign w:val="center"/>
          </w:tcPr>
          <w:p>
            <w:pPr>
              <w:pStyle w:val="TableContents"/>
              <w:bidi w:val="0"/>
              <w:spacing w:before="0" w:after="1"/>
              <w:ind w:left="0" w:right="0" w:hanging="0"/>
              <w:jc w:val="left"/>
              <w:rPr/>
            </w:pPr>
            <w:r>
              <w:rPr/>
              <w:t>​</w:t>
            </w:r>
          </w:p>
        </w:tc>
        <w:tc>
          <w:tcPr>
            <w:tcW w:w="106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in OEG</w:t>
            </w:r>
          </w:p>
        </w:tc>
      </w:tr>
      <w:tr>
        <w:trPr/>
        <w:tc>
          <w:tcPr>
            <w:tcW w:w="100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BALANCE, December 31, 2024</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1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599</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1,475,211</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5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(23,526)</w:t>
            </w:r>
          </w:p>
        </w:tc>
        <w:tc>
          <w:tcPr>
            <w:tcW w:w="346" w:type="dxa"/>
            <w:tcBorders/>
            <w:shd w:fill="CCEEFF" w:val="clear"/>
            <w:vAlign w:val="center"/>
          </w:tcPr>
          <w:p>
            <w:pPr>
              <w:pStyle w:val="TableContents"/>
              <w:bidi w:val="0"/>
              <w:spacing w:before="0" w:after="1"/>
              <w:ind w:left="0" w:right="0" w:hanging="0"/>
              <w:jc w:val="left"/>
              <w:rPr/>
            </w:pPr>
            <w:r>
              <w:rPr/>
              <w:t>​</w:t>
            </w:r>
          </w:p>
        </w:tc>
        <w:tc>
          <w:tcPr>
            <w:tcW w:w="200"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0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(888,132)</w:t>
            </w:r>
          </w:p>
        </w:tc>
        <w:tc>
          <w:tcPr>
            <w:tcW w:w="34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72"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(15,172)</w:t>
            </w:r>
          </w:p>
        </w:tc>
        <w:tc>
          <w:tcPr>
            <w:tcW w:w="346" w:type="dxa"/>
            <w:tcBorders/>
            <w:shd w:fill="CCEEFF" w:val="clear"/>
            <w:vAlign w:val="center"/>
          </w:tcPr>
          <w:p>
            <w:pPr>
              <w:pStyle w:val="TableContents"/>
              <w:bidi w:val="0"/>
              <w:spacing w:before="0" w:after="1"/>
              <w:ind w:left="0" w:right="0" w:hanging="0"/>
              <w:jc w:val="left"/>
              <w:rPr/>
            </w:pPr>
            <w:r>
              <w:rPr/>
              <w:t>​</w:t>
            </w:r>
          </w:p>
        </w:tc>
        <w:tc>
          <w:tcPr>
            <w:tcW w:w="209"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77"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548,980</w:t>
            </w:r>
          </w:p>
        </w:tc>
        <w:tc>
          <w:tcPr>
            <w:tcW w:w="34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54"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3,657</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552,637</w:t>
            </w:r>
          </w:p>
        </w:tc>
        <w:tc>
          <w:tcPr>
            <w:tcW w:w="34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381,945</w:t>
            </w:r>
          </w:p>
        </w:tc>
      </w:tr>
      <w:tr>
        <w:trPr/>
        <w:tc>
          <w:tcPr>
            <w:tcW w:w="100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Net income (loss)</w:t>
            </w:r>
          </w:p>
        </w:tc>
        <w:tc>
          <w:tcPr>
            <w:tcW w:w="34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 </w:t>
            </w:r>
          </w:p>
        </w:tc>
        <w:tc>
          <w:tcPr>
            <w:tcW w:w="41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55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00" w:type="dxa"/>
            <w:tcBorders/>
            <w:vAlign w:val="center"/>
          </w:tcPr>
          <w:p>
            <w:pPr>
              <w:pStyle w:val="TableContents"/>
              <w:bidi w:val="0"/>
              <w:spacing w:before="0" w:after="1"/>
              <w:ind w:left="0" w:right="0" w:hanging="0"/>
              <w:jc w:val="left"/>
              <w:rPr/>
            </w:pPr>
            <w:r>
              <w:rPr/>
              <w:t> </w:t>
            </w:r>
          </w:p>
        </w:tc>
        <w:tc>
          <w:tcPr>
            <w:tcW w:w="70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62,961</w:t>
            </w:r>
          </w:p>
        </w:tc>
        <w:tc>
          <w:tcPr>
            <w:tcW w:w="34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77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09" w:type="dxa"/>
            <w:tcBorders/>
            <w:vAlign w:val="center"/>
          </w:tcPr>
          <w:p>
            <w:pPr>
              <w:pStyle w:val="TableContents"/>
              <w:bidi w:val="0"/>
              <w:spacing w:before="0" w:after="1"/>
              <w:ind w:left="0" w:right="0" w:hanging="0"/>
              <w:jc w:val="left"/>
              <w:rPr/>
            </w:pPr>
            <w:r>
              <w:rPr/>
              <w:t> </w:t>
            </w:r>
          </w:p>
        </w:tc>
        <w:tc>
          <w:tcPr>
            <w:tcW w:w="677"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62,961</w:t>
            </w:r>
          </w:p>
        </w:tc>
        <w:tc>
          <w:tcPr>
            <w:tcW w:w="346"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left"/>
              <w:rPr/>
            </w:pPr>
            <w:r>
              <w:rPr/>
              <w:t> </w:t>
            </w:r>
          </w:p>
        </w:tc>
        <w:tc>
          <w:tcPr>
            <w:tcW w:w="754"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(658)</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62,303</w:t>
            </w:r>
          </w:p>
        </w:tc>
        <w:tc>
          <w:tcPr>
            <w:tcW w:w="34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711</w:t>
            </w:r>
          </w:p>
        </w:tc>
      </w:tr>
      <w:tr>
        <w:trPr/>
        <w:tc>
          <w:tcPr>
            <w:tcW w:w="100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Other comprehensive loss, net of income taxes</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 </w:t>
            </w:r>
          </w:p>
        </w:tc>
        <w:tc>
          <w:tcPr>
            <w:tcW w:w="41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55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00" w:type="dxa"/>
            <w:tcBorders/>
            <w:shd w:fill="CCEEFF" w:val="clear"/>
            <w:vAlign w:val="center"/>
          </w:tcPr>
          <w:p>
            <w:pPr>
              <w:pStyle w:val="TableContents"/>
              <w:bidi w:val="0"/>
              <w:spacing w:before="0" w:after="1"/>
              <w:ind w:left="0" w:right="0" w:hanging="0"/>
              <w:jc w:val="left"/>
              <w:rPr/>
            </w:pPr>
            <w:r>
              <w:rPr/>
              <w:t> </w:t>
            </w:r>
          </w:p>
        </w:tc>
        <w:tc>
          <w:tcPr>
            <w:tcW w:w="7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 </w:t>
            </w:r>
          </w:p>
        </w:tc>
        <w:tc>
          <w:tcPr>
            <w:tcW w:w="772"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(88)</w:t>
            </w:r>
          </w:p>
        </w:tc>
        <w:tc>
          <w:tcPr>
            <w:tcW w:w="346" w:type="dxa"/>
            <w:tcBorders/>
            <w:shd w:fill="CCEEFF" w:val="clear"/>
            <w:vAlign w:val="center"/>
          </w:tcPr>
          <w:p>
            <w:pPr>
              <w:pStyle w:val="TableContents"/>
              <w:bidi w:val="0"/>
              <w:spacing w:before="0" w:after="1"/>
              <w:ind w:left="0" w:right="0" w:hanging="0"/>
              <w:jc w:val="left"/>
              <w:rPr/>
            </w:pPr>
            <w:r>
              <w:rPr/>
              <w:t>​</w:t>
            </w:r>
          </w:p>
        </w:tc>
        <w:tc>
          <w:tcPr>
            <w:tcW w:w="209" w:type="dxa"/>
            <w:tcBorders/>
            <w:shd w:fill="CCEEFF" w:val="clear"/>
            <w:vAlign w:val="center"/>
          </w:tcPr>
          <w:p>
            <w:pPr>
              <w:pStyle w:val="TableContents"/>
              <w:bidi w:val="0"/>
              <w:spacing w:before="0" w:after="1"/>
              <w:ind w:left="0" w:right="0" w:hanging="0"/>
              <w:jc w:val="left"/>
              <w:rPr/>
            </w:pPr>
            <w:r>
              <w:rPr/>
              <w:t> </w:t>
            </w:r>
          </w:p>
        </w:tc>
        <w:tc>
          <w:tcPr>
            <w:tcW w:w="677"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(88)</w:t>
            </w:r>
          </w:p>
        </w:tc>
        <w:tc>
          <w:tcPr>
            <w:tcW w:w="34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pPr>
            <w:r>
              <w:rPr/>
              <w:t> </w:t>
            </w:r>
          </w:p>
        </w:tc>
        <w:tc>
          <w:tcPr>
            <w:tcW w:w="75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(88)</w:t>
            </w:r>
          </w:p>
        </w:tc>
        <w:tc>
          <w:tcPr>
            <w:tcW w:w="34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pPr>
            <w:r>
              <w:rPr/>
              <w:t>—</w:t>
            </w:r>
          </w:p>
        </w:tc>
      </w:tr>
      <w:tr>
        <w:trPr/>
        <w:tc>
          <w:tcPr>
            <w:tcW w:w="100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Adjustment of noncontrolling interest to redemption value</w:t>
            </w:r>
          </w:p>
        </w:tc>
        <w:tc>
          <w:tcPr>
            <w:tcW w:w="34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(8,960)</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5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00" w:type="dxa"/>
            <w:tcBorders/>
            <w:vAlign w:val="center"/>
          </w:tcPr>
          <w:p>
            <w:pPr>
              <w:pStyle w:val="TableContents"/>
              <w:bidi w:val="0"/>
              <w:spacing w:before="0" w:after="1"/>
              <w:ind w:left="0" w:right="0" w:hanging="0"/>
              <w:jc w:val="left"/>
              <w:rPr/>
            </w:pPr>
            <w:r>
              <w:rPr/>
              <w:t>​</w:t>
            </w:r>
          </w:p>
        </w:tc>
        <w:tc>
          <w:tcPr>
            <w:tcW w:w="7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77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09" w:type="dxa"/>
            <w:tcBorders/>
            <w:vAlign w:val="center"/>
          </w:tcPr>
          <w:p>
            <w:pPr>
              <w:pStyle w:val="TableContents"/>
              <w:bidi w:val="0"/>
              <w:spacing w:before="0" w:after="1"/>
              <w:ind w:left="0" w:right="0" w:hanging="0"/>
              <w:jc w:val="left"/>
              <w:rPr/>
            </w:pPr>
            <w:r>
              <w:rPr/>
              <w:t>​</w:t>
            </w:r>
          </w:p>
        </w:tc>
        <w:tc>
          <w:tcPr>
            <w:tcW w:w="677"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(8,960)</w:t>
            </w:r>
          </w:p>
        </w:tc>
        <w:tc>
          <w:tcPr>
            <w:tcW w:w="346"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left"/>
              <w:rPr/>
            </w:pPr>
            <w:r>
              <w:rPr/>
              <w:t>​</w:t>
            </w:r>
          </w:p>
        </w:tc>
        <w:tc>
          <w:tcPr>
            <w:tcW w:w="75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(8,960)</w:t>
            </w:r>
          </w:p>
        </w:tc>
        <w:tc>
          <w:tcPr>
            <w:tcW w:w="34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8,960</w:t>
            </w:r>
          </w:p>
        </w:tc>
      </w:tr>
      <w:tr>
        <w:trPr/>
        <w:tc>
          <w:tcPr>
            <w:tcW w:w="100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Purchase of interest in consolidated joint venture</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w:t>
            </w:r>
          </w:p>
        </w:tc>
        <w:tc>
          <w:tcPr>
            <w:tcW w:w="41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5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00" w:type="dxa"/>
            <w:tcBorders/>
            <w:shd w:fill="CCEEFF" w:val="clear"/>
            <w:vAlign w:val="center"/>
          </w:tcPr>
          <w:p>
            <w:pPr>
              <w:pStyle w:val="TableContents"/>
              <w:bidi w:val="0"/>
              <w:spacing w:before="0" w:after="1"/>
              <w:ind w:left="0" w:right="0" w:hanging="0"/>
              <w:jc w:val="left"/>
              <w:rPr/>
            </w:pPr>
            <w:r>
              <w:rPr/>
              <w:t>​</w:t>
            </w:r>
          </w:p>
        </w:tc>
        <w:tc>
          <w:tcPr>
            <w:tcW w:w="7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w:t>
            </w:r>
          </w:p>
        </w:tc>
        <w:tc>
          <w:tcPr>
            <w:tcW w:w="77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09" w:type="dxa"/>
            <w:tcBorders/>
            <w:shd w:fill="CCEEFF" w:val="clear"/>
            <w:vAlign w:val="center"/>
          </w:tcPr>
          <w:p>
            <w:pPr>
              <w:pStyle w:val="TableContents"/>
              <w:bidi w:val="0"/>
              <w:spacing w:before="0" w:after="1"/>
              <w:ind w:left="0" w:right="0" w:hanging="0"/>
              <w:jc w:val="left"/>
              <w:rPr/>
            </w:pPr>
            <w:r>
              <w:rPr/>
              <w:t>​</w:t>
            </w:r>
          </w:p>
        </w:tc>
        <w:tc>
          <w:tcPr>
            <w:tcW w:w="67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pPr>
            <w:r>
              <w:rPr/>
              <w:t>​</w:t>
            </w:r>
          </w:p>
        </w:tc>
        <w:tc>
          <w:tcPr>
            <w:tcW w:w="754"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36,270</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36,270</w:t>
            </w:r>
          </w:p>
        </w:tc>
        <w:tc>
          <w:tcPr>
            <w:tcW w:w="34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w:t>
            </w:r>
          </w:p>
        </w:tc>
      </w:tr>
      <w:tr>
        <w:trPr/>
        <w:tc>
          <w:tcPr>
            <w:tcW w:w="100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Dividends and distributions declared ($1.15 per share)</w:t>
            </w:r>
          </w:p>
        </w:tc>
        <w:tc>
          <w:tcPr>
            <w:tcW w:w="34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 </w:t>
            </w:r>
          </w:p>
        </w:tc>
        <w:tc>
          <w:tcPr>
            <w:tcW w:w="41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169</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55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(803)</w:t>
            </w:r>
          </w:p>
        </w:tc>
        <w:tc>
          <w:tcPr>
            <w:tcW w:w="346" w:type="dxa"/>
            <w:tcBorders/>
            <w:vAlign w:val="center"/>
          </w:tcPr>
          <w:p>
            <w:pPr>
              <w:pStyle w:val="TableContents"/>
              <w:bidi w:val="0"/>
              <w:spacing w:before="0" w:after="1"/>
              <w:ind w:left="0" w:right="0" w:hanging="0"/>
              <w:jc w:val="left"/>
              <w:rPr/>
            </w:pPr>
            <w:r>
              <w:rPr/>
              <w:t>​</w:t>
            </w:r>
          </w:p>
        </w:tc>
        <w:tc>
          <w:tcPr>
            <w:tcW w:w="200" w:type="dxa"/>
            <w:tcBorders/>
            <w:vAlign w:val="center"/>
          </w:tcPr>
          <w:p>
            <w:pPr>
              <w:pStyle w:val="TableContents"/>
              <w:bidi w:val="0"/>
              <w:spacing w:before="0" w:after="1"/>
              <w:ind w:left="0" w:right="0" w:hanging="0"/>
              <w:jc w:val="left"/>
              <w:rPr/>
            </w:pPr>
            <w:r>
              <w:rPr/>
              <w:t> </w:t>
            </w:r>
          </w:p>
        </w:tc>
        <w:tc>
          <w:tcPr>
            <w:tcW w:w="70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(68,701)</w:t>
            </w:r>
          </w:p>
        </w:tc>
        <w:tc>
          <w:tcPr>
            <w:tcW w:w="34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77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09" w:type="dxa"/>
            <w:tcBorders/>
            <w:vAlign w:val="center"/>
          </w:tcPr>
          <w:p>
            <w:pPr>
              <w:pStyle w:val="TableContents"/>
              <w:bidi w:val="0"/>
              <w:spacing w:before="0" w:after="1"/>
              <w:ind w:left="0" w:right="0" w:hanging="0"/>
              <w:jc w:val="left"/>
              <w:rPr/>
            </w:pPr>
            <w:r>
              <w:rPr/>
              <w:t> </w:t>
            </w:r>
          </w:p>
        </w:tc>
        <w:tc>
          <w:tcPr>
            <w:tcW w:w="677"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(69,335)</w:t>
            </w:r>
          </w:p>
        </w:tc>
        <w:tc>
          <w:tcPr>
            <w:tcW w:w="346"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left"/>
              <w:rPr/>
            </w:pPr>
            <w:r>
              <w:rPr/>
              <w:t> </w:t>
            </w:r>
          </w:p>
        </w:tc>
        <w:tc>
          <w:tcPr>
            <w:tcW w:w="754"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(454)</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(69,789)</w:t>
            </w:r>
          </w:p>
        </w:tc>
        <w:tc>
          <w:tcPr>
            <w:tcW w:w="34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pPr>
            <w:r>
              <w:rPr/>
              <w:t>—</w:t>
            </w:r>
          </w:p>
        </w:tc>
      </w:tr>
      <w:tr>
        <w:trPr/>
        <w:tc>
          <w:tcPr>
            <w:tcW w:w="100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Restricted stock units surrendered</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 </w:t>
            </w:r>
          </w:p>
        </w:tc>
        <w:tc>
          <w:tcPr>
            <w:tcW w:w="41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(5,648)</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55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00" w:type="dxa"/>
            <w:tcBorders/>
            <w:shd w:fill="CCEEFF" w:val="clear"/>
            <w:vAlign w:val="center"/>
          </w:tcPr>
          <w:p>
            <w:pPr>
              <w:pStyle w:val="TableContents"/>
              <w:bidi w:val="0"/>
              <w:spacing w:before="0" w:after="1"/>
              <w:ind w:left="0" w:right="0" w:hanging="0"/>
              <w:jc w:val="left"/>
              <w:rPr/>
            </w:pPr>
            <w:r>
              <w:rPr/>
              <w:t> </w:t>
            </w:r>
          </w:p>
        </w:tc>
        <w:tc>
          <w:tcPr>
            <w:tcW w:w="7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 </w:t>
            </w:r>
          </w:p>
        </w:tc>
        <w:tc>
          <w:tcPr>
            <w:tcW w:w="77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09" w:type="dxa"/>
            <w:tcBorders/>
            <w:shd w:fill="CCEEFF" w:val="clear"/>
            <w:vAlign w:val="center"/>
          </w:tcPr>
          <w:p>
            <w:pPr>
              <w:pStyle w:val="TableContents"/>
              <w:bidi w:val="0"/>
              <w:spacing w:before="0" w:after="1"/>
              <w:ind w:left="0" w:right="0" w:hanging="0"/>
              <w:jc w:val="left"/>
              <w:rPr/>
            </w:pPr>
            <w:r>
              <w:rPr/>
              <w:t> </w:t>
            </w:r>
          </w:p>
        </w:tc>
        <w:tc>
          <w:tcPr>
            <w:tcW w:w="677"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(5,647)</w:t>
            </w:r>
          </w:p>
        </w:tc>
        <w:tc>
          <w:tcPr>
            <w:tcW w:w="34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pPr>
            <w:r>
              <w:rPr/>
              <w:t> </w:t>
            </w:r>
          </w:p>
        </w:tc>
        <w:tc>
          <w:tcPr>
            <w:tcW w:w="75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(5,647)</w:t>
            </w:r>
          </w:p>
        </w:tc>
        <w:tc>
          <w:tcPr>
            <w:tcW w:w="34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pPr>
            <w:r>
              <w:rPr/>
              <w:t>—</w:t>
            </w:r>
          </w:p>
        </w:tc>
      </w:tr>
      <w:tr>
        <w:trPr/>
        <w:tc>
          <w:tcPr>
            <w:tcW w:w="100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Equity-based compensation expense</w:t>
            </w:r>
          </w:p>
        </w:tc>
        <w:tc>
          <w:tcPr>
            <w:tcW w:w="346" w:type="dxa"/>
            <w:tcBorders/>
            <w:vAlign w:val="center"/>
          </w:tcPr>
          <w:p>
            <w:pPr>
              <w:pStyle w:val="TableContents"/>
              <w:bidi w:val="0"/>
              <w:spacing w:before="0" w:after="1"/>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41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3,622</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5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0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0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7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0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3,622</w:t>
            </w:r>
          </w:p>
        </w:tc>
        <w:tc>
          <w:tcPr>
            <w:tcW w:w="346" w:type="dxa"/>
            <w:tcBorders/>
            <w:vAlign w:val="center"/>
          </w:tcPr>
          <w:p>
            <w:pPr>
              <w:pStyle w:val="TableContents"/>
              <w:bidi w:val="0"/>
              <w:spacing w:before="0" w:after="1"/>
              <w:ind w:left="0" w:right="0" w:hanging="0"/>
              <w:jc w:val="left"/>
              <w:rPr/>
            </w:pPr>
            <w:r>
              <w:rPr/>
              <w:t>​</w:t>
            </w:r>
          </w:p>
        </w:tc>
        <w:tc>
          <w:tcPr>
            <w:tcW w:w="26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5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3,622</w:t>
            </w:r>
          </w:p>
        </w:tc>
        <w:tc>
          <w:tcPr>
            <w:tcW w:w="346" w:type="dxa"/>
            <w:tcBorders/>
            <w:vAlign w:val="center"/>
          </w:tcPr>
          <w:p>
            <w:pPr>
              <w:pStyle w:val="TableContents"/>
              <w:bidi w:val="0"/>
              <w:spacing w:before="0" w:after="1"/>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100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BALANCE, March 31, 2025</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1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600</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1,464,394</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(24,329)</w:t>
            </w:r>
          </w:p>
        </w:tc>
        <w:tc>
          <w:tcPr>
            <w:tcW w:w="346" w:type="dxa"/>
            <w:tcBorders/>
            <w:shd w:fill="CCEEFF" w:val="clear"/>
            <w:vAlign w:val="center"/>
          </w:tcPr>
          <w:p>
            <w:pPr>
              <w:pStyle w:val="TableContents"/>
              <w:bidi w:val="0"/>
              <w:spacing w:before="0" w:after="1"/>
              <w:ind w:left="0" w:right="0" w:hanging="0"/>
              <w:jc w:val="left"/>
              <w:rPr/>
            </w:pPr>
            <w:r>
              <w:rPr/>
              <w:t>​</w:t>
            </w:r>
          </w:p>
        </w:tc>
        <w:tc>
          <w:tcPr>
            <w:tcW w:w="20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(893,872)</w:t>
            </w:r>
          </w:p>
        </w:tc>
        <w:tc>
          <w:tcPr>
            <w:tcW w:w="346" w:type="dxa"/>
            <w:tcBorders/>
            <w:shd w:fill="CCEEFF" w:val="clear"/>
            <w:vAlign w:val="center"/>
          </w:tcPr>
          <w:p>
            <w:pPr>
              <w:pStyle w:val="TableContents"/>
              <w:bidi w:val="0"/>
              <w:spacing w:before="0" w:after="1"/>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7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(15,260)</w:t>
            </w:r>
          </w:p>
        </w:tc>
        <w:tc>
          <w:tcPr>
            <w:tcW w:w="346" w:type="dxa"/>
            <w:tcBorders/>
            <w:shd w:fill="CCEEFF" w:val="clear"/>
            <w:vAlign w:val="center"/>
          </w:tcPr>
          <w:p>
            <w:pPr>
              <w:pStyle w:val="TableContents"/>
              <w:bidi w:val="0"/>
              <w:spacing w:before="0" w:after="1"/>
              <w:ind w:left="0" w:right="0" w:hanging="0"/>
              <w:jc w:val="left"/>
              <w:rPr/>
            </w:pPr>
            <w:r>
              <w:rPr/>
              <w:t>​</w:t>
            </w:r>
          </w:p>
        </w:tc>
        <w:tc>
          <w:tcPr>
            <w:tcW w:w="20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7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531,533</w:t>
            </w:r>
          </w:p>
        </w:tc>
        <w:tc>
          <w:tcPr>
            <w:tcW w:w="346" w:type="dxa"/>
            <w:tcBorders/>
            <w:shd w:fill="CCEEFF" w:val="clear"/>
            <w:vAlign w:val="center"/>
          </w:tcPr>
          <w:p>
            <w:pPr>
              <w:pStyle w:val="TableContents"/>
              <w:bidi w:val="0"/>
              <w:spacing w:before="0" w:after="1"/>
              <w:ind w:left="0" w:right="0" w:hanging="0"/>
              <w:jc w:val="left"/>
              <w:rPr/>
            </w:pPr>
            <w:r>
              <w:rPr/>
              <w:t>​</w:t>
            </w:r>
          </w:p>
        </w:tc>
        <w:tc>
          <w:tcPr>
            <w:tcW w:w="26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5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38,815</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570,348</w:t>
            </w:r>
          </w:p>
        </w:tc>
        <w:tc>
          <w:tcPr>
            <w:tcW w:w="346" w:type="dxa"/>
            <w:tcBorders/>
            <w:shd w:fill="CCEEFF" w:val="clear"/>
            <w:vAlign w:val="center"/>
          </w:tcPr>
          <w:p>
            <w:pPr>
              <w:pStyle w:val="TableContents"/>
              <w:bidi w:val="0"/>
              <w:spacing w:before="0" w:after="1"/>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391,616</w:t>
            </w:r>
          </w:p>
        </w:tc>
      </w:tr>
      <w:tr>
        <w:trPr/>
        <w:tc>
          <w:tcPr>
            <w:tcW w:w="100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Net income</w:t>
            </w:r>
          </w:p>
        </w:tc>
        <w:tc>
          <w:tcPr>
            <w:tcW w:w="34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 </w:t>
            </w:r>
          </w:p>
        </w:tc>
        <w:tc>
          <w:tcPr>
            <w:tcW w:w="41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5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00" w:type="dxa"/>
            <w:tcBorders/>
            <w:vAlign w:val="center"/>
          </w:tcPr>
          <w:p>
            <w:pPr>
              <w:pStyle w:val="TableContents"/>
              <w:bidi w:val="0"/>
              <w:spacing w:before="0" w:after="1"/>
              <w:ind w:left="0" w:right="0" w:hanging="0"/>
              <w:jc w:val="left"/>
              <w:rPr/>
            </w:pPr>
            <w:r>
              <w:rPr/>
              <w:t>​</w:t>
            </w:r>
          </w:p>
        </w:tc>
        <w:tc>
          <w:tcPr>
            <w:tcW w:w="70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71,753</w:t>
            </w:r>
          </w:p>
        </w:tc>
        <w:tc>
          <w:tcPr>
            <w:tcW w:w="34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77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09" w:type="dxa"/>
            <w:tcBorders/>
            <w:vAlign w:val="center"/>
          </w:tcPr>
          <w:p>
            <w:pPr>
              <w:pStyle w:val="TableContents"/>
              <w:bidi w:val="0"/>
              <w:spacing w:before="0" w:after="1"/>
              <w:ind w:left="0" w:right="0" w:hanging="0"/>
              <w:jc w:val="left"/>
              <w:rPr/>
            </w:pPr>
            <w:r>
              <w:rPr/>
              <w:t> </w:t>
            </w:r>
          </w:p>
        </w:tc>
        <w:tc>
          <w:tcPr>
            <w:tcW w:w="677"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71,753</w:t>
            </w:r>
          </w:p>
        </w:tc>
        <w:tc>
          <w:tcPr>
            <w:tcW w:w="346"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left"/>
              <w:rPr/>
            </w:pPr>
            <w:r>
              <w:rPr/>
              <w:t> </w:t>
            </w:r>
          </w:p>
        </w:tc>
        <w:tc>
          <w:tcPr>
            <w:tcW w:w="754"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2,028</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73,781</w:t>
            </w:r>
          </w:p>
        </w:tc>
        <w:tc>
          <w:tcPr>
            <w:tcW w:w="34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2,094</w:t>
            </w:r>
          </w:p>
        </w:tc>
      </w:tr>
      <w:tr>
        <w:trPr/>
        <w:tc>
          <w:tcPr>
            <w:tcW w:w="100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Other comprehensive income, net of income taxes</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 </w:t>
            </w:r>
          </w:p>
        </w:tc>
        <w:tc>
          <w:tcPr>
            <w:tcW w:w="41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5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00" w:type="dxa"/>
            <w:tcBorders/>
            <w:shd w:fill="CCEEFF" w:val="clear"/>
            <w:vAlign w:val="center"/>
          </w:tcPr>
          <w:p>
            <w:pPr>
              <w:pStyle w:val="TableContents"/>
              <w:bidi w:val="0"/>
              <w:spacing w:before="0" w:after="1"/>
              <w:ind w:left="0" w:right="0" w:hanging="0"/>
              <w:jc w:val="left"/>
              <w:rPr/>
            </w:pPr>
            <w:r>
              <w:rPr/>
              <w:t>​</w:t>
            </w:r>
          </w:p>
        </w:tc>
        <w:tc>
          <w:tcPr>
            <w:tcW w:w="7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w:t>
            </w:r>
          </w:p>
        </w:tc>
        <w:tc>
          <w:tcPr>
            <w:tcW w:w="772"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105</w:t>
            </w:r>
          </w:p>
        </w:tc>
        <w:tc>
          <w:tcPr>
            <w:tcW w:w="346" w:type="dxa"/>
            <w:tcBorders/>
            <w:shd w:fill="CCEEFF" w:val="clear"/>
            <w:vAlign w:val="center"/>
          </w:tcPr>
          <w:p>
            <w:pPr>
              <w:pStyle w:val="TableContents"/>
              <w:bidi w:val="0"/>
              <w:spacing w:before="0" w:after="1"/>
              <w:ind w:left="0" w:right="0" w:hanging="0"/>
              <w:jc w:val="left"/>
              <w:rPr/>
            </w:pPr>
            <w:r>
              <w:rPr/>
              <w:t>​</w:t>
            </w:r>
          </w:p>
        </w:tc>
        <w:tc>
          <w:tcPr>
            <w:tcW w:w="209" w:type="dxa"/>
            <w:tcBorders/>
            <w:shd w:fill="CCEEFF" w:val="clear"/>
            <w:vAlign w:val="center"/>
          </w:tcPr>
          <w:p>
            <w:pPr>
              <w:pStyle w:val="TableContents"/>
              <w:bidi w:val="0"/>
              <w:spacing w:before="0" w:after="1"/>
              <w:ind w:left="0" w:right="0" w:hanging="0"/>
              <w:jc w:val="left"/>
              <w:rPr/>
            </w:pPr>
            <w:r>
              <w:rPr/>
              <w:t> </w:t>
            </w:r>
          </w:p>
        </w:tc>
        <w:tc>
          <w:tcPr>
            <w:tcW w:w="677"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105</w:t>
            </w:r>
          </w:p>
        </w:tc>
        <w:tc>
          <w:tcPr>
            <w:tcW w:w="34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pPr>
            <w:r>
              <w:rPr/>
              <w:t> </w:t>
            </w:r>
          </w:p>
        </w:tc>
        <w:tc>
          <w:tcPr>
            <w:tcW w:w="75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105</w:t>
            </w:r>
          </w:p>
        </w:tc>
        <w:tc>
          <w:tcPr>
            <w:tcW w:w="34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pPr>
            <w:r>
              <w:rPr/>
              <w:t>—</w:t>
            </w:r>
          </w:p>
        </w:tc>
      </w:tr>
      <w:tr>
        <w:trPr/>
        <w:tc>
          <w:tcPr>
            <w:tcW w:w="100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Adjustment of noncontrolling interest to redemption value</w:t>
            </w:r>
          </w:p>
        </w:tc>
        <w:tc>
          <w:tcPr>
            <w:tcW w:w="34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(7,576)</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5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00" w:type="dxa"/>
            <w:tcBorders/>
            <w:vAlign w:val="center"/>
          </w:tcPr>
          <w:p>
            <w:pPr>
              <w:pStyle w:val="TableContents"/>
              <w:bidi w:val="0"/>
              <w:spacing w:before="0" w:after="1"/>
              <w:ind w:left="0" w:right="0" w:hanging="0"/>
              <w:jc w:val="left"/>
              <w:rPr/>
            </w:pPr>
            <w:r>
              <w:rPr/>
              <w:t>​</w:t>
            </w:r>
          </w:p>
        </w:tc>
        <w:tc>
          <w:tcPr>
            <w:tcW w:w="7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77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09" w:type="dxa"/>
            <w:tcBorders/>
            <w:vAlign w:val="center"/>
          </w:tcPr>
          <w:p>
            <w:pPr>
              <w:pStyle w:val="TableContents"/>
              <w:bidi w:val="0"/>
              <w:spacing w:before="0" w:after="1"/>
              <w:ind w:left="0" w:right="0" w:hanging="0"/>
              <w:jc w:val="left"/>
              <w:rPr/>
            </w:pPr>
            <w:r>
              <w:rPr/>
              <w:t>​</w:t>
            </w:r>
          </w:p>
        </w:tc>
        <w:tc>
          <w:tcPr>
            <w:tcW w:w="677"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(7,576)</w:t>
            </w:r>
          </w:p>
        </w:tc>
        <w:tc>
          <w:tcPr>
            <w:tcW w:w="346"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left"/>
              <w:rPr/>
            </w:pPr>
            <w:r>
              <w:rPr/>
              <w:t>​</w:t>
            </w:r>
          </w:p>
        </w:tc>
        <w:tc>
          <w:tcPr>
            <w:tcW w:w="75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(7,576)</w:t>
            </w:r>
          </w:p>
        </w:tc>
        <w:tc>
          <w:tcPr>
            <w:tcW w:w="34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7,576</w:t>
            </w:r>
          </w:p>
        </w:tc>
      </w:tr>
      <w:tr>
        <w:trPr/>
        <w:tc>
          <w:tcPr>
            <w:tcW w:w="100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Reallocation of noncontrolling interest in Operating Partnership</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w:t>
            </w:r>
          </w:p>
        </w:tc>
        <w:tc>
          <w:tcPr>
            <w:tcW w:w="41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(1,627)</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5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00" w:type="dxa"/>
            <w:tcBorders/>
            <w:shd w:fill="CCEEFF" w:val="clear"/>
            <w:vAlign w:val="center"/>
          </w:tcPr>
          <w:p>
            <w:pPr>
              <w:pStyle w:val="TableContents"/>
              <w:bidi w:val="0"/>
              <w:spacing w:before="0" w:after="1"/>
              <w:ind w:left="0" w:right="0" w:hanging="0"/>
              <w:jc w:val="left"/>
              <w:rPr/>
            </w:pPr>
            <w:r>
              <w:rPr/>
              <w:t>​</w:t>
            </w:r>
          </w:p>
        </w:tc>
        <w:tc>
          <w:tcPr>
            <w:tcW w:w="7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w:t>
            </w:r>
          </w:p>
        </w:tc>
        <w:tc>
          <w:tcPr>
            <w:tcW w:w="77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09" w:type="dxa"/>
            <w:tcBorders/>
            <w:shd w:fill="CCEEFF" w:val="clear"/>
            <w:vAlign w:val="center"/>
          </w:tcPr>
          <w:p>
            <w:pPr>
              <w:pStyle w:val="TableContents"/>
              <w:bidi w:val="0"/>
              <w:spacing w:before="0" w:after="1"/>
              <w:ind w:left="0" w:right="0" w:hanging="0"/>
              <w:jc w:val="left"/>
              <w:rPr/>
            </w:pPr>
            <w:r>
              <w:rPr/>
              <w:t>​</w:t>
            </w:r>
          </w:p>
        </w:tc>
        <w:tc>
          <w:tcPr>
            <w:tcW w:w="677"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(1,627)</w:t>
            </w:r>
          </w:p>
        </w:tc>
        <w:tc>
          <w:tcPr>
            <w:tcW w:w="34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pPr>
            <w:r>
              <w:rPr/>
              <w:t>​</w:t>
            </w:r>
          </w:p>
        </w:tc>
        <w:tc>
          <w:tcPr>
            <w:tcW w:w="754"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1,627</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w:t>
            </w:r>
          </w:p>
        </w:tc>
      </w:tr>
      <w:tr>
        <w:trPr/>
        <w:tc>
          <w:tcPr>
            <w:tcW w:w="100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Issuance of common stock, net</w:t>
            </w:r>
          </w:p>
        </w:tc>
        <w:tc>
          <w:tcPr>
            <w:tcW w:w="34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30</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275,502</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5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00" w:type="dxa"/>
            <w:tcBorders/>
            <w:vAlign w:val="center"/>
          </w:tcPr>
          <w:p>
            <w:pPr>
              <w:pStyle w:val="TableContents"/>
              <w:bidi w:val="0"/>
              <w:spacing w:before="0" w:after="1"/>
              <w:ind w:left="0" w:right="0" w:hanging="0"/>
              <w:jc w:val="left"/>
              <w:rPr/>
            </w:pPr>
            <w:r>
              <w:rPr/>
              <w:t>​</w:t>
            </w:r>
          </w:p>
        </w:tc>
        <w:tc>
          <w:tcPr>
            <w:tcW w:w="7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77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09" w:type="dxa"/>
            <w:tcBorders/>
            <w:vAlign w:val="center"/>
          </w:tcPr>
          <w:p>
            <w:pPr>
              <w:pStyle w:val="TableContents"/>
              <w:bidi w:val="0"/>
              <w:spacing w:before="0" w:after="1"/>
              <w:ind w:left="0" w:right="0" w:hanging="0"/>
              <w:jc w:val="left"/>
              <w:rPr/>
            </w:pPr>
            <w:r>
              <w:rPr/>
              <w:t>​</w:t>
            </w:r>
          </w:p>
        </w:tc>
        <w:tc>
          <w:tcPr>
            <w:tcW w:w="677"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275,532</w:t>
            </w:r>
          </w:p>
        </w:tc>
        <w:tc>
          <w:tcPr>
            <w:tcW w:w="346"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left"/>
              <w:rPr/>
            </w:pPr>
            <w:r>
              <w:rPr/>
              <w:t>​</w:t>
            </w:r>
          </w:p>
        </w:tc>
        <w:tc>
          <w:tcPr>
            <w:tcW w:w="75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275,532</w:t>
            </w:r>
          </w:p>
        </w:tc>
        <w:tc>
          <w:tcPr>
            <w:tcW w:w="34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r>
      <w:tr>
        <w:trPr/>
        <w:tc>
          <w:tcPr>
            <w:tcW w:w="100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Dividends and distributions declared ($1.15 per share)</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 </w:t>
            </w:r>
          </w:p>
        </w:tc>
        <w:tc>
          <w:tcPr>
            <w:tcW w:w="41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172</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5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(810)</w:t>
            </w:r>
          </w:p>
        </w:tc>
        <w:tc>
          <w:tcPr>
            <w:tcW w:w="346" w:type="dxa"/>
            <w:tcBorders/>
            <w:shd w:fill="CCEEFF" w:val="clear"/>
            <w:vAlign w:val="center"/>
          </w:tcPr>
          <w:p>
            <w:pPr>
              <w:pStyle w:val="TableContents"/>
              <w:bidi w:val="0"/>
              <w:spacing w:before="0" w:after="1"/>
              <w:ind w:left="0" w:right="0" w:hanging="0"/>
              <w:jc w:val="left"/>
              <w:rPr/>
            </w:pPr>
            <w:r>
              <w:rPr/>
              <w:t>​</w:t>
            </w:r>
          </w:p>
        </w:tc>
        <w:tc>
          <w:tcPr>
            <w:tcW w:w="200" w:type="dxa"/>
            <w:tcBorders/>
            <w:shd w:fill="CCEEFF" w:val="clear"/>
            <w:vAlign w:val="center"/>
          </w:tcPr>
          <w:p>
            <w:pPr>
              <w:pStyle w:val="TableContents"/>
              <w:bidi w:val="0"/>
              <w:spacing w:before="0" w:after="1"/>
              <w:ind w:left="0" w:right="0" w:hanging="0"/>
              <w:jc w:val="left"/>
              <w:rPr/>
            </w:pPr>
            <w:r>
              <w:rPr/>
              <w:t>​</w:t>
            </w:r>
          </w:p>
        </w:tc>
        <w:tc>
          <w:tcPr>
            <w:tcW w:w="70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(72,117)</w:t>
            </w:r>
          </w:p>
        </w:tc>
        <w:tc>
          <w:tcPr>
            <w:tcW w:w="34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w:t>
            </w:r>
          </w:p>
        </w:tc>
        <w:tc>
          <w:tcPr>
            <w:tcW w:w="77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09" w:type="dxa"/>
            <w:tcBorders/>
            <w:shd w:fill="CCEEFF" w:val="clear"/>
            <w:vAlign w:val="center"/>
          </w:tcPr>
          <w:p>
            <w:pPr>
              <w:pStyle w:val="TableContents"/>
              <w:bidi w:val="0"/>
              <w:spacing w:before="0" w:after="1"/>
              <w:ind w:left="0" w:right="0" w:hanging="0"/>
              <w:jc w:val="left"/>
              <w:rPr/>
            </w:pPr>
            <w:r>
              <w:rPr/>
              <w:t> </w:t>
            </w:r>
          </w:p>
        </w:tc>
        <w:tc>
          <w:tcPr>
            <w:tcW w:w="677"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(72,755)</w:t>
            </w:r>
          </w:p>
        </w:tc>
        <w:tc>
          <w:tcPr>
            <w:tcW w:w="34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pPr>
            <w:r>
              <w:rPr/>
              <w:t> </w:t>
            </w:r>
          </w:p>
        </w:tc>
        <w:tc>
          <w:tcPr>
            <w:tcW w:w="754"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(455)</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(73,210)</w:t>
            </w:r>
          </w:p>
        </w:tc>
        <w:tc>
          <w:tcPr>
            <w:tcW w:w="34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pPr>
            <w:r>
              <w:rPr/>
              <w:t>—</w:t>
            </w:r>
          </w:p>
        </w:tc>
      </w:tr>
      <w:tr>
        <w:trPr/>
        <w:tc>
          <w:tcPr>
            <w:tcW w:w="100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Restricted stock units surrendered</w:t>
            </w:r>
          </w:p>
        </w:tc>
        <w:tc>
          <w:tcPr>
            <w:tcW w:w="34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 </w:t>
            </w:r>
          </w:p>
        </w:tc>
        <w:tc>
          <w:tcPr>
            <w:tcW w:w="41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(30)</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5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00" w:type="dxa"/>
            <w:tcBorders/>
            <w:vAlign w:val="center"/>
          </w:tcPr>
          <w:p>
            <w:pPr>
              <w:pStyle w:val="TableContents"/>
              <w:bidi w:val="0"/>
              <w:spacing w:before="0" w:after="1"/>
              <w:ind w:left="0" w:right="0" w:hanging="0"/>
              <w:jc w:val="left"/>
              <w:rPr/>
            </w:pPr>
            <w:r>
              <w:rPr/>
              <w:t>​</w:t>
            </w:r>
          </w:p>
        </w:tc>
        <w:tc>
          <w:tcPr>
            <w:tcW w:w="7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77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09" w:type="dxa"/>
            <w:tcBorders/>
            <w:vAlign w:val="center"/>
          </w:tcPr>
          <w:p>
            <w:pPr>
              <w:pStyle w:val="TableContents"/>
              <w:bidi w:val="0"/>
              <w:spacing w:before="0" w:after="1"/>
              <w:ind w:left="0" w:right="0" w:hanging="0"/>
              <w:jc w:val="left"/>
              <w:rPr/>
            </w:pPr>
            <w:r>
              <w:rPr/>
              <w:t> </w:t>
            </w:r>
          </w:p>
        </w:tc>
        <w:tc>
          <w:tcPr>
            <w:tcW w:w="677"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(30)</w:t>
            </w:r>
          </w:p>
        </w:tc>
        <w:tc>
          <w:tcPr>
            <w:tcW w:w="346"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left"/>
              <w:rPr/>
            </w:pPr>
            <w:r>
              <w:rPr/>
              <w:t> </w:t>
            </w:r>
          </w:p>
        </w:tc>
        <w:tc>
          <w:tcPr>
            <w:tcW w:w="75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(30)</w:t>
            </w:r>
          </w:p>
        </w:tc>
        <w:tc>
          <w:tcPr>
            <w:tcW w:w="34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pPr>
            <w:r>
              <w:rPr/>
              <w:t>—</w:t>
            </w:r>
          </w:p>
        </w:tc>
      </w:tr>
      <w:tr>
        <w:trPr/>
        <w:tc>
          <w:tcPr>
            <w:tcW w:w="100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Equity-based compensation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1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3,495</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0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7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0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3,495</w:t>
            </w:r>
          </w:p>
        </w:tc>
        <w:tc>
          <w:tcPr>
            <w:tcW w:w="346" w:type="dxa"/>
            <w:tcBorders/>
            <w:shd w:fill="CCEEFF" w:val="clear"/>
            <w:vAlign w:val="center"/>
          </w:tcPr>
          <w:p>
            <w:pPr>
              <w:pStyle w:val="TableContents"/>
              <w:bidi w:val="0"/>
              <w:spacing w:before="0" w:after="1"/>
              <w:ind w:left="0" w:right="0" w:hanging="0"/>
              <w:jc w:val="left"/>
              <w:rPr/>
            </w:pPr>
            <w:r>
              <w:rPr/>
              <w:t>​</w:t>
            </w:r>
          </w:p>
        </w:tc>
        <w:tc>
          <w:tcPr>
            <w:tcW w:w="26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5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3,495</w:t>
            </w:r>
          </w:p>
        </w:tc>
        <w:tc>
          <w:tcPr>
            <w:tcW w:w="346" w:type="dxa"/>
            <w:tcBorders/>
            <w:shd w:fill="CCEEFF" w:val="clear"/>
            <w:vAlign w:val="center"/>
          </w:tcPr>
          <w:p>
            <w:pPr>
              <w:pStyle w:val="TableContents"/>
              <w:bidi w:val="0"/>
              <w:spacing w:before="0" w:after="1"/>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100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BALANCE, June 30, 2025</w:t>
            </w:r>
          </w:p>
        </w:tc>
        <w:tc>
          <w:tcPr>
            <w:tcW w:w="346" w:type="dxa"/>
            <w:tcBorders/>
            <w:vAlign w:val="center"/>
          </w:tcPr>
          <w:p>
            <w:pPr>
              <w:pStyle w:val="TableContents"/>
              <w:bidi w:val="0"/>
              <w:spacing w:before="0" w:after="1"/>
              <w:ind w:left="0" w:right="0" w:hanging="0"/>
              <w:jc w:val="left"/>
              <w:rPr/>
            </w:pPr>
            <w:r>
              <w:rPr/>
              <w:t>​</w:t>
            </w:r>
          </w:p>
        </w:tc>
        <w:tc>
          <w:tcPr>
            <w:tcW w:w="21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1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630</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1,734,330</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5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(25,139)</w:t>
            </w:r>
          </w:p>
        </w:tc>
        <w:tc>
          <w:tcPr>
            <w:tcW w:w="346" w:type="dxa"/>
            <w:tcBorders/>
            <w:vAlign w:val="center"/>
          </w:tcPr>
          <w:p>
            <w:pPr>
              <w:pStyle w:val="TableContents"/>
              <w:bidi w:val="0"/>
              <w:spacing w:before="0" w:after="1"/>
              <w:ind w:left="0" w:right="0" w:hanging="0"/>
              <w:jc w:val="left"/>
              <w:rPr/>
            </w:pPr>
            <w:r>
              <w:rPr/>
              <w:t>​</w:t>
            </w:r>
          </w:p>
        </w:tc>
        <w:tc>
          <w:tcPr>
            <w:tcW w:w="20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(894,236)</w:t>
            </w:r>
          </w:p>
        </w:tc>
        <w:tc>
          <w:tcPr>
            <w:tcW w:w="346" w:type="dxa"/>
            <w:tcBorders/>
            <w:vAlign w:val="center"/>
          </w:tcPr>
          <w:p>
            <w:pPr>
              <w:pStyle w:val="TableContents"/>
              <w:bidi w:val="0"/>
              <w:spacing w:before="0" w:after="1"/>
              <w:ind w:left="0" w:right="0" w:hanging="0"/>
              <w:jc w:val="left"/>
              <w:rPr/>
            </w:pPr>
            <w:r>
              <w:rPr/>
              <w:t>​</w:t>
            </w:r>
          </w:p>
        </w:tc>
        <w:tc>
          <w:tcPr>
            <w:tcW w:w="24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7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(15,155)</w:t>
            </w:r>
          </w:p>
        </w:tc>
        <w:tc>
          <w:tcPr>
            <w:tcW w:w="346" w:type="dxa"/>
            <w:tcBorders/>
            <w:vAlign w:val="center"/>
          </w:tcPr>
          <w:p>
            <w:pPr>
              <w:pStyle w:val="TableContents"/>
              <w:bidi w:val="0"/>
              <w:spacing w:before="0" w:after="1"/>
              <w:ind w:left="0" w:right="0" w:hanging="0"/>
              <w:jc w:val="left"/>
              <w:rPr/>
            </w:pPr>
            <w:r>
              <w:rPr/>
              <w:t>​</w:t>
            </w:r>
          </w:p>
        </w:tc>
        <w:tc>
          <w:tcPr>
            <w:tcW w:w="20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7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800,430</w:t>
            </w:r>
          </w:p>
        </w:tc>
        <w:tc>
          <w:tcPr>
            <w:tcW w:w="346" w:type="dxa"/>
            <w:tcBorders/>
            <w:vAlign w:val="center"/>
          </w:tcPr>
          <w:p>
            <w:pPr>
              <w:pStyle w:val="TableContents"/>
              <w:bidi w:val="0"/>
              <w:spacing w:before="0" w:after="1"/>
              <w:ind w:left="0" w:right="0" w:hanging="0"/>
              <w:jc w:val="left"/>
              <w:rPr/>
            </w:pPr>
            <w:r>
              <w:rPr/>
              <w:t>​</w:t>
            </w:r>
          </w:p>
        </w:tc>
        <w:tc>
          <w:tcPr>
            <w:tcW w:w="26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5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42,015</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842,445</w:t>
            </w:r>
          </w:p>
        </w:tc>
        <w:tc>
          <w:tcPr>
            <w:tcW w:w="346" w:type="dxa"/>
            <w:tcBorders/>
            <w:vAlign w:val="center"/>
          </w:tcPr>
          <w:p>
            <w:pPr>
              <w:pStyle w:val="TableContents"/>
              <w:bidi w:val="0"/>
              <w:spacing w:before="0" w:after="1"/>
              <w:ind w:left="0" w:right="0" w:hanging="0"/>
              <w:jc w:val="left"/>
              <w:rPr/>
            </w:pPr>
            <w:r>
              <w:rPr/>
              <w:t>​</w:t>
            </w:r>
          </w:p>
        </w:tc>
        <w:tc>
          <w:tcPr>
            <w:tcW w:w="22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841" w:type="dxa"/>
            <w:tcBorders>
              <w:bottom w:val="double" w:sz="6" w:space="0" w:color="000000"/>
            </w:tcBorders>
            <w:tcMar>
              <w:bottom w:w="28" w:type="dxa"/>
            </w:tcMar>
            <w:vAlign w:val="center"/>
          </w:tcPr>
          <w:p>
            <w:pPr>
              <w:pStyle w:val="TableContents"/>
              <w:bidi w:val="0"/>
              <w:spacing w:before="0" w:after="1"/>
              <w:ind w:left="0" w:right="45" w:hanging="0"/>
              <w:jc w:val="right"/>
              <w:rPr>
                <w:rFonts w:ascii="Times New Roman;Times;serif" w:hAnsi="Times New Roman;Times;serif"/>
                <w:sz w:val="14"/>
              </w:rPr>
            </w:pPr>
            <w:r>
              <w:rPr>
                <w:rFonts w:ascii="Times New Roman;Times;serif" w:hAnsi="Times New Roman;Times;serif"/>
                <w:sz w:val="14"/>
              </w:rPr>
              <w:t>401,286</w:t>
            </w:r>
          </w:p>
        </w:tc>
      </w:tr>
    </w:tbl>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939" w:name="_19b8c66a_42cb_4d6b_8a5a_9c3fe3b86e7d"/>
      <w:bookmarkEnd w:id="939"/>
      <w:r>
        <w:rPr>
          <w:rFonts w:ascii="Times New Roman;Times;serif" w:hAnsi="Times New Roman;Times;serif"/>
          <w:b/>
          <w:sz w:val="20"/>
        </w:rPr>
        <w:t>RYMAN HOSPITALITY PROPERTIES, INC. AND SUBSIDIARIES</w:t>
      </w:r>
    </w:p>
    <w:p>
      <w:pPr>
        <w:pStyle w:val="TextBody"/>
        <w:bidi w:val="0"/>
        <w:spacing w:before="0" w:after="0"/>
        <w:ind w:left="0" w:right="0" w:hanging="0"/>
        <w:jc w:val="center"/>
        <w:rPr>
          <w:rFonts w:ascii="Times New Roman;Times;serif" w:hAnsi="Times New Roman;Times;serif"/>
          <w:b/>
          <w:sz w:val="20"/>
        </w:rPr>
      </w:pPr>
      <w:bookmarkStart w:id="940" w:name="NOTESTOCONDENSEDCONSOLIDATEDFINANCIALSTA"/>
      <w:bookmarkEnd w:id="940"/>
      <w:r>
        <w:rPr>
          <w:rFonts w:ascii="Times New Roman;Times;serif" w:hAnsi="Times New Roman;Times;serif"/>
          <w:b/>
          <w:sz w:val="20"/>
        </w:rPr>
        <w:t>NOTES TO CONDENSED CONSOLIDATED FINANCIAL STATEMENTS</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1. BASIS OF PRESENTATION:</w:t>
      </w:r>
    </w:p>
    <w:p>
      <w:pPr>
        <w:pStyle w:val="TextBody"/>
        <w:bidi w:val="0"/>
        <w:spacing w:before="0" w:after="24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On January 1, 2013, Ryman Hospitality Properties, Inc. (“Ryman”) and its subsidiaries (collectively with Ryman, the “Company”) began operating as a real estate investment trust (“REIT”) for federal income tax purposes, specializing in group-oriented, destination hotel assets in urban and resort markets. The Company’s owned assets include a network of upscale, meetings-focused resorts that are managed by Marriott International, Inc. (“Marriott”) under the Gaylord Hotels and JW Marriott brands. The five Gaylord Hotels resorts, which the Company refers to as the Gaylord Hotels properties, consist of the Gaylord Opryland Resort &amp; Convention Center in Nashville, Tennessee (“Gaylord Opryland”), the Gaylord Palms Resort &amp; Convention Center near Orlando, Florida (“Gaylord Palms”), the Gaylord Texan Resort &amp; Convention Center near Dallas, Texas (“Gaylord Texan”), the Gaylord National Resort &amp; Convention Center near Washington D.C. (“Gaylord National”), and the Gaylord Rockies Resort &amp; Convention Center near Denver, Colorado (“Gaylord Rockies”). The two JW Marriott resorts, which the Company refers to as the JW Marriott properties, consist of the JW Marriott San Antonio Hill Country Resort &amp; Spa (“JW Marriott Hill Country”) and the JW Marriott Phoenix Desert Ridge Resort &amp; Spa (“JW Marriott Desert Ridge”) (effective June 10, 2025). The Company’s other owned hotel assets managed by Marriott include the Inn at Opryland, an overflow hotel adjacent to Gaylord Opryland, and the AC Hotel at National Harbor, Washington D.C. (“AC Hotel”), an overflow hotel adjacent to Gaylord National.</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 Company also owns an approximate 70% controlling equity interest in OEG Attractions Holdings, LLC, a business comprised of a number of entertainment and media assets, known as the Opry Entertainment Group (“OEG”), which the Company reports as its Entertainment segment. These assets include the Grand Ole Opry, the legendary weekly showcase of country music’s finest performers; the Ryman Auditorium, the storied live music venue and former home of the Grand Ole Opry; WSM-AM, the Opry’s radio home; Ole Red, a brand of Blake Shelton-themed bar, music venue and event spaces; Category 10, a brand of Luke Combs-themed bar, music venue and event spaces that opened in Nashville, Tennessee in November 2024, with additional locations expected to open in Las Vegas, Nevada in late 2026 and at Universal Orlando Resort’s CityWalk in early 2028; Block 21, a mixed-use entertainment, lodging, office, and retail complex located in Austin, Texas (“Block 21”); and a majority and controlling equity interest in Southern Entertainment, a Charlotte, North Carolina-based national music festival and events production company. In addition, in January 2026, OEG began managing the Ascend Amphitheater in downtown Nashville, Tennessee and, in February 2026, began managing the CCNB Amphitheatre outside of Greenville, South Carolina.</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 Company consolidates the assets, liabilities and results of operations of OEG in the accompanying condensed consolidated financial statements. The portion of OEG that the Company does not own is recorded as noncontrolling interest in Opry Entertainment Group, which is classified as mezzanine equity in the accompanying condensed consolidated balance sheets, and any adjustment necessary to reflect the noncontrolling interest at its redemption value is shown in the accompanying condensed consolidated statements of equity and noncontrolling interest. See Note 4, “Income Per Share,” for further disclosure.</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 condensed consolidated financial statements include the accounts of Ryman and its subsidiaries and have been prepared by the Company, without audit, pursuant to the rules and regulations of the Securities and Exchange Commission (the “SEC”). Certain information and footnote disclosures normally included in annual financial statements prepared in accordance with generally accepted accounting principles have been condensed or omitted from this report pursuant to such rules and regulations. These condensed consolidated financial statements should be read in conjunction with the audited consolidated financial statements and the notes thereto included in the Company’s Annual Report on Form 10-K for the year ended December 31, 2025. In the opinion of management, all adjustments necessary for a fair statement of the results of operations for the interim periods have been included. All adjustments are of a normal, recurring nature. The results of operations for such interim periods are not necessarily indicative of the results for the full year because of seasonal and short-term variations.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val="false"/>
          <w:i/>
          <w:sz w:val="20"/>
        </w:rPr>
      </w:pPr>
      <w:r>
        <w:rPr>
          <w:rFonts w:ascii="Times New Roman;Times;serif" w:hAnsi="Times New Roman;Times;serif"/>
          <w:b w:val="false"/>
          <w:i/>
          <w:sz w:val="20"/>
        </w:rPr>
        <w:t>Newly Issued Accounting Standards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November 2024, the Financial Accounting Standards Board (“FASB”) issued Accounting Standards Update (“ASU”) No. 2024-03, “</w:t>
      </w:r>
      <w:r>
        <w:rPr>
          <w:rFonts w:ascii="Times New Roman;Times;serif" w:hAnsi="Times New Roman;Times;serif"/>
          <w:i/>
          <w:sz w:val="20"/>
        </w:rPr>
        <w:t>Expense Disaggregation Disclosures</w:t>
      </w:r>
      <w:r>
        <w:rPr>
          <w:rFonts w:ascii="Times New Roman;Times;serif" w:hAnsi="Times New Roman;Times;serif"/>
          <w:sz w:val="20"/>
        </w:rPr>
        <w:t>,” requiring public entities to disclose, on an annual and interim basis, disaggregated information about certain income statement line items, including employee compensation, purchases of inventory, depreciation, intangible asset amortization and depletion for each income statement line item that includes those expenses. The guidance is applied prospectively, but with the option to apply retrospectively, and will be effective for the Company for fiscal year 2027. The Company is currently evaluating the impact of this ASU but does not anticipate this adoption to have a material impact on the Company’s financial statements.</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December 2025, the FASB issued ASU No. 2025-11, “</w:t>
      </w:r>
      <w:r>
        <w:rPr>
          <w:rFonts w:ascii="Times New Roman;Times;serif" w:hAnsi="Times New Roman;Times;serif"/>
          <w:i/>
          <w:sz w:val="20"/>
        </w:rPr>
        <w:t>Interim Reporting – Narrow-Scope Improvements</w:t>
      </w:r>
      <w:r>
        <w:rPr>
          <w:rFonts w:ascii="Times New Roman;Times;serif" w:hAnsi="Times New Roman;Times;serif"/>
          <w:sz w:val="20"/>
        </w:rPr>
        <w:t>,” which is intended to improve the navigability of previous guidance and clarify when that guidance is applicable. Among other items, it establishes a principle under which an entity must disclose events since the end of the last annual reporting period that have a material impact on the entity. ASU 2025-11 is not intended to change the fundamental nature of interim reporting or expand or reduce current interim disclosure guidance. The guidance may be applied retrospectively or prospectively and will be effective for the Company for interim periods beginning in fiscal year 2028. The Company is currently evaluating the impact of this ASU but does not anticipate this adoption to have a material impact on the Company’s financial statements.</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941" w:name="Tc_m8__rZPzvkez7fVTtnoRQQ_10_2"/>
      <w:bookmarkStart w:id="942" w:name="Tc_eqtEgUu2Hk-KJZ5VEPckeg_10_0"/>
      <w:bookmarkStart w:id="943" w:name="Tc_Ic0w4_HVP0S4OpVQVSnMww_9_0"/>
      <w:bookmarkStart w:id="944" w:name="Tc_IaVEFS6FpEuvnKrTdwqeUQ_8_0"/>
      <w:bookmarkStart w:id="945" w:name="Tc_6NmUrS4aIEyUavWmH9vmnw_7_0"/>
      <w:bookmarkStart w:id="946" w:name="Tc_ymNmKMP1bkGzpZ0cnzgGtA_6_0"/>
      <w:bookmarkStart w:id="947" w:name="Tc_t03SdeCwGUqo4jifqzTwQA_5_0"/>
      <w:bookmarkStart w:id="948" w:name="Tc_y3PRKVPbXUaMZR6zncBSPw_4_0"/>
      <w:bookmarkStart w:id="949" w:name="Tc_EokINbJqZ0OdGpkwXneu1w_3_0"/>
      <w:bookmarkStart w:id="950" w:name="Tc_rQpL5JdHQEisX5GJBKlAtw_2_0"/>
      <w:bookmarkStart w:id="951" w:name="Tc_tgbajbHxAEC-tOvSISGtyQ_1_2"/>
      <w:bookmarkStart w:id="952" w:name="Tc_DzKhPyC2jkyxkPKnDpBOPQ_1_0"/>
      <w:bookmarkStart w:id="953" w:name="_d10005d1_25e3_4896_aee4_c7ed68470adc"/>
      <w:bookmarkEnd w:id="941"/>
      <w:bookmarkEnd w:id="942"/>
      <w:bookmarkEnd w:id="943"/>
      <w:bookmarkEnd w:id="944"/>
      <w:bookmarkEnd w:id="945"/>
      <w:bookmarkEnd w:id="946"/>
      <w:bookmarkEnd w:id="947"/>
      <w:bookmarkEnd w:id="948"/>
      <w:bookmarkEnd w:id="949"/>
      <w:bookmarkEnd w:id="950"/>
      <w:bookmarkEnd w:id="951"/>
      <w:bookmarkEnd w:id="952"/>
      <w:bookmarkEnd w:id="953"/>
      <w:r>
        <w:rPr>
          <w:rFonts w:ascii="Times New Roman;Times;serif" w:hAnsi="Times New Roman;Times;serif"/>
          <w:b/>
          <w:sz w:val="20"/>
        </w:rPr>
        <w:t>2. JW MARRIOTT DESERT RIDGE TRANSACTION:</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On June 10, 2025, the Company purchased JW Marriott Desert Ridge for approximately $865 million. </w:t>
      </w:r>
      <w:r>
        <w:rPr>
          <w:rFonts w:ascii="Times New Roman;Times;serif" w:hAnsi="Times New Roman;Times;serif"/>
          <w:color w:val="212529"/>
          <w:sz w:val="20"/>
        </w:rPr>
        <w:t>The Company funded the purchase price with a portion of the approximately $275.5 million in net proceeds of an underwritten registered public offering of approximately 3.0 million shares of the Company’s common stock and approximately $614 million in net proceeds of a private placement of $625 million aggregate principal amount of 6.50% senior notes due 2033. JW Marriott Desert Ridge assets are reflected in the Company’s Hospitality segment beginning June 10, 2025.</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color w:val="212529"/>
          <w:sz w:val="20"/>
          <w:shd w:fill="FFFFFF" w:val="clear"/>
        </w:rPr>
      </w:pPr>
      <w:r>
        <w:rPr>
          <w:rFonts w:ascii="Times New Roman;Times;serif" w:hAnsi="Times New Roman;Times;serif"/>
          <w:color w:val="212529"/>
          <w:sz w:val="20"/>
          <w:shd w:fill="FFFFFF" w:val="clear"/>
        </w:rPr>
        <w:t>The Company performed a valuation of the fair value of the acquired assets and liabilities as of June 10, 2025. The valuations of the various components of property and equipment were determined principally based on the cost approach, which uses assumptions regarding replacement values from established indices. The valuation of intangible assets was based on various methods to evaluate the value of a below market ground lease and the values of advanced bookings previously received for the hotel. The Company considers each of these estimates as Level 3 fair value measurements.</w:t>
      </w:r>
    </w:p>
    <w:p>
      <w:pPr>
        <w:pStyle w:val="TextBody"/>
        <w:bidi w:val="0"/>
        <w:spacing w:before="0" w:after="240"/>
        <w:ind w:left="0" w:right="0" w:hanging="0"/>
        <w:jc w:val="left"/>
        <w:rPr>
          <w:color w:val="212529"/>
          <w:shd w:fill="FFFFFF" w:val="clear"/>
        </w:rPr>
      </w:pPr>
      <w:r>
        <w:rPr>
          <w:color w:val="212529"/>
          <w:shd w:fill="FFFFFF" w:val="clear"/>
        </w:rPr>
        <w:t>​</w:t>
      </w:r>
    </w:p>
    <w:p>
      <w:pPr>
        <w:pStyle w:val="TextBody"/>
        <w:bidi w:val="0"/>
        <w:spacing w:before="0" w:after="0"/>
        <w:ind w:left="0" w:right="0" w:hanging="0"/>
        <w:jc w:val="left"/>
        <w:rPr>
          <w:rFonts w:ascii="Times New Roman;Times;serif" w:hAnsi="Times New Roman;Times;serif"/>
          <w:color w:val="212529"/>
          <w:sz w:val="20"/>
          <w:shd w:fill="FFFFFF" w:val="clear"/>
        </w:rPr>
      </w:pPr>
      <w:r>
        <w:rPr>
          <w:rFonts w:ascii="Times New Roman;Times;serif" w:hAnsi="Times New Roman;Times;serif"/>
          <w:color w:val="212529"/>
          <w:sz w:val="20"/>
          <w:shd w:fill="FFFFFF" w:val="clear"/>
        </w:rPr>
        <w:t>The Company determined that the acquisition represents an asset acquisition and has capitalized transaction costs and allocated the purchase price to the relative fair values of assets acquired and liabilities assumed, adjusted for working capital adjustments as set forth in the purchase agreement and transaction costs, in the Company’s balance sheet at June 10, 2025 as follows (amounts in thousands):</w:t>
      </w:r>
    </w:p>
    <w:p>
      <w:pPr>
        <w:pStyle w:val="TextBody"/>
        <w:bidi w:val="0"/>
        <w:spacing w:before="0" w:after="240"/>
        <w:ind w:left="0" w:right="0" w:hanging="0"/>
        <w:jc w:val="left"/>
        <w:rPr>
          <w:color w:val="212529"/>
          <w:shd w:fill="FFFFFF" w:val="clear"/>
        </w:rPr>
      </w:pPr>
      <w:r>
        <w:rPr>
          <w:color w:val="212529"/>
          <w:shd w:fill="FFFFFF" w:val="clear"/>
        </w:rPr>
        <w:t>​</w:t>
      </w:r>
    </w:p>
    <w:tbl>
      <w:tblPr>
        <w:tblW w:w="4627" w:type="dxa"/>
        <w:jc w:val="left"/>
        <w:tblInd w:w="0" w:type="dxa"/>
        <w:tblLayout w:type="fixed"/>
        <w:tblCellMar>
          <w:top w:w="0" w:type="dxa"/>
          <w:left w:w="0" w:type="dxa"/>
          <w:bottom w:w="0" w:type="dxa"/>
          <w:right w:w="0" w:type="dxa"/>
        </w:tblCellMar>
      </w:tblPr>
      <w:tblGrid>
        <w:gridCol w:w="3421"/>
        <w:gridCol w:w="109"/>
        <w:gridCol w:w="211"/>
        <w:gridCol w:w="886"/>
      </w:tblGrid>
      <w:tr>
        <w:trPr/>
        <w:tc>
          <w:tcPr>
            <w:tcW w:w="3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172335" cy="175260"/>
                      <wp:effectExtent l="0" t="0" r="0" b="0"/>
                      <wp:wrapNone/>
                      <wp:docPr id="88" name="Frame88"/>
                      <a:graphic xmlns:a="http://schemas.openxmlformats.org/drawingml/2006/main">
                        <a:graphicData uri="http://schemas.microsoft.com/office/word/2010/wordprocessingShape">
                          <wps:wsp>
                            <wps:cNvSpPr txBox="1"/>
                            <wps:spPr>
                              <a:xfrm>
                                <a:off x="0" y="0"/>
                                <a:ext cx="2172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9215" cy="175260"/>
                      <wp:effectExtent l="0" t="0" r="0" b="0"/>
                      <wp:wrapNone/>
                      <wp:docPr id="89" name="Frame8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133985" cy="175260"/>
                      <wp:effectExtent l="0" t="0" r="0" b="0"/>
                      <wp:wrapNone/>
                      <wp:docPr id="90" name="Frame9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562610" cy="175260"/>
                      <wp:effectExtent l="0" t="0" r="0" b="0"/>
                      <wp:wrapNone/>
                      <wp:docPr id="91" name="Frame91"/>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42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Property and equipment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747,377</w:t>
            </w:r>
          </w:p>
        </w:tc>
      </w:tr>
      <w:tr>
        <w:trPr/>
        <w:tc>
          <w:tcPr>
            <w:tcW w:w="342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Cash and cash equivalents - unrestricted</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5,891</w:t>
            </w:r>
          </w:p>
        </w:tc>
      </w:tr>
      <w:tr>
        <w:trPr/>
        <w:tc>
          <w:tcPr>
            <w:tcW w:w="342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Cash and cash equivalents - restricted</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1,661</w:t>
            </w:r>
          </w:p>
        </w:tc>
      </w:tr>
      <w:tr>
        <w:trPr/>
        <w:tc>
          <w:tcPr>
            <w:tcW w:w="342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Trade receivables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14,426</w:t>
            </w:r>
          </w:p>
        </w:tc>
      </w:tr>
      <w:tr>
        <w:trPr/>
        <w:tc>
          <w:tcPr>
            <w:tcW w:w="342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Prepaid expenses and other assets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3,547</w:t>
            </w:r>
          </w:p>
        </w:tc>
      </w:tr>
      <w:tr>
        <w:trPr/>
        <w:tc>
          <w:tcPr>
            <w:tcW w:w="34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Intangible assets</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114,875</w:t>
            </w:r>
          </w:p>
        </w:tc>
      </w:tr>
      <w:tr>
        <w:trPr/>
        <w:tc>
          <w:tcPr>
            <w:tcW w:w="34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assets acquired</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887,777</w:t>
            </w:r>
          </w:p>
        </w:tc>
      </w:tr>
      <w:tr>
        <w:trPr/>
        <w:tc>
          <w:tcPr>
            <w:tcW w:w="34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payable and accrued liabilities</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(18,267)</w:t>
            </w:r>
          </w:p>
        </w:tc>
      </w:tr>
      <w:tr>
        <w:trPr/>
        <w:tc>
          <w:tcPr>
            <w:tcW w:w="34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liabilities assumed</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(18,267)</w:t>
            </w:r>
          </w:p>
        </w:tc>
      </w:tr>
      <w:tr>
        <w:trPr/>
        <w:tc>
          <w:tcPr>
            <w:tcW w:w="34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assets acquired</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869,510</w:t>
            </w:r>
          </w:p>
        </w:tc>
      </w:tr>
    </w:tbl>
    <w:p>
      <w:pPr>
        <w:pStyle w:val="TextBody"/>
        <w:bidi w:val="0"/>
        <w:spacing w:before="0" w:after="240"/>
        <w:ind w:left="0" w:right="0" w:hanging="0"/>
        <w:jc w:val="left"/>
        <w:rPr>
          <w:color w:val="212529"/>
          <w:shd w:fill="FFFFFF" w:val="clear"/>
        </w:rPr>
      </w:pPr>
      <w:r>
        <w:rPr>
          <w:color w:val="212529"/>
          <w:shd w:fill="FFFFFF" w:val="clear"/>
        </w:rPr>
        <w:t>​</w:t>
      </w:r>
    </w:p>
    <w:p>
      <w:pPr>
        <w:pStyle w:val="TextBody"/>
        <w:bidi w:val="0"/>
        <w:spacing w:before="0" w:after="240"/>
        <w:ind w:left="0" w:right="0" w:hanging="0"/>
        <w:jc w:val="left"/>
        <w:rPr>
          <w:color w:val="212529"/>
          <w:shd w:fill="FFFFFF" w:val="clear"/>
        </w:rPr>
      </w:pPr>
      <w:r>
        <w:rPr>
          <w:color w:val="212529"/>
          <w:shd w:fill="FFFFFF" w:val="clea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sz w:val="20"/>
        </w:rPr>
      </w:pPr>
      <w:bookmarkStart w:id="954" w:name="Tc_ABtGVX4P50mlZcLNOFsMZQ_13_11"/>
      <w:bookmarkStart w:id="955" w:name="Tc_56vfUgl1FUyxS3KdL0oxjQ_13_8"/>
      <w:bookmarkStart w:id="956" w:name="Tc_5IernPc5fE-iIQsU61azDw_13_5"/>
      <w:bookmarkStart w:id="957" w:name="Tc_pFuBorhv3k6Nuu9g0dqUhQ_13_2"/>
      <w:bookmarkStart w:id="958" w:name="Tc_InNJgS3si02lopoSBPGXQQ_13_0"/>
      <w:bookmarkStart w:id="959" w:name="Tc_Qin2CObuIEWK7rtUMUCANQ_12_0"/>
      <w:bookmarkStart w:id="960" w:name="Tc_7L9aYOgXykC3QM-g-jIbcQ_11_0"/>
      <w:bookmarkStart w:id="961" w:name="Tc_iVDVhzkREkaAEavpXzSuMA_10_0"/>
      <w:bookmarkStart w:id="962" w:name="Tc_H-TYpBJVqkS_DVWYTooucw_9_0"/>
      <w:bookmarkStart w:id="963" w:name="Tc_uyxmOxABaEKi3ud0kotXHg_8_0"/>
      <w:bookmarkStart w:id="964" w:name="Tc_sHVI_swv8ki4CU0iWJZj2w_7_0"/>
      <w:bookmarkStart w:id="965" w:name="Tc_WbYXCoZxYUKVrYD71MWZWg_6_0"/>
      <w:bookmarkStart w:id="966" w:name="Tc_krCd6Bwrm06bSaEs77_wQA_5_0"/>
      <w:bookmarkStart w:id="967" w:name="Tc_58daMs6SoE6NWxLplY1oTQ_4_11"/>
      <w:bookmarkStart w:id="968" w:name="Tc_Z32a5VhGpUeN6Mjn0Fah7Q_4_8"/>
      <w:bookmarkStart w:id="969" w:name="Tc_BYq-tqpdFUyezR39iLL9GQ_4_5"/>
      <w:bookmarkStart w:id="970" w:name="Tc_wAui7aOcEEe8JEUFgFY1ww_4_2"/>
      <w:bookmarkStart w:id="971" w:name="Tc_kjpwDtBLIkeqw3uj7sti7Q_4_0"/>
      <w:bookmarkStart w:id="972" w:name="Tc_-y5xze03VEW-5KBNvEKIKw_3_11"/>
      <w:bookmarkStart w:id="973" w:name="Tc_EmqWDGgDrkaDu-4AO5Y1VQ_3_8"/>
      <w:bookmarkStart w:id="974" w:name="Tc_zMTEoYiLBEq5xiTibAn_tA_3_5"/>
      <w:bookmarkStart w:id="975" w:name="Tc_KXljxqqilkKHqaKt6NTnng_3_2"/>
      <w:bookmarkStart w:id="976" w:name="Tc_t9LY3KVNFkSU-lNOcY3Nhw_2_8"/>
      <w:bookmarkStart w:id="977" w:name="Tc_PBYOudxnT0uS-LP8_BUVYQ_2_2"/>
      <w:bookmarkStart w:id="978" w:name="Tc_jKYjyvx8Lk2HK-iorlqlqQ_1_8"/>
      <w:bookmarkStart w:id="979" w:name="Tc_Gucv5yqOXE2vm3ZXj8Kz8Q_1_2"/>
      <w:bookmarkStart w:id="980" w:name="_739efb5d_c314_4fef_94e9_95840b0f4da6"/>
      <w:bookmarkStart w:id="981" w:name="Tc_0SO0aOPlPEKpy77Oz09D4A_12_11"/>
      <w:bookmarkStart w:id="982" w:name="Tc_6MsJ6p8Owk-NUaidGcMR_Q_12_8"/>
      <w:bookmarkStart w:id="983" w:name="Tc_WqKlinwhKEOTYsk9PQlLmA_12_5"/>
      <w:bookmarkStart w:id="984" w:name="Tc_MsQG66ufJEWVgDD_ums8pA_12_2"/>
      <w:bookmarkStart w:id="985" w:name="Tc_oJdy-cYeSUWQY1FXxaMRyA_12_0"/>
      <w:bookmarkStart w:id="986" w:name="Tc_YC519ADnS0-tt6Cumfe32w_11_0"/>
      <w:bookmarkStart w:id="987" w:name="Tc_BERR9yhBh0KotxrGb3wLmA_10_0"/>
      <w:bookmarkStart w:id="988" w:name="Tc_66B1pHx3BkC7gixhBR7kWQ_9_0"/>
      <w:bookmarkStart w:id="989" w:name="Tc_HCllXOD_tU-QxkFG_kX3xw_8_0"/>
      <w:bookmarkStart w:id="990" w:name="Tc_w_KbVROaOEO8RuKoZzerKg_7_0"/>
      <w:bookmarkStart w:id="991" w:name="Tc_fwMSgWeXGkuXo6OpRyFglA_6_0"/>
      <w:bookmarkStart w:id="992" w:name="Tc_GhDZo40ffEq7hbb_b1tIog_5_0"/>
      <w:bookmarkStart w:id="993" w:name="Tc_0Zs0jRi9A0i3KDLJyLPw5A_4_11"/>
      <w:bookmarkStart w:id="994" w:name="Tc_bflJVAZJqEOiKYYyOtARGA_4_8"/>
      <w:bookmarkStart w:id="995" w:name="Tc_DgGkPgduU0SzfFvcWYe5Bw_4_5"/>
      <w:bookmarkStart w:id="996" w:name="Tc_Wap_64HdskmV8EYGR3g7NQ_4_2"/>
      <w:bookmarkStart w:id="997" w:name="Tc_Zn5-E1sYN02obBaasYY6KQ_4_0"/>
      <w:bookmarkStart w:id="998" w:name="Tc_O0dCqZxXH02LYftV5iVj0w_3_11"/>
      <w:bookmarkStart w:id="999" w:name="Tc_6QaTFVWE-UGJ2-8uJ7FBUA_3_8"/>
      <w:bookmarkStart w:id="1000" w:name="Tc_A_9lNCB3CkOJol6hX6SDJQ_3_5"/>
      <w:bookmarkStart w:id="1001" w:name="Tc_VdzqyIYrXkObQDilXENOnQ_3_2"/>
      <w:bookmarkStart w:id="1002" w:name="Tc__kLzFDzgtkSJK1GGZtcfSg_2_8"/>
      <w:bookmarkStart w:id="1003" w:name="Tc_MUdvBLvnsEGA4nFhjUZC9A_2_2"/>
      <w:bookmarkStart w:id="1004" w:name="Tc_hMvTlo6VXEiq2ajzjDaBJg_1_8"/>
      <w:bookmarkStart w:id="1005" w:name="Tc_Xb-K5sMXK0yT9zmMzab0YA_1_2"/>
      <w:bookmarkStart w:id="1006" w:name="_ca574c72_e73a_409b_985e_25e65baf92c7"/>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r>
        <w:rPr>
          <w:rFonts w:ascii="Times New Roman;Times;serif" w:hAnsi="Times New Roman;Times;serif"/>
          <w:b/>
          <w:sz w:val="20"/>
        </w:rPr>
        <w:t>3. REVENUES: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 Company’s revenues disaggregated by major source are as follows (in thousands):</w:t>
      </w:r>
    </w:p>
    <w:tbl>
      <w:tblPr>
        <w:tblW w:w="8773" w:type="dxa"/>
        <w:jc w:val="left"/>
        <w:tblInd w:w="0" w:type="dxa"/>
        <w:tblLayout w:type="fixed"/>
        <w:tblCellMar>
          <w:top w:w="0" w:type="dxa"/>
          <w:left w:w="0" w:type="dxa"/>
          <w:bottom w:w="0" w:type="dxa"/>
          <w:right w:w="0" w:type="dxa"/>
        </w:tblCellMar>
      </w:tblPr>
      <w:tblGrid>
        <w:gridCol w:w="3016"/>
        <w:gridCol w:w="346"/>
        <w:gridCol w:w="211"/>
        <w:gridCol w:w="781"/>
        <w:gridCol w:w="346"/>
        <w:gridCol w:w="211"/>
        <w:gridCol w:w="781"/>
        <w:gridCol w:w="346"/>
        <w:gridCol w:w="211"/>
        <w:gridCol w:w="931"/>
        <w:gridCol w:w="346"/>
        <w:gridCol w:w="211"/>
        <w:gridCol w:w="1036"/>
      </w:tblGrid>
      <w:tr>
        <w:trPr/>
        <w:tc>
          <w:tcPr>
            <w:tcW w:w="30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1915160" cy="175260"/>
                      <wp:effectExtent l="0" t="0" r="0" b="0"/>
                      <wp:wrapNone/>
                      <wp:docPr id="92" name="Frame92"/>
                      <a:graphic xmlns:a="http://schemas.openxmlformats.org/drawingml/2006/main">
                        <a:graphicData uri="http://schemas.microsoft.com/office/word/2010/wordprocessingShape">
                          <wps:wsp>
                            <wps:cNvSpPr txBox="1"/>
                            <wps:spPr>
                              <a:xfrm>
                                <a:off x="0" y="0"/>
                                <a:ext cx="1915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219710" cy="175260"/>
                      <wp:effectExtent l="0" t="0" r="0" b="0"/>
                      <wp:wrapNone/>
                      <wp:docPr id="93" name="Frame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133985" cy="175260"/>
                      <wp:effectExtent l="0" t="0" r="0" b="0"/>
                      <wp:wrapNone/>
                      <wp:docPr id="94" name="Frame9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495935" cy="175260"/>
                      <wp:effectExtent l="0" t="0" r="0" b="0"/>
                      <wp:wrapNone/>
                      <wp:docPr id="95" name="Frame9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19710" cy="175260"/>
                      <wp:effectExtent l="0" t="0" r="0" b="0"/>
                      <wp:wrapNone/>
                      <wp:docPr id="96" name="Frame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133985" cy="175260"/>
                      <wp:effectExtent l="0" t="0" r="0" b="0"/>
                      <wp:wrapNone/>
                      <wp:docPr id="97" name="Frame9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495935" cy="175260"/>
                      <wp:effectExtent l="0" t="0" r="0" b="0"/>
                      <wp:wrapNone/>
                      <wp:docPr id="98" name="Frame9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19710" cy="175260"/>
                      <wp:effectExtent l="0" t="0" r="0" b="0"/>
                      <wp:wrapNone/>
                      <wp:docPr id="99" name="Frame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133985" cy="175260"/>
                      <wp:effectExtent l="0" t="0" r="0" b="0"/>
                      <wp:wrapNone/>
                      <wp:docPr id="100" name="Frame10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591185" cy="175260"/>
                      <wp:effectExtent l="0" t="0" r="0" b="0"/>
                      <wp:wrapNone/>
                      <wp:docPr id="101" name="Frame10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19710" cy="175260"/>
                      <wp:effectExtent l="0" t="0" r="0" b="0"/>
                      <wp:wrapNone/>
                      <wp:docPr id="102" name="Frame1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133985" cy="175260"/>
                      <wp:effectExtent l="0" t="0" r="0" b="0"/>
                      <wp:wrapNone/>
                      <wp:docPr id="103" name="Frame10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57860" cy="175260"/>
                      <wp:effectExtent l="0" t="0" r="0" b="0"/>
                      <wp:wrapNone/>
                      <wp:docPr id="104" name="Frame104"/>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33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1"/>
              <w:ind w:left="0" w:right="0" w:hanging="0"/>
              <w:jc w:val="left"/>
              <w:rPr/>
            </w:pPr>
            <w:r>
              <w:rPr/>
              <w:t>​</w:t>
            </w:r>
          </w:p>
        </w:tc>
        <w:tc>
          <w:tcPr>
            <w:tcW w:w="273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30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33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1"/>
              <w:ind w:left="0" w:right="0" w:hanging="0"/>
              <w:jc w:val="left"/>
              <w:rPr/>
            </w:pPr>
            <w:r>
              <w:rPr/>
              <w:t>​</w:t>
            </w:r>
          </w:p>
        </w:tc>
        <w:tc>
          <w:tcPr>
            <w:tcW w:w="273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30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0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Hotel group rooms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168,239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145,622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332,649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290,196</w:t>
            </w:r>
          </w:p>
        </w:tc>
      </w:tr>
      <w:tr>
        <w:trPr/>
        <w:tc>
          <w:tcPr>
            <w:tcW w:w="30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Hotel transient rooms</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64,127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55,278</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123,475</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99,936</w:t>
            </w:r>
          </w:p>
        </w:tc>
      </w:tr>
      <w:tr>
        <w:trPr/>
        <w:tc>
          <w:tcPr>
            <w:tcW w:w="30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Hotel food and beverage - banquets</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213,240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174,564</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428,192</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361,533</w:t>
            </w:r>
          </w:p>
        </w:tc>
      </w:tr>
      <w:tr>
        <w:trPr/>
        <w:tc>
          <w:tcPr>
            <w:tcW w:w="30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Hotel food and beverage - outlets</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83,197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75,827</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157,592</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142,121</w:t>
            </w:r>
          </w:p>
        </w:tc>
      </w:tr>
      <w:tr>
        <w:trPr/>
        <w:tc>
          <w:tcPr>
            <w:tcW w:w="30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Hotel other</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76,161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64,920</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148,445</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120,155</w:t>
            </w:r>
          </w:p>
        </w:tc>
      </w:tr>
      <w:tr>
        <w:trPr/>
        <w:tc>
          <w:tcPr>
            <w:tcW w:w="30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Entertainment admissions/ticketing</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61,189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65,426</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81,970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90,977</w:t>
            </w:r>
          </w:p>
        </w:tc>
      </w:tr>
      <w:tr>
        <w:trPr/>
        <w:tc>
          <w:tcPr>
            <w:tcW w:w="30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Entertainment food and beverage</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49,202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45,688</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83,822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80,872</w:t>
            </w:r>
          </w:p>
        </w:tc>
      </w:tr>
      <w:tr>
        <w:trPr/>
        <w:tc>
          <w:tcPr>
            <w:tcW w:w="30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Entertainment retail and other</w:t>
            </w:r>
          </w:p>
        </w:tc>
        <w:tc>
          <w:tcPr>
            <w:tcW w:w="34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33,623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32,190</w:t>
            </w:r>
          </w:p>
        </w:tc>
        <w:tc>
          <w:tcPr>
            <w:tcW w:w="34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57,405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61,005</w:t>
            </w:r>
          </w:p>
        </w:tc>
      </w:tr>
      <w:tr>
        <w:trPr/>
        <w:tc>
          <w:tcPr>
            <w:tcW w:w="30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748,978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659,515</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1,413,550</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1,246,795</w:t>
            </w:r>
          </w:p>
        </w:tc>
      </w:tr>
    </w:tbl>
    <w:p>
      <w:pPr>
        <w:pStyle w:val="TextBody"/>
        <w:bidi w:val="0"/>
        <w:spacing w:before="0" w:after="24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 Company’s Hospitality segment revenues disaggregated by location are as follows (in thousands):</w:t>
      </w:r>
    </w:p>
    <w:tbl>
      <w:tblPr>
        <w:tblW w:w="8758" w:type="dxa"/>
        <w:jc w:val="left"/>
        <w:tblInd w:w="0" w:type="dxa"/>
        <w:tblLayout w:type="fixed"/>
        <w:tblCellMar>
          <w:top w:w="0" w:type="dxa"/>
          <w:left w:w="0" w:type="dxa"/>
          <w:bottom w:w="0" w:type="dxa"/>
          <w:right w:w="0" w:type="dxa"/>
        </w:tblCellMar>
      </w:tblPr>
      <w:tblGrid>
        <w:gridCol w:w="3001"/>
        <w:gridCol w:w="346"/>
        <w:gridCol w:w="211"/>
        <w:gridCol w:w="781"/>
        <w:gridCol w:w="346"/>
        <w:gridCol w:w="211"/>
        <w:gridCol w:w="781"/>
        <w:gridCol w:w="346"/>
        <w:gridCol w:w="211"/>
        <w:gridCol w:w="931"/>
        <w:gridCol w:w="346"/>
        <w:gridCol w:w="211"/>
        <w:gridCol w:w="1036"/>
      </w:tblGrid>
      <w:tr>
        <w:trPr/>
        <w:tc>
          <w:tcPr>
            <w:tcW w:w="30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1905635" cy="175260"/>
                      <wp:effectExtent l="0" t="0" r="0" b="0"/>
                      <wp:wrapNone/>
                      <wp:docPr id="105" name="Frame105"/>
                      <a:graphic xmlns:a="http://schemas.openxmlformats.org/drawingml/2006/main">
                        <a:graphicData uri="http://schemas.microsoft.com/office/word/2010/wordprocessingShape">
                          <wps:wsp>
                            <wps:cNvSpPr txBox="1"/>
                            <wps:spPr>
                              <a:xfrm>
                                <a:off x="0" y="0"/>
                                <a:ext cx="1905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19710" cy="175260"/>
                      <wp:effectExtent l="0" t="0" r="0" b="0"/>
                      <wp:wrapNone/>
                      <wp:docPr id="106" name="Frame1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33985" cy="175260"/>
                      <wp:effectExtent l="0" t="0" r="0" b="0"/>
                      <wp:wrapNone/>
                      <wp:docPr id="107" name="Frame10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495935" cy="175260"/>
                      <wp:effectExtent l="0" t="0" r="0" b="0"/>
                      <wp:wrapNone/>
                      <wp:docPr id="108" name="Frame10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19710" cy="175260"/>
                      <wp:effectExtent l="0" t="0" r="0" b="0"/>
                      <wp:wrapNone/>
                      <wp:docPr id="109" name="Frame1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133985" cy="175260"/>
                      <wp:effectExtent l="0" t="0" r="0" b="0"/>
                      <wp:wrapNone/>
                      <wp:docPr id="110" name="Frame1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495935" cy="175260"/>
                      <wp:effectExtent l="0" t="0" r="0" b="0"/>
                      <wp:wrapNone/>
                      <wp:docPr id="111" name="Frame11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19710" cy="175260"/>
                      <wp:effectExtent l="0" t="0" r="0" b="0"/>
                      <wp:wrapNone/>
                      <wp:docPr id="112" name="Frame1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133985" cy="175260"/>
                      <wp:effectExtent l="0" t="0" r="0" b="0"/>
                      <wp:wrapNone/>
                      <wp:docPr id="113" name="Frame1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591185" cy="175260"/>
                      <wp:effectExtent l="0" t="0" r="0" b="0"/>
                      <wp:wrapNone/>
                      <wp:docPr id="114" name="Frame11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19710" cy="175260"/>
                      <wp:effectExtent l="0" t="0" r="0" b="0"/>
                      <wp:wrapNone/>
                      <wp:docPr id="115" name="Frame1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133985" cy="175260"/>
                      <wp:effectExtent l="0" t="0" r="0" b="0"/>
                      <wp:wrapNone/>
                      <wp:docPr id="116" name="Frame1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57860" cy="175260"/>
                      <wp:effectExtent l="0" t="0" r="0" b="0"/>
                      <wp:wrapNone/>
                      <wp:docPr id="117" name="Frame117"/>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33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1"/>
              <w:ind w:left="0" w:right="0" w:hanging="0"/>
              <w:jc w:val="left"/>
              <w:rPr/>
            </w:pPr>
            <w:r>
              <w:rPr/>
              <w:t>​</w:t>
            </w:r>
          </w:p>
        </w:tc>
        <w:tc>
          <w:tcPr>
            <w:tcW w:w="273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30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33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1"/>
              <w:ind w:left="0" w:right="0" w:hanging="0"/>
              <w:jc w:val="left"/>
              <w:rPr/>
            </w:pPr>
            <w:r>
              <w:rPr/>
              <w:t>​</w:t>
            </w:r>
          </w:p>
        </w:tc>
        <w:tc>
          <w:tcPr>
            <w:tcW w:w="273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30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0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Gaylord Opryland</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125,190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116,465</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253,569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226,643</w:t>
            </w:r>
          </w:p>
        </w:tc>
      </w:tr>
      <w:tr>
        <w:trPr/>
        <w:tc>
          <w:tcPr>
            <w:tcW w:w="30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Gaylord Palms</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88,491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73,113</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186,137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161,506</w:t>
            </w:r>
          </w:p>
        </w:tc>
      </w:tr>
      <w:tr>
        <w:trPr/>
        <w:tc>
          <w:tcPr>
            <w:tcW w:w="30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Gaylord Texan</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82,259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82,494</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165,630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168,871</w:t>
            </w:r>
          </w:p>
        </w:tc>
      </w:tr>
      <w:tr>
        <w:trPr/>
        <w:tc>
          <w:tcPr>
            <w:tcW w:w="30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Gaylord National</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90,422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83,413</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164,649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164,242</w:t>
            </w:r>
          </w:p>
        </w:tc>
      </w:tr>
      <w:tr>
        <w:trPr/>
        <w:tc>
          <w:tcPr>
            <w:tcW w:w="30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Gaylord Rockies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84,735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81,722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156,984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152,670</w:t>
            </w:r>
          </w:p>
        </w:tc>
      </w:tr>
      <w:tr>
        <w:trPr/>
        <w:tc>
          <w:tcPr>
            <w:tcW w:w="30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JW Marriott Hill Country</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65,762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66,573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116,057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121,849</w:t>
            </w:r>
          </w:p>
        </w:tc>
      </w:tr>
      <w:tr>
        <w:trPr/>
        <w:tc>
          <w:tcPr>
            <w:tcW w:w="30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JW Marriott Desert Ridge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60,649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5,349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134,517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5,349</w:t>
            </w:r>
          </w:p>
        </w:tc>
      </w:tr>
      <w:tr>
        <w:trPr/>
        <w:tc>
          <w:tcPr>
            <w:tcW w:w="30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AC Hotel </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4,220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3,562</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6,556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6,260</w:t>
            </w:r>
          </w:p>
        </w:tc>
      </w:tr>
      <w:tr>
        <w:trPr/>
        <w:tc>
          <w:tcPr>
            <w:tcW w:w="30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Inn at Opryland and other</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3,236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3,520</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6,254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6,551</w:t>
            </w:r>
          </w:p>
        </w:tc>
      </w:tr>
      <w:tr>
        <w:trPr/>
        <w:tc>
          <w:tcPr>
            <w:tcW w:w="30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Hospitality segment revenues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604,964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516,211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1,190,353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1,013,941</w:t>
            </w:r>
          </w:p>
        </w:tc>
      </w:tr>
    </w:tbl>
    <w:p>
      <w:pPr>
        <w:pStyle w:val="TextBody"/>
        <w:bidi w:val="0"/>
        <w:spacing w:before="0" w:after="24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 majority of the Company’s Entertainment segment revenues are concentrated in Nashville, Tennessee; Las Vegas, Nevada; and Austin, Texas.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 Company records deferred revenues when cash payments are received in advance of its performance obligations, primarily related to advanced deposits on hotel rooms and advanced ticketing at its OEG venues. At June 30, 2026 and December 31, 2025, the Company had $209.2 million and $220.6 million, respectively, in deferred revenues, which are included in accounts payable and accrued liabilities in the accompanying condensed consolidated balance sheets. Of the amount outstanding at December 31, 2025, approximately $150.4 million was recognized in revenue during the six months ended June 30, 2026.</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sz w:val="20"/>
        </w:rPr>
      </w:pPr>
      <w:bookmarkStart w:id="1007" w:name="Tc_fU_3Zi5TaEmibGK4h1dNEg_16_11"/>
      <w:bookmarkStart w:id="1008" w:name="Tc_I0tuSYcSt0WnmQdaN9SDEg_16_8"/>
      <w:bookmarkStart w:id="1009" w:name="Tc_RdqQ3ZCeE0GOit7Ahy5bWA_16_5"/>
      <w:bookmarkStart w:id="1010" w:name="Tc_cn8giDRjLUeePG48Cj6ZwQ_16_2"/>
      <w:bookmarkStart w:id="1011" w:name="Tc_RPqBEcnE1UmQWJkLqZPL4Q_16_0"/>
      <w:bookmarkStart w:id="1012" w:name="Tc_HaaGdHf86kenwtU7vSzVng_15_11"/>
      <w:bookmarkStart w:id="1013" w:name="Tc_nYVLxS1PnUyRsYwCqJsnQQ_15_8"/>
      <w:bookmarkStart w:id="1014" w:name="Tc_mQMyigfDuUyCnjdLmzWUfQ_15_5"/>
      <w:bookmarkStart w:id="1015" w:name="Tc__hUoPEiysUGgLe9MLL7yFQ_15_2"/>
      <w:bookmarkStart w:id="1016" w:name="Tc_fR0H3zsr3EK4-zxfLXdIdA_15_0"/>
      <w:bookmarkStart w:id="1017" w:name="Tc_3rbloE1A0U64mJgktuvxzw_13_0"/>
      <w:bookmarkStart w:id="1018" w:name="Tc_-xWPD-jKHkKesEup_IXk2Q_12_0"/>
      <w:bookmarkStart w:id="1019" w:name="Tc_ERRAX2J87kCwDWjoL8sFdA_11_0"/>
      <w:bookmarkStart w:id="1020" w:name="Tc_X6VxFAA-5UmMDeGM9JKtXw_10_0"/>
      <w:bookmarkStart w:id="1021" w:name="Tc_402zFWFvqUSeacoP8wyIsg_9_0"/>
      <w:bookmarkStart w:id="1022" w:name="Tc_bHsMirRMLEOCuKmZyyrkeQ_7_11"/>
      <w:bookmarkStart w:id="1023" w:name="Tc_KdFrJBD8QE62KaBpzjC2Yg_7_8"/>
      <w:bookmarkStart w:id="1024" w:name="Tc_EHWoVW8xk0Guzx9sASoIkQ_7_5"/>
      <w:bookmarkStart w:id="1025" w:name="Tc_llOF_QG9eEeu5zC-BMZXzg_7_2"/>
      <w:bookmarkStart w:id="1026" w:name="Tc_A_tuq4pX20a_UCwMMQibvw_7_0"/>
      <w:bookmarkStart w:id="1027" w:name="Tc_0bIwnWG070uOTR4cawRRvg_6_0"/>
      <w:bookmarkStart w:id="1028" w:name="Tc_hRTHLI9yTk6TxUs2KhX24Q_5_11"/>
      <w:bookmarkStart w:id="1029" w:name="Tc_ylNlgJsrqkWcR7mqkubPVg_5_8"/>
      <w:bookmarkStart w:id="1030" w:name="Tc_p3MGJX0eUkCM7B9p1k_1sw_5_5"/>
      <w:bookmarkStart w:id="1031" w:name="Tc_cdn_qku9hUWGVB6feCYQPg_5_2"/>
      <w:bookmarkStart w:id="1032" w:name="Tc_5ms9xlJYKUaeb0fV8tdSvg_5_0"/>
      <w:bookmarkStart w:id="1033" w:name="Tc_ezRcfXIICUS7vwug1E-2Fw_4_0"/>
      <w:bookmarkStart w:id="1034" w:name="Tc_YClC-e-vL0aNNpS_5XJmwQ_3_11"/>
      <w:bookmarkStart w:id="1035" w:name="Tc_FLOfl9T0uEmLYXT1pOo8wA_3_8"/>
      <w:bookmarkStart w:id="1036" w:name="Tc_KTAOUxPjgUifi0S_CgbRGQ_3_5"/>
      <w:bookmarkStart w:id="1037" w:name="Tc_9iJph1YA60a08_slYcpT9w_3_2"/>
      <w:bookmarkStart w:id="1038" w:name="Tc_Bfl2DlMA9Ee5NzDZQqL__w_2_8"/>
      <w:bookmarkStart w:id="1039" w:name="Tc_YQPsh_0fgkedVXajASYySw_2_2"/>
      <w:bookmarkStart w:id="1040" w:name="Tc_c_6AmpZdMUmmsNOUk3gexQ_1_8"/>
      <w:bookmarkStart w:id="1041" w:name="Tc_ebS_-u4yQke5ifmRF_XElA_1_2"/>
      <w:bookmarkStart w:id="1042" w:name="_ae8f7a2d_e975_4ad7_bc71_59120efcec0b"/>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r>
        <w:rPr>
          <w:rFonts w:ascii="Times New Roman;Times;serif" w:hAnsi="Times New Roman;Times;serif"/>
          <w:b/>
          <w:sz w:val="20"/>
        </w:rPr>
        <w:t xml:space="preserve">4. INCOME PER SHARE: </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 computation of basic and diluted earnings per common share is as follows (in thousands, except per share data):</w:t>
      </w:r>
    </w:p>
    <w:tbl>
      <w:tblPr>
        <w:tblW w:w="10205" w:type="dxa"/>
        <w:jc w:val="left"/>
        <w:tblInd w:w="0" w:type="dxa"/>
        <w:tblLayout w:type="fixed"/>
        <w:tblCellMar>
          <w:top w:w="0" w:type="dxa"/>
          <w:left w:w="0" w:type="dxa"/>
          <w:bottom w:w="0" w:type="dxa"/>
          <w:right w:w="0" w:type="dxa"/>
        </w:tblCellMar>
      </w:tblPr>
      <w:tblGrid>
        <w:gridCol w:w="4909"/>
        <w:gridCol w:w="346"/>
        <w:gridCol w:w="211"/>
        <w:gridCol w:w="676"/>
        <w:gridCol w:w="346"/>
        <w:gridCol w:w="211"/>
        <w:gridCol w:w="676"/>
        <w:gridCol w:w="346"/>
        <w:gridCol w:w="211"/>
        <w:gridCol w:w="781"/>
        <w:gridCol w:w="346"/>
        <w:gridCol w:w="211"/>
        <w:gridCol w:w="781"/>
        <w:gridCol w:w="154"/>
      </w:tblGrid>
      <w:tr>
        <w:trPr/>
        <w:tc>
          <w:tcPr>
            <w:tcW w:w="49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3117215" cy="175260"/>
                      <wp:effectExtent l="0" t="0" r="0" b="0"/>
                      <wp:wrapNone/>
                      <wp:docPr id="118" name="Frame118"/>
                      <a:graphic xmlns:a="http://schemas.openxmlformats.org/drawingml/2006/main">
                        <a:graphicData uri="http://schemas.microsoft.com/office/word/2010/wordprocessingShape">
                          <wps:wsp>
                            <wps:cNvSpPr txBox="1"/>
                            <wps:spPr>
                              <a:xfrm>
                                <a:off x="0" y="0"/>
                                <a:ext cx="3117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19710" cy="175260"/>
                      <wp:effectExtent l="0" t="0" r="0" b="0"/>
                      <wp:wrapNone/>
                      <wp:docPr id="119" name="Frame1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133985" cy="175260"/>
                      <wp:effectExtent l="0" t="0" r="0" b="0"/>
                      <wp:wrapNone/>
                      <wp:docPr id="120" name="Frame1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429260" cy="175260"/>
                      <wp:effectExtent l="0" t="0" r="0" b="0"/>
                      <wp:wrapNone/>
                      <wp:docPr id="121" name="Frame12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19710" cy="175260"/>
                      <wp:effectExtent l="0" t="0" r="0" b="0"/>
                      <wp:wrapNone/>
                      <wp:docPr id="122" name="Frame1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133985" cy="175260"/>
                      <wp:effectExtent l="0" t="0" r="0" b="0"/>
                      <wp:wrapNone/>
                      <wp:docPr id="123" name="Frame1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429260" cy="175260"/>
                      <wp:effectExtent l="0" t="0" r="0" b="0"/>
                      <wp:wrapNone/>
                      <wp:docPr id="124" name="Frame12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19710" cy="175260"/>
                      <wp:effectExtent l="0" t="0" r="0" b="0"/>
                      <wp:wrapNone/>
                      <wp:docPr id="125" name="Frame1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133985" cy="175260"/>
                      <wp:effectExtent l="0" t="0" r="0" b="0"/>
                      <wp:wrapNone/>
                      <wp:docPr id="126" name="Frame1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495935" cy="175260"/>
                      <wp:effectExtent l="0" t="0" r="0" b="0"/>
                      <wp:wrapNone/>
                      <wp:docPr id="127" name="Frame12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19710" cy="175260"/>
                      <wp:effectExtent l="0" t="0" r="0" b="0"/>
                      <wp:wrapNone/>
                      <wp:docPr id="128" name="Frame1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133985" cy="175260"/>
                      <wp:effectExtent l="0" t="0" r="0" b="0"/>
                      <wp:wrapNone/>
                      <wp:docPr id="129" name="Frame12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495935" cy="175260"/>
                      <wp:effectExtent l="0" t="0" r="0" b="0"/>
                      <wp:wrapNone/>
                      <wp:docPr id="130" name="Frame13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97790" cy="175260"/>
                      <wp:effectExtent l="0" t="0" r="0" b="0"/>
                      <wp:wrapNone/>
                      <wp:docPr id="131" name="Frame131"/>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9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2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0"/>
              <w:ind w:left="0" w:right="0" w:hanging="0"/>
              <w:jc w:val="left"/>
              <w:rPr/>
            </w:pPr>
            <w:r>
              <w:rPr/>
              <w:t>​</w:t>
            </w:r>
          </w:p>
        </w:tc>
        <w:tc>
          <w:tcPr>
            <w:tcW w:w="233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154" w:type="dxa"/>
            <w:tcBorders/>
            <w:vAlign w:val="center"/>
          </w:tcPr>
          <w:p>
            <w:pPr>
              <w:pStyle w:val="TableContents"/>
              <w:bidi w:val="0"/>
              <w:spacing w:before="0" w:after="0"/>
              <w:ind w:left="0" w:right="0" w:hanging="0"/>
              <w:jc w:val="center"/>
              <w:rPr/>
            </w:pPr>
            <w:r>
              <w:rPr/>
              <w:t>​</w:t>
            </w:r>
          </w:p>
        </w:tc>
      </w:tr>
      <w:tr>
        <w:trPr/>
        <w:tc>
          <w:tcPr>
            <w:tcW w:w="49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2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23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54" w:type="dxa"/>
            <w:tcBorders/>
            <w:vAlign w:val="center"/>
          </w:tcPr>
          <w:p>
            <w:pPr>
              <w:pStyle w:val="TableContents"/>
              <w:bidi w:val="0"/>
              <w:spacing w:before="0" w:after="0"/>
              <w:ind w:left="0" w:right="0" w:hanging="0"/>
              <w:jc w:val="center"/>
              <w:rPr/>
            </w:pPr>
            <w:r>
              <w:rPr/>
              <w:t>​</w:t>
            </w:r>
          </w:p>
        </w:tc>
      </w:tr>
      <w:tr>
        <w:trPr/>
        <w:tc>
          <w:tcPr>
            <w:tcW w:w="49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54" w:type="dxa"/>
            <w:tcBorders/>
            <w:vAlign w:val="center"/>
          </w:tcPr>
          <w:p>
            <w:pPr>
              <w:pStyle w:val="TableContents"/>
              <w:bidi w:val="0"/>
              <w:spacing w:before="0" w:after="0"/>
              <w:ind w:left="0" w:right="0" w:hanging="0"/>
              <w:jc w:val="center"/>
              <w:rPr/>
            </w:pPr>
            <w:r>
              <w:rPr/>
              <w:t>​</w:t>
            </w:r>
          </w:p>
        </w:tc>
      </w:tr>
      <w:tr>
        <w:trPr/>
        <w:tc>
          <w:tcPr>
            <w:tcW w:w="4909"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Numerator: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center"/>
              <w:rPr/>
            </w:pPr>
            <w:r>
              <w:rPr/>
              <w:t>​</w:t>
            </w:r>
          </w:p>
        </w:tc>
        <w:tc>
          <w:tcPr>
            <w:tcW w:w="154" w:type="dxa"/>
            <w:tcBorders/>
            <w:shd w:fill="CCEEFF" w:val="clear"/>
            <w:vAlign w:val="center"/>
          </w:tcPr>
          <w:p>
            <w:pPr>
              <w:pStyle w:val="TableContents"/>
              <w:bidi w:val="0"/>
              <w:spacing w:before="0" w:after="0"/>
              <w:ind w:left="0" w:right="0" w:hanging="0"/>
              <w:jc w:val="center"/>
              <w:rPr/>
            </w:pPr>
            <w:r>
              <w:rPr/>
              <w:t>​</w:t>
            </w:r>
          </w:p>
        </w:tc>
      </w:tr>
      <w:tr>
        <w:trPr/>
        <w:tc>
          <w:tcPr>
            <w:tcW w:w="49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available to common stockholders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92,750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71,753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163,225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134,714</w:t>
            </w:r>
          </w:p>
        </w:tc>
        <w:tc>
          <w:tcPr>
            <w:tcW w:w="154" w:type="dxa"/>
            <w:tcBorders/>
            <w:vAlign w:val="center"/>
          </w:tcPr>
          <w:p>
            <w:pPr>
              <w:pStyle w:val="TableContents"/>
              <w:bidi w:val="0"/>
              <w:spacing w:before="0" w:after="0"/>
              <w:ind w:left="0" w:right="0" w:hanging="0"/>
              <w:jc w:val="center"/>
              <w:rPr/>
            </w:pPr>
            <w:r>
              <w:rPr/>
              <w:t>​</w:t>
            </w:r>
          </w:p>
        </w:tc>
      </w:tr>
      <w:tr>
        <w:trPr/>
        <w:tc>
          <w:tcPr>
            <w:tcW w:w="490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attributable to noncontrolling interest in OEG</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4,050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3,462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2,805</w:t>
            </w:r>
          </w:p>
        </w:tc>
        <w:tc>
          <w:tcPr>
            <w:tcW w:w="154" w:type="dxa"/>
            <w:tcBorders/>
            <w:shd w:fill="CCEEFF" w:val="clear"/>
            <w:vAlign w:val="center"/>
          </w:tcPr>
          <w:p>
            <w:pPr>
              <w:pStyle w:val="TableContents"/>
              <w:bidi w:val="0"/>
              <w:spacing w:before="0" w:after="0"/>
              <w:ind w:left="0" w:right="0" w:hanging="0"/>
              <w:jc w:val="center"/>
              <w:rPr/>
            </w:pPr>
            <w:r>
              <w:rPr/>
              <w:t>​</w:t>
            </w:r>
          </w:p>
        </w:tc>
      </w:tr>
      <w:tr>
        <w:trPr/>
        <w:tc>
          <w:tcPr>
            <w:tcW w:w="49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available to common stockholders - if-converted method</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96,800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73,847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166,687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137,519</w:t>
            </w:r>
          </w:p>
        </w:tc>
        <w:tc>
          <w:tcPr>
            <w:tcW w:w="154" w:type="dxa"/>
            <w:tcBorders/>
            <w:vAlign w:val="center"/>
          </w:tcPr>
          <w:p>
            <w:pPr>
              <w:pStyle w:val="TableContents"/>
              <w:bidi w:val="0"/>
              <w:spacing w:before="0" w:after="0"/>
              <w:ind w:left="0" w:right="0" w:hanging="0"/>
              <w:jc w:val="center"/>
              <w:rPr/>
            </w:pPr>
            <w:r>
              <w:rPr/>
              <w:t>​</w:t>
            </w:r>
          </w:p>
        </w:tc>
      </w:tr>
      <w:tr>
        <w:trPr/>
        <w:tc>
          <w:tcPr>
            <w:tcW w:w="490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center"/>
              <w:rPr/>
            </w:pPr>
            <w:r>
              <w:rPr/>
              <w:t>​</w:t>
            </w:r>
          </w:p>
        </w:tc>
        <w:tc>
          <w:tcPr>
            <w:tcW w:w="154" w:type="dxa"/>
            <w:tcBorders/>
            <w:shd w:fill="CCEEFF" w:val="clear"/>
            <w:vAlign w:val="center"/>
          </w:tcPr>
          <w:p>
            <w:pPr>
              <w:pStyle w:val="TableContents"/>
              <w:bidi w:val="0"/>
              <w:spacing w:before="0" w:after="0"/>
              <w:ind w:left="0" w:right="0" w:hanging="0"/>
              <w:jc w:val="center"/>
              <w:rPr/>
            </w:pPr>
            <w:r>
              <w:rPr/>
              <w:t>​</w:t>
            </w:r>
          </w:p>
        </w:tc>
      </w:tr>
      <w:tr>
        <w:trPr/>
        <w:tc>
          <w:tcPr>
            <w:tcW w:w="4909"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Denominator:</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before="0" w:after="0"/>
              <w:ind w:left="0" w:right="0" w:hanging="0"/>
              <w:jc w:val="center"/>
              <w:rPr/>
            </w:pPr>
            <w:r>
              <w:rPr/>
              <w:t>​</w:t>
            </w:r>
          </w:p>
        </w:tc>
      </w:tr>
      <w:tr>
        <w:trPr/>
        <w:tc>
          <w:tcPr>
            <w:tcW w:w="490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shares outstanding - basic</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63,114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61,352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63,069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60,639</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49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dilutive equity-based compensation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w:t>
            </w:r>
          </w:p>
        </w:tc>
        <w:tc>
          <w:tcPr>
            <w:tcW w:w="154" w:type="dxa"/>
            <w:tcBorders/>
            <w:vAlign w:val="center"/>
          </w:tcPr>
          <w:p>
            <w:pPr>
              <w:pStyle w:val="TableContents"/>
              <w:bidi w:val="0"/>
              <w:spacing w:before="0" w:after="0"/>
              <w:ind w:left="0" w:right="0" w:hanging="0"/>
              <w:jc w:val="left"/>
              <w:rPr/>
            </w:pPr>
            <w:r>
              <w:rPr/>
              <w:t>​</w:t>
            </w:r>
          </w:p>
        </w:tc>
      </w:tr>
      <w:tr>
        <w:trPr/>
        <w:tc>
          <w:tcPr>
            <w:tcW w:w="490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dilutive put rights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4,860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4,233</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4,543</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3,744</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49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shares outstanding - diluted</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68,143</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65,732</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67,799</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64,577</w:t>
            </w:r>
          </w:p>
        </w:tc>
        <w:tc>
          <w:tcPr>
            <w:tcW w:w="154" w:type="dxa"/>
            <w:tcBorders/>
            <w:vAlign w:val="center"/>
          </w:tcPr>
          <w:p>
            <w:pPr>
              <w:pStyle w:val="TableContents"/>
              <w:bidi w:val="0"/>
              <w:spacing w:before="0" w:after="0"/>
              <w:ind w:left="0" w:right="0" w:hanging="0"/>
              <w:jc w:val="left"/>
              <w:rPr/>
            </w:pPr>
            <w:r>
              <w:rPr/>
              <w:t>​</w:t>
            </w:r>
          </w:p>
        </w:tc>
      </w:tr>
      <w:tr>
        <w:trPr/>
        <w:tc>
          <w:tcPr>
            <w:tcW w:w="490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49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income per share available to common stockholders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w:t>
            </w:r>
          </w:p>
        </w:tc>
        <w:tc>
          <w:tcPr>
            <w:tcW w:w="154" w:type="dxa"/>
            <w:tcBorders/>
            <w:vAlign w:val="center"/>
          </w:tcPr>
          <w:p>
            <w:pPr>
              <w:pStyle w:val="TableContents"/>
              <w:bidi w:val="0"/>
              <w:spacing w:before="0" w:after="0"/>
              <w:ind w:left="0" w:right="0" w:hanging="0"/>
              <w:jc w:val="left"/>
              <w:rPr/>
            </w:pPr>
            <w:r>
              <w:rPr/>
              <w:t>​</w:t>
            </w:r>
          </w:p>
        </w:tc>
      </w:tr>
      <w:tr>
        <w:trPr/>
        <w:tc>
          <w:tcPr>
            <w:tcW w:w="490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 income per share available to common stockholders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w:t>
            </w:r>
          </w:p>
        </w:tc>
        <w:tc>
          <w:tcPr>
            <w:tcW w:w="154"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As more fully discussed in Note 1 to the consolidated financial statements included in the Company’s Annual Report on Form 10-K for the year ended December 31, 2025, although currently not exercisable, the minority investor of OEG has certain put rights (the “OEG Put Rights”) to require the Company to purchase the minority investor’s equity interest in OEG, which the Company may pay in cash or Company stock at the Company’s option. The Company calculated potential dilution for the OEG Put Rights based on the if-converted method, which assumes the OEG Put Rights were converted on the first day of the period or the date of issuance and the minority investor’s noncontrolling equity interest was redeemed in exchange for shares of the Company’s common stock.</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operating partnership units (“OP Units”) held by the noncontrolling interest holders in RHP Hotel Properties, LP (the “Operating Partnership”) have been excluded from the denominator of the diluted income per share calculation for the three and six months ended June 30, 2026 and 2025 as there would be no effect on the calculation of diluted income per share because the income or loss attributable to the OP Units held by the noncontrolling interest holders would also be added or subtracted to derive net income available to common stockholders.</w:t>
      </w:r>
    </w:p>
    <w:p>
      <w:pPr>
        <w:pStyle w:val="TextBody"/>
        <w:bidi w:val="0"/>
        <w:spacing w:before="0" w:after="240"/>
        <w:ind w:left="0" w:right="0" w:hanging="0"/>
        <w:jc w:val="center"/>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bookmarkStart w:id="1043" w:name="Tc_znm02z_BukOcgJrX-DXZ1w_10_5"/>
      <w:bookmarkStart w:id="1044" w:name="Tc_Ov8BOIh_zk-jgJ74WFIZEQ_10_2"/>
      <w:bookmarkStart w:id="1045" w:name="Tc_eFynFiBgAEOGcWB4R2ffnA_10_0"/>
      <w:bookmarkStart w:id="1046" w:name="Tc_x3PXa40Rw0y7IhvuN-SmbQ_9_0"/>
      <w:bookmarkStart w:id="1047" w:name="Tc_ujuGnGDfx0qvjh_5wkdapw_7_0"/>
      <w:bookmarkStart w:id="1048" w:name="Tc_fmhXdqMbAUyuGloJZFnuug_6_0"/>
      <w:bookmarkStart w:id="1049" w:name="Tc_Gbx_Oo0mr0i7NPmsfEiy8A_5_0"/>
      <w:bookmarkStart w:id="1050" w:name="Tc_0FfBuZXBZ0mj47RAE7SkAw_4_0"/>
      <w:bookmarkStart w:id="1051" w:name="Tc_hFkQRPbSx0Sw-QNDcu8myg_3_5"/>
      <w:bookmarkStart w:id="1052" w:name="Tc_Fv5b1ZG6n0KevrYmChSxwA_3_2"/>
      <w:bookmarkStart w:id="1053" w:name="Tc_-LOLne8sw02eZ-3pbhjsmg_3_0"/>
      <w:bookmarkStart w:id="1054" w:name="Tc_ZcTfglUZLEuHwJ3KBRvdMw_2_5"/>
      <w:bookmarkStart w:id="1055" w:name="Tc_TYLTQSU4CUmnTkoy-UIy3g_2_2"/>
      <w:bookmarkStart w:id="1056" w:name="Tc__aDS8LhtME-GkMToGHCxRQ_1_5"/>
      <w:bookmarkStart w:id="1057" w:name="Tc_LZEKI9EYnUGDjLP6xI-LUg_1_2"/>
      <w:bookmarkStart w:id="1058" w:name="_a6c41206_6e61_42cb_9fc1_424d0981f288"/>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r>
        <w:rPr>
          <w:rFonts w:ascii="Times New Roman;Times;serif" w:hAnsi="Times New Roman;Times;serif"/>
          <w:b/>
          <w:sz w:val="20"/>
        </w:rPr>
        <w:t>5. PROPERTY AND EQUIPMENT: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at June 30, 2026 and December 31, 2025 is summarized as follows (in thousands):</w:t>
      </w:r>
    </w:p>
    <w:p>
      <w:pPr>
        <w:pStyle w:val="TextBody"/>
        <w:bidi w:val="0"/>
        <w:spacing w:before="0" w:after="240"/>
        <w:ind w:left="0" w:right="0" w:hanging="0"/>
        <w:jc w:val="left"/>
        <w:rPr/>
      </w:pPr>
      <w:r>
        <w:rPr/>
        <w:t>​</w:t>
      </w:r>
    </w:p>
    <w:tbl>
      <w:tblPr>
        <w:tblW w:w="6952" w:type="dxa"/>
        <w:jc w:val="left"/>
        <w:tblInd w:w="0" w:type="dxa"/>
        <w:tblLayout w:type="fixed"/>
        <w:tblCellMar>
          <w:top w:w="0" w:type="dxa"/>
          <w:left w:w="0" w:type="dxa"/>
          <w:bottom w:w="0" w:type="dxa"/>
          <w:right w:w="0" w:type="dxa"/>
        </w:tblCellMar>
      </w:tblPr>
      <w:tblGrid>
        <w:gridCol w:w="3691"/>
        <w:gridCol w:w="346"/>
        <w:gridCol w:w="211"/>
        <w:gridCol w:w="1051"/>
        <w:gridCol w:w="346"/>
        <w:gridCol w:w="211"/>
        <w:gridCol w:w="1096"/>
      </w:tblGrid>
      <w:tr>
        <w:trPr/>
        <w:tc>
          <w:tcPr>
            <w:tcW w:w="3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343785" cy="175260"/>
                      <wp:effectExtent l="0" t="0" r="0" b="0"/>
                      <wp:wrapNone/>
                      <wp:docPr id="132" name="Frame132"/>
                      <a:graphic xmlns:a="http://schemas.openxmlformats.org/drawingml/2006/main">
                        <a:graphicData uri="http://schemas.microsoft.com/office/word/2010/wordprocessingShape">
                          <wps:wsp>
                            <wps:cNvSpPr txBox="1"/>
                            <wps:spPr>
                              <a:xfrm>
                                <a:off x="0" y="0"/>
                                <a:ext cx="2343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19710" cy="175260"/>
                      <wp:effectExtent l="0" t="0" r="0" b="0"/>
                      <wp:wrapNone/>
                      <wp:docPr id="133" name="Frame1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133985" cy="175260"/>
                      <wp:effectExtent l="0" t="0" r="0" b="0"/>
                      <wp:wrapNone/>
                      <wp:docPr id="134" name="Frame1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67385" cy="175260"/>
                      <wp:effectExtent l="0" t="0" r="0" b="0"/>
                      <wp:wrapNone/>
                      <wp:docPr id="135" name="Frame135"/>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19710" cy="175260"/>
                      <wp:effectExtent l="0" t="0" r="0" b="0"/>
                      <wp:wrapNone/>
                      <wp:docPr id="136" name="Frame1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133985" cy="175260"/>
                      <wp:effectExtent l="0" t="0" r="0" b="0"/>
                      <wp:wrapNone/>
                      <wp:docPr id="137" name="Frame13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95960" cy="175260"/>
                      <wp:effectExtent l="0" t="0" r="0" b="0"/>
                      <wp:wrapNone/>
                      <wp:docPr id="138" name="Frame138"/>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6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26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1"/>
              <w:ind w:left="0" w:right="0" w:hanging="0"/>
              <w:jc w:val="left"/>
              <w:rPr/>
            </w:pPr>
            <w:r>
              <w:rPr/>
              <w:t>​</w:t>
            </w:r>
          </w:p>
        </w:tc>
        <w:tc>
          <w:tcPr>
            <w:tcW w:w="130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36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26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center"/>
              <w:rPr/>
            </w:pPr>
            <w:r>
              <w:rPr/>
              <w:t>  ​ ​ ​</w:t>
            </w:r>
          </w:p>
        </w:tc>
        <w:tc>
          <w:tcPr>
            <w:tcW w:w="13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69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Land and land improvements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738,790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731,497</w:t>
            </w:r>
          </w:p>
        </w:tc>
      </w:tr>
      <w:tr>
        <w:trPr/>
        <w:tc>
          <w:tcPr>
            <w:tcW w:w="369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Buildings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5,369,341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5,258,989</w:t>
            </w:r>
          </w:p>
        </w:tc>
      </w:tr>
      <w:tr>
        <w:trPr/>
        <w:tc>
          <w:tcPr>
            <w:tcW w:w="369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Furniture, fixtures and equipment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1,595,206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1,516,736</w:t>
            </w:r>
          </w:p>
        </w:tc>
      </w:tr>
      <w:tr>
        <w:trPr/>
        <w:tc>
          <w:tcPr>
            <w:tcW w:w="369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Right-of-use finance lease assets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1,841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1,841</w:t>
            </w:r>
          </w:p>
        </w:tc>
      </w:tr>
      <w:tr>
        <w:trPr/>
        <w:tc>
          <w:tcPr>
            <w:tcW w:w="369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Construction-in-progress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238,009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185,275</w:t>
            </w:r>
          </w:p>
        </w:tc>
      </w:tr>
      <w:tr>
        <w:trPr/>
        <w:tc>
          <w:tcPr>
            <w:tcW w:w="36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7,943,187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7,694,338</w:t>
            </w:r>
          </w:p>
        </w:tc>
      </w:tr>
      <w:tr>
        <w:trPr/>
        <w:tc>
          <w:tcPr>
            <w:tcW w:w="369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Accumulated depreciation and amortization</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(2,864,928)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(2,723,909)</w:t>
            </w:r>
          </w:p>
        </w:tc>
      </w:tr>
      <w:tr>
        <w:trPr/>
        <w:tc>
          <w:tcPr>
            <w:tcW w:w="369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Property and equipment, net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5,078,259</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4,970,429</w:t>
            </w:r>
          </w:p>
        </w:tc>
      </w:tr>
    </w:tbl>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6. NOTES RECEIVABLE:</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As further discussed in the Company’s Annual Report on Form 10-K for the year ended December 31, 2025, in connection with the development of Gaylord National, the Company holds two issuances of governmental bonds (“Series A bond” and “Series B bond”) with a total carrying value and approximate fair value of $53.6 million and $53.5 million at June 30, 2026 and December 31, 2025, respectively, net of credit loss reserve of $38.0 million at each of June 30, 2026 and December 31, 2025. The Company receives debt service and principal payments thereon, payable from property tax increments, hotel taxes and special hotel rental taxes generated from Gaylord National through the maturity dates of July 1, 2034 and September 1, 2037, respectively. Interest income is recorded on an accrual basis to the extent that such amounts are expected to be collected. During the periods presented, the Company has accrued interest only on the Series A bond.</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 Company has the intent and ability to hold these bonds to maturity. The Company’s quarterly assessment of credit losses considers the estimate of projected tax revenues that will service the bonds over their remaining terms. These tax revenue projections are updated each quarter to reflect updated industry projections as to future anticipated operations of the hotel. As a result of reduced tax revenue projections over the life of the bonds as well as certain cumulative priority payments due to others, the Series B bond is fully reserved. The Series A bond is of higher priority than other tranches which fall between the Company’s two issuances.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 xml:space="preserve">During the three months ended June 30, 2026 and 2025, the Company recorded interest income of $1.0 million and $1.1 million, respectively, and during the six months ended June 30, 2026 and 2025, the Company recorded interest income of $2.1 million and $2.2 million, respectively, on these bonds. The Company received payments of $2.0 million and $2.2 million during the six months ended June 30, 2026 and 2025, respectively, relating to these notes receivable. </w:t>
      </w:r>
    </w:p>
    <w:p>
      <w:pPr>
        <w:pStyle w:val="TextBody"/>
        <w:bidi w:val="0"/>
        <w:spacing w:before="0" w:after="200"/>
        <w:ind w:left="0" w:right="0" w:hanging="0"/>
        <w:jc w:val="left"/>
        <w:rPr>
          <w:rFonts w:ascii="Times New Roman;Times;serif" w:hAnsi="Times New Roman;Times;serif"/>
          <w:b/>
          <w:sz w:val="20"/>
        </w:rPr>
      </w:pPr>
      <w:bookmarkStart w:id="1059" w:name="Tc_WsWKOyvWmEaXOCMvuW9qPw_16_5"/>
      <w:bookmarkStart w:id="1060" w:name="Tc_yzKWaGRHmU24emG1xJ2Dpw_16_2"/>
      <w:bookmarkStart w:id="1061" w:name="Tc_5D61NUIp50mQkCV02KSckg_16_0"/>
      <w:bookmarkStart w:id="1062" w:name="Tc_7q4ZhlcUske18vGnatwUaw_15_0"/>
      <w:bookmarkStart w:id="1063" w:name="Tc_F_dDMBKLr0CpdvH-q8h47A_14_0"/>
      <w:bookmarkStart w:id="1064" w:name="Tc_ikoVjLkqTk6nUFfzcFqYHQ_13_0"/>
      <w:bookmarkStart w:id="1065" w:name="Tc_TU5yjV_gW0yUIMB2OxGt9A_12_0"/>
      <w:bookmarkStart w:id="1066" w:name="Tc_E6UKj_XMjUq22JOrd2J62A_11_6"/>
      <w:bookmarkStart w:id="1067" w:name="Tc_cY-LFP3Z50WUpajjbmT1jw_11_3"/>
      <w:bookmarkStart w:id="1068" w:name="Tc_ahYs7zlA9k67yFMYdkTDfw_11_0"/>
      <w:bookmarkStart w:id="1069" w:name="Tc_1CU4Yhz3V0yYxpE6IfSfBg_10_6"/>
      <w:bookmarkStart w:id="1070" w:name="Tc_mK29FW0yP0ygs27fsQauEw_10_0"/>
      <w:bookmarkStart w:id="1071" w:name="Tc_l0Yu2zYa_UiISbHp_R5uvQ_9_0"/>
      <w:bookmarkStart w:id="1072" w:name="Tc_heiwe1_uKkmEUFPd9pYBTA_8_0"/>
      <w:bookmarkStart w:id="1073" w:name="Tc_3dICaAF1Gk6LeD1_eK0HaQ_7_0"/>
      <w:bookmarkStart w:id="1074" w:name="Tc_960xiIflg0yCSe_9NQC8nA_6_0"/>
      <w:bookmarkStart w:id="1075" w:name="Tc_j9UE1DHHfUS8UJuYqGH3Nw_5_3"/>
      <w:bookmarkStart w:id="1076" w:name="Tc_Xjj0Ri_3cE6t0kNwWL8_bg_5_0"/>
      <w:bookmarkStart w:id="1077" w:name="Tc_yfpH5SpCqkSuczKHgALXRw_4_0"/>
      <w:bookmarkStart w:id="1078" w:name="Tc_Tu5AUqwDEEqnqc_TtuKFLQ_3_6"/>
      <w:bookmarkStart w:id="1079" w:name="Tc_rd8PH98d4kG4EU9QRMOYgA_3_5"/>
      <w:bookmarkStart w:id="1080" w:name="Tc_BPG_6iVP0EmBMXFHsyMTnA_3_3"/>
      <w:bookmarkStart w:id="1081" w:name="Tc_oZhBwBXtQ0-K4-gadON-Aw_3_2"/>
      <w:bookmarkStart w:id="1082" w:name="Tc_OiVOIMFu-UKZa28q5_6IFw_3_0"/>
      <w:bookmarkStart w:id="1083" w:name="Tc_ZpUmP16WGEyTo-c0UDUSMw_2_5"/>
      <w:bookmarkStart w:id="1084" w:name="Tc_s1A5Ot9EX0O9Pg2xzCYPPA_2_2"/>
      <w:bookmarkStart w:id="1085" w:name="Tc_ZDKXEo3m_EiTk2B0SQyPwA_1_5"/>
      <w:bookmarkStart w:id="1086" w:name="Tc_Owg09sjwQ0GrrasL0kCGsw_1_2"/>
      <w:bookmarkStart w:id="1087" w:name="_18b0f67c_5ce6_4106_9619_588d944cd264"/>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r>
        <w:rPr>
          <w:rFonts w:ascii="Times New Roman;Times;serif" w:hAnsi="Times New Roman;Times;serif"/>
          <w:b/>
          <w:sz w:val="20"/>
        </w:rPr>
        <w:t>7. DEBT: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Company’s debt and finance lease obligations at June 30, 2026 and December 31, 2025 consisted of (in thousands):</w:t>
      </w:r>
    </w:p>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7124"/>
        <w:gridCol w:w="346"/>
        <w:gridCol w:w="211"/>
        <w:gridCol w:w="931"/>
        <w:gridCol w:w="346"/>
        <w:gridCol w:w="211"/>
        <w:gridCol w:w="1036"/>
      </w:tblGrid>
      <w:tr>
        <w:trPr/>
        <w:tc>
          <w:tcPr>
            <w:tcW w:w="7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4523740" cy="175260"/>
                      <wp:effectExtent l="0" t="0" r="0" b="0"/>
                      <wp:wrapNone/>
                      <wp:docPr id="139" name="Frame139"/>
                      <a:graphic xmlns:a="http://schemas.openxmlformats.org/drawingml/2006/main">
                        <a:graphicData uri="http://schemas.microsoft.com/office/word/2010/wordprocessingShape">
                          <wps:wsp>
                            <wps:cNvSpPr txBox="1"/>
                            <wps:spPr>
                              <a:xfrm>
                                <a:off x="0" y="0"/>
                                <a:ext cx="45237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19710" cy="175260"/>
                      <wp:effectExtent l="0" t="0" r="0" b="0"/>
                      <wp:wrapNone/>
                      <wp:docPr id="140" name="Frame1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133985" cy="175260"/>
                      <wp:effectExtent l="0" t="0" r="0" b="0"/>
                      <wp:wrapNone/>
                      <wp:docPr id="141" name="Frame14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591185" cy="175260"/>
                      <wp:effectExtent l="0" t="0" r="0" b="0"/>
                      <wp:wrapNone/>
                      <wp:docPr id="142" name="Frame142"/>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19710" cy="175260"/>
                      <wp:effectExtent l="0" t="0" r="0" b="0"/>
                      <wp:wrapNone/>
                      <wp:docPr id="143" name="Frame1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133985" cy="175260"/>
                      <wp:effectExtent l="0" t="0" r="0" b="0"/>
                      <wp:wrapNone/>
                      <wp:docPr id="144" name="Frame14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57860" cy="175260"/>
                      <wp:effectExtent l="0" t="0" r="0" b="0"/>
                      <wp:wrapNone/>
                      <wp:docPr id="145" name="Frame145"/>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12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1"/>
              <w:ind w:left="0" w:right="0" w:hanging="0"/>
              <w:jc w:val="left"/>
              <w:rPr/>
            </w:pPr>
            <w:r>
              <w:rPr/>
              <w:t>​</w:t>
            </w:r>
          </w:p>
        </w:tc>
        <w:tc>
          <w:tcPr>
            <w:tcW w:w="124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712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center"/>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712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$850M Revolving Credit Facility, interest at SOFR plus 1.50%, maturing January 28, 2030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0" w:hanging="0"/>
              <w:jc w:val="right"/>
              <w:rPr/>
            </w:pPr>
            <w:r>
              <w:rPr/>
              <w:t>—</w:t>
            </w:r>
          </w:p>
        </w:tc>
      </w:tr>
      <w:tr>
        <w:trPr/>
        <w:tc>
          <w:tcPr>
            <w:tcW w:w="712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Term Loan B, interest at SOFR plus 1.75%, maturing May 18, 2030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288,388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289,856</w:t>
            </w:r>
          </w:p>
        </w:tc>
      </w:tr>
      <w:tr>
        <w:trPr/>
        <w:tc>
          <w:tcPr>
            <w:tcW w:w="712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Senior Notes, interest at 4.75%, maturing October 15, 2027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700,000</w:t>
            </w:r>
          </w:p>
        </w:tc>
      </w:tr>
      <w:tr>
        <w:trPr/>
        <w:tc>
          <w:tcPr>
            <w:tcW w:w="712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Senior Notes, interest at 7.25%, maturing July 15, 2028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400,000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400,000</w:t>
            </w:r>
          </w:p>
        </w:tc>
      </w:tr>
      <w:tr>
        <w:trPr/>
        <w:tc>
          <w:tcPr>
            <w:tcW w:w="712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Senior Notes, interest at 4.50%, maturing February 15, 2029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600,000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600,000</w:t>
            </w:r>
          </w:p>
        </w:tc>
      </w:tr>
      <w:tr>
        <w:trPr/>
        <w:tc>
          <w:tcPr>
            <w:tcW w:w="712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Senior Notes, interest at 6.50%, maturing April 1, 2032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1,000,000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1,000,000</w:t>
            </w:r>
          </w:p>
        </w:tc>
      </w:tr>
      <w:tr>
        <w:trPr/>
        <w:tc>
          <w:tcPr>
            <w:tcW w:w="712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Senior Notes, interest at 6.50%, maturing June 15, 2033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625,000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625,000</w:t>
            </w:r>
          </w:p>
        </w:tc>
      </w:tr>
      <w:tr>
        <w:trPr/>
        <w:tc>
          <w:tcPr>
            <w:tcW w:w="712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Senior Notes, interest at 5.75%, maturing March 15, 2034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700,000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pPr>
            <w:r>
              <w:rPr/>
              <w:t>—</w:t>
            </w:r>
          </w:p>
        </w:tc>
      </w:tr>
      <w:tr>
        <w:trPr/>
        <w:tc>
          <w:tcPr>
            <w:tcW w:w="712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$80M OEG Revolver, interest at SOFR plus 3.50%, maturing June 28, 2029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pPr>
            <w:r>
              <w:rPr/>
              <w:t>—</w:t>
            </w:r>
          </w:p>
        </w:tc>
      </w:tr>
      <w:tr>
        <w:trPr/>
        <w:tc>
          <w:tcPr>
            <w:tcW w:w="712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OEG Term Loan, interest at SOFR plus 3.50%, maturing June 28, 2031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423,117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425,270</w:t>
            </w:r>
          </w:p>
        </w:tc>
      </w:tr>
      <w:tr>
        <w:trPr/>
        <w:tc>
          <w:tcPr>
            <w:tcW w:w="712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Finance lease obligations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596</w:t>
            </w:r>
          </w:p>
        </w:tc>
      </w:tr>
      <w:tr>
        <w:trPr/>
        <w:tc>
          <w:tcPr>
            <w:tcW w:w="712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Unamortized deferred financing costs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(56,370)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(52,282)</w:t>
            </w:r>
          </w:p>
        </w:tc>
      </w:tr>
      <w:tr>
        <w:trPr/>
        <w:tc>
          <w:tcPr>
            <w:tcW w:w="712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Unamortized discounts and premiums, net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(11,219)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(11,527)</w:t>
            </w:r>
          </w:p>
        </w:tc>
      </w:tr>
      <w:tr>
        <w:trPr/>
        <w:tc>
          <w:tcPr>
            <w:tcW w:w="712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debt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3,969,453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3,976,913</w:t>
            </w:r>
          </w:p>
        </w:tc>
      </w:tr>
    </w:tbl>
    <w:p>
      <w:pPr>
        <w:pStyle w:val="TextBody"/>
        <w:bidi w:val="0"/>
        <w:spacing w:before="0" w:after="24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Amounts due within one year of the balance sheet date consist of amortization payments for the term loan B of 1.0% of the refinanced $293.5 million principal balance and amortization payments for the OEG term loan of approximately 1.0% of the refinanced $428.5 million principal balance.</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At June 30, 2026, there were no defaults under the covenants related to the Company’s outstanding debt.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i/>
          <w:sz w:val="20"/>
        </w:rPr>
        <w:t>$850</w:t>
      </w:r>
      <w:r>
        <w:rPr>
          <w:rFonts w:ascii="Times New Roman;Times;serif" w:hAnsi="Times New Roman;Times;serif"/>
          <w:sz w:val="20"/>
        </w:rPr>
        <w:t xml:space="preserve"> </w:t>
      </w:r>
      <w:r>
        <w:rPr>
          <w:rFonts w:ascii="Times New Roman;Times;serif" w:hAnsi="Times New Roman;Times;serif"/>
          <w:i/>
          <w:sz w:val="20"/>
        </w:rPr>
        <w:t>Million Revolving Credit Facility</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On January 28, 2026, the Company entered into an Amendment No. 1 to Credit Agreement (the “First Amendment”), which amended the Company’s existing credit agreement to, among other things, increase the maximum borrowing capacity under the Company’s revolving credit facility (the “Revolver”) from $700.0 million to $850.0 million, remove the “SOFR Adjustment” applicable to borrowings under the Revolver, extend the maturity date of the Revolver to January 28, 2030 and modify certain financial covenants applicable to the Revolver.</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i/>
          <w:sz w:val="20"/>
        </w:rPr>
        <w:t>$700</w:t>
      </w:r>
      <w:r>
        <w:rPr>
          <w:rFonts w:ascii="Times New Roman;Times;serif" w:hAnsi="Times New Roman;Times;serif"/>
          <w:sz w:val="20"/>
        </w:rPr>
        <w:t xml:space="preserve"> </w:t>
      </w:r>
      <w:r>
        <w:rPr>
          <w:rFonts w:ascii="Times New Roman;Times;serif" w:hAnsi="Times New Roman;Times;serif"/>
          <w:i/>
          <w:sz w:val="20"/>
        </w:rPr>
        <w:t>Million 5.75%</w:t>
      </w:r>
      <w:r>
        <w:rPr>
          <w:rFonts w:ascii="Times New Roman;Times;serif" w:hAnsi="Times New Roman;Times;serif"/>
          <w:sz w:val="20"/>
        </w:rPr>
        <w:t xml:space="preserve"> </w:t>
      </w:r>
      <w:r>
        <w:rPr>
          <w:rFonts w:ascii="Times New Roman;Times;serif" w:hAnsi="Times New Roman;Times;serif"/>
          <w:i/>
          <w:sz w:val="20"/>
        </w:rPr>
        <w:t>Senior Notes due 2034</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On March 11, 2026, the Operating Partnership and RHP Finance Corporation (collectively, the “issuing subsidiaries”) completed the private placement of $700.0 million in aggregate principal amount of 5.75% senior notes due 2034 (the “$700 Million 5.75% Senior Notes”), which are guaranteed by the Company and its subsidiaries that guarantee the Credit Agreement.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 $700 Million 5.75% Senior Notes and guarantees were issued pursuant to an indenture by and among the issuing subsidiaries, the guarantors and U.S. Bank Trust Company, National Association, as trustee. The $700 Million 5.75% Senior Notes have a maturity date of March 15, 2034 and bear interest at 5.75% per annum, payable semi-annually in cash in arrears on March 15 and September 15 each year, beginning on September 15, 2026. The $700 Million 5.75% Senior Notes are general unsecured and unsubordinated obligations of the issuing subsidiaries and rank equal in right of payment with such subsidiaries’ existing and future senior unsecured indebtedness, including the Company’s $400 million in aggregate principal amount of 7.25% senior notes due 2028, $600 million in aggregate principal amount of 4.50% senior notes due 2029, $1 billion in aggregate principal amount of 6.50% senior notes due 2032, and $625 million in aggregate principal amount of 6.50% senior notes due 2033, and senior in right of payment to future subordinated indebtedness, if any.</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 $700 Million 5.75% Senior Notes are effectively subordinated to the issuing subsidiaries’ secured indebtedness, including the Operating Partnership’s existing credit facility, to the extent of the value of the assets securing such indebtedness and structurally subordinated to all indebtedness and other obligations of the Operating Partnership’s subsidiaries that do not guarantee the $700 Million 5.75% Senior Notes. The guarantees rank equally in right of payment with the applicable guarantor’s existing and future senior unsecured indebtedness and senior in right of payment to any future subordinated indebtedness of such guarantor. The $700 Million 5.75% Senior Notes are effectively subordinated to any secured indebtedness of any guarantor to the extent of the value of the assets securing such indebtedness and structurally subordinated to all indebtedness and other obligations of the Operating Partnership’s subsidiaries that do not guarantee the $700 Million 5.75% Senior Notes.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shd w:fill="FFFFFF" w:val="clear"/>
        </w:rPr>
        <w:t>The net proceeds from the issuance of the $</w:t>
      </w:r>
      <w:r>
        <w:rPr>
          <w:rFonts w:ascii="Times New Roman;Times;serif" w:hAnsi="Times New Roman;Times;serif"/>
          <w:sz w:val="20"/>
        </w:rPr>
        <w:t>700 Million 5.75%</w:t>
      </w:r>
      <w:r>
        <w:rPr>
          <w:rFonts w:ascii="Times New Roman;Times;serif" w:hAnsi="Times New Roman;Times;serif"/>
          <w:sz w:val="20"/>
          <w:shd w:fill="FFFFFF" w:val="clear"/>
        </w:rPr>
        <w:t> Senior Notes totaled approximately $687 million, after deducting the initial purchasers’ discounts, commissions and offering expenses. The Company used these net proceeds, together with cash on hand, to redeem in full the Company’s former $700 million in aggregate principal amount of 4.75% senior notes originally due 2027.</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shd w:fill="FFFFFF" w:val="clear"/>
        </w:rPr>
        <w:t>The $</w:t>
      </w:r>
      <w:r>
        <w:rPr>
          <w:rFonts w:ascii="Times New Roman;Times;serif" w:hAnsi="Times New Roman;Times;serif"/>
          <w:sz w:val="20"/>
        </w:rPr>
        <w:t>700 Million 5.75%</w:t>
      </w:r>
      <w:r>
        <w:rPr>
          <w:rFonts w:ascii="Times New Roman;Times;serif" w:hAnsi="Times New Roman;Times;serif"/>
          <w:sz w:val="20"/>
          <w:shd w:fill="FFFFFF" w:val="clear"/>
        </w:rPr>
        <w:t> Senior Notes are redeemable before March 15, 2029, in whole or in part, at </w:t>
      </w:r>
      <w:r>
        <w:rPr>
          <w:rFonts w:ascii="Times New Roman;Times;serif" w:hAnsi="Times New Roman;Times;serif"/>
          <w:sz w:val="20"/>
        </w:rPr>
        <w:t>100.00%</w:t>
      </w:r>
      <w:r>
        <w:rPr>
          <w:rFonts w:ascii="Times New Roman;Times;serif" w:hAnsi="Times New Roman;Times;serif"/>
          <w:sz w:val="20"/>
          <w:shd w:fill="FFFFFF" w:val="clear"/>
        </w:rPr>
        <w:t>, plus accrued and unpaid interest thereon to, but not including, the redemption date, plus a make-whole premium. The $</w:t>
      </w:r>
      <w:r>
        <w:rPr>
          <w:rFonts w:ascii="Times New Roman;Times;serif" w:hAnsi="Times New Roman;Times;serif"/>
          <w:sz w:val="20"/>
        </w:rPr>
        <w:t>700 Million 5.75%</w:t>
      </w:r>
      <w:r>
        <w:rPr>
          <w:rFonts w:ascii="Times New Roman;Times;serif" w:hAnsi="Times New Roman;Times;serif"/>
          <w:sz w:val="20"/>
          <w:shd w:fill="FFFFFF" w:val="clear"/>
        </w:rPr>
        <w:t xml:space="preserve"> Senior Notes will be redeemable, in whole or in part, at any time on or after March 15, 2029 at a redemption price expressed as a percentage of the principal amount thereof, which percentage is </w:t>
      </w:r>
      <w:r>
        <w:rPr>
          <w:rFonts w:ascii="Times New Roman;Times;serif" w:hAnsi="Times New Roman;Times;serif"/>
          <w:sz w:val="20"/>
        </w:rPr>
        <w:t>102.875%</w:t>
      </w:r>
      <w:r>
        <w:rPr>
          <w:rFonts w:ascii="Times New Roman;Times;serif" w:hAnsi="Times New Roman;Times;serif"/>
          <w:sz w:val="20"/>
          <w:shd w:fill="FFFFFF" w:val="clear"/>
        </w:rPr>
        <w:t xml:space="preserve">, </w:t>
      </w:r>
      <w:r>
        <w:rPr>
          <w:rFonts w:ascii="Times New Roman;Times;serif" w:hAnsi="Times New Roman;Times;serif"/>
          <w:sz w:val="20"/>
        </w:rPr>
        <w:t>101.438%</w:t>
      </w:r>
      <w:r>
        <w:rPr>
          <w:rFonts w:ascii="Times New Roman;Times;serif" w:hAnsi="Times New Roman;Times;serif"/>
          <w:sz w:val="20"/>
          <w:shd w:fill="FFFFFF" w:val="clear"/>
        </w:rPr>
        <w:t xml:space="preserve">, and </w:t>
      </w:r>
      <w:r>
        <w:rPr>
          <w:rFonts w:ascii="Times New Roman;Times;serif" w:hAnsi="Times New Roman;Times;serif"/>
          <w:sz w:val="20"/>
        </w:rPr>
        <w:t>100.000%</w:t>
      </w:r>
      <w:r>
        <w:rPr>
          <w:rFonts w:ascii="Times New Roman;Times;serif" w:hAnsi="Times New Roman;Times;serif"/>
          <w:sz w:val="20"/>
          <w:shd w:fill="FFFFFF" w:val="clear"/>
        </w:rPr>
        <w:t xml:space="preserve"> beginning on March 15 of 2029, 2030, and 2031, respectively, plus accrued and unpaid interest thereon to, but not including, the redemption date. </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sz w:val="20"/>
        </w:rPr>
      </w:pPr>
      <w:bookmarkStart w:id="1088" w:name="Tc_IMGArsH9n0OI9unocT71IQ_6_2"/>
      <w:bookmarkStart w:id="1089" w:name="Tc_szJuTcNveUCYrYluK8ibWw_6_0"/>
      <w:bookmarkStart w:id="1090" w:name="Tc_cgNwEnRpM0-aQSPC7_mGZQ_5_2"/>
      <w:bookmarkStart w:id="1091" w:name="Tc_ZrLQQ6DZe0SeHdbCF8gbXQ_5_0"/>
      <w:bookmarkStart w:id="1092" w:name="Tc_ox59ktL-1kKxncuw_S1VvA_4_0"/>
      <w:bookmarkStart w:id="1093" w:name="Tc_TCA2mcyTmkGh8UbC76aVPg_3_2"/>
      <w:bookmarkStart w:id="1094" w:name="Tc_p5JuEJS8dkKZH3yQrCDyKw_3_0"/>
      <w:bookmarkStart w:id="1095" w:name="Tc_6vS0mQP7OUyfaabL3fCFYQ_2_2"/>
      <w:bookmarkStart w:id="1096" w:name="Tc_CbZ3EolsUUmPwCpESov_bw_2_0"/>
      <w:bookmarkStart w:id="1097" w:name="Tc_UbQWQMz96E2AbERYKZWgMw_1_0"/>
      <w:bookmarkStart w:id="1098" w:name="Tc_uWUgTCkid0ivrmdX05zz4w_11_5"/>
      <w:bookmarkStart w:id="1099" w:name="Tc__p9iKsp9i0SD_2YN-6KaNg_11_2"/>
      <w:bookmarkStart w:id="1100" w:name="Tc_UfzSedgcp0W5nxIxROD-cw_11_0"/>
      <w:bookmarkStart w:id="1101" w:name="Tc_EemSOhiqOUqu4BDsdK-fFA_10_0"/>
      <w:bookmarkStart w:id="1102" w:name="Tc_14sc0PX87kq4nnzpFcrZOw_9_0"/>
      <w:bookmarkStart w:id="1103" w:name="Tc_pJkx24Op-U2P4WEmsRf61Q_8_6"/>
      <w:bookmarkStart w:id="1104" w:name="Tc_Sd1b21TH0ESgdySSHdPIjw_8_0"/>
      <w:bookmarkStart w:id="1105" w:name="Tc_ZQmivEZeuEKIkqwc3WVNKw_7_6"/>
      <w:bookmarkStart w:id="1106" w:name="Tc_2FWoWNiDLEWi3d-77VxsTw_7_0"/>
      <w:bookmarkStart w:id="1107" w:name="Tc_PDPvq08BlkadXmEp11v0Lw_6_0"/>
      <w:bookmarkStart w:id="1108" w:name="Tc_qzWI7EoILE60I1bZENFXkA_5_0"/>
      <w:bookmarkStart w:id="1109" w:name="Tc_fc6gaWRYuUWTWoOtwt6Wrw_4_0"/>
      <w:bookmarkStart w:id="1110" w:name="Tc_kIKKxviUA0eWV2CYTPszXQ_3_5"/>
      <w:bookmarkStart w:id="1111" w:name="Tc_GP4w6BkihUGQEeLXZryBtA_3_2"/>
      <w:bookmarkStart w:id="1112" w:name="Tc_dJEkA0KhTEKpCulF196KQA_3_0"/>
      <w:bookmarkStart w:id="1113" w:name="Tc_lR4oDZkM2US4BadQRJDZRA_2_5"/>
      <w:bookmarkStart w:id="1114" w:name="Tc_rPiKcGVH90q7Fe2Fk_VofA_2_2"/>
      <w:bookmarkStart w:id="1115" w:name="Tc_UXaZRBi5Bk-oQ1PUpNgdOQ_1_5"/>
      <w:bookmarkStart w:id="1116" w:name="Tc_BhbWtNP_4EC5XQSfwv5NJQ_1_2"/>
      <w:bookmarkStart w:id="1117" w:name="Tc_sxpSYah8w0O55ZS0xb5fCA_8_10"/>
      <w:bookmarkStart w:id="1118" w:name="Tc_iHixpIANp0akeYvYdsaKFw_8_7"/>
      <w:bookmarkStart w:id="1119" w:name="Tc_w4yh1DYCh0Szpn-GxIC_tA_8_4"/>
      <w:bookmarkStart w:id="1120" w:name="Tc_yIxAPJJN50W4iU6xITfKEQ_8_1"/>
      <w:bookmarkStart w:id="1121" w:name="Tc_WUXDrmbzWUiFOBxNc0Z_KQ_8_0"/>
      <w:bookmarkStart w:id="1122" w:name="Tc_1pEpI_HG3UCO94b5PTXl0g_7_0"/>
      <w:bookmarkStart w:id="1123" w:name="Tc_k95s3IReJkiJ9r4Jk3545A_6_0"/>
      <w:bookmarkStart w:id="1124" w:name="Tc_jJIiPF4y-kOBg41wCDCGAQ_5_0"/>
      <w:bookmarkStart w:id="1125" w:name="Tc_J3dMBMZW3EOG6ayT_BC2oQ_4_10"/>
      <w:bookmarkStart w:id="1126" w:name="Tc_n-Yf8LSLcEaQPeHcFZHiSg_4_7"/>
      <w:bookmarkStart w:id="1127" w:name="Tc_X4W4GxvUrUmeW9IAVbjG9Q_4_4"/>
      <w:bookmarkStart w:id="1128" w:name="Tc_IxaecpzH_02SBwISBCcKoQ_4_1"/>
      <w:bookmarkStart w:id="1129" w:name="Tc_9PTIvl37QECOQz27wkz1DQ_4_0"/>
      <w:bookmarkStart w:id="1130" w:name="Tc__KVIveJW_kCZ3p-7BASmsg_3_10"/>
      <w:bookmarkStart w:id="1131" w:name="Tc_Gzc35uVYOEKFr-aFjVv4rg_3_7"/>
      <w:bookmarkStart w:id="1132" w:name="Tc_twbuz7eqsk-UqQHk1gV2eg_3_4"/>
      <w:bookmarkStart w:id="1133" w:name="Tc_XSNNFtMpGEWcruaulhKrWA_3_1"/>
      <w:bookmarkStart w:id="1134" w:name="Tc_t7RUuxmNeE6h7JTX1dEuhA_2_7"/>
      <w:bookmarkStart w:id="1135" w:name="Tc_CY7hp-aQ9kamjDl94PxLAg_2_1"/>
      <w:bookmarkStart w:id="1136" w:name="Tc_MD4khIZHiE2TpOcD7jDVdA_1_7"/>
      <w:bookmarkStart w:id="1137" w:name="Tc_g45Pui5mAUCzbeNsQr8msA_1_1"/>
      <w:bookmarkStart w:id="1138" w:name="_7e663e32_9478_4684_b01d_3d2194ae66f5"/>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r>
        <w:rPr>
          <w:rFonts w:ascii="Times New Roman;Times;serif" w:hAnsi="Times New Roman;Times;serif"/>
          <w:b/>
          <w:sz w:val="20"/>
        </w:rPr>
        <w:t>8. LEASES: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Company’s lease costs for the three and six months ended June 30, 2026 and 2025 are as follows (in thousands):</w:t>
      </w:r>
    </w:p>
    <w:tbl>
      <w:tblPr>
        <w:tblW w:w="6730" w:type="dxa"/>
        <w:jc w:val="left"/>
        <w:tblInd w:w="0" w:type="dxa"/>
        <w:tblLayout w:type="fixed"/>
        <w:tblCellMar>
          <w:top w:w="0" w:type="dxa"/>
          <w:left w:w="0" w:type="dxa"/>
          <w:bottom w:w="0" w:type="dxa"/>
          <w:right w:w="0" w:type="dxa"/>
        </w:tblCellMar>
      </w:tblPr>
      <w:tblGrid>
        <w:gridCol w:w="2911"/>
        <w:gridCol w:w="211"/>
        <w:gridCol w:w="571"/>
        <w:gridCol w:w="109"/>
        <w:gridCol w:w="211"/>
        <w:gridCol w:w="571"/>
        <w:gridCol w:w="109"/>
        <w:gridCol w:w="211"/>
        <w:gridCol w:w="676"/>
        <w:gridCol w:w="109"/>
        <w:gridCol w:w="211"/>
        <w:gridCol w:w="676"/>
        <w:gridCol w:w="154"/>
      </w:tblGrid>
      <w:tr>
        <w:trPr/>
        <w:tc>
          <w:tcPr>
            <w:tcW w:w="29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1848485" cy="175260"/>
                      <wp:effectExtent l="0" t="0" r="0" b="0"/>
                      <wp:wrapNone/>
                      <wp:docPr id="146" name="Frame146"/>
                      <a:graphic xmlns:a="http://schemas.openxmlformats.org/drawingml/2006/main">
                        <a:graphicData uri="http://schemas.microsoft.com/office/word/2010/wordprocessingShape">
                          <wps:wsp>
                            <wps:cNvSpPr txBox="1"/>
                            <wps:spPr>
                              <a:xfrm>
                                <a:off x="0" y="0"/>
                                <a:ext cx="1848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133985" cy="175260"/>
                      <wp:effectExtent l="0" t="0" r="0" b="0"/>
                      <wp:wrapNone/>
                      <wp:docPr id="147" name="Frame1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362585" cy="175260"/>
                      <wp:effectExtent l="0" t="0" r="0" b="0"/>
                      <wp:wrapNone/>
                      <wp:docPr id="148" name="Frame14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9215" cy="175260"/>
                      <wp:effectExtent l="0" t="0" r="0" b="0"/>
                      <wp:wrapNone/>
                      <wp:docPr id="149" name="Frame14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133985" cy="175260"/>
                      <wp:effectExtent l="0" t="0" r="0" b="0"/>
                      <wp:wrapNone/>
                      <wp:docPr id="150" name="Frame15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362585" cy="175260"/>
                      <wp:effectExtent l="0" t="0" r="0" b="0"/>
                      <wp:wrapNone/>
                      <wp:docPr id="151" name="Frame15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9215" cy="175260"/>
                      <wp:effectExtent l="0" t="0" r="0" b="0"/>
                      <wp:wrapNone/>
                      <wp:docPr id="152" name="Frame15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133985" cy="175260"/>
                      <wp:effectExtent l="0" t="0" r="0" b="0"/>
                      <wp:wrapNone/>
                      <wp:docPr id="153" name="Frame15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429260" cy="175260"/>
                      <wp:effectExtent l="0" t="0" r="0" b="0"/>
                      <wp:wrapNone/>
                      <wp:docPr id="154" name="Frame15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9215" cy="175260"/>
                      <wp:effectExtent l="0" t="0" r="0" b="0"/>
                      <wp:wrapNone/>
                      <wp:docPr id="155" name="Frame15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133985" cy="175260"/>
                      <wp:effectExtent l="0" t="0" r="0" b="0"/>
                      <wp:wrapNone/>
                      <wp:docPr id="156" name="Frame15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429260" cy="175260"/>
                      <wp:effectExtent l="0" t="0" r="0" b="0"/>
                      <wp:wrapNone/>
                      <wp:docPr id="157" name="Frame15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97790" cy="175260"/>
                      <wp:effectExtent l="0" t="0" r="0" b="0"/>
                      <wp:wrapNone/>
                      <wp:docPr id="158" name="Frame158"/>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911" w:type="dxa"/>
            <w:tcBorders/>
            <w:vAlign w:val="center"/>
          </w:tcPr>
          <w:p>
            <w:pPr>
              <w:pStyle w:val="TableContents"/>
              <w:bidi w:val="0"/>
              <w:spacing w:before="0" w:after="1"/>
              <w:ind w:left="0" w:right="0" w:hanging="0"/>
              <w:jc w:val="left"/>
              <w:rPr/>
            </w:pPr>
            <w:r>
              <w:rPr/>
              <w:t>​</w:t>
            </w:r>
          </w:p>
        </w:tc>
        <w:tc>
          <w:tcPr>
            <w:tcW w:w="1673"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09" w:type="dxa"/>
            <w:tcBorders/>
            <w:vAlign w:val="center"/>
          </w:tcPr>
          <w:p>
            <w:pPr>
              <w:pStyle w:val="TableContents"/>
              <w:bidi w:val="0"/>
              <w:spacing w:before="0" w:after="1"/>
              <w:ind w:left="0" w:right="0" w:hanging="0"/>
              <w:jc w:val="left"/>
              <w:rPr/>
            </w:pPr>
            <w:r>
              <w:rPr/>
              <w:t>​</w:t>
            </w:r>
          </w:p>
        </w:tc>
        <w:tc>
          <w:tcPr>
            <w:tcW w:w="1883"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154" w:type="dxa"/>
            <w:tcBorders/>
            <w:vAlign w:val="center"/>
          </w:tcPr>
          <w:p>
            <w:pPr>
              <w:pStyle w:val="TableContents"/>
              <w:bidi w:val="0"/>
              <w:spacing w:before="0" w:after="1"/>
              <w:ind w:left="0" w:right="0" w:hanging="0"/>
              <w:jc w:val="left"/>
              <w:rPr/>
            </w:pPr>
            <w:r>
              <w:rPr/>
              <w:t>​</w:t>
            </w:r>
          </w:p>
        </w:tc>
      </w:tr>
      <w:tr>
        <w:trPr/>
        <w:tc>
          <w:tcPr>
            <w:tcW w:w="2911" w:type="dxa"/>
            <w:tcBorders/>
            <w:vAlign w:val="center"/>
          </w:tcPr>
          <w:p>
            <w:pPr>
              <w:pStyle w:val="TableContents"/>
              <w:bidi w:val="0"/>
              <w:spacing w:before="0" w:after="1"/>
              <w:ind w:left="0" w:right="0" w:hanging="0"/>
              <w:jc w:val="left"/>
              <w:rPr/>
            </w:pPr>
            <w:r>
              <w:rPr/>
              <w:t>​</w:t>
            </w:r>
          </w:p>
        </w:tc>
        <w:tc>
          <w:tcPr>
            <w:tcW w:w="167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09" w:type="dxa"/>
            <w:tcBorders/>
            <w:vAlign w:val="center"/>
          </w:tcPr>
          <w:p>
            <w:pPr>
              <w:pStyle w:val="TableContents"/>
              <w:bidi w:val="0"/>
              <w:spacing w:before="0" w:after="1"/>
              <w:ind w:left="0" w:right="0" w:hanging="0"/>
              <w:jc w:val="left"/>
              <w:rPr/>
            </w:pPr>
            <w:r>
              <w:rPr/>
              <w:t>​</w:t>
            </w:r>
          </w:p>
        </w:tc>
        <w:tc>
          <w:tcPr>
            <w:tcW w:w="188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54" w:type="dxa"/>
            <w:tcBorders/>
            <w:vAlign w:val="center"/>
          </w:tcPr>
          <w:p>
            <w:pPr>
              <w:pStyle w:val="TableContents"/>
              <w:bidi w:val="0"/>
              <w:spacing w:before="0" w:after="1"/>
              <w:ind w:left="0" w:right="0" w:hanging="0"/>
              <w:jc w:val="left"/>
              <w:rPr/>
            </w:pPr>
            <w:r>
              <w:rPr/>
              <w:t>​</w:t>
            </w:r>
          </w:p>
        </w:tc>
      </w:tr>
      <w:tr>
        <w:trPr/>
        <w:tc>
          <w:tcPr>
            <w:tcW w:w="2911" w:type="dxa"/>
            <w:tcBorders/>
            <w:vAlign w:val="center"/>
          </w:tcPr>
          <w:p>
            <w:pPr>
              <w:pStyle w:val="TableContents"/>
              <w:bidi w:val="0"/>
              <w:spacing w:before="0" w:after="1"/>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1"/>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54" w:type="dxa"/>
            <w:tcBorders/>
            <w:vAlign w:val="center"/>
          </w:tcPr>
          <w:p>
            <w:pPr>
              <w:pStyle w:val="TableContents"/>
              <w:bidi w:val="0"/>
              <w:spacing w:before="0" w:after="1"/>
              <w:ind w:left="0" w:right="0" w:hanging="0"/>
              <w:jc w:val="left"/>
              <w:rPr/>
            </w:pPr>
            <w:r>
              <w:rPr/>
              <w:t>​</w:t>
            </w:r>
          </w:p>
        </w:tc>
      </w:tr>
      <w:tr>
        <w:trPr/>
        <w:tc>
          <w:tcPr>
            <w:tcW w:w="291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Operating lease cost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5,556</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5,135</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11,264</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10,048</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291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Finance lease cost: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29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Amortization of right-of-use assets</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231</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29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on lease liabilities</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154" w:type="dxa"/>
            <w:tcBorders/>
            <w:vAlign w:val="center"/>
          </w:tcPr>
          <w:p>
            <w:pPr>
              <w:pStyle w:val="TableContents"/>
              <w:bidi w:val="0"/>
              <w:spacing w:before="0" w:after="1"/>
              <w:ind w:left="0" w:right="0" w:hanging="0"/>
              <w:jc w:val="left"/>
              <w:rPr/>
            </w:pPr>
            <w:r>
              <w:rPr/>
              <w:t>​</w:t>
            </w:r>
          </w:p>
        </w:tc>
      </w:tr>
      <w:tr>
        <w:trPr/>
        <w:tc>
          <w:tcPr>
            <w:tcW w:w="29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lease cost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5,676</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5,196</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11,513</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10,154</w:t>
            </w:r>
          </w:p>
        </w:tc>
        <w:tc>
          <w:tcPr>
            <w:tcW w:w="154"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sz w:val="20"/>
        </w:rPr>
        <w:t>Future minimum lease payments under non-cancelable leases at June 30, 2026 are as follows (in thousands):</w:t>
      </w:r>
    </w:p>
    <w:p>
      <w:pPr>
        <w:pStyle w:val="TextBody"/>
        <w:bidi w:val="0"/>
        <w:spacing w:before="0" w:after="0"/>
        <w:ind w:left="0" w:right="0" w:hanging="0"/>
        <w:jc w:val="left"/>
        <w:rPr/>
      </w:pPr>
      <w:r>
        <w:rPr/>
        <w:t>​</w:t>
      </w:r>
    </w:p>
    <w:tbl>
      <w:tblPr>
        <w:tblW w:w="6082" w:type="dxa"/>
        <w:jc w:val="left"/>
        <w:tblInd w:w="0" w:type="dxa"/>
        <w:tblLayout w:type="fixed"/>
        <w:tblCellMar>
          <w:top w:w="0" w:type="dxa"/>
          <w:left w:w="0" w:type="dxa"/>
          <w:bottom w:w="0" w:type="dxa"/>
          <w:right w:w="0" w:type="dxa"/>
        </w:tblCellMar>
      </w:tblPr>
      <w:tblGrid>
        <w:gridCol w:w="3541"/>
        <w:gridCol w:w="346"/>
        <w:gridCol w:w="211"/>
        <w:gridCol w:w="901"/>
        <w:gridCol w:w="346"/>
        <w:gridCol w:w="211"/>
        <w:gridCol w:w="526"/>
      </w:tblGrid>
      <w:tr>
        <w:trPr/>
        <w:tc>
          <w:tcPr>
            <w:tcW w:w="3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248535" cy="175260"/>
                      <wp:effectExtent l="0" t="0" r="0" b="0"/>
                      <wp:wrapNone/>
                      <wp:docPr id="159" name="Frame159"/>
                      <a:graphic xmlns:a="http://schemas.openxmlformats.org/drawingml/2006/main">
                        <a:graphicData uri="http://schemas.microsoft.com/office/word/2010/wordprocessingShape">
                          <wps:wsp>
                            <wps:cNvSpPr txBox="1"/>
                            <wps:spPr>
                              <a:xfrm>
                                <a:off x="0" y="0"/>
                                <a:ext cx="2248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219710" cy="175260"/>
                      <wp:effectExtent l="0" t="0" r="0" b="0"/>
                      <wp:wrapNone/>
                      <wp:docPr id="160" name="Frame1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133985" cy="175260"/>
                      <wp:effectExtent l="0" t="0" r="0" b="0"/>
                      <wp:wrapNone/>
                      <wp:docPr id="161" name="Frame16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572135" cy="175260"/>
                      <wp:effectExtent l="0" t="0" r="0" b="0"/>
                      <wp:wrapNone/>
                      <wp:docPr id="162" name="Frame162"/>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19710" cy="175260"/>
                      <wp:effectExtent l="0" t="0" r="0" b="0"/>
                      <wp:wrapNone/>
                      <wp:docPr id="163" name="Frame1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133985" cy="175260"/>
                      <wp:effectExtent l="0" t="0" r="0" b="0"/>
                      <wp:wrapNone/>
                      <wp:docPr id="164" name="Frame16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334010" cy="175260"/>
                      <wp:effectExtent l="0" t="0" r="0" b="0"/>
                      <wp:wrapNone/>
                      <wp:docPr id="165" name="Frame165"/>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5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11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Operating</w:t>
            </w:r>
          </w:p>
        </w:tc>
        <w:tc>
          <w:tcPr>
            <w:tcW w:w="346" w:type="dxa"/>
            <w:tcBorders/>
            <w:vAlign w:val="center"/>
          </w:tcPr>
          <w:p>
            <w:pPr>
              <w:pStyle w:val="TableContents"/>
              <w:bidi w:val="0"/>
              <w:spacing w:before="0" w:after="1"/>
              <w:ind w:left="0" w:right="0" w:hanging="0"/>
              <w:jc w:val="left"/>
              <w:rPr/>
            </w:pPr>
            <w:r>
              <w:rPr/>
              <w:t>  ​ ​ ​</w:t>
            </w:r>
          </w:p>
        </w:tc>
        <w:tc>
          <w:tcPr>
            <w:tcW w:w="73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Finance</w:t>
            </w:r>
          </w:p>
        </w:tc>
      </w:tr>
      <w:tr>
        <w:trPr/>
        <w:tc>
          <w:tcPr>
            <w:tcW w:w="35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Leases </w:t>
            </w:r>
          </w:p>
        </w:tc>
        <w:tc>
          <w:tcPr>
            <w:tcW w:w="346" w:type="dxa"/>
            <w:tcBorders/>
            <w:vAlign w:val="center"/>
          </w:tcPr>
          <w:p>
            <w:pPr>
              <w:pStyle w:val="TableContents"/>
              <w:bidi w:val="0"/>
              <w:spacing w:before="0" w:after="1"/>
              <w:ind w:left="0" w:right="0" w:hanging="0"/>
              <w:jc w:val="left"/>
              <w:rPr/>
            </w:pPr>
            <w:r>
              <w:rPr/>
              <w:t>​</w:t>
            </w:r>
          </w:p>
        </w:tc>
        <w:tc>
          <w:tcPr>
            <w:tcW w:w="73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Leases </w:t>
            </w:r>
          </w:p>
        </w:tc>
      </w:tr>
      <w:tr>
        <w:trPr/>
        <w:tc>
          <w:tcPr>
            <w:tcW w:w="35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Year 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13,700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163</w:t>
            </w:r>
          </w:p>
        </w:tc>
      </w:tr>
      <w:tr>
        <w:trPr/>
        <w:tc>
          <w:tcPr>
            <w:tcW w:w="35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Year 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14,932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273</w:t>
            </w:r>
          </w:p>
        </w:tc>
      </w:tr>
      <w:tr>
        <w:trPr/>
        <w:tc>
          <w:tcPr>
            <w:tcW w:w="35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Year 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13,924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w:t>
            </w:r>
          </w:p>
        </w:tc>
      </w:tr>
      <w:tr>
        <w:trPr/>
        <w:tc>
          <w:tcPr>
            <w:tcW w:w="35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Year 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13,666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r>
      <w:tr>
        <w:trPr/>
        <w:tc>
          <w:tcPr>
            <w:tcW w:w="35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Year 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12,430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26" w:type="dxa"/>
            <w:tcBorders/>
            <w:shd w:fill="CCEEFF" w:val="clear"/>
            <w:vAlign w:val="center"/>
          </w:tcPr>
          <w:p>
            <w:pPr>
              <w:pStyle w:val="TableContents"/>
              <w:bidi w:val="0"/>
              <w:spacing w:before="0" w:after="1"/>
              <w:ind w:left="0" w:right="0" w:hanging="0"/>
              <w:jc w:val="right"/>
              <w:rPr/>
            </w:pPr>
            <w:r>
              <w:rPr/>
              <w:t>—</w:t>
            </w:r>
          </w:p>
        </w:tc>
      </w:tr>
      <w:tr>
        <w:trPr/>
        <w:tc>
          <w:tcPr>
            <w:tcW w:w="35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Years thereafter</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617,743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2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35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future minimum lease payments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686,395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580</w:t>
            </w:r>
          </w:p>
        </w:tc>
      </w:tr>
      <w:tr>
        <w:trPr/>
        <w:tc>
          <w:tcPr>
            <w:tcW w:w="35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amount representing interest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(523,252)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w:t>
            </w:r>
          </w:p>
        </w:tc>
      </w:tr>
      <w:tr>
        <w:trPr/>
        <w:tc>
          <w:tcPr>
            <w:tcW w:w="35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present value of minimum payments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163,143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2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537</w:t>
            </w:r>
          </w:p>
        </w:tc>
      </w:tr>
    </w:tbl>
    <w:p>
      <w:pPr>
        <w:pStyle w:val="TextBody"/>
        <w:bidi w:val="0"/>
        <w:spacing w:before="0" w:after="0"/>
        <w:ind w:left="0" w:right="0" w:hanging="0"/>
        <w:jc w:val="left"/>
        <w:rPr/>
      </w:pPr>
      <w:r>
        <w:rPr/>
        <w:t>​</w:t>
      </w:r>
    </w:p>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sz w:val="20"/>
        </w:rPr>
        <w:t>The remaining lease term and discount rate for the Company’s leases are as follows:</w:t>
      </w:r>
    </w:p>
    <w:p>
      <w:pPr>
        <w:pStyle w:val="TextBody"/>
        <w:bidi w:val="0"/>
        <w:spacing w:before="0" w:after="0"/>
        <w:ind w:left="0" w:right="0" w:hanging="0"/>
        <w:jc w:val="left"/>
        <w:rPr/>
      </w:pPr>
      <w:r>
        <w:rPr/>
        <w:t>​</w:t>
      </w:r>
    </w:p>
    <w:tbl>
      <w:tblPr>
        <w:tblW w:w="4428" w:type="dxa"/>
        <w:jc w:val="left"/>
        <w:tblInd w:w="0" w:type="dxa"/>
        <w:tblLayout w:type="fixed"/>
        <w:tblCellMar>
          <w:top w:w="0" w:type="dxa"/>
          <w:left w:w="0" w:type="dxa"/>
          <w:bottom w:w="0" w:type="dxa"/>
          <w:right w:w="0" w:type="dxa"/>
        </w:tblCellMar>
      </w:tblPr>
      <w:tblGrid>
        <w:gridCol w:w="3391"/>
        <w:gridCol w:w="466"/>
        <w:gridCol w:w="571"/>
      </w:tblGrid>
      <w:tr>
        <w:trPr/>
        <w:tc>
          <w:tcPr>
            <w:tcW w:w="3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153285" cy="175260"/>
                      <wp:effectExtent l="0" t="0" r="0" b="0"/>
                      <wp:wrapNone/>
                      <wp:docPr id="166" name="Frame166"/>
                      <a:graphic xmlns:a="http://schemas.openxmlformats.org/drawingml/2006/main">
                        <a:graphicData uri="http://schemas.microsoft.com/office/word/2010/wordprocessingShape">
                          <wps:wsp>
                            <wps:cNvSpPr txBox="1"/>
                            <wps:spPr>
                              <a:xfrm>
                                <a:off x="0" y="0"/>
                                <a:ext cx="2153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295910" cy="175260"/>
                      <wp:effectExtent l="0" t="0" r="0" b="0"/>
                      <wp:wrapNone/>
                      <wp:docPr id="167" name="Frame167"/>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362585" cy="175260"/>
                      <wp:effectExtent l="0" t="0" r="0" b="0"/>
                      <wp:wrapNone/>
                      <wp:docPr id="168" name="Frame16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3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Weighted-average remaining lease term:</w:t>
            </w:r>
          </w:p>
        </w:tc>
        <w:tc>
          <w:tcPr>
            <w:tcW w:w="46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left"/>
              <w:rPr/>
            </w:pPr>
            <w:r>
              <w:rPr/>
              <w:t>​</w:t>
            </w:r>
          </w:p>
        </w:tc>
      </w:tr>
      <w:tr>
        <w:trPr/>
        <w:tc>
          <w:tcPr>
            <w:tcW w:w="33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leases</w:t>
            </w:r>
          </w:p>
        </w:tc>
        <w:tc>
          <w:tcPr>
            <w:tcW w:w="4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39.1</w:t>
            </w:r>
          </w:p>
        </w:tc>
        <w:tc>
          <w:tcPr>
            <w:tcW w:w="5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years</w:t>
            </w:r>
          </w:p>
        </w:tc>
      </w:tr>
      <w:tr>
        <w:trPr/>
        <w:tc>
          <w:tcPr>
            <w:tcW w:w="33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Finance leases</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c>
          <w:tcPr>
            <w:tcW w:w="5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years</w:t>
            </w:r>
          </w:p>
        </w:tc>
      </w:tr>
      <w:tr>
        <w:trPr/>
        <w:tc>
          <w:tcPr>
            <w:tcW w:w="33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Weighted-average discount rate:</w:t>
            </w:r>
          </w:p>
        </w:tc>
        <w:tc>
          <w:tcPr>
            <w:tcW w:w="46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left"/>
              <w:rPr/>
            </w:pPr>
            <w:r>
              <w:rPr/>
              <w:t>​</w:t>
            </w:r>
          </w:p>
        </w:tc>
      </w:tr>
      <w:tr>
        <w:trPr/>
        <w:tc>
          <w:tcPr>
            <w:tcW w:w="33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leases</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w:t>
            </w:r>
          </w:p>
        </w:tc>
        <w:tc>
          <w:tcPr>
            <w:tcW w:w="5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3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Finance leases</w:t>
            </w:r>
          </w:p>
        </w:tc>
        <w:tc>
          <w:tcPr>
            <w:tcW w:w="4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w:t>
            </w:r>
          </w:p>
        </w:tc>
        <w:tc>
          <w:tcPr>
            <w:tcW w:w="5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9. STOCK PLANS: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During the six months ended June 30, 2026, the Company granted 0.2 million restricted stock units with a weighted-average grant date fair value of $102.06 per unit. There were 0.5 million restricted stock units outstanding at each of June 30, 2026 and December 31, 2025.</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Compensation expense for the Company’s equity-based compensation plans was $3.8 million and $3.5 million for the three months ended June 30, 2026 and 2025, respectively, and $7.6 million and $7.1 million for the six months ended June 30, 2026 and 2025, respectively.</w:t>
      </w:r>
    </w:p>
    <w:p>
      <w:pPr>
        <w:pStyle w:val="TextBody"/>
        <w:bidi w:val="0"/>
        <w:spacing w:before="0" w:after="240"/>
        <w:ind w:left="0" w:right="0" w:hanging="0"/>
        <w:jc w:val="left"/>
        <w:rPr>
          <w:shd w:fill="FFFFFF" w:val="clear"/>
        </w:rPr>
      </w:pPr>
      <w:r>
        <w:rPr>
          <w:shd w:fill="FFFFFF" w:val="clea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10. INCOME TAXES: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 Company elected to be taxed as a REIT effective January 1, 2013, pursuant to the U.S. Internal Revenue Code of 1986, as amended. As a REIT, generally the Company is not subject to federal corporate income taxes on ordinary taxable income and capital gains income from real estate investments that it distributes to its stockholders. The Company continues to be required to pay federal and state corporate income taxes on earnings of its taxable REIT subsidiaries (“TRSs”).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For the three months ended June 30, 2026 and 2025, the Company recorded an income tax provision of $12.1 million and $7.8 million, respectively, related to its TRSs. For the six months ended June 30, 2026 and 2025, the Company recorded an income tax provision of $19.0 million and $12.0 million, respectively, related to its TRSs.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At June 30, 2026 and December 31, 2025, the Company had no unrecognized tax benefits.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11. COMMITMENTS AND CONTINGENCIES: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On April 9, 2024, the Company received service of process in a lawsuit naming the Company and a subsidiary as co-defendants with Marriott, as the manager, and multiple contractors in a personal injury lawsuit filed by individual plaintiffs in Colorado state court. The lawsuit relates to a May 2023 incident at the Gaylord Rockies indoor pool amenity involving the collapse of HVAC equipment. The complaint as amended requests an unspecified amount of damages related to alleged injuries to three guests and related claims by their families. The discovery phase of the litigation is ongoing at this time. The Company cannot predict its likely outcome or estimate the range of possible loss but does not believe that the outcome will have a material impact on the Company’s financial position. The Company intends to vigorously defend the lawsuit and believes it has strong defenses.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 Company has entered into employment agreements with certain officers, which provide for severance payments upon certain events, including certain terminations in connection with a change of control.</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In addition, the Company, in the ordinary course of business, is involved in certain legal actions and claims on a variety of matters. It is the opinion of management that such contingencies will not have a material effect on the financial statements of the Company.</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12. EQUITY</w:t>
      </w:r>
    </w:p>
    <w:p>
      <w:pPr>
        <w:pStyle w:val="TextBody"/>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Dividends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On February 23, 2026, the Company’s board of directors declared the Company’s first quarter 2026 cash dividend in the amount of $1.20 per share of common stock, or an aggregate of approximately $76.2 million in cash, which was paid on April 15, 2026 to stockholders of record as of the close of business on March 31, 2026.</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On May 7, 2026, the Company’s board of directors declared the Company’s second quarter 2026 cash dividend in the amount of $1.20 per share of common stock, or an aggregate of approximately $76.2 million in cash, which was paid on July 15, 2026 to stockholders of record as of the close of business on June 30, 2026.</w:t>
      </w:r>
    </w:p>
    <w:p>
      <w:pPr>
        <w:pStyle w:val="TextBody"/>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Noncontrolling Interest in the Operating Partnership</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 Company consolidates the Operating Partnership, which is a majority-owned limited partnership that has a noncontrolling interest. The outstanding OP Units held by the noncontrolling limited partners are redeemable for cash, or if the Company so elects, in shares of the Company’s common stock on a one-for-one basis, subject to certain adjustments. At June 30, 2026, 0.4 million outstanding OP Units, or 0.6% of the outstanding OP Units, were held by the noncontrolling limited partners and are included as a component of equity in the accompanying condensed consolidated balance sheets. The Company owns, directly or indirectly, the remaining 99.4% of the outstanding OP Units.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13. FAIR VALUE MEASUREMENTS: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 Company uses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 investments held by the Company in connection with its deferred compensation plan consist of mutual funds traded in an active market. The Company determined the fair value of these mutual funds based on the net asset value per unit of the funds or the portfolio, which is based upon quoted market prices in an active market. Therefore, the Company has categorized these investments as Level 1.</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bookmarkStart w:id="1139" w:name="Tc_GsYfVsmbr0m0gEKgAYRwlg_6_12"/>
      <w:bookmarkStart w:id="1140" w:name="Tc_IO0ipRICnUGoHcwXbT7iNQ_6_11"/>
      <w:bookmarkStart w:id="1141" w:name="Tc_Xu9Ik98F6EChK5EgVijVNQ_6_8"/>
      <w:bookmarkStart w:id="1142" w:name="Tc_lj5nnJ91U0OGQMOMNhMJ_Q_6_5"/>
      <w:bookmarkStart w:id="1143" w:name="Tc_s3XiI6cDFEiYsccjG8tA1Q_6_2"/>
      <w:bookmarkStart w:id="1144" w:name="Tc_CXUoiEsYMEGBgLNosk1kOw_6_0"/>
      <w:bookmarkStart w:id="1145" w:name="Tc_zp5Q4IqeK02Kx61_c-Lw7A_5_12"/>
      <w:bookmarkStart w:id="1146" w:name="Tc_fTYXIltq00iNNaVQytk9Eg_5_6"/>
      <w:bookmarkStart w:id="1147" w:name="Tc_h3mDzuJadUm6VjQgjJSRvg_5_0"/>
      <w:bookmarkStart w:id="1148" w:name="Tc_ZjaofpLg806KnFtSS0sRng_4_12"/>
      <w:bookmarkStart w:id="1149" w:name="Tc_06HpTxSFekOI2cxVypyufg_4_11"/>
      <w:bookmarkStart w:id="1150" w:name="Tc_iQEIiZOUIU2ne7ptqTE6tg_4_9"/>
      <w:bookmarkStart w:id="1151" w:name="Tc_5hX8hoj9ek2yX3I4bcnSzw_4_8"/>
      <w:bookmarkStart w:id="1152" w:name="Tc_5qgVzm6IQkGHMtxCqAVyZg_4_5"/>
      <w:bookmarkStart w:id="1153" w:name="Tc_NVApZDsgdkG8jEYTzLfZ_A_4_2"/>
      <w:bookmarkStart w:id="1154" w:name="Tc_XoQgfzJ9eU26JwXPjdonZg_4_0"/>
      <w:bookmarkStart w:id="1155" w:name="Tc_7kvX1sXRMkmV5P5MeEIEUA_3_11"/>
      <w:bookmarkStart w:id="1156" w:name="Tc_8n2B43PXnEW4eqiPWU4s2g_3_8"/>
      <w:bookmarkStart w:id="1157" w:name="Tc_qzhqtFi_IEqzIZu_P-ws7g_3_5"/>
      <w:bookmarkStart w:id="1158" w:name="Tc_rEDy5uqu1UyZGUW4Vmsx4Q_3_2"/>
      <w:bookmarkStart w:id="1159" w:name="Tc_AXgfknhwqUaRYrEFTo6A0g_2_11"/>
      <w:bookmarkStart w:id="1160" w:name="Tc_C9jERw13rkqQQXWXNQIoPQ_2_8"/>
      <w:bookmarkStart w:id="1161" w:name="Tc_5Wqq2gm0b0OprjhqoM9Ffg_2_5"/>
      <w:bookmarkStart w:id="1162" w:name="Tc_rbPTiKYsZEmXrRczlnpOmw_2_2"/>
      <w:bookmarkStart w:id="1163" w:name="Tc_WF6nB972skidGFmgreghyA_1_11"/>
      <w:bookmarkStart w:id="1164" w:name="Tc_OVU2NsSxlUavtEXNPQ-eJA_1_8"/>
      <w:bookmarkStart w:id="1165" w:name="Tc_r3kyY02VAEKqrkrpHjgADA_1_5"/>
      <w:bookmarkStart w:id="1166" w:name="_9d887410_76ab_455b_b682_fa00ae68b9e4"/>
      <w:bookmarkStart w:id="1167" w:name="Tc_-v3AXS2bD0yGdELr_AQNbA_6_12"/>
      <w:bookmarkStart w:id="1168" w:name="Tc_kw2Xeamib0aWJ6qTXw6fLQ_6_11"/>
      <w:bookmarkStart w:id="1169" w:name="Tc_y12z9QJb6EiWZPs5ic7qSw_6_8"/>
      <w:bookmarkStart w:id="1170" w:name="Tc_tUUpNAa5I0K-4Yt5FQJefQ_6_5"/>
      <w:bookmarkStart w:id="1171" w:name="Tc_Bhl_QYzI0UqYwBkw4IS2WQ_6_2"/>
      <w:bookmarkStart w:id="1172" w:name="Tc_CFGvXmgkf0CLiLGQEBOsRQ_6_0"/>
      <w:bookmarkStart w:id="1173" w:name="Tc_FlO-hKbd50WE6auaXRGGaA_5_12"/>
      <w:bookmarkStart w:id="1174" w:name="Tc_vy-ZrEq9ZEOSr8bDQIMhaQ_5_6"/>
      <w:bookmarkStart w:id="1175" w:name="Tc_VHA5SP2cwUOEnox1QeINFQ_5_0"/>
      <w:bookmarkStart w:id="1176" w:name="Tc_AplVm5fXwUGtbfqzv_yHGA_4_12"/>
      <w:bookmarkStart w:id="1177" w:name="Tc_piXgUR9LL0q84UwrQhDa9A_4_11"/>
      <w:bookmarkStart w:id="1178" w:name="Tc_uQtU257iSkCYYcJnkQmKiA_4_9"/>
      <w:bookmarkStart w:id="1179" w:name="Tc_6lYKpfnlwkmBmjpZ7PH0sA_4_8"/>
      <w:bookmarkStart w:id="1180" w:name="Tc_uOAlZRWk2EWvpg2VI6JUfA_4_5"/>
      <w:bookmarkStart w:id="1181" w:name="Tc_NLKCOba6KEuG2-j_bFUYuA_4_2"/>
      <w:bookmarkStart w:id="1182" w:name="Tc__KChfA8MtUqyxzj0k4P7dg_4_0"/>
      <w:bookmarkStart w:id="1183" w:name="Tc_HDwIDe62oUmS2_aDDorGaA_3_11"/>
      <w:bookmarkStart w:id="1184" w:name="Tc_YneErJtwz0Of1DszNyyEng_3_8"/>
      <w:bookmarkStart w:id="1185" w:name="Tc_zYkbTrd1Bk2YyxNDIOrptA_3_5"/>
      <w:bookmarkStart w:id="1186" w:name="Tc_quyQOnbY00OErAk9RiiPrw_3_2"/>
      <w:bookmarkStart w:id="1187" w:name="Tc_0T0xgeP3106htN-CmS8FVQ_2_11"/>
      <w:bookmarkStart w:id="1188" w:name="Tc_UBwkCy4FKUqcuhxXxVBang_2_8"/>
      <w:bookmarkStart w:id="1189" w:name="Tc__sqKMnqSVEK4jiq50V9ttA_2_5"/>
      <w:bookmarkStart w:id="1190" w:name="Tc_bLGu_Ooj2kGmH10BN_JqMw_2_2"/>
      <w:bookmarkStart w:id="1191" w:name="Tc_NTx5S8jdTEi06kuZ3tRzww_1_11"/>
      <w:bookmarkStart w:id="1192" w:name="Tc_WLe3afv6lkqfTkqHgg9yqg_1_8"/>
      <w:bookmarkStart w:id="1193" w:name="Tc__qheJJfPjkaNgGMIeC7USw_1_5"/>
      <w:bookmarkStart w:id="1194" w:name="_02d643f6_1c4f_4b2c_b2a3_b02da07b13db"/>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r>
        <w:rPr>
          <w:rFonts w:ascii="Times New Roman;Times;serif" w:hAnsi="Times New Roman;Times;serif"/>
          <w:sz w:val="20"/>
        </w:rPr>
        <w:t>The Company’s interest rate swaps consist of over-the-counter swap contracts, which are not traded on a public exchange. The Company determines the fair value of these swap contracts based on a widely accepted valuation methodology of netting the discounted future fixed cash flows and the discounted expected variable cash flows, using interest rates derived from observable market interest rate curves and volatilities, with appropriate adjustments for any significant impact of non-performance risk of the parties to the swap contracts. Therefore, these swap contracts have been classified as Level 2.</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 Company has consistently applied the above valuation techniques in all periods presented and believes it has obtained the most accurate information available for each type of instrument.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Company’s assets and liabilities measured at fair value on a recurring basis at June 30, 2026 and December 31, 2025, were as follows (in thousands):</w:t>
      </w:r>
    </w:p>
    <w:tbl>
      <w:tblPr>
        <w:tblW w:w="8980" w:type="dxa"/>
        <w:jc w:val="left"/>
        <w:tblInd w:w="0" w:type="dxa"/>
        <w:tblLayout w:type="fixed"/>
        <w:tblCellMar>
          <w:top w:w="0" w:type="dxa"/>
          <w:left w:w="0" w:type="dxa"/>
          <w:bottom w:w="0" w:type="dxa"/>
          <w:right w:w="0" w:type="dxa"/>
        </w:tblCellMar>
      </w:tblPr>
      <w:tblGrid>
        <w:gridCol w:w="3421"/>
        <w:gridCol w:w="346"/>
        <w:gridCol w:w="211"/>
        <w:gridCol w:w="676"/>
        <w:gridCol w:w="346"/>
        <w:gridCol w:w="289"/>
        <w:gridCol w:w="927"/>
        <w:gridCol w:w="346"/>
        <w:gridCol w:w="251"/>
        <w:gridCol w:w="680"/>
        <w:gridCol w:w="346"/>
        <w:gridCol w:w="363"/>
        <w:gridCol w:w="778"/>
      </w:tblGrid>
      <w:tr>
        <w:trPr/>
        <w:tc>
          <w:tcPr>
            <w:tcW w:w="3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2172335" cy="175260"/>
                      <wp:effectExtent l="0" t="0" r="0" b="0"/>
                      <wp:wrapNone/>
                      <wp:docPr id="169" name="Frame169"/>
                      <a:graphic xmlns:a="http://schemas.openxmlformats.org/drawingml/2006/main">
                        <a:graphicData uri="http://schemas.microsoft.com/office/word/2010/wordprocessingShape">
                          <wps:wsp>
                            <wps:cNvSpPr txBox="1"/>
                            <wps:spPr>
                              <a:xfrm>
                                <a:off x="0" y="0"/>
                                <a:ext cx="2172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219710" cy="175260"/>
                      <wp:effectExtent l="0" t="0" r="0" b="0"/>
                      <wp:wrapNone/>
                      <wp:docPr id="170" name="Frame1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133985" cy="175260"/>
                      <wp:effectExtent l="0" t="0" r="0" b="0"/>
                      <wp:wrapNone/>
                      <wp:docPr id="171" name="Frame17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429260" cy="175260"/>
                      <wp:effectExtent l="0" t="0" r="0" b="0"/>
                      <wp:wrapNone/>
                      <wp:docPr id="172" name="Frame17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19710" cy="175260"/>
                      <wp:effectExtent l="0" t="0" r="0" b="0"/>
                      <wp:wrapNone/>
                      <wp:docPr id="173" name="Frame1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183515" cy="175260"/>
                      <wp:effectExtent l="0" t="0" r="0" b="0"/>
                      <wp:wrapNone/>
                      <wp:docPr id="174" name="Frame174"/>
                      <a:graphic xmlns:a="http://schemas.openxmlformats.org/drawingml/2006/main">
                        <a:graphicData uri="http://schemas.microsoft.com/office/word/2010/wordprocessingShape">
                          <wps:wsp>
                            <wps:cNvSpPr txBox="1"/>
                            <wps:spPr>
                              <a:xfrm>
                                <a:off x="0" y="0"/>
                                <a:ext cx="1835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588645" cy="175260"/>
                      <wp:effectExtent l="0" t="0" r="0" b="0"/>
                      <wp:wrapNone/>
                      <wp:docPr id="175" name="Frame175"/>
                      <a:graphic xmlns:a="http://schemas.openxmlformats.org/drawingml/2006/main">
                        <a:graphicData uri="http://schemas.microsoft.com/office/word/2010/wordprocessingShape">
                          <wps:wsp>
                            <wps:cNvSpPr txBox="1"/>
                            <wps:spPr>
                              <a:xfrm>
                                <a:off x="0" y="0"/>
                                <a:ext cx="5886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219710" cy="175260"/>
                      <wp:effectExtent l="0" t="0" r="0" b="0"/>
                      <wp:wrapNone/>
                      <wp:docPr id="176" name="Frame1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159385" cy="175260"/>
                      <wp:effectExtent l="0" t="0" r="0" b="0"/>
                      <wp:wrapNone/>
                      <wp:docPr id="177" name="Frame177"/>
                      <a:graphic xmlns:a="http://schemas.openxmlformats.org/drawingml/2006/main">
                        <a:graphicData uri="http://schemas.microsoft.com/office/word/2010/wordprocessingShape">
                          <wps:wsp>
                            <wps:cNvSpPr txBox="1"/>
                            <wps:spPr>
                              <a:xfrm>
                                <a:off x="0" y="0"/>
                                <a:ext cx="159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431800" cy="175260"/>
                      <wp:effectExtent l="0" t="0" r="0" b="0"/>
                      <wp:wrapNone/>
                      <wp:docPr id="178" name="Frame178"/>
                      <a:graphic xmlns:a="http://schemas.openxmlformats.org/drawingml/2006/main">
                        <a:graphicData uri="http://schemas.microsoft.com/office/word/2010/wordprocessingShape">
                          <wps:wsp>
                            <wps:cNvSpPr txBox="1"/>
                            <wps:spPr>
                              <a:xfrm>
                                <a:off x="0" y="0"/>
                                <a:ext cx="431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219710" cy="175260"/>
                      <wp:effectExtent l="0" t="0" r="0" b="0"/>
                      <wp:wrapNone/>
                      <wp:docPr id="179" name="Frame1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30505" cy="175260"/>
                      <wp:effectExtent l="0" t="0" r="0" b="0"/>
                      <wp:wrapNone/>
                      <wp:docPr id="180" name="Frame180"/>
                      <a:graphic xmlns:a="http://schemas.openxmlformats.org/drawingml/2006/main">
                        <a:graphicData uri="http://schemas.microsoft.com/office/word/2010/wordprocessingShape">
                          <wps:wsp>
                            <wps:cNvSpPr txBox="1"/>
                            <wps:spPr>
                              <a:xfrm>
                                <a:off x="0" y="0"/>
                                <a:ext cx="2305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494030" cy="175260"/>
                      <wp:effectExtent l="0" t="0" r="0" b="0"/>
                      <wp:wrapNone/>
                      <wp:docPr id="181" name="Frame181"/>
                      <a:graphic xmlns:a="http://schemas.openxmlformats.org/drawingml/2006/main">
                        <a:graphicData uri="http://schemas.microsoft.com/office/word/2010/wordprocessingShape">
                          <wps:wsp>
                            <wps:cNvSpPr txBox="1"/>
                            <wps:spPr>
                              <a:xfrm>
                                <a:off x="0" y="0"/>
                                <a:ext cx="4940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Markets for</w:t>
            </w:r>
          </w:p>
        </w:tc>
        <w:tc>
          <w:tcPr>
            <w:tcW w:w="346" w:type="dxa"/>
            <w:tcBorders/>
            <w:vAlign w:val="center"/>
          </w:tcPr>
          <w:p>
            <w:pPr>
              <w:pStyle w:val="TableContents"/>
              <w:bidi w:val="0"/>
              <w:spacing w:before="0" w:after="0"/>
              <w:ind w:left="0" w:right="0" w:hanging="0"/>
              <w:jc w:val="left"/>
              <w:rPr/>
            </w:pPr>
            <w:r>
              <w:rPr/>
              <w:t>  ​ ​ ​</w:t>
            </w:r>
          </w:p>
        </w:tc>
        <w:tc>
          <w:tcPr>
            <w:tcW w:w="93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Observable</w:t>
            </w:r>
          </w:p>
        </w:tc>
        <w:tc>
          <w:tcPr>
            <w:tcW w:w="346" w:type="dxa"/>
            <w:tcBorders/>
            <w:vAlign w:val="center"/>
          </w:tcPr>
          <w:p>
            <w:pPr>
              <w:pStyle w:val="TableContents"/>
              <w:bidi w:val="0"/>
              <w:spacing w:before="0" w:after="0"/>
              <w:ind w:left="0" w:right="0" w:hanging="0"/>
              <w:jc w:val="left"/>
              <w:rPr/>
            </w:pPr>
            <w:r>
              <w:rPr/>
              <w:t>  ​ ​ ​</w:t>
            </w:r>
          </w:p>
        </w:tc>
        <w:tc>
          <w:tcPr>
            <w:tcW w:w="114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Unobservable</w:t>
            </w:r>
          </w:p>
        </w:tc>
      </w:tr>
      <w:tr>
        <w:trPr/>
        <w:tc>
          <w:tcPr>
            <w:tcW w:w="34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Identical Assets</w:t>
            </w:r>
          </w:p>
        </w:tc>
        <w:tc>
          <w:tcPr>
            <w:tcW w:w="346" w:type="dxa"/>
            <w:tcBorders/>
            <w:vAlign w:val="center"/>
          </w:tcPr>
          <w:p>
            <w:pPr>
              <w:pStyle w:val="TableContents"/>
              <w:bidi w:val="0"/>
              <w:spacing w:before="0" w:after="0"/>
              <w:ind w:left="0" w:right="0" w:hanging="0"/>
              <w:jc w:val="left"/>
              <w:rPr/>
            </w:pPr>
            <w:r>
              <w:rPr/>
              <w:t>​</w:t>
            </w:r>
          </w:p>
        </w:tc>
        <w:tc>
          <w:tcPr>
            <w:tcW w:w="93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Inputs</w:t>
            </w:r>
          </w:p>
        </w:tc>
        <w:tc>
          <w:tcPr>
            <w:tcW w:w="346" w:type="dxa"/>
            <w:tcBorders/>
            <w:vAlign w:val="center"/>
          </w:tcPr>
          <w:p>
            <w:pPr>
              <w:pStyle w:val="TableContents"/>
              <w:bidi w:val="0"/>
              <w:spacing w:before="0" w:after="0"/>
              <w:ind w:left="0" w:right="0" w:hanging="0"/>
              <w:jc w:val="left"/>
              <w:rPr/>
            </w:pPr>
            <w:r>
              <w:rPr/>
              <w:t>​</w:t>
            </w:r>
          </w:p>
        </w:tc>
        <w:tc>
          <w:tcPr>
            <w:tcW w:w="114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Inputs</w:t>
            </w:r>
          </w:p>
        </w:tc>
      </w:tr>
      <w:tr>
        <w:trPr/>
        <w:tc>
          <w:tcPr>
            <w:tcW w:w="34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46" w:type="dxa"/>
            <w:tcBorders/>
            <w:vAlign w:val="center"/>
          </w:tcPr>
          <w:p>
            <w:pPr>
              <w:pStyle w:val="TableContents"/>
              <w:bidi w:val="0"/>
              <w:spacing w:before="0" w:after="0"/>
              <w:ind w:left="0" w:right="0" w:hanging="0"/>
              <w:jc w:val="left"/>
              <w:rPr/>
            </w:pPr>
            <w:r>
              <w:rPr/>
              <w:t>​</w:t>
            </w:r>
          </w:p>
        </w:tc>
        <w:tc>
          <w:tcPr>
            <w:tcW w:w="9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46" w:type="dxa"/>
            <w:tcBorders/>
            <w:vAlign w:val="center"/>
          </w:tcPr>
          <w:p>
            <w:pPr>
              <w:pStyle w:val="TableContents"/>
              <w:bidi w:val="0"/>
              <w:spacing w:before="0" w:after="0"/>
              <w:ind w:left="0" w:right="0" w:hanging="0"/>
              <w:jc w:val="left"/>
              <w:rPr/>
            </w:pPr>
            <w:r>
              <w:rPr/>
              <w:t>​</w:t>
            </w:r>
          </w:p>
        </w:tc>
        <w:tc>
          <w:tcPr>
            <w:tcW w:w="11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34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compensation plan investments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48,059</w:t>
            </w:r>
          </w:p>
        </w:tc>
        <w:tc>
          <w:tcPr>
            <w:tcW w:w="346" w:type="dxa"/>
            <w:tcBorders/>
            <w:shd w:fill="CCEEFF" w:val="clear"/>
            <w:vAlign w:val="center"/>
          </w:tcPr>
          <w:p>
            <w:pPr>
              <w:pStyle w:val="TableContents"/>
              <w:bidi w:val="0"/>
              <w:spacing w:before="0" w:after="0"/>
              <w:ind w:left="0" w:right="0" w:hanging="0"/>
              <w:jc w:val="left"/>
              <w:rPr/>
            </w:pPr>
            <w:r>
              <w:rPr/>
              <w:t>​</w:t>
            </w:r>
          </w:p>
        </w:tc>
        <w:tc>
          <w:tcPr>
            <w:tcW w:w="28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48,059</w:t>
            </w:r>
          </w:p>
        </w:tc>
        <w:tc>
          <w:tcPr>
            <w:tcW w:w="346"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8" w:type="dxa"/>
            <w:tcBorders/>
            <w:shd w:fill="CCEEFF" w:val="clear"/>
            <w:vAlign w:val="center"/>
          </w:tcPr>
          <w:p>
            <w:pPr>
              <w:pStyle w:val="TableContents"/>
              <w:bidi w:val="0"/>
              <w:spacing w:before="0" w:after="0"/>
              <w:ind w:left="0" w:right="0" w:hanging="0"/>
              <w:jc w:val="right"/>
              <w:rPr/>
            </w:pPr>
            <w:r>
              <w:rPr/>
              <w:t>—</w:t>
            </w:r>
          </w:p>
        </w:tc>
      </w:tr>
      <w:tr>
        <w:trPr/>
        <w:tc>
          <w:tcPr>
            <w:tcW w:w="3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Variable to fixed interest rate swaps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3,838</w:t>
            </w:r>
          </w:p>
        </w:tc>
        <w:tc>
          <w:tcPr>
            <w:tcW w:w="346" w:type="dxa"/>
            <w:tcBorders/>
            <w:vAlign w:val="center"/>
          </w:tcPr>
          <w:p>
            <w:pPr>
              <w:pStyle w:val="TableContents"/>
              <w:bidi w:val="0"/>
              <w:spacing w:before="0" w:after="0"/>
              <w:ind w:left="0" w:right="0" w:hanging="0"/>
              <w:jc w:val="left"/>
              <w:rPr/>
            </w:pPr>
            <w:r>
              <w:rPr/>
              <w:t>​</w:t>
            </w:r>
          </w:p>
        </w:tc>
        <w:tc>
          <w:tcPr>
            <w:tcW w:w="28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3,838</w:t>
            </w:r>
          </w:p>
        </w:tc>
        <w:tc>
          <w:tcPr>
            <w:tcW w:w="346" w:type="dxa"/>
            <w:tcBorders/>
            <w:vAlign w:val="center"/>
          </w:tcPr>
          <w:p>
            <w:pPr>
              <w:pStyle w:val="TableContents"/>
              <w:bidi w:val="0"/>
              <w:spacing w:before="0" w:after="0"/>
              <w:ind w:left="0" w:right="0" w:hanging="0"/>
              <w:jc w:val="left"/>
              <w:rPr/>
            </w:pPr>
            <w:r>
              <w:rPr/>
              <w:t>​</w:t>
            </w:r>
          </w:p>
        </w:tc>
        <w:tc>
          <w:tcPr>
            <w:tcW w:w="36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7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34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 measured at fair value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51,897</w:t>
            </w:r>
          </w:p>
        </w:tc>
        <w:tc>
          <w:tcPr>
            <w:tcW w:w="346" w:type="dxa"/>
            <w:tcBorders/>
            <w:shd w:fill="CCEEFF" w:val="clear"/>
            <w:vAlign w:val="center"/>
          </w:tcPr>
          <w:p>
            <w:pPr>
              <w:pStyle w:val="TableContents"/>
              <w:bidi w:val="0"/>
              <w:spacing w:before="0" w:after="0"/>
              <w:ind w:left="0" w:right="0" w:hanging="0"/>
              <w:jc w:val="left"/>
              <w:rPr/>
            </w:pPr>
            <w:r>
              <w:rPr/>
              <w:t>​</w:t>
            </w:r>
          </w:p>
        </w:tc>
        <w:tc>
          <w:tcPr>
            <w:tcW w:w="28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48,059</w:t>
            </w:r>
          </w:p>
        </w:tc>
        <w:tc>
          <w:tcPr>
            <w:tcW w:w="346" w:type="dxa"/>
            <w:tcBorders/>
            <w:shd w:fill="CCEEFF" w:val="clear"/>
            <w:vAlign w:val="center"/>
          </w:tcPr>
          <w:p>
            <w:pPr>
              <w:pStyle w:val="TableContents"/>
              <w:bidi w:val="0"/>
              <w:spacing w:before="0" w:after="0"/>
              <w:ind w:left="0" w:right="0" w:hanging="0"/>
              <w:jc w:val="left"/>
              <w:rPr/>
            </w:pPr>
            <w:r>
              <w:rPr/>
              <w:t>​</w:t>
            </w:r>
          </w:p>
        </w:tc>
        <w:tc>
          <w:tcPr>
            <w:tcW w:w="25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3,838</w:t>
            </w:r>
          </w:p>
        </w:tc>
        <w:tc>
          <w:tcPr>
            <w:tcW w:w="346" w:type="dxa"/>
            <w:tcBorders/>
            <w:shd w:fill="CCEEFF" w:val="clear"/>
            <w:vAlign w:val="center"/>
          </w:tcPr>
          <w:p>
            <w:pPr>
              <w:pStyle w:val="TableContents"/>
              <w:bidi w:val="0"/>
              <w:spacing w:before="0" w:after="0"/>
              <w:ind w:left="0" w:right="0" w:hanging="0"/>
              <w:jc w:val="left"/>
              <w:rPr/>
            </w:pPr>
            <w:r>
              <w:rPr/>
              <w:t>​</w:t>
            </w:r>
          </w:p>
        </w:tc>
        <w:tc>
          <w:tcPr>
            <w:tcW w:w="36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8"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tbl>
      <w:tblPr>
        <w:tblW w:w="9233" w:type="dxa"/>
        <w:jc w:val="left"/>
        <w:tblInd w:w="0" w:type="dxa"/>
        <w:tblLayout w:type="fixed"/>
        <w:tblCellMar>
          <w:top w:w="0" w:type="dxa"/>
          <w:left w:w="0" w:type="dxa"/>
          <w:bottom w:w="0" w:type="dxa"/>
          <w:right w:w="0" w:type="dxa"/>
        </w:tblCellMar>
      </w:tblPr>
      <w:tblGrid>
        <w:gridCol w:w="3421"/>
        <w:gridCol w:w="346"/>
        <w:gridCol w:w="271"/>
        <w:gridCol w:w="869"/>
        <w:gridCol w:w="346"/>
        <w:gridCol w:w="289"/>
        <w:gridCol w:w="927"/>
        <w:gridCol w:w="346"/>
        <w:gridCol w:w="310"/>
        <w:gridCol w:w="621"/>
        <w:gridCol w:w="346"/>
        <w:gridCol w:w="363"/>
        <w:gridCol w:w="778"/>
      </w:tblGrid>
      <w:tr>
        <w:trPr/>
        <w:tc>
          <w:tcPr>
            <w:tcW w:w="3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2172335" cy="175260"/>
                      <wp:effectExtent l="0" t="0" r="0" b="0"/>
                      <wp:wrapNone/>
                      <wp:docPr id="182" name="Frame182"/>
                      <a:graphic xmlns:a="http://schemas.openxmlformats.org/drawingml/2006/main">
                        <a:graphicData uri="http://schemas.microsoft.com/office/word/2010/wordprocessingShape">
                          <wps:wsp>
                            <wps:cNvSpPr txBox="1"/>
                            <wps:spPr>
                              <a:xfrm>
                                <a:off x="0" y="0"/>
                                <a:ext cx="2172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19710" cy="175260"/>
                      <wp:effectExtent l="0" t="0" r="0" b="0"/>
                      <wp:wrapNone/>
                      <wp:docPr id="183" name="Frame1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172085" cy="175260"/>
                      <wp:effectExtent l="0" t="0" r="0" b="0"/>
                      <wp:wrapNone/>
                      <wp:docPr id="184" name="Frame184"/>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551815" cy="175260"/>
                      <wp:effectExtent l="0" t="0" r="0" b="0"/>
                      <wp:wrapNone/>
                      <wp:docPr id="185" name="Frame185"/>
                      <a:graphic xmlns:a="http://schemas.openxmlformats.org/drawingml/2006/main">
                        <a:graphicData uri="http://schemas.microsoft.com/office/word/2010/wordprocessingShape">
                          <wps:wsp>
                            <wps:cNvSpPr txBox="1"/>
                            <wps:spPr>
                              <a:xfrm>
                                <a:off x="0" y="0"/>
                                <a:ext cx="5518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219710" cy="175260"/>
                      <wp:effectExtent l="0" t="0" r="0" b="0"/>
                      <wp:wrapNone/>
                      <wp:docPr id="186" name="Frame1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183515" cy="175260"/>
                      <wp:effectExtent l="0" t="0" r="0" b="0"/>
                      <wp:wrapNone/>
                      <wp:docPr id="187" name="Frame187"/>
                      <a:graphic xmlns:a="http://schemas.openxmlformats.org/drawingml/2006/main">
                        <a:graphicData uri="http://schemas.microsoft.com/office/word/2010/wordprocessingShape">
                          <wps:wsp>
                            <wps:cNvSpPr txBox="1"/>
                            <wps:spPr>
                              <a:xfrm>
                                <a:off x="0" y="0"/>
                                <a:ext cx="1835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588645" cy="175260"/>
                      <wp:effectExtent l="0" t="0" r="0" b="0"/>
                      <wp:wrapNone/>
                      <wp:docPr id="188" name="Frame188"/>
                      <a:graphic xmlns:a="http://schemas.openxmlformats.org/drawingml/2006/main">
                        <a:graphicData uri="http://schemas.microsoft.com/office/word/2010/wordprocessingShape">
                          <wps:wsp>
                            <wps:cNvSpPr txBox="1"/>
                            <wps:spPr>
                              <a:xfrm>
                                <a:off x="0" y="0"/>
                                <a:ext cx="5886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219710" cy="175260"/>
                      <wp:effectExtent l="0" t="0" r="0" b="0"/>
                      <wp:wrapNone/>
                      <wp:docPr id="189" name="Frame1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196850" cy="175260"/>
                      <wp:effectExtent l="0" t="0" r="0" b="0"/>
                      <wp:wrapNone/>
                      <wp:docPr id="190" name="Frame190"/>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394335" cy="175260"/>
                      <wp:effectExtent l="0" t="0" r="0" b="0"/>
                      <wp:wrapNone/>
                      <wp:docPr id="191" name="Frame191"/>
                      <a:graphic xmlns:a="http://schemas.openxmlformats.org/drawingml/2006/main">
                        <a:graphicData uri="http://schemas.microsoft.com/office/word/2010/wordprocessingShape">
                          <wps:wsp>
                            <wps:cNvSpPr txBox="1"/>
                            <wps:spPr>
                              <a:xfrm>
                                <a:off x="0" y="0"/>
                                <a:ext cx="394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219710" cy="175260"/>
                      <wp:effectExtent l="0" t="0" r="0" b="0"/>
                      <wp:wrapNone/>
                      <wp:docPr id="192" name="Frame1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230505" cy="175260"/>
                      <wp:effectExtent l="0" t="0" r="0" b="0"/>
                      <wp:wrapNone/>
                      <wp:docPr id="193" name="Frame193"/>
                      <a:graphic xmlns:a="http://schemas.openxmlformats.org/drawingml/2006/main">
                        <a:graphicData uri="http://schemas.microsoft.com/office/word/2010/wordprocessingShape">
                          <wps:wsp>
                            <wps:cNvSpPr txBox="1"/>
                            <wps:spPr>
                              <a:xfrm>
                                <a:off x="0" y="0"/>
                                <a:ext cx="2305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494030" cy="175260"/>
                      <wp:effectExtent l="0" t="0" r="0" b="0"/>
                      <wp:wrapNone/>
                      <wp:docPr id="194" name="Frame194"/>
                      <a:graphic xmlns:a="http://schemas.openxmlformats.org/drawingml/2006/main">
                        <a:graphicData uri="http://schemas.microsoft.com/office/word/2010/wordprocessingShape">
                          <wps:wsp>
                            <wps:cNvSpPr txBox="1"/>
                            <wps:spPr>
                              <a:xfrm>
                                <a:off x="0" y="0"/>
                                <a:ext cx="4940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71" w:type="dxa"/>
            <w:tcBorders/>
            <w:vAlign w:val="center"/>
          </w:tcPr>
          <w:p>
            <w:pPr>
              <w:pStyle w:val="TableContents"/>
              <w:bidi w:val="0"/>
              <w:spacing w:before="0" w:after="0"/>
              <w:ind w:left="0" w:right="0" w:hanging="0"/>
              <w:jc w:val="left"/>
              <w:rPr/>
            </w:pPr>
            <w:r>
              <w:rPr/>
              <w:t>​</w:t>
            </w:r>
          </w:p>
        </w:tc>
        <w:tc>
          <w:tcPr>
            <w:tcW w:w="86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Markets for</w:t>
            </w:r>
          </w:p>
        </w:tc>
        <w:tc>
          <w:tcPr>
            <w:tcW w:w="346" w:type="dxa"/>
            <w:tcBorders/>
            <w:vAlign w:val="center"/>
          </w:tcPr>
          <w:p>
            <w:pPr>
              <w:pStyle w:val="TableContents"/>
              <w:bidi w:val="0"/>
              <w:spacing w:before="0" w:after="0"/>
              <w:ind w:left="0" w:right="0" w:hanging="0"/>
              <w:jc w:val="left"/>
              <w:rPr/>
            </w:pPr>
            <w:r>
              <w:rPr/>
              <w:t>  ​ ​ ​</w:t>
            </w:r>
          </w:p>
        </w:tc>
        <w:tc>
          <w:tcPr>
            <w:tcW w:w="93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Observable</w:t>
            </w:r>
          </w:p>
        </w:tc>
        <w:tc>
          <w:tcPr>
            <w:tcW w:w="346" w:type="dxa"/>
            <w:tcBorders/>
            <w:vAlign w:val="center"/>
          </w:tcPr>
          <w:p>
            <w:pPr>
              <w:pStyle w:val="TableContents"/>
              <w:bidi w:val="0"/>
              <w:spacing w:before="0" w:after="0"/>
              <w:ind w:left="0" w:right="0" w:hanging="0"/>
              <w:jc w:val="left"/>
              <w:rPr/>
            </w:pPr>
            <w:r>
              <w:rPr/>
              <w:t>  ​ ​ ​</w:t>
            </w:r>
          </w:p>
        </w:tc>
        <w:tc>
          <w:tcPr>
            <w:tcW w:w="114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Unobservable</w:t>
            </w:r>
          </w:p>
        </w:tc>
      </w:tr>
      <w:tr>
        <w:trPr/>
        <w:tc>
          <w:tcPr>
            <w:tcW w:w="34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4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Identical Assets</w:t>
            </w:r>
          </w:p>
        </w:tc>
        <w:tc>
          <w:tcPr>
            <w:tcW w:w="346" w:type="dxa"/>
            <w:tcBorders/>
            <w:vAlign w:val="center"/>
          </w:tcPr>
          <w:p>
            <w:pPr>
              <w:pStyle w:val="TableContents"/>
              <w:bidi w:val="0"/>
              <w:spacing w:before="0" w:after="0"/>
              <w:ind w:left="0" w:right="0" w:hanging="0"/>
              <w:jc w:val="left"/>
              <w:rPr/>
            </w:pPr>
            <w:r>
              <w:rPr/>
              <w:t>​</w:t>
            </w:r>
          </w:p>
        </w:tc>
        <w:tc>
          <w:tcPr>
            <w:tcW w:w="93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Inputs</w:t>
            </w:r>
          </w:p>
        </w:tc>
        <w:tc>
          <w:tcPr>
            <w:tcW w:w="346" w:type="dxa"/>
            <w:tcBorders/>
            <w:vAlign w:val="center"/>
          </w:tcPr>
          <w:p>
            <w:pPr>
              <w:pStyle w:val="TableContents"/>
              <w:bidi w:val="0"/>
              <w:spacing w:before="0" w:after="0"/>
              <w:ind w:left="0" w:right="0" w:hanging="0"/>
              <w:jc w:val="left"/>
              <w:rPr/>
            </w:pPr>
            <w:r>
              <w:rPr/>
              <w:t>​</w:t>
            </w:r>
          </w:p>
        </w:tc>
        <w:tc>
          <w:tcPr>
            <w:tcW w:w="114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Inputs</w:t>
            </w:r>
          </w:p>
        </w:tc>
      </w:tr>
      <w:tr>
        <w:trPr/>
        <w:tc>
          <w:tcPr>
            <w:tcW w:w="34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46" w:type="dxa"/>
            <w:tcBorders/>
            <w:vAlign w:val="center"/>
          </w:tcPr>
          <w:p>
            <w:pPr>
              <w:pStyle w:val="TableContents"/>
              <w:bidi w:val="0"/>
              <w:spacing w:before="0" w:after="0"/>
              <w:ind w:left="0" w:right="0" w:hanging="0"/>
              <w:jc w:val="left"/>
              <w:rPr/>
            </w:pPr>
            <w:r>
              <w:rPr/>
              <w:t>​</w:t>
            </w:r>
          </w:p>
        </w:tc>
        <w:tc>
          <w:tcPr>
            <w:tcW w:w="9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46" w:type="dxa"/>
            <w:tcBorders/>
            <w:vAlign w:val="center"/>
          </w:tcPr>
          <w:p>
            <w:pPr>
              <w:pStyle w:val="TableContents"/>
              <w:bidi w:val="0"/>
              <w:spacing w:before="0" w:after="0"/>
              <w:ind w:left="0" w:right="0" w:hanging="0"/>
              <w:jc w:val="left"/>
              <w:rPr/>
            </w:pPr>
            <w:r>
              <w:rPr/>
              <w:t>​</w:t>
            </w:r>
          </w:p>
        </w:tc>
        <w:tc>
          <w:tcPr>
            <w:tcW w:w="11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34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compensation plan investments</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45,034</w:t>
            </w:r>
          </w:p>
        </w:tc>
        <w:tc>
          <w:tcPr>
            <w:tcW w:w="346" w:type="dxa"/>
            <w:tcBorders/>
            <w:shd w:fill="CCEEFF" w:val="clear"/>
            <w:vAlign w:val="center"/>
          </w:tcPr>
          <w:p>
            <w:pPr>
              <w:pStyle w:val="TableContents"/>
              <w:bidi w:val="0"/>
              <w:spacing w:before="0" w:after="0"/>
              <w:ind w:left="0" w:right="0" w:hanging="0"/>
              <w:jc w:val="left"/>
              <w:rPr/>
            </w:pPr>
            <w:r>
              <w:rPr/>
              <w:t>​</w:t>
            </w:r>
          </w:p>
        </w:tc>
        <w:tc>
          <w:tcPr>
            <w:tcW w:w="28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45,034</w:t>
            </w:r>
          </w:p>
        </w:tc>
        <w:tc>
          <w:tcPr>
            <w:tcW w:w="34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8" w:type="dxa"/>
            <w:tcBorders/>
            <w:shd w:fill="CCEEFF" w:val="clear"/>
            <w:vAlign w:val="center"/>
          </w:tcPr>
          <w:p>
            <w:pPr>
              <w:pStyle w:val="TableContents"/>
              <w:bidi w:val="0"/>
              <w:spacing w:before="0" w:after="0"/>
              <w:ind w:left="0" w:right="0" w:hanging="0"/>
              <w:jc w:val="right"/>
              <w:rPr/>
            </w:pPr>
            <w:r>
              <w:rPr/>
              <w:t>—</w:t>
            </w:r>
          </w:p>
        </w:tc>
      </w:tr>
      <w:tr>
        <w:trPr/>
        <w:tc>
          <w:tcPr>
            <w:tcW w:w="3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Variable to fixed interest rate swaps</w:t>
            </w:r>
          </w:p>
        </w:tc>
        <w:tc>
          <w:tcPr>
            <w:tcW w:w="346" w:type="dxa"/>
            <w:tcBorders/>
            <w:vAlign w:val="center"/>
          </w:tcPr>
          <w:p>
            <w:pPr>
              <w:pStyle w:val="TableContents"/>
              <w:bidi w:val="0"/>
              <w:spacing w:before="0" w:after="0"/>
              <w:ind w:left="0" w:right="0" w:hanging="0"/>
              <w:jc w:val="left"/>
              <w:rPr/>
            </w:pPr>
            <w:r>
              <w:rPr/>
              <w:t>​</w:t>
            </w:r>
          </w:p>
        </w:tc>
        <w:tc>
          <w:tcPr>
            <w:tcW w:w="27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6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713</w:t>
            </w:r>
          </w:p>
        </w:tc>
        <w:tc>
          <w:tcPr>
            <w:tcW w:w="346" w:type="dxa"/>
            <w:tcBorders/>
            <w:vAlign w:val="center"/>
          </w:tcPr>
          <w:p>
            <w:pPr>
              <w:pStyle w:val="TableContents"/>
              <w:bidi w:val="0"/>
              <w:spacing w:before="0" w:after="0"/>
              <w:ind w:left="0" w:right="0" w:hanging="0"/>
              <w:jc w:val="left"/>
              <w:rPr/>
            </w:pPr>
            <w:r>
              <w:rPr/>
              <w:t>​</w:t>
            </w:r>
          </w:p>
        </w:tc>
        <w:tc>
          <w:tcPr>
            <w:tcW w:w="28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1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713</w:t>
            </w:r>
          </w:p>
        </w:tc>
        <w:tc>
          <w:tcPr>
            <w:tcW w:w="346" w:type="dxa"/>
            <w:tcBorders/>
            <w:vAlign w:val="center"/>
          </w:tcPr>
          <w:p>
            <w:pPr>
              <w:pStyle w:val="TableContents"/>
              <w:bidi w:val="0"/>
              <w:spacing w:before="0" w:after="0"/>
              <w:ind w:left="0" w:right="0" w:hanging="0"/>
              <w:jc w:val="left"/>
              <w:rPr/>
            </w:pPr>
            <w:r>
              <w:rPr/>
              <w:t>​</w:t>
            </w:r>
          </w:p>
        </w:tc>
        <w:tc>
          <w:tcPr>
            <w:tcW w:w="36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7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34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 measured at fair value</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45,747</w:t>
            </w:r>
          </w:p>
        </w:tc>
        <w:tc>
          <w:tcPr>
            <w:tcW w:w="346" w:type="dxa"/>
            <w:tcBorders/>
            <w:shd w:fill="CCEEFF" w:val="clear"/>
            <w:vAlign w:val="center"/>
          </w:tcPr>
          <w:p>
            <w:pPr>
              <w:pStyle w:val="TableContents"/>
              <w:bidi w:val="0"/>
              <w:spacing w:before="0" w:after="0"/>
              <w:ind w:left="0" w:right="0" w:hanging="0"/>
              <w:jc w:val="left"/>
              <w:rPr/>
            </w:pPr>
            <w:r>
              <w:rPr/>
              <w:t>​</w:t>
            </w:r>
          </w:p>
        </w:tc>
        <w:tc>
          <w:tcPr>
            <w:tcW w:w="28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45,034</w:t>
            </w:r>
          </w:p>
        </w:tc>
        <w:tc>
          <w:tcPr>
            <w:tcW w:w="346" w:type="dxa"/>
            <w:tcBorders/>
            <w:shd w:fill="CCEEFF" w:val="clear"/>
            <w:vAlign w:val="center"/>
          </w:tcPr>
          <w:p>
            <w:pPr>
              <w:pStyle w:val="TableContents"/>
              <w:bidi w:val="0"/>
              <w:spacing w:before="0" w:after="0"/>
              <w:ind w:left="0" w:right="0" w:hanging="0"/>
              <w:jc w:val="left"/>
              <w:rPr/>
            </w:pPr>
            <w:r>
              <w:rPr/>
              <w:t>​</w:t>
            </w:r>
          </w:p>
        </w:tc>
        <w:tc>
          <w:tcPr>
            <w:tcW w:w="31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713</w:t>
            </w:r>
          </w:p>
        </w:tc>
        <w:tc>
          <w:tcPr>
            <w:tcW w:w="346" w:type="dxa"/>
            <w:tcBorders/>
            <w:shd w:fill="CCEEFF" w:val="clear"/>
            <w:vAlign w:val="center"/>
          </w:tcPr>
          <w:p>
            <w:pPr>
              <w:pStyle w:val="TableContents"/>
              <w:bidi w:val="0"/>
              <w:spacing w:before="0" w:after="0"/>
              <w:ind w:left="0" w:right="0" w:hanging="0"/>
              <w:jc w:val="left"/>
              <w:rPr/>
            </w:pPr>
            <w:r>
              <w:rPr/>
              <w:t>​</w:t>
            </w:r>
          </w:p>
        </w:tc>
        <w:tc>
          <w:tcPr>
            <w:tcW w:w="36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8"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 fair value of notes receivable is discussed in Note 6, “Notes Receivable.” The remainder of the assets and liabilities held by the Company at June 30, 2026 are not required to be recorded at fair value, and financial assets and liabilities approximate fair value.</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See Note 2, “JW Marriott Desert Ridge Transaction,” for additional disclosures related to the fair value measurements used in the accounting for the purchase of JW Marriott Desert Ridge.</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14. FINANCIAL REPORTING BY BUSINESS SEGMENTS: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 xml:space="preserve">The Company’s operations are organized into the following principal </w:t>
      </w:r>
      <w:r>
        <w:rPr>
          <w:rFonts w:ascii="Times New Roman;Times;serif" w:hAnsi="Times New Roman;Times;serif"/>
          <w:b w:val="false"/>
          <w:i w:val="false"/>
          <w:caps w:val="false"/>
          <w:smallCaps w:val="false"/>
          <w:sz w:val="20"/>
        </w:rPr>
        <w:t>business segments</w:t>
      </w:r>
      <w:r>
        <w:rPr>
          <w:rFonts w:ascii="Times New Roman;Times;serif" w:hAnsi="Times New Roman;Times;serif"/>
          <w:sz w:val="20"/>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Hospitality</w:t>
            </w:r>
            <w:r>
              <w:rPr>
                <w:rFonts w:ascii="Times New Roman;Times;serif" w:hAnsi="Times New Roman;Times;serif"/>
                <w:b w:val="false"/>
                <w:i w:val="false"/>
                <w:caps w:val="false"/>
                <w:smallCaps w:val="false"/>
                <w:sz w:val="20"/>
              </w:rPr>
              <w:t>, which includes the Gaylord Hotels properties, the JW Marriott properties (including, effective June 10, 2025, JW Marriott Desert Ridge), the Inn at Opryland and the AC Hotel;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Entertainment</w:t>
            </w:r>
            <w:r>
              <w:rPr>
                <w:rFonts w:ascii="Times New Roman;Times;serif" w:hAnsi="Times New Roman;Times;serif"/>
                <w:b w:val="false"/>
                <w:i w:val="false"/>
                <w:caps w:val="false"/>
                <w:smallCaps w:val="false"/>
                <w:sz w:val="20"/>
              </w:rPr>
              <w:t>, which includes the OEG business, specifically the Grand Ole Opry, the Ryman Auditorium, WSM-AM, Ole Red, Category 10, Block 21, Southern Entertainment, and beginning in the first quarter of 2026, the Ascend Amphitheater and the CCNB Amphitheatre;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Corporate and Other</w:t>
            </w:r>
            <w:r>
              <w:rPr>
                <w:rFonts w:ascii="Times New Roman;Times;serif" w:hAnsi="Times New Roman;Times;serif"/>
                <w:b w:val="false"/>
                <w:i w:val="false"/>
                <w:caps w:val="false"/>
                <w:smallCaps w:val="false"/>
                <w:sz w:val="20"/>
              </w:rPr>
              <w:t>, which includes operating and general and administrative expenses related to the overall management of the Company which are not allocated to the other reportable segments.</w:t>
            </w:r>
          </w:p>
        </w:tc>
      </w:tr>
    </w:tbl>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 Company’s chief operating decision maker (“CODM”) is comprised of the Company’s chief executive officer and the Company’s chief financial officer. The CODM uses segment operating income (loss) to evaluate the performance of each segment and to allocate resources.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 accounting policies for each segment are the same as those described in Note 1, “Description of the Business and Summary of Significant Accounting Policies,” to the Company’s Annual Report on Form 10-K for the year ended December 31, 2025. The Company does not have intersegment sales or transfers.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1195" w:name="Tc_6Tov57x4vk2VAdMy2igMYQ_22_11"/>
      <w:bookmarkStart w:id="1196" w:name="Tc_AG6znZlepUiVONI4sr7gZA_22_0"/>
      <w:bookmarkStart w:id="1197" w:name="Tc_h2FBT52trkOfL4kO9Ke4Cw_21_0"/>
      <w:bookmarkStart w:id="1198" w:name="Tc_gRHInC3oVkG2LgaR-3i1dA_20_0"/>
      <w:bookmarkStart w:id="1199" w:name="Tc_wATZ_bMOgE-2WAML6RwcoA_19_0"/>
      <w:bookmarkStart w:id="1200" w:name="Tc_lKnyH-61IU-r7LOC1vFBbg_18_0"/>
      <w:bookmarkStart w:id="1201" w:name="Tc_8VgTik845EyCaHE39Lcmtg_17_0"/>
      <w:bookmarkStart w:id="1202" w:name="Tc_tUjHvIxtQUijx5oMWxcNrg_16_11"/>
      <w:bookmarkStart w:id="1203" w:name="Tc_szCms7qYe0S5bZ3JIHSW3A_16_8"/>
      <w:bookmarkStart w:id="1204" w:name="Tc_Ut1vgD2cKE-3cycfSNb7Xg_16_5"/>
      <w:bookmarkStart w:id="1205" w:name="Tc_0oTIZ1U91kiVm-kCCPnQQA_16_2"/>
      <w:bookmarkStart w:id="1206" w:name="Tc_Dp5CrpxPjkSUmI6Daq2_oA_16_0"/>
      <w:bookmarkStart w:id="1207" w:name="Tc_4stSEAU8Z0WqWg7NfSIMFQ_15_0"/>
      <w:bookmarkStart w:id="1208" w:name="Tc_Y3hSc1ep10GGaCLahM7bgw_14_0"/>
      <w:bookmarkStart w:id="1209" w:name="Tc_iiwFMDve0Uy5G14r4M5TfQ_13_0"/>
      <w:bookmarkStart w:id="1210" w:name="Tc_NqG2GN2AHky49hgUlerpKA_12_0"/>
      <w:bookmarkStart w:id="1211" w:name="Tc_eLQ6Lhv3t0CjSGZeB_kjLA_11_0"/>
      <w:bookmarkStart w:id="1212" w:name="Tc_wF2ChAHdKUiZP96YNFHilw_10_0"/>
      <w:bookmarkStart w:id="1213" w:name="Tc_me7ZE_Zb7UeA1xNFchh1vA_9_0"/>
      <w:bookmarkStart w:id="1214" w:name="Tc_I7Tq_DkMa0qHrzI0Gs404A_8_0"/>
      <w:bookmarkStart w:id="1215" w:name="Tc_agBi8p_GfEeob-r9OoWf8A_7_0"/>
      <w:bookmarkStart w:id="1216" w:name="Tc_huKexQ3u1kGyj11yX8hq3Q_6_0"/>
      <w:bookmarkStart w:id="1217" w:name="Tc_KEjQQ7l_dk6Zj-uqG9_ztA_5_0"/>
      <w:bookmarkStart w:id="1218" w:name="Tc_FLJ6mL4p20uvuMcj6wxeNQ_4_0"/>
      <w:bookmarkStart w:id="1219" w:name="Tc_zExBlziaYUqn5jf8Dl_1sA_3_11"/>
      <w:bookmarkStart w:id="1220" w:name="Tc_GCnIrMgctEiXvkB0ZwQaSA_3_9"/>
      <w:bookmarkStart w:id="1221" w:name="Tc_7_HaZswXrEKihIznl0db5Q_3_8"/>
      <w:bookmarkStart w:id="1222" w:name="Tc_cMh96RuThEuJhQ97Fjz9Yw_3_5"/>
      <w:bookmarkStart w:id="1223" w:name="Tc_JUWx73nH5EucPNALx6bqnQ_3_2"/>
      <w:bookmarkStart w:id="1224" w:name="Tc_dPnosRckmU-Nk3xr8YW7IA_3_0"/>
      <w:bookmarkStart w:id="1225" w:name="Tc_UQ5oIbejOU6FJOK0MKddiQ_2_11"/>
      <w:bookmarkStart w:id="1226" w:name="Tc_o3Gjsiw1LEyNcNNITUeajA_2_8"/>
      <w:bookmarkStart w:id="1227" w:name="Tc_PmgSjjaxzUmOcXoa_ZeaVg_2_5"/>
      <w:bookmarkStart w:id="1228" w:name="Tc_wpZdQYR_ikq8aTYukRrfUQ_2_2"/>
      <w:bookmarkStart w:id="1229" w:name="Tc_RuG7EtRGEkSCBIGP1uxzUg_1_2"/>
      <w:bookmarkStart w:id="1230" w:name="_9713671f_4758_4cb8_8f03_d10b9c18885b"/>
      <w:bookmarkStart w:id="1231" w:name="Tc_vGZ6vRyTNkK8MR3q98B1Sw_21_11"/>
      <w:bookmarkStart w:id="1232" w:name="Tc_-05tC5zGnUun1R4Z5xPziQ_21_0"/>
      <w:bookmarkStart w:id="1233" w:name="Tc_WJh_TrgMh0mS3Clmu8P47Q_20_0"/>
      <w:bookmarkStart w:id="1234" w:name="Tc_9pByGd90CUq1esnRrVHSog_19_0"/>
      <w:bookmarkStart w:id="1235" w:name="Tc_8bfi28vEyEWmFip3c-RNsw_18_0"/>
      <w:bookmarkStart w:id="1236" w:name="Tc_5xweCw6UyUSjw44dOkT2tQ_17_0"/>
      <w:bookmarkStart w:id="1237" w:name="Tc_adGPwEfxd0uj-UIovDt3iQ_16_11"/>
      <w:bookmarkStart w:id="1238" w:name="Tc_tvTj7_j4SEyhbmjSPYaGLA_16_8"/>
      <w:bookmarkStart w:id="1239" w:name="Tc_qk-rvL3N90KZU62mCvw9nA_16_5"/>
      <w:bookmarkStart w:id="1240" w:name="Tc_FbPi0E0nGEiD5cATcvBpow_16_2"/>
      <w:bookmarkStart w:id="1241" w:name="Tc_DcolqBlkT0aJ2soQJATl4Q_16_0"/>
      <w:bookmarkStart w:id="1242" w:name="Tc_es6aDgcIgEaTvMkrm2ToHA_15_0"/>
      <w:bookmarkStart w:id="1243" w:name="Tc_4nTupsD9CkO15QNvVIWsag_14_0"/>
      <w:bookmarkStart w:id="1244" w:name="Tc_rw7LZ6ZqgkuB0S4tB6nmvQ_13_0"/>
      <w:bookmarkStart w:id="1245" w:name="Tc_4h5EyjwpT0WbKLyuaSKDuw_12_0"/>
      <w:bookmarkStart w:id="1246" w:name="Tc_CKyRKY88h0aicA3BR3FReg_11_0"/>
      <w:bookmarkStart w:id="1247" w:name="Tc_IFjf158oNESHLzCR3Y-7Sg_10_0"/>
      <w:bookmarkStart w:id="1248" w:name="Tc_8nOhrjqXsUW8V36JJOA_Kg_9_0"/>
      <w:bookmarkStart w:id="1249" w:name="Tc_tixitPQ-j0qDiyGTxqm9oQ_8_0"/>
      <w:bookmarkStart w:id="1250" w:name="Tc_NXPZZiDbokayCWIZObjJ_A_7_0"/>
      <w:bookmarkStart w:id="1251" w:name="Tc_41tCOGncjk676CV3vVplmQ_6_0"/>
      <w:bookmarkStart w:id="1252" w:name="Tc_cdfOuDqDxUKrp3tZXvfApg_5_0"/>
      <w:bookmarkStart w:id="1253" w:name="Tc_5g1zwdzpukyhdit6A7BxmA_4_0"/>
      <w:bookmarkStart w:id="1254" w:name="Tc_Fvs5w5DIW0qlUfnTY3kZrQ_3_11"/>
      <w:bookmarkStart w:id="1255" w:name="Tc_f1WdgEvZBEW_xY8qXZ57aw_3_9"/>
      <w:bookmarkStart w:id="1256" w:name="Tc_2VrrAq2SDk6b7DQm0rqjBA_3_8"/>
      <w:bookmarkStart w:id="1257" w:name="Tc_7VVxE7t8IUa9jVkda4QdKQ_3_5"/>
      <w:bookmarkStart w:id="1258" w:name="Tc_pvR2qTMFD0KHdnVGTwGJeQ_3_2"/>
      <w:bookmarkStart w:id="1259" w:name="Tc_u8STbUXdVU-8q-p6H3JTlg_3_0"/>
      <w:bookmarkStart w:id="1260" w:name="Tc_buNs5ik1rkeuFd7AOIz2EQ_2_11"/>
      <w:bookmarkStart w:id="1261" w:name="Tc_JzLeSp567UWJZJjfgSKHTw_2_8"/>
      <w:bookmarkStart w:id="1262" w:name="Tc_tzFeRG7r50GV20_C7bgDfg_2_5"/>
      <w:bookmarkStart w:id="1263" w:name="Tc_c5W3n4axREyLiNfbupsc6w_2_2"/>
      <w:bookmarkStart w:id="1264" w:name="Tc_0u-ddS3ZuUaBH6jg8u39cQ_1_2"/>
      <w:bookmarkStart w:id="1265" w:name="_7f016cf0_202d_4795_a03d_5c0eae97739a"/>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r>
        <w:rPr>
          <w:rFonts w:ascii="Times New Roman;Times;serif" w:hAnsi="Times New Roman;Times;serif"/>
          <w:sz w:val="20"/>
        </w:rPr>
        <w:t>The following information is derived directly from the segments’ internal financial reports used by the CODM for corporate management purposes (amounts in thousands):</w:t>
      </w:r>
    </w:p>
    <w:p>
      <w:pPr>
        <w:pStyle w:val="TextBody"/>
        <w:bidi w:val="0"/>
        <w:spacing w:before="0" w:after="240"/>
        <w:ind w:left="0" w:right="0" w:hanging="0"/>
        <w:jc w:val="left"/>
        <w:rPr/>
      </w:pPr>
      <w:r>
        <w:rPr/>
        <w:t>​</w:t>
      </w:r>
    </w:p>
    <w:tbl>
      <w:tblPr>
        <w:tblW w:w="9186" w:type="dxa"/>
        <w:jc w:val="left"/>
        <w:tblInd w:w="0" w:type="dxa"/>
        <w:tblLayout w:type="fixed"/>
        <w:tblCellMar>
          <w:top w:w="0" w:type="dxa"/>
          <w:left w:w="0" w:type="dxa"/>
          <w:bottom w:w="0" w:type="dxa"/>
          <w:right w:w="0" w:type="dxa"/>
        </w:tblCellMar>
      </w:tblPr>
      <w:tblGrid>
        <w:gridCol w:w="3616"/>
        <w:gridCol w:w="109"/>
        <w:gridCol w:w="217"/>
        <w:gridCol w:w="804"/>
        <w:gridCol w:w="109"/>
        <w:gridCol w:w="268"/>
        <w:gridCol w:w="993"/>
        <w:gridCol w:w="109"/>
        <w:gridCol w:w="367"/>
        <w:gridCol w:w="1388"/>
        <w:gridCol w:w="109"/>
        <w:gridCol w:w="211"/>
        <w:gridCol w:w="886"/>
      </w:tblGrid>
      <w:tr>
        <w:trPr/>
        <w:tc>
          <w:tcPr>
            <w:tcW w:w="3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2296160" cy="175260"/>
                      <wp:effectExtent l="0" t="0" r="0" b="0"/>
                      <wp:wrapNone/>
                      <wp:docPr id="195" name="Frame195"/>
                      <a:graphic xmlns:a="http://schemas.openxmlformats.org/drawingml/2006/main">
                        <a:graphicData uri="http://schemas.microsoft.com/office/word/2010/wordprocessingShape">
                          <wps:wsp>
                            <wps:cNvSpPr txBox="1"/>
                            <wps:spPr>
                              <a:xfrm>
                                <a:off x="0" y="0"/>
                                <a:ext cx="2296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9215" cy="175260"/>
                      <wp:effectExtent l="0" t="0" r="0" b="0"/>
                      <wp:wrapNone/>
                      <wp:docPr id="196" name="Frame19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137795" cy="175260"/>
                      <wp:effectExtent l="0" t="0" r="0" b="0"/>
                      <wp:wrapNone/>
                      <wp:docPr id="197" name="Frame197"/>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510540" cy="175260"/>
                      <wp:effectExtent l="0" t="0" r="0" b="0"/>
                      <wp:wrapNone/>
                      <wp:docPr id="198" name="Frame198"/>
                      <a:graphic xmlns:a="http://schemas.openxmlformats.org/drawingml/2006/main">
                        <a:graphicData uri="http://schemas.microsoft.com/office/word/2010/wordprocessingShape">
                          <wps:wsp>
                            <wps:cNvSpPr txBox="1"/>
                            <wps:spPr>
                              <a:xfrm>
                                <a:off x="0" y="0"/>
                                <a:ext cx="5105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9215" cy="175260"/>
                      <wp:effectExtent l="0" t="0" r="0" b="0"/>
                      <wp:wrapNone/>
                      <wp:docPr id="199" name="Frame19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170180" cy="175260"/>
                      <wp:effectExtent l="0" t="0" r="0" b="0"/>
                      <wp:wrapNone/>
                      <wp:docPr id="200" name="Frame200"/>
                      <a:graphic xmlns:a="http://schemas.openxmlformats.org/drawingml/2006/main">
                        <a:graphicData uri="http://schemas.microsoft.com/office/word/2010/wordprocessingShape">
                          <wps:wsp>
                            <wps:cNvSpPr txBox="1"/>
                            <wps:spPr>
                              <a:xfrm>
                                <a:off x="0" y="0"/>
                                <a:ext cx="170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30555" cy="175260"/>
                      <wp:effectExtent l="0" t="0" r="0" b="0"/>
                      <wp:wrapNone/>
                      <wp:docPr id="201" name="Frame201"/>
                      <a:graphic xmlns:a="http://schemas.openxmlformats.org/drawingml/2006/main">
                        <a:graphicData uri="http://schemas.microsoft.com/office/word/2010/wordprocessingShape">
                          <wps:wsp>
                            <wps:cNvSpPr txBox="1"/>
                            <wps:spPr>
                              <a:xfrm>
                                <a:off x="0" y="0"/>
                                <a:ext cx="630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9215" cy="175260"/>
                      <wp:effectExtent l="0" t="0" r="0" b="0"/>
                      <wp:wrapNone/>
                      <wp:docPr id="202" name="Frame20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233045" cy="175260"/>
                      <wp:effectExtent l="0" t="0" r="0" b="0"/>
                      <wp:wrapNone/>
                      <wp:docPr id="203" name="Frame203"/>
                      <a:graphic xmlns:a="http://schemas.openxmlformats.org/drawingml/2006/main">
                        <a:graphicData uri="http://schemas.microsoft.com/office/word/2010/wordprocessingShape">
                          <wps:wsp>
                            <wps:cNvSpPr txBox="1"/>
                            <wps:spPr>
                              <a:xfrm>
                                <a:off x="0" y="0"/>
                                <a:ext cx="233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881380" cy="175260"/>
                      <wp:effectExtent l="0" t="0" r="0" b="0"/>
                      <wp:wrapNone/>
                      <wp:docPr id="204" name="Frame204"/>
                      <a:graphic xmlns:a="http://schemas.openxmlformats.org/drawingml/2006/main">
                        <a:graphicData uri="http://schemas.microsoft.com/office/word/2010/wordprocessingShape">
                          <wps:wsp>
                            <wps:cNvSpPr txBox="1"/>
                            <wps:spPr>
                              <a:xfrm>
                                <a:off x="0" y="0"/>
                                <a:ext cx="8813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9215" cy="175260"/>
                      <wp:effectExtent l="0" t="0" r="0" b="0"/>
                      <wp:wrapNone/>
                      <wp:docPr id="205" name="Frame20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133985" cy="175260"/>
                      <wp:effectExtent l="0" t="0" r="0" b="0"/>
                      <wp:wrapNone/>
                      <wp:docPr id="206" name="Frame20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562610" cy="175260"/>
                      <wp:effectExtent l="0" t="0" r="0" b="0"/>
                      <wp:wrapNone/>
                      <wp:docPr id="207" name="Frame207"/>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461"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 the Three Months Ended June 30, 2026</w:t>
            </w:r>
          </w:p>
        </w:tc>
      </w:tr>
      <w:tr>
        <w:trPr/>
        <w:tc>
          <w:tcPr>
            <w:tcW w:w="36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Hospitality</w:t>
            </w:r>
          </w:p>
        </w:tc>
        <w:tc>
          <w:tcPr>
            <w:tcW w:w="109" w:type="dxa"/>
            <w:tcBorders/>
            <w:vAlign w:val="center"/>
          </w:tcPr>
          <w:p>
            <w:pPr>
              <w:pStyle w:val="TableContents"/>
              <w:bidi w:val="0"/>
              <w:spacing w:before="0" w:after="0"/>
              <w:ind w:left="0" w:right="0" w:hanging="0"/>
              <w:jc w:val="center"/>
              <w:rPr/>
            </w:pPr>
            <w:r>
              <w:rPr/>
              <w:t>​</w:t>
            </w:r>
          </w:p>
        </w:tc>
        <w:tc>
          <w:tcPr>
            <w:tcW w:w="12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Entertainment</w:t>
            </w:r>
          </w:p>
        </w:tc>
        <w:tc>
          <w:tcPr>
            <w:tcW w:w="109" w:type="dxa"/>
            <w:tcBorders/>
            <w:vAlign w:val="center"/>
          </w:tcPr>
          <w:p>
            <w:pPr>
              <w:pStyle w:val="TableContents"/>
              <w:bidi w:val="0"/>
              <w:spacing w:before="0" w:after="0"/>
              <w:ind w:left="0" w:right="0" w:hanging="0"/>
              <w:jc w:val="center"/>
              <w:rPr/>
            </w:pPr>
            <w:r>
              <w:rPr/>
              <w:t>​</w:t>
            </w:r>
          </w:p>
        </w:tc>
        <w:tc>
          <w:tcPr>
            <w:tcW w:w="17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Corporate and Other</w:t>
            </w:r>
          </w:p>
        </w:tc>
        <w:tc>
          <w:tcPr>
            <w:tcW w:w="109" w:type="dxa"/>
            <w:tcBorders/>
            <w:vAlign w:val="center"/>
          </w:tcPr>
          <w:p>
            <w:pPr>
              <w:pStyle w:val="TableContents"/>
              <w:bidi w:val="0"/>
              <w:spacing w:before="0" w:after="0"/>
              <w:ind w:left="0" w:right="0" w:hanging="0"/>
              <w:jc w:val="center"/>
              <w:rPr/>
            </w:pPr>
            <w:r>
              <w:rPr/>
              <w:t>​</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Total</w:t>
            </w:r>
          </w:p>
        </w:tc>
      </w:tr>
      <w:tr>
        <w:trPr/>
        <w:tc>
          <w:tcPr>
            <w:tcW w:w="36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Revenues</w:t>
            </w:r>
          </w:p>
        </w:tc>
        <w:tc>
          <w:tcPr>
            <w:tcW w:w="109"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604,964</w:t>
            </w:r>
          </w:p>
        </w:tc>
        <w:tc>
          <w:tcPr>
            <w:tcW w:w="109"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144,014</w:t>
            </w:r>
          </w:p>
        </w:tc>
        <w:tc>
          <w:tcPr>
            <w:tcW w:w="109"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88"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748,978</w:t>
            </w:r>
          </w:p>
        </w:tc>
      </w:tr>
      <w:tr>
        <w:trPr/>
        <w:tc>
          <w:tcPr>
            <w:tcW w:w="36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Expenses:</w:t>
            </w:r>
          </w:p>
        </w:tc>
        <w:tc>
          <w:tcPr>
            <w:tcW w:w="109"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80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w:t>
            </w:r>
          </w:p>
        </w:tc>
        <w:tc>
          <w:tcPr>
            <w:tcW w:w="99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pPr>
            <w:r>
              <w:rPr/>
              <w:t>​</w:t>
            </w:r>
          </w:p>
        </w:tc>
        <w:tc>
          <w:tcPr>
            <w:tcW w:w="138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left"/>
              <w:rPr/>
            </w:pPr>
            <w:r>
              <w:rPr/>
              <w:t>​</w:t>
            </w:r>
          </w:p>
        </w:tc>
      </w:tr>
      <w:tr>
        <w:trPr/>
        <w:tc>
          <w:tcPr>
            <w:tcW w:w="36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Rooms</w:t>
            </w:r>
          </w:p>
        </w:tc>
        <w:tc>
          <w:tcPr>
            <w:tcW w:w="109"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8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52,581</w:t>
            </w:r>
          </w:p>
        </w:tc>
        <w:tc>
          <w:tcPr>
            <w:tcW w:w="109"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pPr>
            <w:r>
              <w:rPr/>
              <w:t>​</w:t>
            </w:r>
          </w:p>
        </w:tc>
        <w:tc>
          <w:tcPr>
            <w:tcW w:w="993"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pPr>
            <w:r>
              <w:rPr/>
              <w:t>​</w:t>
            </w:r>
          </w:p>
        </w:tc>
        <w:tc>
          <w:tcPr>
            <w:tcW w:w="1388"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52,581</w:t>
            </w:r>
          </w:p>
        </w:tc>
      </w:tr>
      <w:tr>
        <w:trPr/>
        <w:tc>
          <w:tcPr>
            <w:tcW w:w="36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Food and beverage</w:t>
            </w:r>
          </w:p>
        </w:tc>
        <w:tc>
          <w:tcPr>
            <w:tcW w:w="109"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8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159,120</w:t>
            </w:r>
          </w:p>
        </w:tc>
        <w:tc>
          <w:tcPr>
            <w:tcW w:w="109"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w:t>
            </w:r>
          </w:p>
        </w:tc>
        <w:tc>
          <w:tcPr>
            <w:tcW w:w="99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pPr>
            <w:r>
              <w:rPr/>
              <w:t>​</w:t>
            </w:r>
          </w:p>
        </w:tc>
        <w:tc>
          <w:tcPr>
            <w:tcW w:w="138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159,120</w:t>
            </w:r>
          </w:p>
        </w:tc>
      </w:tr>
      <w:tr>
        <w:trPr/>
        <w:tc>
          <w:tcPr>
            <w:tcW w:w="36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hotel expenses (1)</w:t>
            </w:r>
          </w:p>
        </w:tc>
        <w:tc>
          <w:tcPr>
            <w:tcW w:w="109"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8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150,260</w:t>
            </w:r>
          </w:p>
        </w:tc>
        <w:tc>
          <w:tcPr>
            <w:tcW w:w="109"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pPr>
            <w:r>
              <w:rPr/>
              <w:t>​</w:t>
            </w:r>
          </w:p>
        </w:tc>
        <w:tc>
          <w:tcPr>
            <w:tcW w:w="993"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pPr>
            <w:r>
              <w:rPr/>
              <w:t>​</w:t>
            </w:r>
          </w:p>
        </w:tc>
        <w:tc>
          <w:tcPr>
            <w:tcW w:w="1388"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150,260</w:t>
            </w:r>
          </w:p>
        </w:tc>
      </w:tr>
      <w:tr>
        <w:trPr/>
        <w:tc>
          <w:tcPr>
            <w:tcW w:w="36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Management fees</w:t>
            </w:r>
          </w:p>
        </w:tc>
        <w:tc>
          <w:tcPr>
            <w:tcW w:w="109"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8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22,142</w:t>
            </w:r>
          </w:p>
        </w:tc>
        <w:tc>
          <w:tcPr>
            <w:tcW w:w="109"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w:t>
            </w:r>
          </w:p>
        </w:tc>
        <w:tc>
          <w:tcPr>
            <w:tcW w:w="99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pPr>
            <w:r>
              <w:rPr/>
              <w:t>​</w:t>
            </w:r>
          </w:p>
        </w:tc>
        <w:tc>
          <w:tcPr>
            <w:tcW w:w="138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22,142</w:t>
            </w:r>
          </w:p>
        </w:tc>
      </w:tr>
      <w:tr>
        <w:trPr/>
        <w:tc>
          <w:tcPr>
            <w:tcW w:w="36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Employment costs</w:t>
            </w:r>
          </w:p>
        </w:tc>
        <w:tc>
          <w:tcPr>
            <w:tcW w:w="109"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804"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pPr>
            <w:r>
              <w:rPr/>
              <w:t>​</w:t>
            </w:r>
          </w:p>
        </w:tc>
        <w:tc>
          <w:tcPr>
            <w:tcW w:w="9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34,285</w:t>
            </w:r>
          </w:p>
        </w:tc>
        <w:tc>
          <w:tcPr>
            <w:tcW w:w="109"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pPr>
            <w:r>
              <w:rPr/>
              <w:t>​</w:t>
            </w:r>
          </w:p>
        </w:tc>
        <w:tc>
          <w:tcPr>
            <w:tcW w:w="1388"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34,285</w:t>
            </w:r>
          </w:p>
        </w:tc>
      </w:tr>
      <w:tr>
        <w:trPr/>
        <w:tc>
          <w:tcPr>
            <w:tcW w:w="36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goods sold</w:t>
            </w:r>
          </w:p>
        </w:tc>
        <w:tc>
          <w:tcPr>
            <w:tcW w:w="109"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80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w:t>
            </w:r>
          </w:p>
        </w:tc>
        <w:tc>
          <w:tcPr>
            <w:tcW w:w="9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15,792</w:t>
            </w:r>
          </w:p>
        </w:tc>
        <w:tc>
          <w:tcPr>
            <w:tcW w:w="109"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pPr>
            <w:r>
              <w:rPr/>
              <w:t>​</w:t>
            </w:r>
          </w:p>
        </w:tc>
        <w:tc>
          <w:tcPr>
            <w:tcW w:w="138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15,792</w:t>
            </w:r>
          </w:p>
        </w:tc>
      </w:tr>
      <w:tr>
        <w:trPr/>
        <w:tc>
          <w:tcPr>
            <w:tcW w:w="36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services</w:t>
            </w:r>
          </w:p>
        </w:tc>
        <w:tc>
          <w:tcPr>
            <w:tcW w:w="109"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804"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pPr>
            <w:r>
              <w:rPr/>
              <w:t>​</w:t>
            </w:r>
          </w:p>
        </w:tc>
        <w:tc>
          <w:tcPr>
            <w:tcW w:w="9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25,042</w:t>
            </w:r>
          </w:p>
        </w:tc>
        <w:tc>
          <w:tcPr>
            <w:tcW w:w="109"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pPr>
            <w:r>
              <w:rPr/>
              <w:t>​</w:t>
            </w:r>
          </w:p>
        </w:tc>
        <w:tc>
          <w:tcPr>
            <w:tcW w:w="1388"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25,042</w:t>
            </w:r>
          </w:p>
        </w:tc>
      </w:tr>
      <w:tr>
        <w:trPr/>
        <w:tc>
          <w:tcPr>
            <w:tcW w:w="36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Non-income taxes and insurance</w:t>
            </w:r>
          </w:p>
        </w:tc>
        <w:tc>
          <w:tcPr>
            <w:tcW w:w="109"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80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w:t>
            </w:r>
          </w:p>
        </w:tc>
        <w:tc>
          <w:tcPr>
            <w:tcW w:w="9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12,249</w:t>
            </w:r>
          </w:p>
        </w:tc>
        <w:tc>
          <w:tcPr>
            <w:tcW w:w="109"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pPr>
            <w:r>
              <w:rPr/>
              <w:t>​</w:t>
            </w:r>
          </w:p>
        </w:tc>
        <w:tc>
          <w:tcPr>
            <w:tcW w:w="138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12,249</w:t>
            </w:r>
          </w:p>
        </w:tc>
      </w:tr>
      <w:tr>
        <w:trPr/>
        <w:tc>
          <w:tcPr>
            <w:tcW w:w="36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Preopening costs</w:t>
            </w:r>
          </w:p>
        </w:tc>
        <w:tc>
          <w:tcPr>
            <w:tcW w:w="109"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804"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pPr>
            <w:r>
              <w:rPr/>
              <w:t>​</w:t>
            </w:r>
          </w:p>
        </w:tc>
        <w:tc>
          <w:tcPr>
            <w:tcW w:w="9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438</w:t>
            </w:r>
          </w:p>
        </w:tc>
        <w:tc>
          <w:tcPr>
            <w:tcW w:w="109"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pPr>
            <w:r>
              <w:rPr/>
              <w:t>​</w:t>
            </w:r>
          </w:p>
        </w:tc>
        <w:tc>
          <w:tcPr>
            <w:tcW w:w="1388"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438</w:t>
            </w:r>
          </w:p>
        </w:tc>
      </w:tr>
      <w:tr>
        <w:trPr/>
        <w:tc>
          <w:tcPr>
            <w:tcW w:w="36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segment expenses (1)</w:t>
            </w:r>
          </w:p>
        </w:tc>
        <w:tc>
          <w:tcPr>
            <w:tcW w:w="109"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80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w:t>
            </w:r>
          </w:p>
        </w:tc>
        <w:tc>
          <w:tcPr>
            <w:tcW w:w="9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14,195</w:t>
            </w:r>
          </w:p>
        </w:tc>
        <w:tc>
          <w:tcPr>
            <w:tcW w:w="109"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pPr>
            <w:r>
              <w:rPr/>
              <w:t>​</w:t>
            </w:r>
          </w:p>
        </w:tc>
        <w:tc>
          <w:tcPr>
            <w:tcW w:w="13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11,245</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25,440</w:t>
            </w:r>
          </w:p>
        </w:tc>
      </w:tr>
      <w:tr>
        <w:trPr/>
        <w:tc>
          <w:tcPr>
            <w:tcW w:w="36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109" w:type="dxa"/>
            <w:tcBorders/>
            <w:shd w:fill="CCEEFF" w:val="clear"/>
            <w:vAlign w:val="center"/>
          </w:tcPr>
          <w:p>
            <w:pPr>
              <w:pStyle w:val="TableContents"/>
              <w:bidi w:val="0"/>
              <w:spacing w:before="0" w:after="0"/>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67,218</w:t>
            </w:r>
          </w:p>
        </w:tc>
        <w:tc>
          <w:tcPr>
            <w:tcW w:w="109" w:type="dxa"/>
            <w:tcBorders/>
            <w:shd w:fill="CCEEFF" w:val="clear"/>
            <w:vAlign w:val="center"/>
          </w:tcPr>
          <w:p>
            <w:pPr>
              <w:pStyle w:val="TableContents"/>
              <w:bidi w:val="0"/>
              <w:spacing w:before="0" w:after="0"/>
              <w:ind w:left="0" w:right="0" w:hanging="0"/>
              <w:jc w:val="left"/>
              <w:rPr/>
            </w:pPr>
            <w:r>
              <w:rPr/>
              <w:t>​</w:t>
            </w:r>
          </w:p>
        </w:tc>
        <w:tc>
          <w:tcPr>
            <w:tcW w:w="26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9,609</w:t>
            </w:r>
          </w:p>
        </w:tc>
        <w:tc>
          <w:tcPr>
            <w:tcW w:w="109" w:type="dxa"/>
            <w:tcBorders/>
            <w:shd w:fill="CCEEFF" w:val="clear"/>
            <w:vAlign w:val="center"/>
          </w:tcPr>
          <w:p>
            <w:pPr>
              <w:pStyle w:val="TableContents"/>
              <w:bidi w:val="0"/>
              <w:spacing w:before="0" w:after="0"/>
              <w:ind w:left="0" w:right="0" w:hanging="0"/>
              <w:jc w:val="left"/>
              <w:rPr/>
            </w:pPr>
            <w:r>
              <w:rPr/>
              <w:t>​</w:t>
            </w:r>
          </w:p>
        </w:tc>
        <w:tc>
          <w:tcPr>
            <w:tcW w:w="36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77,084</w:t>
            </w:r>
          </w:p>
        </w:tc>
      </w:tr>
      <w:tr>
        <w:trPr/>
        <w:tc>
          <w:tcPr>
            <w:tcW w:w="36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 (loss)</w:t>
            </w:r>
          </w:p>
        </w:tc>
        <w:tc>
          <w:tcPr>
            <w:tcW w:w="109"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153,643</w:t>
            </w:r>
          </w:p>
        </w:tc>
        <w:tc>
          <w:tcPr>
            <w:tcW w:w="109"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32,404</w:t>
            </w:r>
          </w:p>
        </w:tc>
        <w:tc>
          <w:tcPr>
            <w:tcW w:w="109"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(11,502)</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174,545</w:t>
            </w:r>
          </w:p>
        </w:tc>
      </w:tr>
      <w:tr>
        <w:trPr/>
        <w:tc>
          <w:tcPr>
            <w:tcW w:w="36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109"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8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109"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pPr>
            <w:r>
              <w:rPr/>
              <w:t>​</w:t>
            </w:r>
          </w:p>
        </w:tc>
        <w:tc>
          <w:tcPr>
            <w:tcW w:w="9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(8,215)</w:t>
            </w:r>
          </w:p>
        </w:tc>
        <w:tc>
          <w:tcPr>
            <w:tcW w:w="109"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pPr>
            <w:r>
              <w:rPr/>
              <w:t>​</w:t>
            </w:r>
          </w:p>
        </w:tc>
        <w:tc>
          <w:tcPr>
            <w:tcW w:w="13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(55,653)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(63,875)</w:t>
            </w:r>
          </w:p>
        </w:tc>
      </w:tr>
      <w:tr>
        <w:trPr/>
        <w:tc>
          <w:tcPr>
            <w:tcW w:w="36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109"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80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w:t>
            </w:r>
          </w:p>
        </w:tc>
        <w:tc>
          <w:tcPr>
            <w:tcW w:w="99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pPr>
            <w:r>
              <w:rPr/>
              <w:t>​</w:t>
            </w:r>
          </w:p>
        </w:tc>
        <w:tc>
          <w:tcPr>
            <w:tcW w:w="138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3,727</w:t>
            </w:r>
          </w:p>
        </w:tc>
      </w:tr>
      <w:tr>
        <w:trPr/>
        <w:tc>
          <w:tcPr>
            <w:tcW w:w="36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from unconsolidated joint ventures</w:t>
            </w:r>
          </w:p>
        </w:tc>
        <w:tc>
          <w:tcPr>
            <w:tcW w:w="109"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804"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pPr>
            <w:r>
              <w:rPr/>
              <w:t>​</w:t>
            </w:r>
          </w:p>
        </w:tc>
        <w:tc>
          <w:tcPr>
            <w:tcW w:w="993"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pPr>
            <w:r>
              <w:rPr/>
              <w:t>​</w:t>
            </w:r>
          </w:p>
        </w:tc>
        <w:tc>
          <w:tcPr>
            <w:tcW w:w="1388"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36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gains and (losses), net</w:t>
            </w:r>
          </w:p>
        </w:tc>
        <w:tc>
          <w:tcPr>
            <w:tcW w:w="109"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80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w:t>
            </w:r>
          </w:p>
        </w:tc>
        <w:tc>
          <w:tcPr>
            <w:tcW w:w="99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pPr>
            <w:r>
              <w:rPr/>
              <w:t>​</w:t>
            </w:r>
          </w:p>
        </w:tc>
        <w:tc>
          <w:tcPr>
            <w:tcW w:w="138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w:t>
            </w:r>
          </w:p>
        </w:tc>
      </w:tr>
      <w:tr>
        <w:trPr/>
        <w:tc>
          <w:tcPr>
            <w:tcW w:w="36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before income taxes</w:t>
            </w:r>
          </w:p>
        </w:tc>
        <w:tc>
          <w:tcPr>
            <w:tcW w:w="109"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804"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pPr>
            <w:r>
              <w:rPr/>
              <w:t>​</w:t>
            </w:r>
          </w:p>
        </w:tc>
        <w:tc>
          <w:tcPr>
            <w:tcW w:w="993"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pPr>
            <w:r>
              <w:rPr/>
              <w:t>​</w:t>
            </w:r>
          </w:p>
        </w:tc>
        <w:tc>
          <w:tcPr>
            <w:tcW w:w="1388"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114,142</w:t>
            </w:r>
          </w:p>
        </w:tc>
      </w:tr>
    </w:tbl>
    <w:p>
      <w:pPr>
        <w:pStyle w:val="TextBody"/>
        <w:bidi w:val="0"/>
        <w:spacing w:before="0" w:after="0"/>
        <w:ind w:left="0" w:right="0" w:hanging="0"/>
        <w:jc w:val="left"/>
        <w:rPr/>
      </w:pPr>
      <w:r>
        <w:rPr/>
        <w:t>​</w:t>
      </w:r>
    </w:p>
    <w:tbl>
      <w:tblPr>
        <w:tblW w:w="8916" w:type="dxa"/>
        <w:jc w:val="left"/>
        <w:tblInd w:w="0" w:type="dxa"/>
        <w:tblLayout w:type="fixed"/>
        <w:tblCellMar>
          <w:top w:w="0" w:type="dxa"/>
          <w:left w:w="0" w:type="dxa"/>
          <w:bottom w:w="0" w:type="dxa"/>
          <w:right w:w="0" w:type="dxa"/>
        </w:tblCellMar>
      </w:tblPr>
      <w:tblGrid>
        <w:gridCol w:w="3391"/>
        <w:gridCol w:w="109"/>
        <w:gridCol w:w="217"/>
        <w:gridCol w:w="804"/>
        <w:gridCol w:w="109"/>
        <w:gridCol w:w="268"/>
        <w:gridCol w:w="993"/>
        <w:gridCol w:w="109"/>
        <w:gridCol w:w="367"/>
        <w:gridCol w:w="1388"/>
        <w:gridCol w:w="109"/>
        <w:gridCol w:w="211"/>
        <w:gridCol w:w="841"/>
      </w:tblGrid>
      <w:tr>
        <w:trPr/>
        <w:tc>
          <w:tcPr>
            <w:tcW w:w="3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2153285" cy="175260"/>
                      <wp:effectExtent l="0" t="0" r="0" b="0"/>
                      <wp:wrapNone/>
                      <wp:docPr id="208" name="Frame208"/>
                      <a:graphic xmlns:a="http://schemas.openxmlformats.org/drawingml/2006/main">
                        <a:graphicData uri="http://schemas.microsoft.com/office/word/2010/wordprocessingShape">
                          <wps:wsp>
                            <wps:cNvSpPr txBox="1"/>
                            <wps:spPr>
                              <a:xfrm>
                                <a:off x="0" y="0"/>
                                <a:ext cx="2153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9215" cy="175260"/>
                      <wp:effectExtent l="0" t="0" r="0" b="0"/>
                      <wp:wrapNone/>
                      <wp:docPr id="209" name="Frame20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137795" cy="175260"/>
                      <wp:effectExtent l="0" t="0" r="0" b="0"/>
                      <wp:wrapNone/>
                      <wp:docPr id="210" name="Frame210"/>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510540" cy="175260"/>
                      <wp:effectExtent l="0" t="0" r="0" b="0"/>
                      <wp:wrapNone/>
                      <wp:docPr id="211" name="Frame211"/>
                      <a:graphic xmlns:a="http://schemas.openxmlformats.org/drawingml/2006/main">
                        <a:graphicData uri="http://schemas.microsoft.com/office/word/2010/wordprocessingShape">
                          <wps:wsp>
                            <wps:cNvSpPr txBox="1"/>
                            <wps:spPr>
                              <a:xfrm>
                                <a:off x="0" y="0"/>
                                <a:ext cx="5105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9215" cy="175260"/>
                      <wp:effectExtent l="0" t="0" r="0" b="0"/>
                      <wp:wrapNone/>
                      <wp:docPr id="212" name="Frame21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170180" cy="175260"/>
                      <wp:effectExtent l="0" t="0" r="0" b="0"/>
                      <wp:wrapNone/>
                      <wp:docPr id="213" name="Frame213"/>
                      <a:graphic xmlns:a="http://schemas.openxmlformats.org/drawingml/2006/main">
                        <a:graphicData uri="http://schemas.microsoft.com/office/word/2010/wordprocessingShape">
                          <wps:wsp>
                            <wps:cNvSpPr txBox="1"/>
                            <wps:spPr>
                              <a:xfrm>
                                <a:off x="0" y="0"/>
                                <a:ext cx="170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30555" cy="175260"/>
                      <wp:effectExtent l="0" t="0" r="0" b="0"/>
                      <wp:wrapNone/>
                      <wp:docPr id="214" name="Frame214"/>
                      <a:graphic xmlns:a="http://schemas.openxmlformats.org/drawingml/2006/main">
                        <a:graphicData uri="http://schemas.microsoft.com/office/word/2010/wordprocessingShape">
                          <wps:wsp>
                            <wps:cNvSpPr txBox="1"/>
                            <wps:spPr>
                              <a:xfrm>
                                <a:off x="0" y="0"/>
                                <a:ext cx="630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9215" cy="175260"/>
                      <wp:effectExtent l="0" t="0" r="0" b="0"/>
                      <wp:wrapNone/>
                      <wp:docPr id="215" name="Frame21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233045" cy="175260"/>
                      <wp:effectExtent l="0" t="0" r="0" b="0"/>
                      <wp:wrapNone/>
                      <wp:docPr id="216" name="Frame216"/>
                      <a:graphic xmlns:a="http://schemas.openxmlformats.org/drawingml/2006/main">
                        <a:graphicData uri="http://schemas.microsoft.com/office/word/2010/wordprocessingShape">
                          <wps:wsp>
                            <wps:cNvSpPr txBox="1"/>
                            <wps:spPr>
                              <a:xfrm>
                                <a:off x="0" y="0"/>
                                <a:ext cx="233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881380" cy="175260"/>
                      <wp:effectExtent l="0" t="0" r="0" b="0"/>
                      <wp:wrapNone/>
                      <wp:docPr id="217" name="Frame217"/>
                      <a:graphic xmlns:a="http://schemas.openxmlformats.org/drawingml/2006/main">
                        <a:graphicData uri="http://schemas.microsoft.com/office/word/2010/wordprocessingShape">
                          <wps:wsp>
                            <wps:cNvSpPr txBox="1"/>
                            <wps:spPr>
                              <a:xfrm>
                                <a:off x="0" y="0"/>
                                <a:ext cx="8813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9215" cy="175260"/>
                      <wp:effectExtent l="0" t="0" r="0" b="0"/>
                      <wp:wrapNone/>
                      <wp:docPr id="218" name="Frame21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133985" cy="175260"/>
                      <wp:effectExtent l="0" t="0" r="0" b="0"/>
                      <wp:wrapNone/>
                      <wp:docPr id="219" name="Frame2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534035" cy="175260"/>
                      <wp:effectExtent l="0" t="0" r="0" b="0"/>
                      <wp:wrapNone/>
                      <wp:docPr id="220" name="Frame220"/>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416"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 the Three Months Ended June 30, 2025</w:t>
            </w:r>
          </w:p>
        </w:tc>
      </w:tr>
      <w:tr>
        <w:trPr/>
        <w:tc>
          <w:tcPr>
            <w:tcW w:w="33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Hospitality</w:t>
            </w:r>
          </w:p>
        </w:tc>
        <w:tc>
          <w:tcPr>
            <w:tcW w:w="109" w:type="dxa"/>
            <w:tcBorders/>
            <w:vAlign w:val="center"/>
          </w:tcPr>
          <w:p>
            <w:pPr>
              <w:pStyle w:val="TableContents"/>
              <w:bidi w:val="0"/>
              <w:spacing w:before="0" w:after="0"/>
              <w:ind w:left="0" w:right="0" w:hanging="0"/>
              <w:jc w:val="center"/>
              <w:rPr/>
            </w:pPr>
            <w:r>
              <w:rPr/>
              <w:t>​</w:t>
            </w:r>
          </w:p>
        </w:tc>
        <w:tc>
          <w:tcPr>
            <w:tcW w:w="12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Entertainment</w:t>
            </w:r>
          </w:p>
        </w:tc>
        <w:tc>
          <w:tcPr>
            <w:tcW w:w="109" w:type="dxa"/>
            <w:tcBorders/>
            <w:vAlign w:val="center"/>
          </w:tcPr>
          <w:p>
            <w:pPr>
              <w:pStyle w:val="TableContents"/>
              <w:bidi w:val="0"/>
              <w:spacing w:before="0" w:after="0"/>
              <w:ind w:left="0" w:right="0" w:hanging="0"/>
              <w:jc w:val="center"/>
              <w:rPr/>
            </w:pPr>
            <w:r>
              <w:rPr/>
              <w:t>​</w:t>
            </w:r>
          </w:p>
        </w:tc>
        <w:tc>
          <w:tcPr>
            <w:tcW w:w="17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Corporate and Other</w:t>
            </w:r>
          </w:p>
        </w:tc>
        <w:tc>
          <w:tcPr>
            <w:tcW w:w="109" w:type="dxa"/>
            <w:tcBorders/>
            <w:vAlign w:val="center"/>
          </w:tcPr>
          <w:p>
            <w:pPr>
              <w:pStyle w:val="TableContents"/>
              <w:bidi w:val="0"/>
              <w:spacing w:before="0" w:after="0"/>
              <w:ind w:left="0" w:right="0" w:hanging="0"/>
              <w:jc w:val="center"/>
              <w:rPr/>
            </w:pPr>
            <w:r>
              <w:rPr/>
              <w:t>​</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Total</w:t>
            </w:r>
          </w:p>
        </w:tc>
      </w:tr>
      <w:tr>
        <w:trPr/>
        <w:tc>
          <w:tcPr>
            <w:tcW w:w="3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Revenues</w:t>
            </w:r>
          </w:p>
        </w:tc>
        <w:tc>
          <w:tcPr>
            <w:tcW w:w="109"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516,211</w:t>
            </w:r>
          </w:p>
        </w:tc>
        <w:tc>
          <w:tcPr>
            <w:tcW w:w="109"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143,304</w:t>
            </w:r>
          </w:p>
        </w:tc>
        <w:tc>
          <w:tcPr>
            <w:tcW w:w="109"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88"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659,515</w:t>
            </w:r>
          </w:p>
        </w:tc>
      </w:tr>
      <w:tr>
        <w:trPr/>
        <w:tc>
          <w:tcPr>
            <w:tcW w:w="3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Expenses:</w:t>
            </w:r>
          </w:p>
        </w:tc>
        <w:tc>
          <w:tcPr>
            <w:tcW w:w="109"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80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w:t>
            </w:r>
          </w:p>
        </w:tc>
        <w:tc>
          <w:tcPr>
            <w:tcW w:w="99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pPr>
            <w:r>
              <w:rPr/>
              <w:t>​</w:t>
            </w:r>
          </w:p>
        </w:tc>
        <w:tc>
          <w:tcPr>
            <w:tcW w:w="138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left"/>
              <w:rPr/>
            </w:pPr>
            <w:r>
              <w:rPr/>
              <w:t>​</w:t>
            </w:r>
          </w:p>
        </w:tc>
      </w:tr>
      <w:tr>
        <w:trPr/>
        <w:tc>
          <w:tcPr>
            <w:tcW w:w="3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Rooms</w:t>
            </w:r>
          </w:p>
        </w:tc>
        <w:tc>
          <w:tcPr>
            <w:tcW w:w="109"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8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47,238</w:t>
            </w:r>
          </w:p>
        </w:tc>
        <w:tc>
          <w:tcPr>
            <w:tcW w:w="109"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pPr>
            <w:r>
              <w:rPr/>
              <w:t>​</w:t>
            </w:r>
          </w:p>
        </w:tc>
        <w:tc>
          <w:tcPr>
            <w:tcW w:w="993"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pPr>
            <w:r>
              <w:rPr/>
              <w:t>​</w:t>
            </w:r>
          </w:p>
        </w:tc>
        <w:tc>
          <w:tcPr>
            <w:tcW w:w="1388"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47,238</w:t>
            </w:r>
          </w:p>
        </w:tc>
      </w:tr>
      <w:tr>
        <w:trPr/>
        <w:tc>
          <w:tcPr>
            <w:tcW w:w="3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Food and beverage</w:t>
            </w:r>
          </w:p>
        </w:tc>
        <w:tc>
          <w:tcPr>
            <w:tcW w:w="109"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8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136,152</w:t>
            </w:r>
          </w:p>
        </w:tc>
        <w:tc>
          <w:tcPr>
            <w:tcW w:w="109"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w:t>
            </w:r>
          </w:p>
        </w:tc>
        <w:tc>
          <w:tcPr>
            <w:tcW w:w="99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pPr>
            <w:r>
              <w:rPr/>
              <w:t>​</w:t>
            </w:r>
          </w:p>
        </w:tc>
        <w:tc>
          <w:tcPr>
            <w:tcW w:w="138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136,152</w:t>
            </w:r>
          </w:p>
        </w:tc>
      </w:tr>
      <w:tr>
        <w:trPr/>
        <w:tc>
          <w:tcPr>
            <w:tcW w:w="3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hotel expenses (1)</w:t>
            </w:r>
          </w:p>
        </w:tc>
        <w:tc>
          <w:tcPr>
            <w:tcW w:w="109"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8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130,588</w:t>
            </w:r>
          </w:p>
        </w:tc>
        <w:tc>
          <w:tcPr>
            <w:tcW w:w="109"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pPr>
            <w:r>
              <w:rPr/>
              <w:t>​</w:t>
            </w:r>
          </w:p>
        </w:tc>
        <w:tc>
          <w:tcPr>
            <w:tcW w:w="993"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pPr>
            <w:r>
              <w:rPr/>
              <w:t>​</w:t>
            </w:r>
          </w:p>
        </w:tc>
        <w:tc>
          <w:tcPr>
            <w:tcW w:w="1388"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130,588</w:t>
            </w:r>
          </w:p>
        </w:tc>
      </w:tr>
      <w:tr>
        <w:trPr/>
        <w:tc>
          <w:tcPr>
            <w:tcW w:w="3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Management fees</w:t>
            </w:r>
          </w:p>
        </w:tc>
        <w:tc>
          <w:tcPr>
            <w:tcW w:w="109"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8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17,916</w:t>
            </w:r>
          </w:p>
        </w:tc>
        <w:tc>
          <w:tcPr>
            <w:tcW w:w="109"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w:t>
            </w:r>
          </w:p>
        </w:tc>
        <w:tc>
          <w:tcPr>
            <w:tcW w:w="99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pPr>
            <w:r>
              <w:rPr/>
              <w:t>​</w:t>
            </w:r>
          </w:p>
        </w:tc>
        <w:tc>
          <w:tcPr>
            <w:tcW w:w="138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17,916</w:t>
            </w:r>
          </w:p>
        </w:tc>
      </w:tr>
      <w:tr>
        <w:trPr/>
        <w:tc>
          <w:tcPr>
            <w:tcW w:w="3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Employment costs</w:t>
            </w:r>
          </w:p>
        </w:tc>
        <w:tc>
          <w:tcPr>
            <w:tcW w:w="109"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804"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pPr>
            <w:r>
              <w:rPr/>
              <w:t>​</w:t>
            </w:r>
          </w:p>
        </w:tc>
        <w:tc>
          <w:tcPr>
            <w:tcW w:w="9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35,061</w:t>
            </w:r>
          </w:p>
        </w:tc>
        <w:tc>
          <w:tcPr>
            <w:tcW w:w="109"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pPr>
            <w:r>
              <w:rPr/>
              <w:t>​</w:t>
            </w:r>
          </w:p>
        </w:tc>
        <w:tc>
          <w:tcPr>
            <w:tcW w:w="1388"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35,061</w:t>
            </w:r>
          </w:p>
        </w:tc>
      </w:tr>
      <w:tr>
        <w:trPr/>
        <w:tc>
          <w:tcPr>
            <w:tcW w:w="3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goods sold</w:t>
            </w:r>
          </w:p>
        </w:tc>
        <w:tc>
          <w:tcPr>
            <w:tcW w:w="109"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80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w:t>
            </w:r>
          </w:p>
        </w:tc>
        <w:tc>
          <w:tcPr>
            <w:tcW w:w="9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14,383</w:t>
            </w:r>
          </w:p>
        </w:tc>
        <w:tc>
          <w:tcPr>
            <w:tcW w:w="109"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pPr>
            <w:r>
              <w:rPr/>
              <w:t>​</w:t>
            </w:r>
          </w:p>
        </w:tc>
        <w:tc>
          <w:tcPr>
            <w:tcW w:w="138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14,383</w:t>
            </w:r>
          </w:p>
        </w:tc>
      </w:tr>
      <w:tr>
        <w:trPr/>
        <w:tc>
          <w:tcPr>
            <w:tcW w:w="3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services</w:t>
            </w:r>
          </w:p>
        </w:tc>
        <w:tc>
          <w:tcPr>
            <w:tcW w:w="109"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804"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pPr>
            <w:r>
              <w:rPr/>
              <w:t>​</w:t>
            </w:r>
          </w:p>
        </w:tc>
        <w:tc>
          <w:tcPr>
            <w:tcW w:w="9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32,218</w:t>
            </w:r>
          </w:p>
        </w:tc>
        <w:tc>
          <w:tcPr>
            <w:tcW w:w="109"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pPr>
            <w:r>
              <w:rPr/>
              <w:t>​</w:t>
            </w:r>
          </w:p>
        </w:tc>
        <w:tc>
          <w:tcPr>
            <w:tcW w:w="1388"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32,218</w:t>
            </w:r>
          </w:p>
        </w:tc>
      </w:tr>
      <w:tr>
        <w:trPr/>
        <w:tc>
          <w:tcPr>
            <w:tcW w:w="3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Non-income taxes and insurance</w:t>
            </w:r>
          </w:p>
        </w:tc>
        <w:tc>
          <w:tcPr>
            <w:tcW w:w="109"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80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w:t>
            </w:r>
          </w:p>
        </w:tc>
        <w:tc>
          <w:tcPr>
            <w:tcW w:w="9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13,275</w:t>
            </w:r>
          </w:p>
        </w:tc>
        <w:tc>
          <w:tcPr>
            <w:tcW w:w="109"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pPr>
            <w:r>
              <w:rPr/>
              <w:t>​</w:t>
            </w:r>
          </w:p>
        </w:tc>
        <w:tc>
          <w:tcPr>
            <w:tcW w:w="138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13,275</w:t>
            </w:r>
          </w:p>
        </w:tc>
      </w:tr>
      <w:tr>
        <w:trPr/>
        <w:tc>
          <w:tcPr>
            <w:tcW w:w="3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Preopening costs</w:t>
            </w:r>
          </w:p>
        </w:tc>
        <w:tc>
          <w:tcPr>
            <w:tcW w:w="109"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804"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pPr>
            <w:r>
              <w:rPr/>
              <w:t>​</w:t>
            </w:r>
          </w:p>
        </w:tc>
        <w:tc>
          <w:tcPr>
            <w:tcW w:w="9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w:t>
            </w:r>
          </w:p>
        </w:tc>
        <w:tc>
          <w:tcPr>
            <w:tcW w:w="109"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pPr>
            <w:r>
              <w:rPr/>
              <w:t>​</w:t>
            </w:r>
          </w:p>
        </w:tc>
        <w:tc>
          <w:tcPr>
            <w:tcW w:w="1388"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w:t>
            </w:r>
          </w:p>
        </w:tc>
      </w:tr>
      <w:tr>
        <w:trPr/>
        <w:tc>
          <w:tcPr>
            <w:tcW w:w="3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segment expenses (1)</w:t>
            </w:r>
          </w:p>
        </w:tc>
        <w:tc>
          <w:tcPr>
            <w:tcW w:w="109"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80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w:t>
            </w:r>
          </w:p>
        </w:tc>
        <w:tc>
          <w:tcPr>
            <w:tcW w:w="9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15,439</w:t>
            </w:r>
          </w:p>
        </w:tc>
        <w:tc>
          <w:tcPr>
            <w:tcW w:w="109"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pPr>
            <w:r>
              <w:rPr/>
              <w:t>​</w:t>
            </w:r>
          </w:p>
        </w:tc>
        <w:tc>
          <w:tcPr>
            <w:tcW w:w="13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10,759</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26,198</w:t>
            </w:r>
          </w:p>
        </w:tc>
      </w:tr>
      <w:tr>
        <w:trPr/>
        <w:tc>
          <w:tcPr>
            <w:tcW w:w="3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109" w:type="dxa"/>
            <w:tcBorders/>
            <w:shd w:fill="CCEEFF" w:val="clear"/>
            <w:vAlign w:val="center"/>
          </w:tcPr>
          <w:p>
            <w:pPr>
              <w:pStyle w:val="TableContents"/>
              <w:bidi w:val="0"/>
              <w:spacing w:before="0" w:after="0"/>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57,397</w:t>
            </w:r>
          </w:p>
        </w:tc>
        <w:tc>
          <w:tcPr>
            <w:tcW w:w="109" w:type="dxa"/>
            <w:tcBorders/>
            <w:shd w:fill="CCEEFF" w:val="clear"/>
            <w:vAlign w:val="center"/>
          </w:tcPr>
          <w:p>
            <w:pPr>
              <w:pStyle w:val="TableContents"/>
              <w:bidi w:val="0"/>
              <w:spacing w:before="0" w:after="0"/>
              <w:ind w:left="0" w:right="0" w:hanging="0"/>
              <w:jc w:val="left"/>
              <w:rPr/>
            </w:pPr>
            <w:r>
              <w:rPr/>
              <w:t>​</w:t>
            </w:r>
          </w:p>
        </w:tc>
        <w:tc>
          <w:tcPr>
            <w:tcW w:w="26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9,335</w:t>
            </w:r>
          </w:p>
        </w:tc>
        <w:tc>
          <w:tcPr>
            <w:tcW w:w="109" w:type="dxa"/>
            <w:tcBorders/>
            <w:shd w:fill="CCEEFF" w:val="clear"/>
            <w:vAlign w:val="center"/>
          </w:tcPr>
          <w:p>
            <w:pPr>
              <w:pStyle w:val="TableContents"/>
              <w:bidi w:val="0"/>
              <w:spacing w:before="0" w:after="0"/>
              <w:ind w:left="0" w:right="0" w:hanging="0"/>
              <w:jc w:val="left"/>
              <w:rPr/>
            </w:pPr>
            <w:r>
              <w:rPr/>
              <w:t>​</w:t>
            </w:r>
          </w:p>
        </w:tc>
        <w:tc>
          <w:tcPr>
            <w:tcW w:w="36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66,963</w:t>
            </w:r>
          </w:p>
        </w:tc>
      </w:tr>
      <w:tr>
        <w:trPr/>
        <w:tc>
          <w:tcPr>
            <w:tcW w:w="3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 (loss)</w:t>
            </w:r>
          </w:p>
        </w:tc>
        <w:tc>
          <w:tcPr>
            <w:tcW w:w="109"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126,920</w:t>
            </w:r>
          </w:p>
        </w:tc>
        <w:tc>
          <w:tcPr>
            <w:tcW w:w="109"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23,495</w:t>
            </w:r>
          </w:p>
        </w:tc>
        <w:tc>
          <w:tcPr>
            <w:tcW w:w="109"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(10,990)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139,425</w:t>
            </w:r>
          </w:p>
        </w:tc>
      </w:tr>
      <w:tr>
        <w:trPr/>
        <w:tc>
          <w:tcPr>
            <w:tcW w:w="3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109"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8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109"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pPr>
            <w:r>
              <w:rPr/>
              <w:t>​</w:t>
            </w:r>
          </w:p>
        </w:tc>
        <w:tc>
          <w:tcPr>
            <w:tcW w:w="9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(9,537)</w:t>
            </w:r>
          </w:p>
        </w:tc>
        <w:tc>
          <w:tcPr>
            <w:tcW w:w="109"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pPr>
            <w:r>
              <w:rPr/>
              <w:t>​</w:t>
            </w:r>
          </w:p>
        </w:tc>
        <w:tc>
          <w:tcPr>
            <w:tcW w:w="13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(48,994)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(58,534)</w:t>
            </w:r>
          </w:p>
        </w:tc>
      </w:tr>
      <w:tr>
        <w:trPr/>
        <w:tc>
          <w:tcPr>
            <w:tcW w:w="3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109"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80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w:t>
            </w:r>
          </w:p>
        </w:tc>
        <w:tc>
          <w:tcPr>
            <w:tcW w:w="99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pPr>
            <w:r>
              <w:rPr/>
              <w:t>​</w:t>
            </w:r>
          </w:p>
        </w:tc>
        <w:tc>
          <w:tcPr>
            <w:tcW w:w="138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5,583</w:t>
            </w:r>
          </w:p>
        </w:tc>
      </w:tr>
      <w:tr>
        <w:trPr/>
        <w:tc>
          <w:tcPr>
            <w:tcW w:w="3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extinguishment of debt</w:t>
            </w:r>
          </w:p>
        </w:tc>
        <w:tc>
          <w:tcPr>
            <w:tcW w:w="109"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804"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pPr>
            <w:r>
              <w:rPr/>
              <w:t>​</w:t>
            </w:r>
          </w:p>
        </w:tc>
        <w:tc>
          <w:tcPr>
            <w:tcW w:w="993"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pPr>
            <w:r>
              <w:rPr/>
              <w:t>​</w:t>
            </w:r>
          </w:p>
        </w:tc>
        <w:tc>
          <w:tcPr>
            <w:tcW w:w="1388"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(2,542)</w:t>
            </w:r>
          </w:p>
        </w:tc>
      </w:tr>
      <w:tr>
        <w:trPr/>
        <w:tc>
          <w:tcPr>
            <w:tcW w:w="3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from unconsolidated joint ventures</w:t>
            </w:r>
          </w:p>
        </w:tc>
        <w:tc>
          <w:tcPr>
            <w:tcW w:w="109"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80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w:t>
            </w:r>
          </w:p>
        </w:tc>
        <w:tc>
          <w:tcPr>
            <w:tcW w:w="99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pPr>
            <w:r>
              <w:rPr/>
              <w:t>​</w:t>
            </w:r>
          </w:p>
        </w:tc>
        <w:tc>
          <w:tcPr>
            <w:tcW w:w="138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r>
      <w:tr>
        <w:trPr/>
        <w:tc>
          <w:tcPr>
            <w:tcW w:w="3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gains and (losses), net</w:t>
            </w:r>
          </w:p>
        </w:tc>
        <w:tc>
          <w:tcPr>
            <w:tcW w:w="109"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804"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pPr>
            <w:r>
              <w:rPr/>
              <w:t>​</w:t>
            </w:r>
          </w:p>
        </w:tc>
        <w:tc>
          <w:tcPr>
            <w:tcW w:w="993"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pPr>
            <w:r>
              <w:rPr/>
              <w:t>​</w:t>
            </w:r>
          </w:p>
        </w:tc>
        <w:tc>
          <w:tcPr>
            <w:tcW w:w="1388"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w:t>
            </w:r>
          </w:p>
        </w:tc>
      </w:tr>
      <w:tr>
        <w:trPr/>
        <w:tc>
          <w:tcPr>
            <w:tcW w:w="3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before income taxes</w:t>
            </w:r>
          </w:p>
        </w:tc>
        <w:tc>
          <w:tcPr>
            <w:tcW w:w="109"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80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w:t>
            </w:r>
          </w:p>
        </w:tc>
        <w:tc>
          <w:tcPr>
            <w:tcW w:w="99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pPr>
            <w:r>
              <w:rPr/>
              <w:t>​</w:t>
            </w:r>
          </w:p>
        </w:tc>
        <w:tc>
          <w:tcPr>
            <w:tcW w:w="138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83,723</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bookmarkStart w:id="1266" w:name="Tc_SWCfM5cpFEuMouYapJGS4w_22_11"/>
      <w:bookmarkStart w:id="1267" w:name="Tc_SRAjlf3X-k6IjF2n_BgSdQ_22_0"/>
      <w:bookmarkStart w:id="1268" w:name="Tc_4FnIldfEkkmr659pSk-Elg_21_0"/>
      <w:bookmarkStart w:id="1269" w:name="Tc_Wk8VPJNNCUaEhK-KMW2a4Q_20_0"/>
      <w:bookmarkStart w:id="1270" w:name="Tc_7egE-U5cgk-lBnBVQ4t2QQ_19_0"/>
      <w:bookmarkStart w:id="1271" w:name="Tc_bDC7zLqFu0yfjxhmn3Qm_g_18_0"/>
      <w:bookmarkStart w:id="1272" w:name="Tc_JhUrBV10mUWrSx-WsgpFBw_17_0"/>
      <w:bookmarkStart w:id="1273" w:name="Tc_UV4AwDC0JE6P4a-sNQhzng_16_11"/>
      <w:bookmarkStart w:id="1274" w:name="Tc_fiBz9NZmFEqm_u2Kyer_qA_16_8"/>
      <w:bookmarkStart w:id="1275" w:name="Tc_4XcUNNAf80WhOKESXPYNjg_16_5"/>
      <w:bookmarkStart w:id="1276" w:name="Tc_ggVKaOqo1Em3UF39z0zjVA_16_2"/>
      <w:bookmarkStart w:id="1277" w:name="Tc_0QvDH3HvXUuCo99-DGYaEQ_16_0"/>
      <w:bookmarkStart w:id="1278" w:name="Tc_KSKfQFBZ7EG9NxZT-DDeTQ_15_0"/>
      <w:bookmarkStart w:id="1279" w:name="Tc_BaxjOMUxiUSVeb4jupsZcg_14_0"/>
      <w:bookmarkStart w:id="1280" w:name="Tc_jqkztYoD1ki_49sVov5p4w_13_0"/>
      <w:bookmarkStart w:id="1281" w:name="Tc_vs3bC2JxO06XR_53X8d0Kw_12_0"/>
      <w:bookmarkStart w:id="1282" w:name="Tc_NShTjYVArEytgFXWKwa5CQ_11_0"/>
      <w:bookmarkStart w:id="1283" w:name="Tc_WCOD1D7jU0O-8fRQxFZCYw_10_0"/>
      <w:bookmarkStart w:id="1284" w:name="Tc_zTjhKCu4UEqzwb6RUx2Fng_9_0"/>
      <w:bookmarkStart w:id="1285" w:name="Tc_BvoVvHx3C0eZYCsrJIt46g_8_0"/>
      <w:bookmarkStart w:id="1286" w:name="Tc_y43F1v9zmEOJx6aa1_sIOA_7_0"/>
      <w:bookmarkStart w:id="1287" w:name="Tc_KRJumc3aRUOgwHHzJKs4hg_6_0"/>
      <w:bookmarkStart w:id="1288" w:name="Tc_Mv06xKMLskW4oFC3ughv0Q_5_0"/>
      <w:bookmarkStart w:id="1289" w:name="Tc_8SEyuS0Y60iXBoOPU1oKnw_4_0"/>
      <w:bookmarkStart w:id="1290" w:name="Tc_vO3RxEXD60KuSP6lqw-q0w_3_11"/>
      <w:bookmarkStart w:id="1291" w:name="Tc__bXPOSbASEyCsCwItjvw_Q_3_9"/>
      <w:bookmarkStart w:id="1292" w:name="Tc_pUxOILDLYEi2zDA36PA3QQ_3_8"/>
      <w:bookmarkStart w:id="1293" w:name="Tc_ldW7TydvR0GrZJe18f7KxA_3_5"/>
      <w:bookmarkStart w:id="1294" w:name="Tc_rnotdKEG3U6OGp1qccKPpw_3_2"/>
      <w:bookmarkStart w:id="1295" w:name="Tc_0uWIfHY4n0ivUEr1YY34ng_3_0"/>
      <w:bookmarkStart w:id="1296" w:name="Tc_ziq-NcWuEU-sUZDJAqtLMA_2_11"/>
      <w:bookmarkStart w:id="1297" w:name="Tc_gJqF6ECIJUCkEnv85ow2Nw_2_8"/>
      <w:bookmarkStart w:id="1298" w:name="Tc_K8L4E3oiTEaxSw2y4E0c_A_2_5"/>
      <w:bookmarkStart w:id="1299" w:name="Tc_xu16T-lSA0WOHkCqhTBClQ_2_2"/>
      <w:bookmarkStart w:id="1300" w:name="Tc_iH4K41mbw0Kvx2H4aUVjrA_1_2"/>
      <w:bookmarkStart w:id="1301" w:name="_ae5e7307_3abc_49d6_a585_28990cc83836"/>
      <w:bookmarkStart w:id="1302" w:name="Tc_mXCGQwTb6k6LfCv7RS2jPA_22_11"/>
      <w:bookmarkStart w:id="1303" w:name="Tc_cgjmaNE7eEihfBQiy6ZTsg_22_0"/>
      <w:bookmarkStart w:id="1304" w:name="Tc_5WfBNz8vYUyDl_k6uOkDmQ_21_0"/>
      <w:bookmarkStart w:id="1305" w:name="Tc_dKhbQoy8-kuDfv_DhC8agg_20_12"/>
      <w:bookmarkStart w:id="1306" w:name="Tc_9Vzud-fgfUaxEEkMOxlkgw_20_0"/>
      <w:bookmarkStart w:id="1307" w:name="Tc_n6xJZP_jEUSEMPTQrITi0Q_19_0"/>
      <w:bookmarkStart w:id="1308" w:name="Tc_LNgbIuO6JUC67LVsZ8-3eQ_18_0"/>
      <w:bookmarkStart w:id="1309" w:name="Tc_LQk3fRsPE0ml3cWiWB5pxA_17_0"/>
      <w:bookmarkStart w:id="1310" w:name="Tc_BCjvIIpojEC3jTxCq1T26Q_16_11"/>
      <w:bookmarkStart w:id="1311" w:name="Tc_Nsg0viJZjU2rLJK3WxV16Q_16_8"/>
      <w:bookmarkStart w:id="1312" w:name="Tc_w0GC90Cgbk-taY3eZ1k7zg_16_5"/>
      <w:bookmarkStart w:id="1313" w:name="Tc_ClURuZ210k6oiYQphSXipw_16_2"/>
      <w:bookmarkStart w:id="1314" w:name="Tc_h-oU-D3NAU2mTfHIAu3uJg_16_0"/>
      <w:bookmarkStart w:id="1315" w:name="Tc_1z0_Jwc-tkq2GcRIt4-QoQ_15_0"/>
      <w:bookmarkStart w:id="1316" w:name="Tc_02i042fvKkCvMFLyuqDUlA_14_0"/>
      <w:bookmarkStart w:id="1317" w:name="Tc_szsEmOdplUq4c0RDBt44sQ_13_0"/>
      <w:bookmarkStart w:id="1318" w:name="Tc_b8ManiPX00Gld3ArJmOvOQ_12_0"/>
      <w:bookmarkStart w:id="1319" w:name="Tc_s7eYT_YZ4UOl3BN2k4pmrg_11_0"/>
      <w:bookmarkStart w:id="1320" w:name="Tc_Gyf5-nbuIE6i1P6_RDG4dQ_10_0"/>
      <w:bookmarkStart w:id="1321" w:name="Tc_tViIKdWNhkSxO7YPX4J-Vg_9_0"/>
      <w:bookmarkStart w:id="1322" w:name="Tc_CrsbrNOKMU6EGOU_VQayig_8_0"/>
      <w:bookmarkStart w:id="1323" w:name="Tc_SHBEbnJthkykPCwucdFSPA_7_0"/>
      <w:bookmarkStart w:id="1324" w:name="Tc_GcGdqgrHzkqyH_ATDNurUQ_6_0"/>
      <w:bookmarkStart w:id="1325" w:name="Tc_9ndhgMM6-0-9GLlQFXIeFg_5_0"/>
      <w:bookmarkStart w:id="1326" w:name="Tc_UnpjkGLzfEiGCICe7TymzQ_4_0"/>
      <w:bookmarkStart w:id="1327" w:name="Tc_XN4In-zSo0uo0RHYhF5diQ_3_11"/>
      <w:bookmarkStart w:id="1328" w:name="Tc_7ss8Zkrl3EmMBP0U9UoUCg_3_9"/>
      <w:bookmarkStart w:id="1329" w:name="Tc_x7wc9eOup063LQVxa99KaQ_3_8"/>
      <w:bookmarkStart w:id="1330" w:name="Tc_I4fm05qJfE25Tuw37l0pZA_3_5"/>
      <w:bookmarkStart w:id="1331" w:name="Tc_TZqFLVvpSU-wZhHgd3FLog_3_2"/>
      <w:bookmarkStart w:id="1332" w:name="Tc_VN-gJ-xldE2MeGcpRnUccQ_3_0"/>
      <w:bookmarkStart w:id="1333" w:name="Tc_OJ8s7qeKBkuePLo05f9cmw_2_11"/>
      <w:bookmarkStart w:id="1334" w:name="Tc_D3WG3PoYyk-Ovi1uKeL8tw_2_8"/>
      <w:bookmarkStart w:id="1335" w:name="Tc_sz8cxXOEBEiQOeJFkx9vcQ_2_5"/>
      <w:bookmarkStart w:id="1336" w:name="Tc_uqFornMfgE6UnxWWZjjfYA_2_2"/>
      <w:bookmarkStart w:id="1337" w:name="Tc_VKHkNzQpXUGdLkV4vz1V5Q_1_2"/>
      <w:bookmarkStart w:id="1338" w:name="_0c69df9e_b2ed_4fbe_9d15_3a8c3669f343"/>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r>
        <w:rPr/>
        <w:t>​</w:t>
      </w:r>
    </w:p>
    <w:tbl>
      <w:tblPr>
        <w:tblW w:w="9397" w:type="dxa"/>
        <w:jc w:val="left"/>
        <w:tblInd w:w="0" w:type="dxa"/>
        <w:tblLayout w:type="fixed"/>
        <w:tblCellMar>
          <w:top w:w="0" w:type="dxa"/>
          <w:left w:w="0" w:type="dxa"/>
          <w:bottom w:w="0" w:type="dxa"/>
          <w:right w:w="0" w:type="dxa"/>
        </w:tblCellMar>
      </w:tblPr>
      <w:tblGrid>
        <w:gridCol w:w="3616"/>
        <w:gridCol w:w="109"/>
        <w:gridCol w:w="211"/>
        <w:gridCol w:w="931"/>
        <w:gridCol w:w="109"/>
        <w:gridCol w:w="268"/>
        <w:gridCol w:w="993"/>
        <w:gridCol w:w="109"/>
        <w:gridCol w:w="333"/>
        <w:gridCol w:w="1422"/>
        <w:gridCol w:w="109"/>
        <w:gridCol w:w="211"/>
        <w:gridCol w:w="976"/>
      </w:tblGrid>
      <w:tr>
        <w:trPr/>
        <w:tc>
          <w:tcPr>
            <w:tcW w:w="3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2296160" cy="175260"/>
                      <wp:effectExtent l="0" t="0" r="0" b="0"/>
                      <wp:wrapNone/>
                      <wp:docPr id="221" name="Frame221"/>
                      <a:graphic xmlns:a="http://schemas.openxmlformats.org/drawingml/2006/main">
                        <a:graphicData uri="http://schemas.microsoft.com/office/word/2010/wordprocessingShape">
                          <wps:wsp>
                            <wps:cNvSpPr txBox="1"/>
                            <wps:spPr>
                              <a:xfrm>
                                <a:off x="0" y="0"/>
                                <a:ext cx="2296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9215" cy="175260"/>
                      <wp:effectExtent l="0" t="0" r="0" b="0"/>
                      <wp:wrapNone/>
                      <wp:docPr id="222" name="Frame22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133985" cy="175260"/>
                      <wp:effectExtent l="0" t="0" r="0" b="0"/>
                      <wp:wrapNone/>
                      <wp:docPr id="223" name="Frame2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591185" cy="175260"/>
                      <wp:effectExtent l="0" t="0" r="0" b="0"/>
                      <wp:wrapNone/>
                      <wp:docPr id="224" name="Frame22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9215" cy="175260"/>
                      <wp:effectExtent l="0" t="0" r="0" b="0"/>
                      <wp:wrapNone/>
                      <wp:docPr id="225" name="Frame22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170180" cy="175260"/>
                      <wp:effectExtent l="0" t="0" r="0" b="0"/>
                      <wp:wrapNone/>
                      <wp:docPr id="226" name="Frame226"/>
                      <a:graphic xmlns:a="http://schemas.openxmlformats.org/drawingml/2006/main">
                        <a:graphicData uri="http://schemas.microsoft.com/office/word/2010/wordprocessingShape">
                          <wps:wsp>
                            <wps:cNvSpPr txBox="1"/>
                            <wps:spPr>
                              <a:xfrm>
                                <a:off x="0" y="0"/>
                                <a:ext cx="170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30555" cy="175260"/>
                      <wp:effectExtent l="0" t="0" r="0" b="0"/>
                      <wp:wrapNone/>
                      <wp:docPr id="227" name="Frame227"/>
                      <a:graphic xmlns:a="http://schemas.openxmlformats.org/drawingml/2006/main">
                        <a:graphicData uri="http://schemas.microsoft.com/office/word/2010/wordprocessingShape">
                          <wps:wsp>
                            <wps:cNvSpPr txBox="1"/>
                            <wps:spPr>
                              <a:xfrm>
                                <a:off x="0" y="0"/>
                                <a:ext cx="630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9215" cy="175260"/>
                      <wp:effectExtent l="0" t="0" r="0" b="0"/>
                      <wp:wrapNone/>
                      <wp:docPr id="228" name="Frame22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211455" cy="175260"/>
                      <wp:effectExtent l="0" t="0" r="0" b="0"/>
                      <wp:wrapNone/>
                      <wp:docPr id="229" name="Frame229"/>
                      <a:graphic xmlns:a="http://schemas.openxmlformats.org/drawingml/2006/main">
                        <a:graphicData uri="http://schemas.microsoft.com/office/word/2010/wordprocessingShape">
                          <wps:wsp>
                            <wps:cNvSpPr txBox="1"/>
                            <wps:spPr>
                              <a:xfrm>
                                <a:off x="0" y="0"/>
                                <a:ext cx="211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902970" cy="175260"/>
                      <wp:effectExtent l="0" t="0" r="0" b="0"/>
                      <wp:wrapNone/>
                      <wp:docPr id="230" name="Frame230"/>
                      <a:graphic xmlns:a="http://schemas.openxmlformats.org/drawingml/2006/main">
                        <a:graphicData uri="http://schemas.microsoft.com/office/word/2010/wordprocessingShape">
                          <wps:wsp>
                            <wps:cNvSpPr txBox="1"/>
                            <wps:spPr>
                              <a:xfrm>
                                <a:off x="0" y="0"/>
                                <a:ext cx="902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9215" cy="175260"/>
                      <wp:effectExtent l="0" t="0" r="0" b="0"/>
                      <wp:wrapNone/>
                      <wp:docPr id="231" name="Frame23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133985" cy="175260"/>
                      <wp:effectExtent l="0" t="0" r="0" b="0"/>
                      <wp:wrapNone/>
                      <wp:docPr id="232" name="Frame23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19760" cy="175260"/>
                      <wp:effectExtent l="0" t="0" r="0" b="0"/>
                      <wp:wrapNone/>
                      <wp:docPr id="233" name="Frame233"/>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672"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 the Six Months Ended June 30, 2026</w:t>
            </w:r>
          </w:p>
        </w:tc>
      </w:tr>
      <w:tr>
        <w:trPr/>
        <w:tc>
          <w:tcPr>
            <w:tcW w:w="36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Hospitality</w:t>
            </w:r>
          </w:p>
        </w:tc>
        <w:tc>
          <w:tcPr>
            <w:tcW w:w="109" w:type="dxa"/>
            <w:tcBorders/>
            <w:vAlign w:val="center"/>
          </w:tcPr>
          <w:p>
            <w:pPr>
              <w:pStyle w:val="TableContents"/>
              <w:bidi w:val="0"/>
              <w:spacing w:before="0" w:after="0"/>
              <w:ind w:left="0" w:right="0" w:hanging="0"/>
              <w:jc w:val="center"/>
              <w:rPr/>
            </w:pPr>
            <w:r>
              <w:rPr/>
              <w:t>​</w:t>
            </w:r>
          </w:p>
        </w:tc>
        <w:tc>
          <w:tcPr>
            <w:tcW w:w="12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Entertainment</w:t>
            </w:r>
          </w:p>
        </w:tc>
        <w:tc>
          <w:tcPr>
            <w:tcW w:w="109" w:type="dxa"/>
            <w:tcBorders/>
            <w:vAlign w:val="center"/>
          </w:tcPr>
          <w:p>
            <w:pPr>
              <w:pStyle w:val="TableContents"/>
              <w:bidi w:val="0"/>
              <w:spacing w:before="0" w:after="0"/>
              <w:ind w:left="0" w:right="0" w:hanging="0"/>
              <w:jc w:val="center"/>
              <w:rPr/>
            </w:pPr>
            <w:r>
              <w:rPr/>
              <w:t>​</w:t>
            </w:r>
          </w:p>
        </w:tc>
        <w:tc>
          <w:tcPr>
            <w:tcW w:w="17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Corporate and Other</w:t>
            </w:r>
          </w:p>
        </w:tc>
        <w:tc>
          <w:tcPr>
            <w:tcW w:w="109" w:type="dxa"/>
            <w:tcBorders/>
            <w:vAlign w:val="center"/>
          </w:tcPr>
          <w:p>
            <w:pPr>
              <w:pStyle w:val="TableContents"/>
              <w:bidi w:val="0"/>
              <w:spacing w:before="0" w:after="0"/>
              <w:ind w:left="0" w:right="0" w:hanging="0"/>
              <w:jc w:val="center"/>
              <w:rPr/>
            </w:pPr>
            <w:r>
              <w:rPr/>
              <w:t>​</w:t>
            </w:r>
          </w:p>
        </w:tc>
        <w:tc>
          <w:tcPr>
            <w:tcW w:w="11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Total</w:t>
            </w:r>
          </w:p>
        </w:tc>
      </w:tr>
      <w:tr>
        <w:trPr/>
        <w:tc>
          <w:tcPr>
            <w:tcW w:w="36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1,190,353</w:t>
            </w:r>
          </w:p>
        </w:tc>
        <w:tc>
          <w:tcPr>
            <w:tcW w:w="109"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223,197</w:t>
            </w:r>
          </w:p>
        </w:tc>
        <w:tc>
          <w:tcPr>
            <w:tcW w:w="109" w:type="dxa"/>
            <w:tcBorders/>
            <w:shd w:fill="CCEEFF" w:val="clear"/>
            <w:vAlign w:val="center"/>
          </w:tcPr>
          <w:p>
            <w:pPr>
              <w:pStyle w:val="TableContents"/>
              <w:bidi w:val="0"/>
              <w:spacing w:before="0" w:after="0"/>
              <w:ind w:left="0" w:right="0" w:hanging="0"/>
              <w:jc w:val="left"/>
              <w:rPr/>
            </w:pPr>
            <w:r>
              <w:rPr/>
              <w:t>​</w:t>
            </w:r>
          </w:p>
        </w:tc>
        <w:tc>
          <w:tcPr>
            <w:tcW w:w="33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2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1,413,550</w:t>
            </w:r>
          </w:p>
        </w:tc>
      </w:tr>
      <w:tr>
        <w:trPr/>
        <w:tc>
          <w:tcPr>
            <w:tcW w:w="36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Expenses: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w:t>
            </w:r>
          </w:p>
        </w:tc>
        <w:tc>
          <w:tcPr>
            <w:tcW w:w="99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33" w:type="dxa"/>
            <w:tcBorders/>
            <w:vAlign w:val="center"/>
          </w:tcPr>
          <w:p>
            <w:pPr>
              <w:pStyle w:val="TableContents"/>
              <w:bidi w:val="0"/>
              <w:spacing w:before="0" w:after="0"/>
              <w:ind w:left="0" w:right="0" w:hanging="0"/>
              <w:jc w:val="left"/>
              <w:rPr/>
            </w:pPr>
            <w:r>
              <w:rPr/>
              <w:t>​</w:t>
            </w:r>
          </w:p>
        </w:tc>
        <w:tc>
          <w:tcPr>
            <w:tcW w:w="142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r>
      <w:tr>
        <w:trPr/>
        <w:tc>
          <w:tcPr>
            <w:tcW w:w="36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Rooms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103,175</w:t>
            </w:r>
          </w:p>
        </w:tc>
        <w:tc>
          <w:tcPr>
            <w:tcW w:w="109"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pPr>
            <w:r>
              <w:rPr/>
              <w:t>​</w:t>
            </w:r>
          </w:p>
        </w:tc>
        <w:tc>
          <w:tcPr>
            <w:tcW w:w="993"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33" w:type="dxa"/>
            <w:tcBorders/>
            <w:shd w:fill="CCEEFF" w:val="clear"/>
            <w:vAlign w:val="center"/>
          </w:tcPr>
          <w:p>
            <w:pPr>
              <w:pStyle w:val="TableContents"/>
              <w:bidi w:val="0"/>
              <w:spacing w:before="0" w:after="0"/>
              <w:ind w:left="0" w:right="0" w:hanging="0"/>
              <w:jc w:val="left"/>
              <w:rPr/>
            </w:pPr>
            <w:r>
              <w:rPr/>
              <w:t>​</w:t>
            </w:r>
          </w:p>
        </w:tc>
        <w:tc>
          <w:tcPr>
            <w:tcW w:w="1422"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103,175</w:t>
            </w:r>
          </w:p>
        </w:tc>
      </w:tr>
      <w:tr>
        <w:trPr/>
        <w:tc>
          <w:tcPr>
            <w:tcW w:w="36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Food and beverage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317,283</w:t>
            </w:r>
          </w:p>
        </w:tc>
        <w:tc>
          <w:tcPr>
            <w:tcW w:w="109"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w:t>
            </w:r>
          </w:p>
        </w:tc>
        <w:tc>
          <w:tcPr>
            <w:tcW w:w="99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33" w:type="dxa"/>
            <w:tcBorders/>
            <w:vAlign w:val="center"/>
          </w:tcPr>
          <w:p>
            <w:pPr>
              <w:pStyle w:val="TableContents"/>
              <w:bidi w:val="0"/>
              <w:spacing w:before="0" w:after="0"/>
              <w:ind w:left="0" w:right="0" w:hanging="0"/>
              <w:jc w:val="left"/>
              <w:rPr/>
            </w:pPr>
            <w:r>
              <w:rPr/>
              <w:t>​</w:t>
            </w:r>
          </w:p>
        </w:tc>
        <w:tc>
          <w:tcPr>
            <w:tcW w:w="142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317,283</w:t>
            </w:r>
          </w:p>
        </w:tc>
      </w:tr>
      <w:tr>
        <w:trPr/>
        <w:tc>
          <w:tcPr>
            <w:tcW w:w="36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hotel expenses (1)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294,882</w:t>
            </w:r>
          </w:p>
        </w:tc>
        <w:tc>
          <w:tcPr>
            <w:tcW w:w="109"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pPr>
            <w:r>
              <w:rPr/>
              <w:t>​</w:t>
            </w:r>
          </w:p>
        </w:tc>
        <w:tc>
          <w:tcPr>
            <w:tcW w:w="993"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33" w:type="dxa"/>
            <w:tcBorders/>
            <w:shd w:fill="CCEEFF" w:val="clear"/>
            <w:vAlign w:val="center"/>
          </w:tcPr>
          <w:p>
            <w:pPr>
              <w:pStyle w:val="TableContents"/>
              <w:bidi w:val="0"/>
              <w:spacing w:before="0" w:after="0"/>
              <w:ind w:left="0" w:right="0" w:hanging="0"/>
              <w:jc w:val="left"/>
              <w:rPr/>
            </w:pPr>
            <w:r>
              <w:rPr/>
              <w:t>​</w:t>
            </w:r>
          </w:p>
        </w:tc>
        <w:tc>
          <w:tcPr>
            <w:tcW w:w="1422"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294,882</w:t>
            </w:r>
          </w:p>
        </w:tc>
      </w:tr>
      <w:tr>
        <w:trPr/>
        <w:tc>
          <w:tcPr>
            <w:tcW w:w="36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Management fees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43,057</w:t>
            </w:r>
          </w:p>
        </w:tc>
        <w:tc>
          <w:tcPr>
            <w:tcW w:w="109"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w:t>
            </w:r>
          </w:p>
        </w:tc>
        <w:tc>
          <w:tcPr>
            <w:tcW w:w="99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33" w:type="dxa"/>
            <w:tcBorders/>
            <w:vAlign w:val="center"/>
          </w:tcPr>
          <w:p>
            <w:pPr>
              <w:pStyle w:val="TableContents"/>
              <w:bidi w:val="0"/>
              <w:spacing w:before="0" w:after="0"/>
              <w:ind w:left="0" w:right="0" w:hanging="0"/>
              <w:jc w:val="left"/>
              <w:rPr/>
            </w:pPr>
            <w:r>
              <w:rPr/>
              <w:t>​</w:t>
            </w:r>
          </w:p>
        </w:tc>
        <w:tc>
          <w:tcPr>
            <w:tcW w:w="142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43,057</w:t>
            </w:r>
          </w:p>
        </w:tc>
      </w:tr>
      <w:tr>
        <w:trPr/>
        <w:tc>
          <w:tcPr>
            <w:tcW w:w="36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Employment costs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pPr>
            <w:r>
              <w:rPr/>
              <w:t>​</w:t>
            </w:r>
          </w:p>
        </w:tc>
        <w:tc>
          <w:tcPr>
            <w:tcW w:w="9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63,520</w:t>
            </w:r>
          </w:p>
        </w:tc>
        <w:tc>
          <w:tcPr>
            <w:tcW w:w="109" w:type="dxa"/>
            <w:tcBorders/>
            <w:shd w:fill="CCEEFF" w:val="clear"/>
            <w:vAlign w:val="center"/>
          </w:tcPr>
          <w:p>
            <w:pPr>
              <w:pStyle w:val="TableContents"/>
              <w:bidi w:val="0"/>
              <w:spacing w:before="0" w:after="0"/>
              <w:ind w:left="0" w:right="0" w:hanging="0"/>
              <w:jc w:val="left"/>
              <w:rPr/>
            </w:pPr>
            <w:r>
              <w:rPr/>
              <w:t>​</w:t>
            </w:r>
          </w:p>
        </w:tc>
        <w:tc>
          <w:tcPr>
            <w:tcW w:w="333" w:type="dxa"/>
            <w:tcBorders/>
            <w:shd w:fill="CCEEFF" w:val="clear"/>
            <w:vAlign w:val="center"/>
          </w:tcPr>
          <w:p>
            <w:pPr>
              <w:pStyle w:val="TableContents"/>
              <w:bidi w:val="0"/>
              <w:spacing w:before="0" w:after="0"/>
              <w:ind w:left="0" w:right="0" w:hanging="0"/>
              <w:jc w:val="left"/>
              <w:rPr/>
            </w:pPr>
            <w:r>
              <w:rPr/>
              <w:t>​</w:t>
            </w:r>
          </w:p>
        </w:tc>
        <w:tc>
          <w:tcPr>
            <w:tcW w:w="1422"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63,520</w:t>
            </w:r>
          </w:p>
        </w:tc>
      </w:tr>
      <w:tr>
        <w:trPr/>
        <w:tc>
          <w:tcPr>
            <w:tcW w:w="36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goods sold</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w:t>
            </w:r>
          </w:p>
        </w:tc>
        <w:tc>
          <w:tcPr>
            <w:tcW w:w="9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26,343</w:t>
            </w:r>
          </w:p>
        </w:tc>
        <w:tc>
          <w:tcPr>
            <w:tcW w:w="109" w:type="dxa"/>
            <w:tcBorders/>
            <w:vAlign w:val="center"/>
          </w:tcPr>
          <w:p>
            <w:pPr>
              <w:pStyle w:val="TableContents"/>
              <w:bidi w:val="0"/>
              <w:spacing w:before="0" w:after="0"/>
              <w:ind w:left="0" w:right="0" w:hanging="0"/>
              <w:jc w:val="left"/>
              <w:rPr/>
            </w:pPr>
            <w:r>
              <w:rPr/>
              <w:t>​</w:t>
            </w:r>
          </w:p>
        </w:tc>
        <w:tc>
          <w:tcPr>
            <w:tcW w:w="333" w:type="dxa"/>
            <w:tcBorders/>
            <w:vAlign w:val="center"/>
          </w:tcPr>
          <w:p>
            <w:pPr>
              <w:pStyle w:val="TableContents"/>
              <w:bidi w:val="0"/>
              <w:spacing w:before="0" w:after="0"/>
              <w:ind w:left="0" w:right="0" w:hanging="0"/>
              <w:jc w:val="left"/>
              <w:rPr/>
            </w:pPr>
            <w:r>
              <w:rPr/>
              <w:t>​</w:t>
            </w:r>
          </w:p>
        </w:tc>
        <w:tc>
          <w:tcPr>
            <w:tcW w:w="142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26,343</w:t>
            </w:r>
          </w:p>
        </w:tc>
      </w:tr>
      <w:tr>
        <w:trPr/>
        <w:tc>
          <w:tcPr>
            <w:tcW w:w="36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services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pPr>
            <w:r>
              <w:rPr/>
              <w:t>​</w:t>
            </w:r>
          </w:p>
        </w:tc>
        <w:tc>
          <w:tcPr>
            <w:tcW w:w="9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33,425</w:t>
            </w:r>
          </w:p>
        </w:tc>
        <w:tc>
          <w:tcPr>
            <w:tcW w:w="109" w:type="dxa"/>
            <w:tcBorders/>
            <w:shd w:fill="CCEEFF" w:val="clear"/>
            <w:vAlign w:val="center"/>
          </w:tcPr>
          <w:p>
            <w:pPr>
              <w:pStyle w:val="TableContents"/>
              <w:bidi w:val="0"/>
              <w:spacing w:before="0" w:after="0"/>
              <w:ind w:left="0" w:right="0" w:hanging="0"/>
              <w:jc w:val="left"/>
              <w:rPr/>
            </w:pPr>
            <w:r>
              <w:rPr/>
              <w:t>​</w:t>
            </w:r>
          </w:p>
        </w:tc>
        <w:tc>
          <w:tcPr>
            <w:tcW w:w="333" w:type="dxa"/>
            <w:tcBorders/>
            <w:shd w:fill="CCEEFF" w:val="clear"/>
            <w:vAlign w:val="center"/>
          </w:tcPr>
          <w:p>
            <w:pPr>
              <w:pStyle w:val="TableContents"/>
              <w:bidi w:val="0"/>
              <w:spacing w:before="0" w:after="0"/>
              <w:ind w:left="0" w:right="0" w:hanging="0"/>
              <w:jc w:val="left"/>
              <w:rPr/>
            </w:pPr>
            <w:r>
              <w:rPr/>
              <w:t>​</w:t>
            </w:r>
          </w:p>
        </w:tc>
        <w:tc>
          <w:tcPr>
            <w:tcW w:w="1422"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33,425</w:t>
            </w:r>
          </w:p>
        </w:tc>
      </w:tr>
      <w:tr>
        <w:trPr/>
        <w:tc>
          <w:tcPr>
            <w:tcW w:w="36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Non-income taxes and insurance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w:t>
            </w:r>
          </w:p>
        </w:tc>
        <w:tc>
          <w:tcPr>
            <w:tcW w:w="9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18,029</w:t>
            </w:r>
          </w:p>
        </w:tc>
        <w:tc>
          <w:tcPr>
            <w:tcW w:w="109" w:type="dxa"/>
            <w:tcBorders/>
            <w:vAlign w:val="center"/>
          </w:tcPr>
          <w:p>
            <w:pPr>
              <w:pStyle w:val="TableContents"/>
              <w:bidi w:val="0"/>
              <w:spacing w:before="0" w:after="0"/>
              <w:ind w:left="0" w:right="0" w:hanging="0"/>
              <w:jc w:val="left"/>
              <w:rPr/>
            </w:pPr>
            <w:r>
              <w:rPr/>
              <w:t>​</w:t>
            </w:r>
          </w:p>
        </w:tc>
        <w:tc>
          <w:tcPr>
            <w:tcW w:w="333" w:type="dxa"/>
            <w:tcBorders/>
            <w:vAlign w:val="center"/>
          </w:tcPr>
          <w:p>
            <w:pPr>
              <w:pStyle w:val="TableContents"/>
              <w:bidi w:val="0"/>
              <w:spacing w:before="0" w:after="0"/>
              <w:ind w:left="0" w:right="0" w:hanging="0"/>
              <w:jc w:val="left"/>
              <w:rPr/>
            </w:pPr>
            <w:r>
              <w:rPr/>
              <w:t>​</w:t>
            </w:r>
          </w:p>
        </w:tc>
        <w:tc>
          <w:tcPr>
            <w:tcW w:w="142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18,029</w:t>
            </w:r>
          </w:p>
        </w:tc>
      </w:tr>
      <w:tr>
        <w:trPr/>
        <w:tc>
          <w:tcPr>
            <w:tcW w:w="36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Preopening costs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pPr>
            <w:r>
              <w:rPr/>
              <w:t>​</w:t>
            </w:r>
          </w:p>
        </w:tc>
        <w:tc>
          <w:tcPr>
            <w:tcW w:w="9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825</w:t>
            </w:r>
          </w:p>
        </w:tc>
        <w:tc>
          <w:tcPr>
            <w:tcW w:w="109" w:type="dxa"/>
            <w:tcBorders/>
            <w:shd w:fill="CCEEFF" w:val="clear"/>
            <w:vAlign w:val="center"/>
          </w:tcPr>
          <w:p>
            <w:pPr>
              <w:pStyle w:val="TableContents"/>
              <w:bidi w:val="0"/>
              <w:spacing w:before="0" w:after="0"/>
              <w:ind w:left="0" w:right="0" w:hanging="0"/>
              <w:jc w:val="left"/>
              <w:rPr/>
            </w:pPr>
            <w:r>
              <w:rPr/>
              <w:t>​</w:t>
            </w:r>
          </w:p>
        </w:tc>
        <w:tc>
          <w:tcPr>
            <w:tcW w:w="333" w:type="dxa"/>
            <w:tcBorders/>
            <w:shd w:fill="CCEEFF" w:val="clear"/>
            <w:vAlign w:val="center"/>
          </w:tcPr>
          <w:p>
            <w:pPr>
              <w:pStyle w:val="TableContents"/>
              <w:bidi w:val="0"/>
              <w:spacing w:before="0" w:after="0"/>
              <w:ind w:left="0" w:right="0" w:hanging="0"/>
              <w:jc w:val="left"/>
              <w:rPr/>
            </w:pPr>
            <w:r>
              <w:rPr/>
              <w:t>​</w:t>
            </w:r>
          </w:p>
        </w:tc>
        <w:tc>
          <w:tcPr>
            <w:tcW w:w="1422"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825</w:t>
            </w:r>
          </w:p>
        </w:tc>
      </w:tr>
      <w:tr>
        <w:trPr/>
        <w:tc>
          <w:tcPr>
            <w:tcW w:w="36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segment expenses (1)</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w:t>
            </w:r>
          </w:p>
        </w:tc>
        <w:tc>
          <w:tcPr>
            <w:tcW w:w="9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25,355</w:t>
            </w:r>
          </w:p>
        </w:tc>
        <w:tc>
          <w:tcPr>
            <w:tcW w:w="109" w:type="dxa"/>
            <w:tcBorders/>
            <w:vAlign w:val="center"/>
          </w:tcPr>
          <w:p>
            <w:pPr>
              <w:pStyle w:val="TableContents"/>
              <w:bidi w:val="0"/>
              <w:spacing w:before="0" w:after="0"/>
              <w:ind w:left="0" w:right="0" w:hanging="0"/>
              <w:jc w:val="left"/>
              <w:rPr/>
            </w:pPr>
            <w:r>
              <w:rPr/>
              <w:t>​</w:t>
            </w:r>
          </w:p>
        </w:tc>
        <w:tc>
          <w:tcPr>
            <w:tcW w:w="333" w:type="dxa"/>
            <w:tcBorders/>
            <w:vAlign w:val="center"/>
          </w:tcPr>
          <w:p>
            <w:pPr>
              <w:pStyle w:val="TableContents"/>
              <w:bidi w:val="0"/>
              <w:spacing w:before="0" w:after="0"/>
              <w:ind w:left="0" w:right="0" w:hanging="0"/>
              <w:jc w:val="left"/>
              <w:rPr/>
            </w:pPr>
            <w:r>
              <w:rPr/>
              <w:t>​</w:t>
            </w:r>
          </w:p>
        </w:tc>
        <w:tc>
          <w:tcPr>
            <w:tcW w:w="14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22,530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47,885</w:t>
            </w:r>
          </w:p>
        </w:tc>
      </w:tr>
      <w:tr>
        <w:trPr/>
        <w:tc>
          <w:tcPr>
            <w:tcW w:w="36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133,226</w:t>
            </w:r>
          </w:p>
        </w:tc>
        <w:tc>
          <w:tcPr>
            <w:tcW w:w="109" w:type="dxa"/>
            <w:tcBorders/>
            <w:shd w:fill="CCEEFF" w:val="clear"/>
            <w:vAlign w:val="center"/>
          </w:tcPr>
          <w:p>
            <w:pPr>
              <w:pStyle w:val="TableContents"/>
              <w:bidi w:val="0"/>
              <w:spacing w:before="0" w:after="0"/>
              <w:ind w:left="0" w:right="0" w:hanging="0"/>
              <w:jc w:val="left"/>
              <w:rPr/>
            </w:pPr>
            <w:r>
              <w:rPr/>
              <w:t>​</w:t>
            </w:r>
          </w:p>
        </w:tc>
        <w:tc>
          <w:tcPr>
            <w:tcW w:w="26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19,043</w:t>
            </w:r>
          </w:p>
        </w:tc>
        <w:tc>
          <w:tcPr>
            <w:tcW w:w="109" w:type="dxa"/>
            <w:tcBorders/>
            <w:shd w:fill="CCEEFF" w:val="clear"/>
            <w:vAlign w:val="center"/>
          </w:tcPr>
          <w:p>
            <w:pPr>
              <w:pStyle w:val="TableContents"/>
              <w:bidi w:val="0"/>
              <w:spacing w:before="0" w:after="0"/>
              <w:ind w:left="0" w:right="0" w:hanging="0"/>
              <w:jc w:val="left"/>
              <w:rPr/>
            </w:pPr>
            <w:r>
              <w:rPr/>
              <w:t>​</w:t>
            </w:r>
          </w:p>
        </w:tc>
        <w:tc>
          <w:tcPr>
            <w:tcW w:w="3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4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152,785</w:t>
            </w:r>
          </w:p>
        </w:tc>
      </w:tr>
      <w:tr>
        <w:trPr/>
        <w:tc>
          <w:tcPr>
            <w:tcW w:w="36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 (loss)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298,730</w:t>
            </w:r>
          </w:p>
        </w:tc>
        <w:tc>
          <w:tcPr>
            <w:tcW w:w="109"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36,657</w:t>
            </w:r>
          </w:p>
        </w:tc>
        <w:tc>
          <w:tcPr>
            <w:tcW w:w="109" w:type="dxa"/>
            <w:tcBorders/>
            <w:vAlign w:val="center"/>
          </w:tcPr>
          <w:p>
            <w:pPr>
              <w:pStyle w:val="TableContents"/>
              <w:bidi w:val="0"/>
              <w:spacing w:before="0" w:after="0"/>
              <w:ind w:left="0" w:right="0" w:hanging="0"/>
              <w:jc w:val="left"/>
              <w:rPr/>
            </w:pPr>
            <w:r>
              <w:rPr/>
              <w:t>​</w:t>
            </w:r>
          </w:p>
        </w:tc>
        <w:tc>
          <w:tcPr>
            <w:tcW w:w="3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(23,046)</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312,341</w:t>
            </w:r>
          </w:p>
        </w:tc>
      </w:tr>
      <w:tr>
        <w:trPr/>
        <w:tc>
          <w:tcPr>
            <w:tcW w:w="36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109"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pPr>
            <w:r>
              <w:rPr/>
              <w:t>​</w:t>
            </w:r>
          </w:p>
        </w:tc>
        <w:tc>
          <w:tcPr>
            <w:tcW w:w="9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(16,495)</w:t>
            </w:r>
          </w:p>
        </w:tc>
        <w:tc>
          <w:tcPr>
            <w:tcW w:w="109" w:type="dxa"/>
            <w:tcBorders/>
            <w:shd w:fill="CCEEFF" w:val="clear"/>
            <w:vAlign w:val="center"/>
          </w:tcPr>
          <w:p>
            <w:pPr>
              <w:pStyle w:val="TableContents"/>
              <w:bidi w:val="0"/>
              <w:spacing w:before="0" w:after="0"/>
              <w:ind w:left="0" w:right="0" w:hanging="0"/>
              <w:jc w:val="left"/>
              <w:rPr/>
            </w:pPr>
            <w:r>
              <w:rPr/>
              <w:t>​</w:t>
            </w:r>
          </w:p>
        </w:tc>
        <w:tc>
          <w:tcPr>
            <w:tcW w:w="333" w:type="dxa"/>
            <w:tcBorders/>
            <w:shd w:fill="CCEEFF" w:val="clear"/>
            <w:vAlign w:val="center"/>
          </w:tcPr>
          <w:p>
            <w:pPr>
              <w:pStyle w:val="TableContents"/>
              <w:bidi w:val="0"/>
              <w:spacing w:before="0" w:after="0"/>
              <w:ind w:left="0" w:right="0" w:hanging="0"/>
              <w:jc w:val="left"/>
              <w:rPr/>
            </w:pPr>
            <w:r>
              <w:rPr/>
              <w:t>​</w:t>
            </w:r>
          </w:p>
        </w:tc>
        <w:tc>
          <w:tcPr>
            <w:tcW w:w="14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(111,486)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(127,994)</w:t>
            </w:r>
          </w:p>
        </w:tc>
      </w:tr>
      <w:tr>
        <w:trPr/>
        <w:tc>
          <w:tcPr>
            <w:tcW w:w="36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w:t>
            </w:r>
          </w:p>
        </w:tc>
        <w:tc>
          <w:tcPr>
            <w:tcW w:w="99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33" w:type="dxa"/>
            <w:tcBorders/>
            <w:vAlign w:val="center"/>
          </w:tcPr>
          <w:p>
            <w:pPr>
              <w:pStyle w:val="TableContents"/>
              <w:bidi w:val="0"/>
              <w:spacing w:before="0" w:after="0"/>
              <w:ind w:left="0" w:right="0" w:hanging="0"/>
              <w:jc w:val="left"/>
              <w:rPr/>
            </w:pPr>
            <w:r>
              <w:rPr/>
              <w:t>​</w:t>
            </w:r>
          </w:p>
        </w:tc>
        <w:tc>
          <w:tcPr>
            <w:tcW w:w="142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8,913</w:t>
            </w:r>
          </w:p>
        </w:tc>
      </w:tr>
      <w:tr>
        <w:trPr/>
        <w:tc>
          <w:tcPr>
            <w:tcW w:w="36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extinguishment of debt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pPr>
            <w:r>
              <w:rPr/>
              <w:t>​</w:t>
            </w:r>
          </w:p>
        </w:tc>
        <w:tc>
          <w:tcPr>
            <w:tcW w:w="993"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33" w:type="dxa"/>
            <w:tcBorders/>
            <w:shd w:fill="CCEEFF" w:val="clear"/>
            <w:vAlign w:val="center"/>
          </w:tcPr>
          <w:p>
            <w:pPr>
              <w:pStyle w:val="TableContents"/>
              <w:bidi w:val="0"/>
              <w:spacing w:before="0" w:after="0"/>
              <w:ind w:left="0" w:right="0" w:hanging="0"/>
              <w:jc w:val="left"/>
              <w:rPr/>
            </w:pPr>
            <w:r>
              <w:rPr/>
              <w:t>​</w:t>
            </w:r>
          </w:p>
        </w:tc>
        <w:tc>
          <w:tcPr>
            <w:tcW w:w="1422"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(2,200)</w:t>
            </w:r>
          </w:p>
        </w:tc>
      </w:tr>
      <w:tr>
        <w:trPr/>
        <w:tc>
          <w:tcPr>
            <w:tcW w:w="36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from unconsolidated joint ventures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w:t>
            </w:r>
          </w:p>
        </w:tc>
        <w:tc>
          <w:tcPr>
            <w:tcW w:w="99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33" w:type="dxa"/>
            <w:tcBorders/>
            <w:vAlign w:val="center"/>
          </w:tcPr>
          <w:p>
            <w:pPr>
              <w:pStyle w:val="TableContents"/>
              <w:bidi w:val="0"/>
              <w:spacing w:before="0" w:after="0"/>
              <w:ind w:left="0" w:right="0" w:hanging="0"/>
              <w:jc w:val="left"/>
              <w:rPr/>
            </w:pPr>
            <w:r>
              <w:rPr/>
              <w:t>​</w:t>
            </w:r>
          </w:p>
        </w:tc>
        <w:tc>
          <w:tcPr>
            <w:tcW w:w="142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36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gains and (losses), net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pPr>
            <w:r>
              <w:rPr/>
              <w:t>​</w:t>
            </w:r>
          </w:p>
        </w:tc>
        <w:tc>
          <w:tcPr>
            <w:tcW w:w="993"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33" w:type="dxa"/>
            <w:tcBorders/>
            <w:shd w:fill="CCEEFF" w:val="clear"/>
            <w:vAlign w:val="center"/>
          </w:tcPr>
          <w:p>
            <w:pPr>
              <w:pStyle w:val="TableContents"/>
              <w:bidi w:val="0"/>
              <w:spacing w:before="0" w:after="0"/>
              <w:ind w:left="0" w:right="0" w:hanging="0"/>
              <w:jc w:val="left"/>
              <w:rPr/>
            </w:pPr>
            <w:r>
              <w:rPr/>
              <w:t>​</w:t>
            </w:r>
          </w:p>
        </w:tc>
        <w:tc>
          <w:tcPr>
            <w:tcW w:w="1422"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(621)</w:t>
            </w:r>
          </w:p>
        </w:tc>
      </w:tr>
      <w:tr>
        <w:trPr/>
        <w:tc>
          <w:tcPr>
            <w:tcW w:w="36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before income taxes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w:t>
            </w:r>
          </w:p>
        </w:tc>
        <w:tc>
          <w:tcPr>
            <w:tcW w:w="99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33" w:type="dxa"/>
            <w:tcBorders/>
            <w:vAlign w:val="center"/>
          </w:tcPr>
          <w:p>
            <w:pPr>
              <w:pStyle w:val="TableContents"/>
              <w:bidi w:val="0"/>
              <w:spacing w:before="0" w:after="0"/>
              <w:ind w:left="0" w:right="0" w:hanging="0"/>
              <w:jc w:val="left"/>
              <w:rPr/>
            </w:pPr>
            <w:r>
              <w:rPr/>
              <w:t>​</w:t>
            </w:r>
          </w:p>
        </w:tc>
        <w:tc>
          <w:tcPr>
            <w:tcW w:w="142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190,443</w:t>
            </w:r>
          </w:p>
        </w:tc>
      </w:tr>
    </w:tbl>
    <w:p>
      <w:pPr>
        <w:pStyle w:val="TextBody"/>
        <w:bidi w:val="0"/>
        <w:spacing w:before="0" w:after="0"/>
        <w:ind w:left="0" w:right="0" w:hanging="0"/>
        <w:jc w:val="left"/>
        <w:rPr/>
      </w:pPr>
      <w:r>
        <w:rPr/>
        <w:t>​</w:t>
      </w:r>
    </w:p>
    <w:tbl>
      <w:tblPr>
        <w:tblW w:w="9172" w:type="dxa"/>
        <w:jc w:val="left"/>
        <w:tblInd w:w="0" w:type="dxa"/>
        <w:tblLayout w:type="fixed"/>
        <w:tblCellMar>
          <w:top w:w="0" w:type="dxa"/>
          <w:left w:w="0" w:type="dxa"/>
          <w:bottom w:w="0" w:type="dxa"/>
          <w:right w:w="0" w:type="dxa"/>
        </w:tblCellMar>
      </w:tblPr>
      <w:tblGrid>
        <w:gridCol w:w="3391"/>
        <w:gridCol w:w="109"/>
        <w:gridCol w:w="211"/>
        <w:gridCol w:w="931"/>
        <w:gridCol w:w="109"/>
        <w:gridCol w:w="268"/>
        <w:gridCol w:w="993"/>
        <w:gridCol w:w="109"/>
        <w:gridCol w:w="367"/>
        <w:gridCol w:w="1388"/>
        <w:gridCol w:w="109"/>
        <w:gridCol w:w="211"/>
        <w:gridCol w:w="976"/>
      </w:tblGrid>
      <w:tr>
        <w:trPr/>
        <w:tc>
          <w:tcPr>
            <w:tcW w:w="3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2153285" cy="175260"/>
                      <wp:effectExtent l="0" t="0" r="0" b="0"/>
                      <wp:wrapNone/>
                      <wp:docPr id="234" name="Frame234"/>
                      <a:graphic xmlns:a="http://schemas.openxmlformats.org/drawingml/2006/main">
                        <a:graphicData uri="http://schemas.microsoft.com/office/word/2010/wordprocessingShape">
                          <wps:wsp>
                            <wps:cNvSpPr txBox="1"/>
                            <wps:spPr>
                              <a:xfrm>
                                <a:off x="0" y="0"/>
                                <a:ext cx="2153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9215" cy="175260"/>
                      <wp:effectExtent l="0" t="0" r="0" b="0"/>
                      <wp:wrapNone/>
                      <wp:docPr id="235" name="Frame23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133985" cy="175260"/>
                      <wp:effectExtent l="0" t="0" r="0" b="0"/>
                      <wp:wrapNone/>
                      <wp:docPr id="236" name="Frame23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591185" cy="175260"/>
                      <wp:effectExtent l="0" t="0" r="0" b="0"/>
                      <wp:wrapNone/>
                      <wp:docPr id="237" name="Frame23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9215" cy="175260"/>
                      <wp:effectExtent l="0" t="0" r="0" b="0"/>
                      <wp:wrapNone/>
                      <wp:docPr id="238" name="Frame23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170180" cy="175260"/>
                      <wp:effectExtent l="0" t="0" r="0" b="0"/>
                      <wp:wrapNone/>
                      <wp:docPr id="239" name="Frame239"/>
                      <a:graphic xmlns:a="http://schemas.openxmlformats.org/drawingml/2006/main">
                        <a:graphicData uri="http://schemas.microsoft.com/office/word/2010/wordprocessingShape">
                          <wps:wsp>
                            <wps:cNvSpPr txBox="1"/>
                            <wps:spPr>
                              <a:xfrm>
                                <a:off x="0" y="0"/>
                                <a:ext cx="170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30555" cy="175260"/>
                      <wp:effectExtent l="0" t="0" r="0" b="0"/>
                      <wp:wrapNone/>
                      <wp:docPr id="240" name="Frame240"/>
                      <a:graphic xmlns:a="http://schemas.openxmlformats.org/drawingml/2006/main">
                        <a:graphicData uri="http://schemas.microsoft.com/office/word/2010/wordprocessingShape">
                          <wps:wsp>
                            <wps:cNvSpPr txBox="1"/>
                            <wps:spPr>
                              <a:xfrm>
                                <a:off x="0" y="0"/>
                                <a:ext cx="630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9215" cy="175260"/>
                      <wp:effectExtent l="0" t="0" r="0" b="0"/>
                      <wp:wrapNone/>
                      <wp:docPr id="241" name="Frame24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233045" cy="175260"/>
                      <wp:effectExtent l="0" t="0" r="0" b="0"/>
                      <wp:wrapNone/>
                      <wp:docPr id="242" name="Frame242"/>
                      <a:graphic xmlns:a="http://schemas.openxmlformats.org/drawingml/2006/main">
                        <a:graphicData uri="http://schemas.microsoft.com/office/word/2010/wordprocessingShape">
                          <wps:wsp>
                            <wps:cNvSpPr txBox="1"/>
                            <wps:spPr>
                              <a:xfrm>
                                <a:off x="0" y="0"/>
                                <a:ext cx="233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881380" cy="175260"/>
                      <wp:effectExtent l="0" t="0" r="0" b="0"/>
                      <wp:wrapNone/>
                      <wp:docPr id="243" name="Frame243"/>
                      <a:graphic xmlns:a="http://schemas.openxmlformats.org/drawingml/2006/main">
                        <a:graphicData uri="http://schemas.microsoft.com/office/word/2010/wordprocessingShape">
                          <wps:wsp>
                            <wps:cNvSpPr txBox="1"/>
                            <wps:spPr>
                              <a:xfrm>
                                <a:off x="0" y="0"/>
                                <a:ext cx="8813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9215" cy="175260"/>
                      <wp:effectExtent l="0" t="0" r="0" b="0"/>
                      <wp:wrapNone/>
                      <wp:docPr id="244" name="Frame24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133985" cy="175260"/>
                      <wp:effectExtent l="0" t="0" r="0" b="0"/>
                      <wp:wrapNone/>
                      <wp:docPr id="245" name="Frame24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19760" cy="175260"/>
                      <wp:effectExtent l="0" t="0" r="0" b="0"/>
                      <wp:wrapNone/>
                      <wp:docPr id="246" name="Frame246"/>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672"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 the Six Months Ended June 30, 2025</w:t>
            </w:r>
          </w:p>
        </w:tc>
      </w:tr>
      <w:tr>
        <w:trPr/>
        <w:tc>
          <w:tcPr>
            <w:tcW w:w="33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Hospitality</w:t>
            </w:r>
          </w:p>
        </w:tc>
        <w:tc>
          <w:tcPr>
            <w:tcW w:w="109" w:type="dxa"/>
            <w:tcBorders/>
            <w:vAlign w:val="center"/>
          </w:tcPr>
          <w:p>
            <w:pPr>
              <w:pStyle w:val="TableContents"/>
              <w:bidi w:val="0"/>
              <w:spacing w:before="0" w:after="0"/>
              <w:ind w:left="0" w:right="0" w:hanging="0"/>
              <w:jc w:val="center"/>
              <w:rPr/>
            </w:pPr>
            <w:r>
              <w:rPr/>
              <w:t>​</w:t>
            </w:r>
          </w:p>
        </w:tc>
        <w:tc>
          <w:tcPr>
            <w:tcW w:w="12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Entertainment</w:t>
            </w:r>
          </w:p>
        </w:tc>
        <w:tc>
          <w:tcPr>
            <w:tcW w:w="109" w:type="dxa"/>
            <w:tcBorders/>
            <w:vAlign w:val="center"/>
          </w:tcPr>
          <w:p>
            <w:pPr>
              <w:pStyle w:val="TableContents"/>
              <w:bidi w:val="0"/>
              <w:spacing w:before="0" w:after="0"/>
              <w:ind w:left="0" w:right="0" w:hanging="0"/>
              <w:jc w:val="center"/>
              <w:rPr/>
            </w:pPr>
            <w:r>
              <w:rPr/>
              <w:t>​</w:t>
            </w:r>
          </w:p>
        </w:tc>
        <w:tc>
          <w:tcPr>
            <w:tcW w:w="17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Corporate and Other</w:t>
            </w:r>
          </w:p>
        </w:tc>
        <w:tc>
          <w:tcPr>
            <w:tcW w:w="109" w:type="dxa"/>
            <w:tcBorders/>
            <w:vAlign w:val="center"/>
          </w:tcPr>
          <w:p>
            <w:pPr>
              <w:pStyle w:val="TableContents"/>
              <w:bidi w:val="0"/>
              <w:spacing w:before="0" w:after="0"/>
              <w:ind w:left="0" w:right="0" w:hanging="0"/>
              <w:jc w:val="center"/>
              <w:rPr/>
            </w:pPr>
            <w:r>
              <w:rPr/>
              <w:t>​</w:t>
            </w:r>
          </w:p>
        </w:tc>
        <w:tc>
          <w:tcPr>
            <w:tcW w:w="11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Total</w:t>
            </w:r>
          </w:p>
        </w:tc>
      </w:tr>
      <w:tr>
        <w:trPr/>
        <w:tc>
          <w:tcPr>
            <w:tcW w:w="3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1,013,941</w:t>
            </w:r>
          </w:p>
        </w:tc>
        <w:tc>
          <w:tcPr>
            <w:tcW w:w="109"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232,854</w:t>
            </w:r>
          </w:p>
        </w:tc>
        <w:tc>
          <w:tcPr>
            <w:tcW w:w="109"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88"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1,246,795</w:t>
            </w:r>
          </w:p>
        </w:tc>
      </w:tr>
      <w:tr>
        <w:trPr/>
        <w:tc>
          <w:tcPr>
            <w:tcW w:w="3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Expenses: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w:t>
            </w:r>
          </w:p>
        </w:tc>
        <w:tc>
          <w:tcPr>
            <w:tcW w:w="99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pPr>
            <w:r>
              <w:rPr/>
              <w:t>​</w:t>
            </w:r>
          </w:p>
        </w:tc>
        <w:tc>
          <w:tcPr>
            <w:tcW w:w="138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r>
      <w:tr>
        <w:trPr/>
        <w:tc>
          <w:tcPr>
            <w:tcW w:w="3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Rooms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93,527</w:t>
            </w:r>
          </w:p>
        </w:tc>
        <w:tc>
          <w:tcPr>
            <w:tcW w:w="109"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pPr>
            <w:r>
              <w:rPr/>
              <w:t>​</w:t>
            </w:r>
          </w:p>
        </w:tc>
        <w:tc>
          <w:tcPr>
            <w:tcW w:w="993"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pPr>
            <w:r>
              <w:rPr/>
              <w:t>​</w:t>
            </w:r>
          </w:p>
        </w:tc>
        <w:tc>
          <w:tcPr>
            <w:tcW w:w="1388"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93,527</w:t>
            </w:r>
          </w:p>
        </w:tc>
      </w:tr>
      <w:tr>
        <w:trPr/>
        <w:tc>
          <w:tcPr>
            <w:tcW w:w="3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Food and beverage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274,291</w:t>
            </w:r>
          </w:p>
        </w:tc>
        <w:tc>
          <w:tcPr>
            <w:tcW w:w="109"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w:t>
            </w:r>
          </w:p>
        </w:tc>
        <w:tc>
          <w:tcPr>
            <w:tcW w:w="99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pPr>
            <w:r>
              <w:rPr/>
              <w:t>​</w:t>
            </w:r>
          </w:p>
        </w:tc>
        <w:tc>
          <w:tcPr>
            <w:tcW w:w="138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274,291</w:t>
            </w:r>
          </w:p>
        </w:tc>
      </w:tr>
      <w:tr>
        <w:trPr/>
        <w:tc>
          <w:tcPr>
            <w:tcW w:w="3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hotel expenses (1)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254,512</w:t>
            </w:r>
          </w:p>
        </w:tc>
        <w:tc>
          <w:tcPr>
            <w:tcW w:w="109"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pPr>
            <w:r>
              <w:rPr/>
              <w:t>​</w:t>
            </w:r>
          </w:p>
        </w:tc>
        <w:tc>
          <w:tcPr>
            <w:tcW w:w="993"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pPr>
            <w:r>
              <w:rPr/>
              <w:t>​</w:t>
            </w:r>
          </w:p>
        </w:tc>
        <w:tc>
          <w:tcPr>
            <w:tcW w:w="1388"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254,512</w:t>
            </w:r>
          </w:p>
        </w:tc>
      </w:tr>
      <w:tr>
        <w:trPr/>
        <w:tc>
          <w:tcPr>
            <w:tcW w:w="3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Management fees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36,379</w:t>
            </w:r>
          </w:p>
        </w:tc>
        <w:tc>
          <w:tcPr>
            <w:tcW w:w="109"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w:t>
            </w:r>
          </w:p>
        </w:tc>
        <w:tc>
          <w:tcPr>
            <w:tcW w:w="99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pPr>
            <w:r>
              <w:rPr/>
              <w:t>​</w:t>
            </w:r>
          </w:p>
        </w:tc>
        <w:tc>
          <w:tcPr>
            <w:tcW w:w="138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36,379</w:t>
            </w:r>
          </w:p>
        </w:tc>
      </w:tr>
      <w:tr>
        <w:trPr/>
        <w:tc>
          <w:tcPr>
            <w:tcW w:w="3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Employment costs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pPr>
            <w:r>
              <w:rPr/>
              <w:t>​</w:t>
            </w:r>
          </w:p>
        </w:tc>
        <w:tc>
          <w:tcPr>
            <w:tcW w:w="9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62,371</w:t>
            </w:r>
          </w:p>
        </w:tc>
        <w:tc>
          <w:tcPr>
            <w:tcW w:w="109"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pPr>
            <w:r>
              <w:rPr/>
              <w:t>​</w:t>
            </w:r>
          </w:p>
        </w:tc>
        <w:tc>
          <w:tcPr>
            <w:tcW w:w="1388"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62,371</w:t>
            </w:r>
          </w:p>
        </w:tc>
      </w:tr>
      <w:tr>
        <w:trPr/>
        <w:tc>
          <w:tcPr>
            <w:tcW w:w="3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goods sold</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w:t>
            </w:r>
          </w:p>
        </w:tc>
        <w:tc>
          <w:tcPr>
            <w:tcW w:w="9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29,918</w:t>
            </w:r>
          </w:p>
        </w:tc>
        <w:tc>
          <w:tcPr>
            <w:tcW w:w="109"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pPr>
            <w:r>
              <w:rPr/>
              <w:t>​</w:t>
            </w:r>
          </w:p>
        </w:tc>
        <w:tc>
          <w:tcPr>
            <w:tcW w:w="138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29,918</w:t>
            </w:r>
          </w:p>
        </w:tc>
      </w:tr>
      <w:tr>
        <w:trPr/>
        <w:tc>
          <w:tcPr>
            <w:tcW w:w="3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services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pPr>
            <w:r>
              <w:rPr/>
              <w:t>​</w:t>
            </w:r>
          </w:p>
        </w:tc>
        <w:tc>
          <w:tcPr>
            <w:tcW w:w="9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42,229</w:t>
            </w:r>
          </w:p>
        </w:tc>
        <w:tc>
          <w:tcPr>
            <w:tcW w:w="109"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pPr>
            <w:r>
              <w:rPr/>
              <w:t>​</w:t>
            </w:r>
          </w:p>
        </w:tc>
        <w:tc>
          <w:tcPr>
            <w:tcW w:w="1388"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42,229</w:t>
            </w:r>
          </w:p>
        </w:tc>
      </w:tr>
      <w:tr>
        <w:trPr/>
        <w:tc>
          <w:tcPr>
            <w:tcW w:w="3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Non-income taxes and insurance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w:t>
            </w:r>
          </w:p>
        </w:tc>
        <w:tc>
          <w:tcPr>
            <w:tcW w:w="9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18,127</w:t>
            </w:r>
          </w:p>
        </w:tc>
        <w:tc>
          <w:tcPr>
            <w:tcW w:w="109"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pPr>
            <w:r>
              <w:rPr/>
              <w:t>​</w:t>
            </w:r>
          </w:p>
        </w:tc>
        <w:tc>
          <w:tcPr>
            <w:tcW w:w="138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18,127</w:t>
            </w:r>
          </w:p>
        </w:tc>
      </w:tr>
      <w:tr>
        <w:trPr/>
        <w:tc>
          <w:tcPr>
            <w:tcW w:w="3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Preopening costs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pPr>
            <w:r>
              <w:rPr/>
              <w:t>​</w:t>
            </w:r>
          </w:p>
        </w:tc>
        <w:tc>
          <w:tcPr>
            <w:tcW w:w="9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w:t>
            </w:r>
          </w:p>
        </w:tc>
        <w:tc>
          <w:tcPr>
            <w:tcW w:w="109"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pPr>
            <w:r>
              <w:rPr/>
              <w:t>​</w:t>
            </w:r>
          </w:p>
        </w:tc>
        <w:tc>
          <w:tcPr>
            <w:tcW w:w="1388"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w:t>
            </w:r>
          </w:p>
        </w:tc>
      </w:tr>
      <w:tr>
        <w:trPr/>
        <w:tc>
          <w:tcPr>
            <w:tcW w:w="3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segment expenses (1)</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w:t>
            </w:r>
          </w:p>
        </w:tc>
        <w:tc>
          <w:tcPr>
            <w:tcW w:w="9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27,501</w:t>
            </w:r>
          </w:p>
        </w:tc>
        <w:tc>
          <w:tcPr>
            <w:tcW w:w="109"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pPr>
            <w:r>
              <w:rPr/>
              <w:t>​</w:t>
            </w:r>
          </w:p>
        </w:tc>
        <w:tc>
          <w:tcPr>
            <w:tcW w:w="13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21,529</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49,030</w:t>
            </w:r>
          </w:p>
        </w:tc>
      </w:tr>
      <w:tr>
        <w:trPr/>
        <w:tc>
          <w:tcPr>
            <w:tcW w:w="3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111,503</w:t>
            </w:r>
          </w:p>
        </w:tc>
        <w:tc>
          <w:tcPr>
            <w:tcW w:w="109" w:type="dxa"/>
            <w:tcBorders/>
            <w:shd w:fill="CCEEFF" w:val="clear"/>
            <w:vAlign w:val="center"/>
          </w:tcPr>
          <w:p>
            <w:pPr>
              <w:pStyle w:val="TableContents"/>
              <w:bidi w:val="0"/>
              <w:spacing w:before="0" w:after="0"/>
              <w:ind w:left="0" w:right="0" w:hanging="0"/>
              <w:jc w:val="left"/>
              <w:rPr/>
            </w:pPr>
            <w:r>
              <w:rPr/>
              <w:t>​</w:t>
            </w:r>
          </w:p>
        </w:tc>
        <w:tc>
          <w:tcPr>
            <w:tcW w:w="26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18,712</w:t>
            </w:r>
          </w:p>
        </w:tc>
        <w:tc>
          <w:tcPr>
            <w:tcW w:w="109" w:type="dxa"/>
            <w:tcBorders/>
            <w:shd w:fill="CCEEFF" w:val="clear"/>
            <w:vAlign w:val="center"/>
          </w:tcPr>
          <w:p>
            <w:pPr>
              <w:pStyle w:val="TableContents"/>
              <w:bidi w:val="0"/>
              <w:spacing w:before="0" w:after="0"/>
              <w:ind w:left="0" w:right="0" w:hanging="0"/>
              <w:jc w:val="left"/>
              <w:rPr/>
            </w:pPr>
            <w:r>
              <w:rPr/>
              <w:t>​</w:t>
            </w:r>
          </w:p>
        </w:tc>
        <w:tc>
          <w:tcPr>
            <w:tcW w:w="36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130,680</w:t>
            </w:r>
          </w:p>
        </w:tc>
      </w:tr>
      <w:tr>
        <w:trPr/>
        <w:tc>
          <w:tcPr>
            <w:tcW w:w="3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 (loss)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243,729</w:t>
            </w:r>
          </w:p>
        </w:tc>
        <w:tc>
          <w:tcPr>
            <w:tcW w:w="109"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33,811</w:t>
            </w:r>
          </w:p>
        </w:tc>
        <w:tc>
          <w:tcPr>
            <w:tcW w:w="109"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(21,994)</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255,546</w:t>
            </w:r>
          </w:p>
        </w:tc>
      </w:tr>
      <w:tr>
        <w:trPr/>
        <w:tc>
          <w:tcPr>
            <w:tcW w:w="3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109"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pPr>
            <w:r>
              <w:rPr/>
              <w:t>​</w:t>
            </w:r>
          </w:p>
        </w:tc>
        <w:tc>
          <w:tcPr>
            <w:tcW w:w="9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(18,407)</w:t>
            </w:r>
          </w:p>
        </w:tc>
        <w:tc>
          <w:tcPr>
            <w:tcW w:w="109"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pPr>
            <w:r>
              <w:rPr/>
              <w:t>​</w:t>
            </w:r>
          </w:p>
        </w:tc>
        <w:tc>
          <w:tcPr>
            <w:tcW w:w="13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(94,382)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(112,817)</w:t>
            </w:r>
          </w:p>
        </w:tc>
      </w:tr>
      <w:tr>
        <w:trPr/>
        <w:tc>
          <w:tcPr>
            <w:tcW w:w="3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w:t>
            </w:r>
          </w:p>
        </w:tc>
        <w:tc>
          <w:tcPr>
            <w:tcW w:w="99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pPr>
            <w:r>
              <w:rPr/>
              <w:t>​</w:t>
            </w:r>
          </w:p>
        </w:tc>
        <w:tc>
          <w:tcPr>
            <w:tcW w:w="138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11,042</w:t>
            </w:r>
          </w:p>
        </w:tc>
      </w:tr>
      <w:tr>
        <w:trPr/>
        <w:tc>
          <w:tcPr>
            <w:tcW w:w="3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extinguishment of debt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pPr>
            <w:r>
              <w:rPr/>
              <w:t>​</w:t>
            </w:r>
          </w:p>
        </w:tc>
        <w:tc>
          <w:tcPr>
            <w:tcW w:w="993"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pPr>
            <w:r>
              <w:rPr/>
              <w:t>​</w:t>
            </w:r>
          </w:p>
        </w:tc>
        <w:tc>
          <w:tcPr>
            <w:tcW w:w="1388"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(2,542)</w:t>
            </w:r>
          </w:p>
        </w:tc>
      </w:tr>
      <w:tr>
        <w:trPr/>
        <w:tc>
          <w:tcPr>
            <w:tcW w:w="3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from unconsolidated joint ventures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w:t>
            </w:r>
          </w:p>
        </w:tc>
        <w:tc>
          <w:tcPr>
            <w:tcW w:w="99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pPr>
            <w:r>
              <w:rPr/>
              <w:t>​</w:t>
            </w:r>
          </w:p>
        </w:tc>
        <w:tc>
          <w:tcPr>
            <w:tcW w:w="138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3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gains and (losses), net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pPr>
            <w:r>
              <w:rPr/>
              <w:t>​</w:t>
            </w:r>
          </w:p>
        </w:tc>
        <w:tc>
          <w:tcPr>
            <w:tcW w:w="993"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pPr>
            <w:r>
              <w:rPr/>
              <w:t>​</w:t>
            </w:r>
          </w:p>
        </w:tc>
        <w:tc>
          <w:tcPr>
            <w:tcW w:w="1388"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w:t>
            </w:r>
          </w:p>
        </w:tc>
      </w:tr>
      <w:tr>
        <w:trPr/>
        <w:tc>
          <w:tcPr>
            <w:tcW w:w="3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before income taxes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w:t>
            </w:r>
          </w:p>
        </w:tc>
        <w:tc>
          <w:tcPr>
            <w:tcW w:w="99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pPr>
            <w:r>
              <w:rPr/>
              <w:t>​</w:t>
            </w:r>
          </w:p>
        </w:tc>
        <w:tc>
          <w:tcPr>
            <w:tcW w:w="138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150,896</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1339" w:name="Tc_jLwGY9xi8UmsDKJi4hgPpA_7_5"/>
      <w:bookmarkStart w:id="1340" w:name="Tc_Vx7d3VM6T0uGsF2tZJUOpA_7_2"/>
      <w:bookmarkStart w:id="1341" w:name="Tc_bcus6EZq602QTKHQdQClwg_7_0"/>
      <w:bookmarkStart w:id="1342" w:name="Tc_QAvqRsyA002pmv4jVta9UA_6_0"/>
      <w:bookmarkStart w:id="1343" w:name="Tc_CLdnrI4Kj0iVN33CPUn9zA_5_0"/>
      <w:bookmarkStart w:id="1344" w:name="Tc__pCLr9ywC02qU_5tY9BElg_4_5"/>
      <w:bookmarkStart w:id="1345" w:name="Tc_1PeMQfX9R0WB1JQW12dnAA_4_2"/>
      <w:bookmarkStart w:id="1346" w:name="Tc_40l1l06yrki8ktysOaZXuA_4_0"/>
      <w:bookmarkStart w:id="1347" w:name="Tc_IYMjF_jKOUyVemu0l_Fd5g_3_5"/>
      <w:bookmarkStart w:id="1348" w:name="Tc_HEQ-VvPCcEifMBFJ5oB2TQ_3_2"/>
      <w:bookmarkStart w:id="1349" w:name="Tc_80BLLb8T4UmC4rRzzAYitg_2_2"/>
      <w:bookmarkStart w:id="1350" w:name="Tc_DPAQQOW690-460a6Td-4AQ_1_2"/>
      <w:bookmarkStart w:id="1351" w:name="_78a6472f_f80b_4a57_9a54_28088875736c"/>
      <w:bookmarkStart w:id="1352" w:name="Tc_6YsLivujhECKauiN7YKc7A_7_5"/>
      <w:bookmarkStart w:id="1353" w:name="Tc_9BB-uW57e0e8-mEVwlLN_Q_7_2"/>
      <w:bookmarkStart w:id="1354" w:name="Tc_tucZE4bPakmE0VKW98eW9w_7_0"/>
      <w:bookmarkStart w:id="1355" w:name="Tc_VrA4Jb4tBUuVzVmvVbZ-3Q_6_0"/>
      <w:bookmarkStart w:id="1356" w:name="Tc_LkIY48JsMUedZKCcTszG0Q_5_0"/>
      <w:bookmarkStart w:id="1357" w:name="Tc_Udq5wUWNOUusE75PFJsnvA_4_5"/>
      <w:bookmarkStart w:id="1358" w:name="Tc_PrN5FznqnEaPMwa7VDd8lg_4_2"/>
      <w:bookmarkStart w:id="1359" w:name="Tc_ruyi_rVSZU64twPCHF42sA_4_0"/>
      <w:bookmarkStart w:id="1360" w:name="Tc_GjNQvqwbkk6YUGKBEoAe1Q_3_0"/>
      <w:bookmarkStart w:id="1361" w:name="Tc_eKNg_m-mKk2F9U4pBAgyaA_2_5"/>
      <w:bookmarkStart w:id="1362" w:name="Tc_M8NNcLhX-k2FbQPwMnZjTQ_2_2"/>
      <w:bookmarkStart w:id="1363" w:name="Tc_nXTFNkCJMEmtKSPVrNdlRw_1_5"/>
      <w:bookmarkStart w:id="1364" w:name="Tc_gwZEk4hgbUGuZIXUS5l1vw_1_2"/>
      <w:bookmarkStart w:id="1365" w:name="_07a5ef2e_b136_4d80_8929_430d2086730c"/>
      <w:bookmarkStart w:id="1366" w:name="Tc_jLwGY9xi8UmsDKJi4hgPpA_7_5"/>
      <w:bookmarkStart w:id="1367" w:name="Tc_Vx7d3VM6T0uGsF2tZJUOpA_7_2"/>
      <w:bookmarkStart w:id="1368" w:name="Tc_bcus6EZq602QTKHQdQClwg_7_0"/>
      <w:bookmarkStart w:id="1369" w:name="Tc_QAvqRsyA002pmv4jVta9UA_6_0"/>
      <w:bookmarkStart w:id="1370" w:name="Tc_CLdnrI4Kj0iVN33CPUn9zA_5_0"/>
      <w:bookmarkStart w:id="1371" w:name="Tc__pCLr9ywC02qU_5tY9BElg_4_5"/>
      <w:bookmarkStart w:id="1372" w:name="Tc_1PeMQfX9R0WB1JQW12dnAA_4_2"/>
      <w:bookmarkStart w:id="1373" w:name="Tc_40l1l06yrki8ktysOaZXuA_4_0"/>
      <w:bookmarkStart w:id="1374" w:name="Tc_IYMjF_jKOUyVemu0l_Fd5g_3_5"/>
      <w:bookmarkStart w:id="1375" w:name="Tc_HEQ-VvPCcEifMBFJ5oB2TQ_3_2"/>
      <w:bookmarkStart w:id="1376" w:name="Tc_80BLLb8T4UmC4rRzzAYitg_2_2"/>
      <w:bookmarkStart w:id="1377" w:name="Tc_DPAQQOW690-460a6Td-4AQ_1_2"/>
      <w:bookmarkStart w:id="1378" w:name="_78a6472f_f80b_4a57_9a54_28088875736c"/>
      <w:bookmarkStart w:id="1379" w:name="Tc_6YsLivujhECKauiN7YKc7A_7_5"/>
      <w:bookmarkStart w:id="1380" w:name="Tc_9BB-uW57e0e8-mEVwlLN_Q_7_2"/>
      <w:bookmarkStart w:id="1381" w:name="Tc_tucZE4bPakmE0VKW98eW9w_7_0"/>
      <w:bookmarkStart w:id="1382" w:name="Tc_VrA4Jb4tBUuVzVmvVbZ-3Q_6_0"/>
      <w:bookmarkStart w:id="1383" w:name="Tc_LkIY48JsMUedZKCcTszG0Q_5_0"/>
      <w:bookmarkStart w:id="1384" w:name="Tc_Udq5wUWNOUusE75PFJsnvA_4_5"/>
      <w:bookmarkStart w:id="1385" w:name="Tc_PrN5FznqnEaPMwa7VDd8lg_4_2"/>
      <w:bookmarkStart w:id="1386" w:name="Tc_ruyi_rVSZU64twPCHF42sA_4_0"/>
      <w:bookmarkStart w:id="1387" w:name="Tc_GjNQvqwbkk6YUGKBEoAe1Q_3_0"/>
      <w:bookmarkStart w:id="1388" w:name="Tc_eKNg_m-mKk2F9U4pBAgyaA_2_5"/>
      <w:bookmarkStart w:id="1389" w:name="Tc_M8NNcLhX-k2FbQPwMnZjTQ_2_2"/>
      <w:bookmarkStart w:id="1390" w:name="Tc_nXTFNkCJMEmtKSPVrNdlRw_1_5"/>
      <w:bookmarkStart w:id="1391" w:name="Tc_gwZEk4hgbUGuZIXUS5l1vw_1_2"/>
      <w:bookmarkStart w:id="1392" w:name="_07a5ef2e_b136_4d80_8929_430d2086730c"/>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p>
    <w:tbl>
      <w:tblPr>
        <w:tblW w:w="10205" w:type="dxa"/>
        <w:jc w:val="left"/>
        <w:tblInd w:w="0" w:type="dxa"/>
        <w:tblLayout w:type="fixed"/>
        <w:tblCellMar>
          <w:top w:w="28" w:type="dxa"/>
          <w:left w:w="28" w:type="dxa"/>
          <w:bottom w:w="28" w:type="dxa"/>
          <w:right w:w="28" w:type="dxa"/>
        </w:tblCellMar>
      </w:tblPr>
      <w:tblGrid>
        <w:gridCol w:w="124"/>
        <w:gridCol w:w="308"/>
        <w:gridCol w:w="9773"/>
      </w:tblGrid>
      <w:tr>
        <w:trPr/>
        <w:tc>
          <w:tcPr>
            <w:tcW w:w="124" w:type="dxa"/>
            <w:tcBorders/>
            <w:vAlign w:val="center"/>
          </w:tcPr>
          <w:p>
            <w:pPr>
              <w:pStyle w:val="TableContents"/>
              <w:bidi w:val="0"/>
              <w:spacing w:before="0" w:after="283"/>
              <w:jc w:val="left"/>
              <w:rPr>
                <w:sz w:val="4"/>
                <w:szCs w:val="4"/>
              </w:rPr>
            </w:pPr>
            <w:r>
              <w:rPr>
                <w:sz w:val="4"/>
                <w:szCs w:val="4"/>
              </w:rPr>
            </w:r>
          </w:p>
        </w:tc>
        <w:tc>
          <w:tcPr>
            <w:tcW w:w="308"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773"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segment expenses include:</w:t>
              <w:br/>
              <w:t>Hospitality segment – administrative employment costs, utilities, property taxes, supplies, advertising, maintenance and consulting expenses</w:t>
              <w:br/>
              <w:t>Entertainment segment – advertising, utilities, maintenance and certain overhead expenses</w:t>
              <w:br/>
              <w:t>Corporate and other – senior management salaries and benefits, legal, human resources, accounting, pension, information technology, consulting and other administrative expenses</w:t>
            </w:r>
          </w:p>
        </w:tc>
      </w:tr>
    </w:tbl>
    <w:tbl>
      <w:tblPr>
        <w:tblW w:w="4852" w:type="dxa"/>
        <w:jc w:val="left"/>
        <w:tblInd w:w="0" w:type="dxa"/>
        <w:tblLayout w:type="fixed"/>
        <w:tblCellMar>
          <w:top w:w="0" w:type="dxa"/>
          <w:left w:w="0" w:type="dxa"/>
          <w:bottom w:w="0" w:type="dxa"/>
          <w:right w:w="0" w:type="dxa"/>
        </w:tblCellMar>
      </w:tblPr>
      <w:tblGrid>
        <w:gridCol w:w="1771"/>
        <w:gridCol w:w="346"/>
        <w:gridCol w:w="211"/>
        <w:gridCol w:w="931"/>
        <w:gridCol w:w="346"/>
        <w:gridCol w:w="211"/>
        <w:gridCol w:w="1036"/>
      </w:tblGrid>
      <w:tr>
        <w:trPr/>
        <w:tc>
          <w:tcPr>
            <w:tcW w:w="17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1124585" cy="175260"/>
                      <wp:effectExtent l="0" t="0" r="0" b="0"/>
                      <wp:wrapNone/>
                      <wp:docPr id="247" name="Frame247"/>
                      <a:graphic xmlns:a="http://schemas.openxmlformats.org/drawingml/2006/main">
                        <a:graphicData uri="http://schemas.microsoft.com/office/word/2010/wordprocessingShape">
                          <wps:wsp>
                            <wps:cNvSpPr txBox="1"/>
                            <wps:spPr>
                              <a:xfrm>
                                <a:off x="0" y="0"/>
                                <a:ext cx="1124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219710" cy="175260"/>
                      <wp:effectExtent l="0" t="0" r="0" b="0"/>
                      <wp:wrapNone/>
                      <wp:docPr id="248" name="Frame2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133985" cy="175260"/>
                      <wp:effectExtent l="0" t="0" r="0" b="0"/>
                      <wp:wrapNone/>
                      <wp:docPr id="249" name="Frame24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591185" cy="175260"/>
                      <wp:effectExtent l="0" t="0" r="0" b="0"/>
                      <wp:wrapNone/>
                      <wp:docPr id="250" name="Frame25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219710" cy="175260"/>
                      <wp:effectExtent l="0" t="0" r="0" b="0"/>
                      <wp:wrapNone/>
                      <wp:docPr id="251" name="Frame2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133985" cy="175260"/>
                      <wp:effectExtent l="0" t="0" r="0" b="0"/>
                      <wp:wrapNone/>
                      <wp:docPr id="252" name="Frame25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657860" cy="175260"/>
                      <wp:effectExtent l="0" t="0" r="0" b="0"/>
                      <wp:wrapNone/>
                      <wp:docPr id="253" name="Frame253"/>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center"/>
              <w:rPr/>
            </w:pPr>
            <w:r>
              <w:rPr/>
              <w:t>  ​ ​ ​</w:t>
            </w:r>
          </w:p>
        </w:tc>
        <w:tc>
          <w:tcPr>
            <w:tcW w:w="124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17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177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Total assets: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  ​</w:t>
            </w:r>
          </w:p>
        </w:tc>
      </w:tr>
      <w:tr>
        <w:trPr/>
        <w:tc>
          <w:tcPr>
            <w:tcW w:w="17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Hospitality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4,971,200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4,996,594</w:t>
            </w:r>
          </w:p>
        </w:tc>
      </w:tr>
      <w:tr>
        <w:trPr/>
        <w:tc>
          <w:tcPr>
            <w:tcW w:w="17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Entertainment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777,281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745,755</w:t>
            </w:r>
          </w:p>
        </w:tc>
      </w:tr>
      <w:tr>
        <w:trPr/>
        <w:tc>
          <w:tcPr>
            <w:tcW w:w="17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and Other</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443,355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438,834</w:t>
            </w:r>
          </w:p>
        </w:tc>
      </w:tr>
      <w:tr>
        <w:trPr/>
        <w:tc>
          <w:tcPr>
            <w:tcW w:w="17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6,191,836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6,181,183</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 represents capital expenditures by segment for the periods presented (amounts in thousands):</w:t>
      </w:r>
    </w:p>
    <w:p>
      <w:pPr>
        <w:pStyle w:val="TextBody"/>
        <w:bidi w:val="0"/>
        <w:spacing w:before="0" w:after="0"/>
        <w:ind w:left="0" w:right="0" w:hanging="0"/>
        <w:jc w:val="left"/>
        <w:rPr/>
      </w:pPr>
      <w:r>
        <w:rPr/>
        <w:t>​</w:t>
      </w:r>
    </w:p>
    <w:tbl>
      <w:tblPr>
        <w:tblW w:w="5118" w:type="dxa"/>
        <w:jc w:val="left"/>
        <w:tblInd w:w="0" w:type="dxa"/>
        <w:tblLayout w:type="fixed"/>
        <w:tblCellMar>
          <w:top w:w="0" w:type="dxa"/>
          <w:left w:w="0" w:type="dxa"/>
          <w:bottom w:w="0" w:type="dxa"/>
          <w:right w:w="0" w:type="dxa"/>
        </w:tblCellMar>
      </w:tblPr>
      <w:tblGrid>
        <w:gridCol w:w="2251"/>
        <w:gridCol w:w="146"/>
        <w:gridCol w:w="211"/>
        <w:gridCol w:w="781"/>
        <w:gridCol w:w="346"/>
        <w:gridCol w:w="211"/>
        <w:gridCol w:w="781"/>
        <w:gridCol w:w="391"/>
      </w:tblGrid>
      <w:tr>
        <w:trPr/>
        <w:tc>
          <w:tcPr>
            <w:tcW w:w="2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1429385" cy="175260"/>
                      <wp:effectExtent l="0" t="0" r="0" b="0"/>
                      <wp:wrapNone/>
                      <wp:docPr id="254" name="Frame254"/>
                      <a:graphic xmlns:a="http://schemas.openxmlformats.org/drawingml/2006/main">
                        <a:graphicData uri="http://schemas.microsoft.com/office/word/2010/wordprocessingShape">
                          <wps:wsp>
                            <wps:cNvSpPr txBox="1"/>
                            <wps:spPr>
                              <a:xfrm>
                                <a:off x="0" y="0"/>
                                <a:ext cx="1429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92710" cy="175260"/>
                      <wp:effectExtent l="0" t="0" r="0" b="0"/>
                      <wp:wrapNone/>
                      <wp:docPr id="255" name="Frame255"/>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133985" cy="175260"/>
                      <wp:effectExtent l="0" t="0" r="0" b="0"/>
                      <wp:wrapNone/>
                      <wp:docPr id="256" name="Frame25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495935" cy="175260"/>
                      <wp:effectExtent l="0" t="0" r="0" b="0"/>
                      <wp:wrapNone/>
                      <wp:docPr id="257" name="Frame25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219710" cy="175260"/>
                      <wp:effectExtent l="0" t="0" r="0" b="0"/>
                      <wp:wrapNone/>
                      <wp:docPr id="258" name="Frame2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133985" cy="175260"/>
                      <wp:effectExtent l="0" t="0" r="0" b="0"/>
                      <wp:wrapNone/>
                      <wp:docPr id="259" name="Frame25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495935" cy="175260"/>
                      <wp:effectExtent l="0" t="0" r="0" b="0"/>
                      <wp:wrapNone/>
                      <wp:docPr id="260" name="Frame26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248285" cy="175260"/>
                      <wp:effectExtent l="0" t="0" r="0" b="0"/>
                      <wp:wrapNone/>
                      <wp:docPr id="261" name="Frame261"/>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5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33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91" w:type="dxa"/>
            <w:tcBorders/>
            <w:vAlign w:val="center"/>
          </w:tcPr>
          <w:p>
            <w:pPr>
              <w:pStyle w:val="TableContents"/>
              <w:bidi w:val="0"/>
              <w:spacing w:before="0" w:after="0"/>
              <w:ind w:left="0" w:right="0" w:hanging="0"/>
              <w:jc w:val="left"/>
              <w:rPr/>
            </w:pPr>
            <w:r>
              <w:rPr/>
              <w:t>​</w:t>
            </w:r>
          </w:p>
        </w:tc>
      </w:tr>
      <w:tr>
        <w:trPr/>
        <w:tc>
          <w:tcPr>
            <w:tcW w:w="225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3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91" w:type="dxa"/>
            <w:tcBorders/>
            <w:vAlign w:val="center"/>
          </w:tcPr>
          <w:p>
            <w:pPr>
              <w:pStyle w:val="TableContents"/>
              <w:bidi w:val="0"/>
              <w:spacing w:before="0" w:after="0"/>
              <w:ind w:left="0" w:right="0" w:hanging="0"/>
              <w:jc w:val="left"/>
              <w:rPr/>
            </w:pPr>
            <w:r>
              <w:rPr/>
              <w:t>​</w:t>
            </w:r>
          </w:p>
        </w:tc>
      </w:tr>
      <w:tr>
        <w:trPr/>
        <w:tc>
          <w:tcPr>
            <w:tcW w:w="225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1" w:type="dxa"/>
            <w:tcBorders/>
            <w:vAlign w:val="center"/>
          </w:tcPr>
          <w:p>
            <w:pPr>
              <w:pStyle w:val="TableContents"/>
              <w:bidi w:val="0"/>
              <w:spacing w:before="0" w:after="0"/>
              <w:ind w:left="0" w:right="0" w:hanging="0"/>
              <w:jc w:val="center"/>
              <w:rPr/>
            </w:pPr>
            <w:r>
              <w:rPr/>
              <w:t>  ​ ​ ​</w:t>
            </w:r>
          </w:p>
        </w:tc>
      </w:tr>
      <w:tr>
        <w:trPr/>
        <w:tc>
          <w:tcPr>
            <w:tcW w:w="22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Hospitality</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209,305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165,056</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22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Entertainment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31,768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17,028</w:t>
            </w:r>
          </w:p>
        </w:tc>
        <w:tc>
          <w:tcPr>
            <w:tcW w:w="391" w:type="dxa"/>
            <w:tcBorders/>
            <w:vAlign w:val="center"/>
          </w:tcPr>
          <w:p>
            <w:pPr>
              <w:pStyle w:val="TableContents"/>
              <w:bidi w:val="0"/>
              <w:spacing w:before="0" w:after="0"/>
              <w:ind w:left="0" w:right="0" w:hanging="0"/>
              <w:jc w:val="left"/>
              <w:rPr/>
            </w:pPr>
            <w:r>
              <w:rPr/>
              <w:t>​</w:t>
            </w:r>
          </w:p>
        </w:tc>
      </w:tr>
      <w:tr>
        <w:trPr/>
        <w:tc>
          <w:tcPr>
            <w:tcW w:w="22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and Other</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22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capital expenditures</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241,190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182,238</w:t>
            </w:r>
          </w:p>
        </w:tc>
        <w:tc>
          <w:tcPr>
            <w:tcW w:w="39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72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bookmarkStart w:id="1393" w:name="ITEM2MANAGEMENTSDISCUSSIONANDANALYSISOFF"/>
      <w:bookmarkStart w:id="1394" w:name="_ec5ee7cf_e195_4714_81c5_aa3d75448196"/>
      <w:bookmarkEnd w:id="1393"/>
      <w:bookmarkEnd w:id="1394"/>
      <w:r>
        <w:rPr>
          <w:rFonts w:ascii="Times New Roman;Times;serif" w:hAnsi="Times New Roman;Times;serif"/>
          <w:b/>
          <w:sz w:val="20"/>
        </w:rPr>
        <w:t>ITEM 2. MANAGEMENT’S DISCUSSION AND ANALYSIS OF FINANCIAL CONDITION AND RESULTS</w:t>
      </w:r>
      <w:r>
        <w:rPr>
          <w:rFonts w:ascii="Times New Roman;Times;serif" w:hAnsi="Times New Roman;Times;serif"/>
          <w:sz w:val="20"/>
        </w:rPr>
        <w:t xml:space="preserve"> </w:t>
      </w:r>
      <w:r>
        <w:rPr>
          <w:rFonts w:ascii="Times New Roman;Times;serif" w:hAnsi="Times New Roman;Times;serif"/>
          <w:b/>
          <w:sz w:val="20"/>
        </w:rPr>
        <w:t>OF OPERATIONS.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Ryman Hospitality Properties, Inc. (“Ryman”) is a Delaware corporation that conducts its operations so as to maintain its qualification as a real estate investment trust (“REIT”) for federal income tax purposes. The Company (as defined below) conducts its business through an umbrella partnership REIT, in which all of its assets are held by, and operations are conducted through, RHP Hotel Properties, LP, a subsidiary operating partnership (the “Operating Partnership”). RHP Finance Corporation, a Delaware corporation (“Finco”), was formed as a wholly-owned subsidiary of the Operating Partnership for the sole purpose of being a co-issuer of debt securities with the Operating Partnership. Neither Ryman nor Finco has any material assets, other than Ryman’s investment in the Operating Partnership and the Operating Partnership’s subsidiaries. Neither the Operating Partnership nor Finco has any business, operations, financial results or other material information, other than the business, operations, financial results and other material information described in this Quarterly Report on Form 10-Q and Ryman’s other reports, documents or other information filed with the Securities and Exchange Commission (the “SEC”) pursuant to the Securities Exchange Act of 1934, as amended (the “Exchange Act”). In this report, we use the terms the “Company,” “we” or “our” to refer to Ryman Hospitality Properties, Inc. and its subsidiaries unless the context indicates otherwise.</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 following discussion and analysis should be read in conjunction with our unaudited condensed consolidated financial statements and related notes included elsewhere in this report and our audited consolidated financial statements and related notes for the year ended December 31, 2025, included in our Annual Report on Form 10-K that was filed with the SEC on February 24, 2026.</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Cautionary Note Regarding Forward-Looking Statements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This Quarterly Report on Form 10-Q contains “forward-looking statements” intended to qualify for the safe harbor from liability established by the Private Securities Litigation Reform Act of 1995. These forward-looking statements concern our goals, beliefs, expectations, strategies, objectives, plans, future operating results and underlying assumptions, and other statements that are not necessarily based on historical facts. Without limitation, you can identify these statements by the fact that they do not relate strictly to historical or current facts, and these statements may contain words such as “may,” “will,” “could,” “should,” “might,” “projects,” “expects,” “believes,” “anticipates,” “intends,” “plans,” “continue,” “estimate,” or “pursue,” or the negative or other variations thereof or comparable terms. In particular, they include statements relating to, among other things, future actions, strategies, future performance, the outcome of contingencies such as legal proceedings and future financial results. These may also include statements regarding (i) the future performance of our business, anticipated business levels and our anticipated financial results during future periods; (ii) the effect of our election to be taxed as a REIT and maintain REIT status for federal income tax purposes; (iii) the holding of our non-qualifying REIT assets in one or more taxable REIT subsidiaries (“TRSs”); (iv) our dividend policy, including the frequency and amount of any dividend we may pay; (v) our strategic goals and potential growth opportunities, including future expansion of the geographic diversity of our existing asset portfolio through acquisitions and investment in joint ventures; (vi) the ability of Marriott International, Inc. (“Marriott”) to effectively manage our hotels and other properties; (vii) our anticipated capital expenditures and investments; (viii) the potential operating and financial restrictions imposed on our activities under existing and future financing agreements including our credit facility and other contractual arrangements with third parties, including management agreements with Marriott; (ix) our ability to borrow available funds under our credit facility; (x) our expectations about successfully amending the agreements governing our indebtedness should the need arise; (xi) geopolitical uncertainty, the effects of inflation, other macroeconomic conditions and increased costs on our business and on our customers, including group customers at our hotels; (xii) risks associated with the integration of JW Marriott Desert Ridge into our existing asset base; and (xiii) any other business or operational matters. We have based these forward-looking statements on our current expectations and projections about future events.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We caution the reader that forward-looking statements involve risks and uncertainties that cannot be predicted or quantified, and, consequently, actual results may differ materially from those expressed or implied by such forward-looking statements. Important factors that could cause actual results to differ materially from those in the forward-looking statements include, among other things, risks and uncertainties associated with economic conditions affecting the hospitality business generally, the geographic concentration of our hotel properties, business levels at our hotels, the effects of inflation and changes in international, national, regional and local economic and market conditions (such as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imposition of trade barriers or other changes in trade policy) on our business, including the effects on costs of labor and supplies and effects on group customers at our hotels and customers in our OEG businesses, our ability to remain qualified as a REIT, our ability to execute our strategic goals as a REIT, our ability to generate cash flows to support dividends, future board determinations regarding the timing and amount of dividends and changes to the dividend policy, our ability to borrow funds pursuant to our credit agreements and to refinance indebtedness and/or to successfully amend the agreements governing our indebtedness in the future, changes in interest rates, and those factors described elsewhere in this Quarterly Report on Form 10-Q and our Annual Report on Form 10-K for the year ended December 31, 2025 or described from time to time in our other reports filed with the SEC.</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Any forward-looking statement made in this Quarterly Report on Form 10-Q speaks only as of the date on which the statement is made. New risks and uncertainties arise from time to time, and it is impossible for us to predict these events or how they may affect us. We have no duty to, and do not intend to, update or revise the forward-looking statements we make in this Quarterly Report on Form 10-Q, except as may be required by law.</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Overview</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We operate as a REIT for federal income tax purposes, specializing in group-oriented, destination hotel assets in urban and resort markets. Our core holdings include a network of upscale, meetings-focused resorts totaling 11,869 rooms that are managed by Marriott under the Gaylord Hotels and JW Marriott brands. The five Gaylord Hotels resorts, which we refer to as our Gaylord Hotels properties, consist of the Gaylord Opryland Resort &amp; Convention Center in Nashville, Tennessee (“Gaylord Opryland”), the Gaylord Palms Resort &amp; Convention Center near Orlando, Florida (“Gaylord Palms”), the Gaylord Texan Resort &amp; Convention Center near Dallas, Texas (“Gaylord Texan”), the Gaylord National Resort &amp; Convention Center near Washington D.C. (“Gaylord National”), and the Gaylord Rockies Resort &amp; Convention Center near Denver, Colorado (“Gaylord Rockies”). The two JW Marriott resorts, which we refer to as the JW Marriott properties, consist of the JW Marriott San Antonio Hill Country Resort &amp; Spa (“JW Marriott Hill Country”) and the JW Marriott Phoenix Desert Ridge Resort &amp; Spa (“JW Marriott Desert Ridge”) (effective June 10, 2025). Our other hotel assets managed by Marriott include the Inn at Opryland, an overflow hotel adjacent to Gaylord Opryland, and the AC Hotel at National Harbor, Washington D.C. (“AC Hotel”), an overflow hotel adjacent to Gaylord National.</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Each of our award-winning Gaylord Hotels properties and JW Marriott properties incorporates not only high-quality lodging, but also large-scale meeting, convention and exhibition space, superb food and beverage options and retail and spa facilities within a single self-contained property. Our Gaylord Hotels properties each include at least 400,000 square feet of meeting, convention and exhibit space, and our JW Marriott properties each include at least 240,000 square feet of meeting, convention and exhibit space. As a result, our Gaylord Hotels properties and JW Marriott properties provide a convenient and entertaining environment for convention guests. Our Gaylord Hotels properties and JW Marriott properties focus on the large group meetings market in the United States.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We also own an approximate 70% controlling equity interest in a business comprised of a number of entertainment and media assets, known as the Opry Entertainment Group (“OEG”), which we report as our Entertainment segment. These assets include the Grand Ole Opry, the legendary weekly showcase of country music’s finest performers for over 100 years; the Ryman Auditorium, the storied live music venue and former home of the Grand Ole Opry located in downtown Nashville; WSM-AM, the Opry’s radio home; Ole Red, a brand of six Blake Shelton-themed bar, music venue and event spaces; Category 10, a brand of Luke Combs-themed bar, music venue and event spaces that opened in Nashville, Tennessee in November 2024, with additional locations expected to open in Las Vegas, Nevada in late 2026 and at Universal Orlando Resort’s CityWalk in early 2028; Block 21, a mixed-use entertainment, lodging, office, and retail complex located in Austin, Texas (“Block 21”); and a majority and controlling equity interest in Southern Entertainment, a Charlotte, North Carolina-based national music festival and events production company. In addition, in January 2026, OEG began managing the Ascend Amphitheater in downtown Nashville, Tennessee, and in February 2026, OEG began managing the CCNB Amphitheatre outside of Greenville, South Carolina.</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See “Cautionary Note Regarding Forward-Looking Statements” in this Item 2 and Item 1A, “Risk Factors,” in our Annual Report on Form 10-K for the year ended December 31, 2025 for important information regarding forward-looking statements made in this report and risks and uncertainties we face.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Significant 2026 Activities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Significant activities we have undertaken in 2026 include (as well as where you can find more information herein or in the accompanying condensed consolidated financial statements):</w:t>
        <w:b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ind w:left="0" w:right="0" w:hanging="0"/>
              <w:jc w:val="left"/>
              <w:rPr/>
            </w:pPr>
            <w:r>
              <w:rPr>
                <w:rFonts w:ascii="Times New Roman;Times;serif" w:hAnsi="Times New Roman;Times;serif"/>
                <w:b w:val="false"/>
                <w:i w:val="false"/>
                <w:caps w:val="false"/>
                <w:smallCaps w:val="false"/>
                <w:sz w:val="20"/>
              </w:rPr>
              <w:t>Increased the maximum borrowing capacity under our revolving credit facility from $700.0 million to $850.0 million, extended the initial maturity date to 2030 and modified certain financial covenants – Note 7, “Debt”</w:t>
              <w:br/>
            </w:r>
            <w:r>
              <w:rPr/>
              <w: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ind w:left="0" w:right="0" w:hanging="0"/>
              <w:jc w:val="left"/>
              <w:rPr/>
            </w:pPr>
            <w:r>
              <w:rPr>
                <w:rFonts w:ascii="Times New Roman;Times;serif" w:hAnsi="Times New Roman;Times;serif"/>
                <w:b w:val="false"/>
                <w:i w:val="false"/>
                <w:caps w:val="false"/>
                <w:smallCaps w:val="false"/>
                <w:sz w:val="20"/>
              </w:rPr>
              <w:t>Issued $700 million in 5.75% senior notes due 2034 and used the net proceeds to redeem our former $700 million in 4.75% senior notes originally due 2027 – Note 7, “Debt”</w:t>
              <w:br/>
            </w:r>
            <w:r>
              <w:rPr/>
              <w: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ind w:left="0" w:right="0" w:hanging="0"/>
              <w:jc w:val="left"/>
              <w:rPr/>
            </w:pPr>
            <w:r>
              <w:rPr>
                <w:rFonts w:ascii="Times New Roman;Times;serif" w:hAnsi="Times New Roman;Times;serif"/>
                <w:b w:val="false"/>
                <w:i w:val="false"/>
                <w:caps w:val="false"/>
                <w:smallCaps w:val="false"/>
                <w:sz w:val="20"/>
              </w:rPr>
              <w:t>Continued investment in our existing properties through approximately $241.2 million in capital expenditures – “Liquidity and Capital Resources”</w:t>
              <w:br/>
            </w:r>
            <w:r>
              <w:rPr/>
              <w:t>​</w:t>
            </w:r>
          </w:p>
        </w:tc>
      </w:tr>
    </w:tbl>
    <w:tbl>
      <w:tblPr>
        <w:tblW w:w="7101" w:type="dxa"/>
        <w:jc w:val="left"/>
        <w:tblInd w:w="0" w:type="dxa"/>
        <w:tblLayout w:type="fixed"/>
        <w:tblCellMar>
          <w:top w:w="28" w:type="dxa"/>
          <w:left w:w="28" w:type="dxa"/>
          <w:bottom w:w="28" w:type="dxa"/>
          <w:right w:w="28" w:type="dxa"/>
        </w:tblCellMar>
      </w:tblPr>
      <w:tblGrid>
        <w:gridCol w:w="124"/>
        <w:gridCol w:w="256"/>
        <w:gridCol w:w="67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721" w:type="dxa"/>
            <w:tcBorders/>
            <w:tcMar>
              <w:top w:w="0" w:type="dxa"/>
              <w:left w:w="0" w:type="dxa"/>
              <w:bottom w:w="0" w:type="dxa"/>
              <w:right w:w="0" w:type="dxa"/>
            </w:tcMar>
            <w:vAlign w:val="center"/>
          </w:tcPr>
          <w:p>
            <w:pPr>
              <w:pStyle w:val="TableContents"/>
              <w:bidi w:val="0"/>
              <w:spacing w:before="0" w:after="283"/>
              <w:ind w:left="0" w:right="0" w:hanging="0"/>
              <w:jc w:val="left"/>
              <w:rPr/>
            </w:pPr>
            <w:r>
              <w:rPr>
                <w:rFonts w:ascii="Times New Roman;Times;serif" w:hAnsi="Times New Roman;Times;serif"/>
                <w:b w:val="false"/>
                <w:i w:val="false"/>
                <w:caps w:val="false"/>
                <w:smallCaps w:val="false"/>
                <w:sz w:val="20"/>
              </w:rPr>
              <w:t>Declared approximately $152.4 million in cash distributions – Note 12, “Equity”</w:t>
              <w:br/>
            </w:r>
            <w:r>
              <w:rPr/>
              <w:t>​</w:t>
            </w:r>
          </w:p>
        </w:tc>
      </w:tr>
    </w:tbl>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Recent Developments in Our Opry Entertainment Business</w:t>
      </w:r>
    </w:p>
    <w:p>
      <w:pPr>
        <w:pStyle w:val="TextBody"/>
        <w:bidi w:val="0"/>
        <w:spacing w:before="0" w:after="20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announced, we are exploring ways to provide OEG with greater independence in a structure that creates value for our shareholders. To that end, we have engaged Morgan Stanley &amp; Co. LLC to evaluate potential strategic partners or new investors for OEG. In evaluating potential partners, we have focused on three priorities:</w:t>
      </w:r>
    </w:p>
    <w:tbl>
      <w:tblPr>
        <w:tblW w:w="5406" w:type="dxa"/>
        <w:jc w:val="left"/>
        <w:tblInd w:w="0" w:type="dxa"/>
        <w:tblLayout w:type="fixed"/>
        <w:tblCellMar>
          <w:top w:w="28" w:type="dxa"/>
          <w:left w:w="28" w:type="dxa"/>
          <w:bottom w:w="28" w:type="dxa"/>
          <w:right w:w="28" w:type="dxa"/>
        </w:tblCellMar>
      </w:tblPr>
      <w:tblGrid>
        <w:gridCol w:w="124"/>
        <w:gridCol w:w="256"/>
        <w:gridCol w:w="50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preserving OEG’s legacy while supporting its future growth;</w:t>
            </w:r>
          </w:p>
        </w:tc>
      </w:tr>
    </w:tbl>
    <w:tbl>
      <w:tblPr>
        <w:tblW w:w="5391" w:type="dxa"/>
        <w:jc w:val="left"/>
        <w:tblInd w:w="0" w:type="dxa"/>
        <w:tblLayout w:type="fixed"/>
        <w:tblCellMar>
          <w:top w:w="28" w:type="dxa"/>
          <w:left w:w="28" w:type="dxa"/>
          <w:bottom w:w="28" w:type="dxa"/>
          <w:right w:w="28" w:type="dxa"/>
        </w:tblCellMar>
      </w:tblPr>
      <w:tblGrid>
        <w:gridCol w:w="124"/>
        <w:gridCol w:w="256"/>
        <w:gridCol w:w="50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achieving an attractive valuation and transaction terms;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structuring any transaction in a manner that is appropriate for our REIT structure, which could result in payments being received by the Company, and the payment of special dividends to our shareholders, over multiple years.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Discussions are continuing with select potential investors that our board of directors believes may meet our criteria for a new partnership. We expect to remain an owner of OEG and continue to benefit from its future growth. We have not entered into any agreements with respect to a potential investment by a third party in OEG, and there can be no assurance that any definitive agreement will ultimately be reached.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a result of this ongoing process, the put rights of the minority investor in OEG discussed in Note 4, “Income Per Share,” to the accompanying condensed consolidated financial statements included herein are not currently exercisable.</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Dividend Policy</w:t>
      </w:r>
    </w:p>
    <w:p>
      <w:pPr>
        <w:pStyle w:val="TextBody"/>
        <w:bidi w:val="0"/>
        <w:spacing w:before="0" w:after="20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Our board of directors has approved a dividend policy pursuant to which we will make minimum dividends of 100% of REIT taxable income annually, subject to the board of directors’ future determinations as to the amount of any distributions and the timing thereof. The dividend policy may be altered at any time by our board of directors (as otherwise permitted by our credit agreement) and certain provisions of our agreements governing our other indebtedness may prohibit us from paying dividends in accordance with any policy we may adopt.</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Our Long-Term Strategic Plan</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Our goal is to be the nation’s premier hospitality REIT for group-oriented meeting hotel assets in urban and resort markets.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Existing Hotel Property Design</w:t>
      </w:r>
      <w:r>
        <w:rPr>
          <w:rFonts w:ascii="Times New Roman;Times;serif" w:hAnsi="Times New Roman;Times;serif"/>
          <w:sz w:val="20"/>
        </w:rPr>
        <w:t xml:space="preserve">. Our Gaylord Hotels properties and JW Marriott properties focus on the large group meetings and regional leisure transient markets in the United States and incorporate meeting and exhibition space, signature guest rooms, food and beverage offerings, fitness and spa facilities and other attractions within a large hotel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property so attendees’ needs are met in one location. We believe this strategy creates a better experience for both meeting planners and guests and has led to our current Gaylord Hotels properties and JW Marriott properties claiming a place among the leading convention hotels in the country.</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i/>
          <w:sz w:val="20"/>
        </w:rPr>
        <w:t>Expansion of Hotel Asset Portfolio</w:t>
      </w:r>
      <w:r>
        <w:rPr>
          <w:rFonts w:ascii="Times New Roman;Times;serif" w:hAnsi="Times New Roman;Times;serif"/>
          <w:sz w:val="20"/>
        </w:rPr>
        <w:t>. Part of our long-term growth strategy includes acquisitions or developments of other hotels, particularly in the group meetings sector of the hospitality industry, either alone or through joint ventures or alliances with one or more third parties. We will consider attractive investment opportunities which meet our acquisition parameters, specifically, group-oriented large hotels and overflow hotels with existing or potential leisure appeal. We are generally interested in highly accessible upper-upscale or luxury assets with over 400 hotel rooms in urban and resort group destination markets. We also consider assets that possess significant meeting space or present a repositioning opportunity and/or would significantly benefit from capital investment in additional rooms or meeting space. We are consistently considering acquisitions that would expand the geographic diversity of our existing asset portfolio. To this end, we purchased JW Marriott Hill Country in June 2023 and JW Marriott Desert Ridge in June 2025.</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i/>
          <w:sz w:val="20"/>
        </w:rPr>
        <w:t>Continued Investment in Our Existing Properties</w:t>
      </w:r>
      <w:r>
        <w:rPr>
          <w:rFonts w:ascii="Times New Roman;Times;serif" w:hAnsi="Times New Roman;Times;serif"/>
          <w:sz w:val="20"/>
        </w:rPr>
        <w:t>. We continuously evaluate and invest in our current portfolio and consider enhancements or expansions as part of our long-term strategic plan. In early 2024, we identified over $1 billion in capital investment opportunities across our entire hotel portfolio, comprised of projects that we anticipate completing in phases through 2027. In 2024, we completed a $98 million multi-year interior and exterior enhancement project at Gaylord Rockies to better position the property for our group customers. Included in our nearly $225 million multi-phase capital improvement plan at Gaylord Opryland is the completed renovation of multiple ballrooms and pre-function space, the completed construction of a sports bar, event lawn and pavilion, and the ongoing expansion of approximately 108,000 square feet of premium, carpeted meeting space.</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i/>
          <w:sz w:val="20"/>
        </w:rPr>
        <w:t>Leverage Brand Name Awareness</w:t>
      </w:r>
      <w:r>
        <w:rPr>
          <w:rFonts w:ascii="Times New Roman;Times;serif" w:hAnsi="Times New Roman;Times;serif"/>
          <w:sz w:val="20"/>
        </w:rPr>
        <w:t>. We believe the Grand Ole Opry is one of the most recognized entertainment brands in the United States. We promote the Grand Ole Opry name through various media, including our WSM-AM radio station, the Internet and television, and through performances by the Grand Ole Opry’s members, many of whom are renowned country music artists. As such, we have alliances in place with multiple distribution partners in an effort to foster brand extension. We believe that licensing our brand may provide an opportunity to increase revenues and cash flow with relatively little capital investment. We are continuously exploring additional products, such as television specials and retail products, through which we can capitalize on our brand affinity and awareness. To this end, we have purchased Block 21, invested in six Ole Red locations and recently announced the planned development of a seventh Ole Red location that is expected to open in early 2028, opened our first Category 10 in November 2024 and have announced the development of two additional Category 10 locations that are expected to open in late 2026 and early 2028, respectively, purchased a majority interest in Southern Entertainment in January 2025, and began managing the Ascend Amphitheater in January 2026 and the CCNB Amphitheatre in February 2026. In September 2025, the Grand Ole Opry traveled to the Royal Albert Hall in London for the first international performance in its history. Further, in 2022, we completed a strategic transaction to sell a minority interest in OEG to an affiliate of Atairos Group, Inc. and its strategic partner NBCUniversal Media, LLC, who we believe will continue to help us expand the distribution of our OEG brands.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i/>
          <w:sz w:val="20"/>
        </w:rPr>
        <w:t>Short-Term Capital Allocation</w:t>
      </w:r>
      <w:r>
        <w:rPr>
          <w:rFonts w:ascii="Times New Roman;Times;serif" w:hAnsi="Times New Roman;Times;serif"/>
          <w:sz w:val="20"/>
        </w:rPr>
        <w:t xml:space="preserve">. </w:t>
      </w:r>
      <w:r>
        <w:rPr>
          <w:rFonts w:ascii="Times New Roman;Times;serif" w:hAnsi="Times New Roman;Times;serif"/>
          <w:sz w:val="20"/>
          <w:shd w:fill="FFFFFF" w:val="clear"/>
        </w:rPr>
        <w:t>Our short-term capital allocation strategy is focused on returning capital to stockholders through the payment of dividends, in addition to investing in our assets and operations. Our dividend policy provides that we will make minimum dividends of 100% of REIT taxable income annually, subject to the board of directors’ future determinations as to the amount of any distributions and the timing thereof.</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Our Operations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Our operations are organized into three principal business segments: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Hospitality, consisting of our Gaylord Hotels properties, our JW Marriott properties (including, effective June 10, 2025, JW Marriott Desert Ridge), the Inn at Opryland and the AC Hotel.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Entertainment, consisting of the Grand Ole Opry, the Ryman Auditorium, WSM-AM, Ole Red, Category 10, Block 21, Southern Entertainment, our other Nashville-based attractions, and, beginning in 2026, the operation of the Ascend Amphitheater in downtown Nashville, Tennessee, and the CCNB Amphitheatre outside of Greenville, South Carolina.</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5271" w:type="dxa"/>
        <w:jc w:val="left"/>
        <w:tblInd w:w="0" w:type="dxa"/>
        <w:tblLayout w:type="fixed"/>
        <w:tblCellMar>
          <w:top w:w="28" w:type="dxa"/>
          <w:left w:w="28" w:type="dxa"/>
          <w:bottom w:w="28" w:type="dxa"/>
          <w:right w:w="28" w:type="dxa"/>
        </w:tblCellMar>
      </w:tblPr>
      <w:tblGrid>
        <w:gridCol w:w="124"/>
        <w:gridCol w:w="256"/>
        <w:gridCol w:w="48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Corporate and Other, consisting of our corporate expenses.</w:t>
            </w:r>
          </w:p>
        </w:tc>
      </w:tr>
    </w:tbl>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For the three and six months ended June 30, 2026 and 2025, our total revenues were divided among these business segments as follows:</w:t>
      </w:r>
    </w:p>
    <w:tbl>
      <w:tblPr>
        <w:tblW w:w="6665" w:type="dxa"/>
        <w:jc w:val="left"/>
        <w:tblInd w:w="0" w:type="dxa"/>
        <w:tblLayout w:type="fixed"/>
        <w:tblCellMar>
          <w:top w:w="0" w:type="dxa"/>
          <w:left w:w="0" w:type="dxa"/>
          <w:bottom w:w="0" w:type="dxa"/>
          <w:right w:w="0" w:type="dxa"/>
        </w:tblCellMar>
      </w:tblPr>
      <w:tblGrid>
        <w:gridCol w:w="1771"/>
        <w:gridCol w:w="346"/>
        <w:gridCol w:w="595"/>
        <w:gridCol w:w="460"/>
        <w:gridCol w:w="595"/>
        <w:gridCol w:w="361"/>
        <w:gridCol w:w="346"/>
        <w:gridCol w:w="524"/>
        <w:gridCol w:w="406"/>
        <w:gridCol w:w="524"/>
        <w:gridCol w:w="346"/>
        <w:gridCol w:w="391"/>
      </w:tblGrid>
      <w:tr>
        <w:trPr/>
        <w:tc>
          <w:tcPr>
            <w:tcW w:w="17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1124585" cy="175260"/>
                      <wp:effectExtent l="0" t="0" r="0" b="0"/>
                      <wp:wrapNone/>
                      <wp:docPr id="262" name="Frame262"/>
                      <a:graphic xmlns:a="http://schemas.openxmlformats.org/drawingml/2006/main">
                        <a:graphicData uri="http://schemas.microsoft.com/office/word/2010/wordprocessingShape">
                          <wps:wsp>
                            <wps:cNvSpPr txBox="1"/>
                            <wps:spPr>
                              <a:xfrm>
                                <a:off x="0" y="0"/>
                                <a:ext cx="1124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219710" cy="175260"/>
                      <wp:effectExtent l="0" t="0" r="0" b="0"/>
                      <wp:wrapNone/>
                      <wp:docPr id="263" name="Frame2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377825" cy="175260"/>
                      <wp:effectExtent l="0" t="0" r="0" b="0"/>
                      <wp:wrapNone/>
                      <wp:docPr id="264" name="Frame264"/>
                      <a:graphic xmlns:a="http://schemas.openxmlformats.org/drawingml/2006/main">
                        <a:graphicData uri="http://schemas.microsoft.com/office/word/2010/wordprocessingShape">
                          <wps:wsp>
                            <wps:cNvSpPr txBox="1"/>
                            <wps:spPr>
                              <a:xfrm>
                                <a:off x="0" y="0"/>
                                <a:ext cx="3778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292100" cy="175260"/>
                      <wp:effectExtent l="0" t="0" r="0" b="0"/>
                      <wp:wrapNone/>
                      <wp:docPr id="265" name="Frame265"/>
                      <a:graphic xmlns:a="http://schemas.openxmlformats.org/drawingml/2006/main">
                        <a:graphicData uri="http://schemas.microsoft.com/office/word/2010/wordprocessingShape">
                          <wps:wsp>
                            <wps:cNvSpPr txBox="1"/>
                            <wps:spPr>
                              <a:xfrm>
                                <a:off x="0" y="0"/>
                                <a:ext cx="2921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377825" cy="175260"/>
                      <wp:effectExtent l="0" t="0" r="0" b="0"/>
                      <wp:wrapNone/>
                      <wp:docPr id="266" name="Frame266"/>
                      <a:graphic xmlns:a="http://schemas.openxmlformats.org/drawingml/2006/main">
                        <a:graphicData uri="http://schemas.microsoft.com/office/word/2010/wordprocessingShape">
                          <wps:wsp>
                            <wps:cNvSpPr txBox="1"/>
                            <wps:spPr>
                              <a:xfrm>
                                <a:off x="0" y="0"/>
                                <a:ext cx="3778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229235" cy="175260"/>
                      <wp:effectExtent l="0" t="0" r="0" b="0"/>
                      <wp:wrapNone/>
                      <wp:docPr id="267" name="Frame267"/>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219710" cy="175260"/>
                      <wp:effectExtent l="0" t="0" r="0" b="0"/>
                      <wp:wrapNone/>
                      <wp:docPr id="268" name="Frame2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332740" cy="175260"/>
                      <wp:effectExtent l="0" t="0" r="0" b="0"/>
                      <wp:wrapNone/>
                      <wp:docPr id="269" name="Frame269"/>
                      <a:graphic xmlns:a="http://schemas.openxmlformats.org/drawingml/2006/main">
                        <a:graphicData uri="http://schemas.microsoft.com/office/word/2010/wordprocessingShape">
                          <wps:wsp>
                            <wps:cNvSpPr txBox="1"/>
                            <wps:spPr>
                              <a:xfrm>
                                <a:off x="0" y="0"/>
                                <a:ext cx="3327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257810" cy="175260"/>
                      <wp:effectExtent l="0" t="0" r="0" b="0"/>
                      <wp:wrapNone/>
                      <wp:docPr id="270" name="Frame270"/>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332740" cy="175260"/>
                      <wp:effectExtent l="0" t="0" r="0" b="0"/>
                      <wp:wrapNone/>
                      <wp:docPr id="271" name="Frame271"/>
                      <a:graphic xmlns:a="http://schemas.openxmlformats.org/drawingml/2006/main">
                        <a:graphicData uri="http://schemas.microsoft.com/office/word/2010/wordprocessingShape">
                          <wps:wsp>
                            <wps:cNvSpPr txBox="1"/>
                            <wps:spPr>
                              <a:xfrm>
                                <a:off x="0" y="0"/>
                                <a:ext cx="3327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219710" cy="175260"/>
                      <wp:effectExtent l="0" t="0" r="0" b="0"/>
                      <wp:wrapNone/>
                      <wp:docPr id="272" name="Frame2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248285" cy="175260"/>
                      <wp:effectExtent l="0" t="0" r="0" b="0"/>
                      <wp:wrapNone/>
                      <wp:docPr id="273" name="Frame273"/>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7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650" w:type="dxa"/>
            <w:gridSpan w:val="3"/>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454" w:type="dxa"/>
            <w:gridSpan w:val="3"/>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46" w:type="dxa"/>
            <w:tcBorders/>
            <w:vAlign w:val="center"/>
          </w:tcPr>
          <w:p>
            <w:pPr>
              <w:pStyle w:val="TableContents"/>
              <w:bidi w:val="0"/>
              <w:spacing w:before="0" w:after="1"/>
              <w:ind w:left="0" w:right="0" w:hanging="0"/>
              <w:jc w:val="left"/>
              <w:rPr/>
            </w:pPr>
            <w:r>
              <w:rPr/>
              <w:t>​</w:t>
            </w:r>
          </w:p>
        </w:tc>
        <w:tc>
          <w:tcPr>
            <w:tcW w:w="391" w:type="dxa"/>
            <w:tcBorders/>
            <w:vAlign w:val="center"/>
          </w:tcPr>
          <w:p>
            <w:pPr>
              <w:pStyle w:val="TableContents"/>
              <w:bidi w:val="0"/>
              <w:spacing w:before="0" w:after="1"/>
              <w:ind w:left="0" w:right="0" w:hanging="0"/>
              <w:jc w:val="left"/>
              <w:rPr/>
            </w:pPr>
            <w:r>
              <w:rPr/>
              <w:t>​</w:t>
            </w:r>
          </w:p>
        </w:tc>
      </w:tr>
      <w:tr>
        <w:trPr/>
        <w:tc>
          <w:tcPr>
            <w:tcW w:w="17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650"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454"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1"/>
              <w:ind w:left="0" w:right="0" w:hanging="0"/>
              <w:jc w:val="left"/>
              <w:rPr/>
            </w:pPr>
            <w:r>
              <w:rPr/>
              <w:t>​</w:t>
            </w:r>
          </w:p>
        </w:tc>
        <w:tc>
          <w:tcPr>
            <w:tcW w:w="391" w:type="dxa"/>
            <w:tcBorders/>
            <w:vAlign w:val="center"/>
          </w:tcPr>
          <w:p>
            <w:pPr>
              <w:pStyle w:val="TableContents"/>
              <w:bidi w:val="0"/>
              <w:spacing w:before="0" w:after="1"/>
              <w:ind w:left="0" w:right="0" w:hanging="0"/>
              <w:jc w:val="left"/>
              <w:rPr/>
            </w:pPr>
            <w:r>
              <w:rPr/>
              <w:t>​</w:t>
            </w:r>
          </w:p>
        </w:tc>
      </w:tr>
      <w:tr>
        <w:trPr/>
        <w:tc>
          <w:tcPr>
            <w:tcW w:w="177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Segment</w:t>
            </w:r>
          </w:p>
        </w:tc>
        <w:tc>
          <w:tcPr>
            <w:tcW w:w="346" w:type="dxa"/>
            <w:tcBorders/>
            <w:vAlign w:val="center"/>
          </w:tcPr>
          <w:p>
            <w:pPr>
              <w:pStyle w:val="TableContents"/>
              <w:bidi w:val="0"/>
              <w:spacing w:before="0" w:after="1"/>
              <w:ind w:left="0" w:right="0" w:hanging="0"/>
              <w:jc w:val="left"/>
              <w:rPr/>
            </w:pPr>
            <w:r>
              <w:rPr/>
              <w:t>  ​ ​ ​</w:t>
            </w:r>
          </w:p>
        </w:tc>
        <w:tc>
          <w:tcPr>
            <w:tcW w:w="595"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60" w:type="dxa"/>
            <w:tcBorders/>
            <w:vAlign w:val="center"/>
          </w:tcPr>
          <w:p>
            <w:pPr>
              <w:pStyle w:val="TableContents"/>
              <w:bidi w:val="0"/>
              <w:spacing w:before="0" w:after="1"/>
              <w:ind w:left="0" w:right="0" w:hanging="0"/>
              <w:jc w:val="left"/>
              <w:rPr/>
            </w:pPr>
            <w:r>
              <w:rPr/>
              <w:t>  ​ ​ ​</w:t>
            </w:r>
          </w:p>
        </w:tc>
        <w:tc>
          <w:tcPr>
            <w:tcW w:w="595"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61" w:type="dxa"/>
            <w:tcBorders/>
            <w:vAlign w:val="center"/>
          </w:tcPr>
          <w:p>
            <w:pPr>
              <w:pStyle w:val="TableContents"/>
              <w:bidi w:val="0"/>
              <w:spacing w:before="0" w:after="1"/>
              <w:ind w:left="0" w:right="0" w:hanging="0"/>
              <w:jc w:val="left"/>
              <w:rPr/>
            </w:pPr>
            <w:r>
              <w:rPr/>
              <w:t>  ​ ​ ​</w:t>
            </w:r>
          </w:p>
        </w:tc>
        <w:tc>
          <w:tcPr>
            <w:tcW w:w="346" w:type="dxa"/>
            <w:tcBorders/>
            <w:vAlign w:val="center"/>
          </w:tcPr>
          <w:p>
            <w:pPr>
              <w:pStyle w:val="TableContents"/>
              <w:bidi w:val="0"/>
              <w:spacing w:before="0" w:after="1"/>
              <w:ind w:left="0" w:right="0" w:hanging="0"/>
              <w:jc w:val="left"/>
              <w:rPr/>
            </w:pPr>
            <w:r>
              <w:rPr/>
              <w:t>  ​ ​ ​</w:t>
            </w:r>
          </w:p>
        </w:tc>
        <w:tc>
          <w:tcPr>
            <w:tcW w:w="524"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06" w:type="dxa"/>
            <w:tcBorders/>
            <w:vAlign w:val="center"/>
          </w:tcPr>
          <w:p>
            <w:pPr>
              <w:pStyle w:val="TableContents"/>
              <w:bidi w:val="0"/>
              <w:spacing w:before="0" w:after="1"/>
              <w:ind w:left="0" w:right="0" w:hanging="0"/>
              <w:jc w:val="left"/>
              <w:rPr/>
            </w:pPr>
            <w:r>
              <w:rPr/>
              <w:t>  ​ ​ ​</w:t>
            </w:r>
          </w:p>
        </w:tc>
        <w:tc>
          <w:tcPr>
            <w:tcW w:w="524"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391" w:type="dxa"/>
            <w:tcBorders/>
            <w:vAlign w:val="center"/>
          </w:tcPr>
          <w:p>
            <w:pPr>
              <w:pStyle w:val="TableContents"/>
              <w:bidi w:val="0"/>
              <w:spacing w:before="0" w:after="1"/>
              <w:ind w:left="0" w:right="0" w:hanging="0"/>
              <w:jc w:val="left"/>
              <w:rPr/>
            </w:pPr>
            <w:r>
              <w:rPr/>
              <w:t>  ​ ​ ​</w:t>
            </w:r>
          </w:p>
        </w:tc>
      </w:tr>
      <w:tr>
        <w:trPr/>
        <w:tc>
          <w:tcPr>
            <w:tcW w:w="17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Hospitality</w:t>
            </w:r>
          </w:p>
        </w:tc>
        <w:tc>
          <w:tcPr>
            <w:tcW w:w="346" w:type="dxa"/>
            <w:tcBorders/>
            <w:shd w:fill="CCEEFF" w:val="clear"/>
            <w:vAlign w:val="center"/>
          </w:tcPr>
          <w:p>
            <w:pPr>
              <w:pStyle w:val="TableContents"/>
              <w:bidi w:val="0"/>
              <w:spacing w:before="0" w:after="1"/>
              <w:ind w:left="0" w:right="0" w:hanging="0"/>
              <w:jc w:val="left"/>
              <w:rPr/>
            </w:pPr>
            <w:r>
              <w:rPr/>
              <w:t> </w:t>
            </w:r>
          </w:p>
        </w:tc>
        <w:tc>
          <w:tcPr>
            <w:tcW w:w="59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w:t>
            </w:r>
          </w:p>
        </w:tc>
        <w:tc>
          <w:tcPr>
            <w:tcW w:w="46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59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52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w:t>
            </w:r>
          </w:p>
        </w:tc>
        <w:tc>
          <w:tcPr>
            <w:tcW w:w="4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52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1" w:type="dxa"/>
            <w:tcBorders/>
            <w:shd w:fill="CCEEFF" w:val="clear"/>
            <w:vAlign w:val="center"/>
          </w:tcPr>
          <w:p>
            <w:pPr>
              <w:pStyle w:val="TableContents"/>
              <w:bidi w:val="0"/>
              <w:spacing w:before="0" w:after="1"/>
              <w:ind w:left="0" w:right="0" w:hanging="0"/>
              <w:jc w:val="left"/>
              <w:rPr/>
            </w:pPr>
            <w:r>
              <w:rPr/>
              <w:t> </w:t>
            </w:r>
          </w:p>
        </w:tc>
      </w:tr>
      <w:tr>
        <w:trPr/>
        <w:tc>
          <w:tcPr>
            <w:tcW w:w="17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Entertainment</w:t>
            </w:r>
          </w:p>
        </w:tc>
        <w:tc>
          <w:tcPr>
            <w:tcW w:w="346" w:type="dxa"/>
            <w:tcBorders/>
            <w:vAlign w:val="center"/>
          </w:tcPr>
          <w:p>
            <w:pPr>
              <w:pStyle w:val="TableContents"/>
              <w:bidi w:val="0"/>
              <w:spacing w:before="0" w:after="1"/>
              <w:ind w:left="0" w:right="0" w:hanging="0"/>
              <w:jc w:val="left"/>
              <w:rPr/>
            </w:pPr>
            <w:r>
              <w:rPr/>
              <w:t> </w:t>
            </w:r>
          </w:p>
        </w:tc>
        <w:tc>
          <w:tcPr>
            <w:tcW w:w="59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w:t>
            </w:r>
          </w:p>
        </w:tc>
        <w:tc>
          <w:tcPr>
            <w:tcW w:w="46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59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346" w:type="dxa"/>
            <w:tcBorders/>
            <w:vAlign w:val="center"/>
          </w:tcPr>
          <w:p>
            <w:pPr>
              <w:pStyle w:val="TableContents"/>
              <w:bidi w:val="0"/>
              <w:spacing w:before="0" w:after="1"/>
              <w:ind w:left="0" w:right="0" w:hanging="0"/>
              <w:jc w:val="left"/>
              <w:rPr/>
            </w:pPr>
            <w:r>
              <w:rPr/>
              <w:t> </w:t>
            </w:r>
          </w:p>
        </w:tc>
        <w:tc>
          <w:tcPr>
            <w:tcW w:w="52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w:t>
            </w:r>
          </w:p>
        </w:tc>
        <w:tc>
          <w:tcPr>
            <w:tcW w:w="4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52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1" w:type="dxa"/>
            <w:tcBorders/>
            <w:vAlign w:val="center"/>
          </w:tcPr>
          <w:p>
            <w:pPr>
              <w:pStyle w:val="TableContents"/>
              <w:bidi w:val="0"/>
              <w:spacing w:before="0" w:after="1"/>
              <w:ind w:left="0" w:right="0" w:hanging="0"/>
              <w:jc w:val="left"/>
              <w:rPr/>
            </w:pPr>
            <w:r>
              <w:rPr/>
              <w:t> </w:t>
            </w:r>
          </w:p>
        </w:tc>
      </w:tr>
      <w:tr>
        <w:trPr/>
        <w:tc>
          <w:tcPr>
            <w:tcW w:w="17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Corporate and Other</w:t>
            </w:r>
          </w:p>
        </w:tc>
        <w:tc>
          <w:tcPr>
            <w:tcW w:w="346" w:type="dxa"/>
            <w:tcBorders/>
            <w:shd w:fill="CCEEFF" w:val="clear"/>
            <w:vAlign w:val="center"/>
          </w:tcPr>
          <w:p>
            <w:pPr>
              <w:pStyle w:val="TableContents"/>
              <w:bidi w:val="0"/>
              <w:spacing w:before="0" w:after="1"/>
              <w:ind w:left="0" w:right="0" w:hanging="0"/>
              <w:jc w:val="left"/>
              <w:rPr/>
            </w:pPr>
            <w:r>
              <w:rPr/>
              <w:t> </w:t>
            </w:r>
          </w:p>
        </w:tc>
        <w:tc>
          <w:tcPr>
            <w:tcW w:w="59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w:t>
            </w:r>
          </w:p>
        </w:tc>
        <w:tc>
          <w:tcPr>
            <w:tcW w:w="46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59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52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w:t>
            </w:r>
          </w:p>
        </w:tc>
        <w:tc>
          <w:tcPr>
            <w:tcW w:w="4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52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1" w:type="dxa"/>
            <w:tcBorders/>
            <w:shd w:fill="CCEEFF" w:val="clear"/>
            <w:vAlign w:val="center"/>
          </w:tcPr>
          <w:p>
            <w:pPr>
              <w:pStyle w:val="TableContents"/>
              <w:bidi w:val="0"/>
              <w:spacing w:before="0" w:after="1"/>
              <w:ind w:left="0" w:right="0" w:hanging="0"/>
              <w:jc w:val="left"/>
              <w:rPr/>
            </w:pPr>
            <w:r>
              <w:rPr/>
              <w:t> </w:t>
            </w:r>
          </w:p>
        </w:tc>
      </w:tr>
    </w:tbl>
    <w:p>
      <w:pPr>
        <w:pStyle w:val="TextBody"/>
        <w:bidi w:val="0"/>
        <w:spacing w:before="0" w:after="240"/>
        <w:ind w:left="0" w:right="0" w:hanging="0"/>
        <w:jc w:val="left"/>
        <w:rPr/>
      </w:pPr>
      <w:r>
        <w:rPr/>
        <w:t>​</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Key Performance Indicators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 operating results of our Hospitality segment are highly dependent on the volume of customers at our hotels and the quality of the customer mix at our hotels, which are managed by Marriott. These factors impact the price that Marriott can charge for our hotel rooms and other amenities, such as food and beverage and meeting space. The following key performance indicators are commonly used in the hospitality industry and are used by management to evaluate hotel performance and allocate capital resources:</w:t>
      </w:r>
    </w:p>
    <w:tbl>
      <w:tblPr>
        <w:tblW w:w="8916" w:type="dxa"/>
        <w:jc w:val="left"/>
        <w:tblInd w:w="0" w:type="dxa"/>
        <w:tblLayout w:type="fixed"/>
        <w:tblCellMar>
          <w:top w:w="28" w:type="dxa"/>
          <w:left w:w="28" w:type="dxa"/>
          <w:bottom w:w="28" w:type="dxa"/>
          <w:right w:w="28" w:type="dxa"/>
        </w:tblCellMar>
      </w:tblPr>
      <w:tblGrid>
        <w:gridCol w:w="124"/>
        <w:gridCol w:w="256"/>
        <w:gridCol w:w="85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5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hotel occupancy – a volume indicator calculated by dividing total rooms sold by total rooms available;</w:t>
            </w:r>
          </w:p>
        </w:tc>
      </w:tr>
    </w:tbl>
    <w:tbl>
      <w:tblPr>
        <w:tblW w:w="9696" w:type="dxa"/>
        <w:jc w:val="left"/>
        <w:tblInd w:w="0" w:type="dxa"/>
        <w:tblLayout w:type="fixed"/>
        <w:tblCellMar>
          <w:top w:w="28" w:type="dxa"/>
          <w:left w:w="28" w:type="dxa"/>
          <w:bottom w:w="28" w:type="dxa"/>
          <w:right w:w="28" w:type="dxa"/>
        </w:tblCellMar>
      </w:tblPr>
      <w:tblGrid>
        <w:gridCol w:w="124"/>
        <w:gridCol w:w="256"/>
        <w:gridCol w:w="93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average daily rate (“ADR”) – a price indicator calculated by dividing room revenue by the number of rooms sold;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per available room (“RevPAR”) – a summary measure of hotel results calculated by dividing room revenue by room nights available to guests for the period;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revenue per available room (“Total RevPAR”) – a summary measure of hotel results calculated by dividing the sum of room, food and beverage and other ancillary service revenue by room nights available to guests for the period;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definite group room nights booked – a volume indicator which represents the total number of definite group bookings for future room nights at our hotels confirmed during the applicable period, net of cancellations.</w:t>
            </w:r>
          </w:p>
        </w:tc>
      </w:tr>
    </w:tbl>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We also use certain “non-GAAP financial measures,” which are measures of our historical performance that are not calculated and presented in accordance with generally accepted accounting principles in the United States (“GAAP”), within the meaning of applicable SEC rules. These measures include: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Earnings Before Interest Expense, Income Taxes, Depreciation and Amortization for Real Estate (“EBITDA</w:t>
            </w:r>
            <w:r>
              <w:rPr>
                <w:rFonts w:ascii="Times New Roman;Times;serif" w:hAnsi="Times New Roman;Times;serif"/>
                <w:b w:val="false"/>
                <w:i/>
                <w:sz w:val="20"/>
              </w:rPr>
              <w:t>re</w:t>
            </w:r>
            <w:r>
              <w:rPr>
                <w:caps w:val="false"/>
                <w:smallCaps w:val="false"/>
              </w:rPr>
              <w:t>”</w:t>
            </w:r>
            <w:r>
              <w:rPr>
                <w:rFonts w:ascii="Times New Roman;Times;serif" w:hAnsi="Times New Roman;Times;serif"/>
                <w:b w:val="false"/>
                <w:i w:val="false"/>
                <w:caps w:val="false"/>
                <w:smallCaps w:val="false"/>
                <w:sz w:val="20"/>
              </w:rPr>
              <w:t>), Adjusted EBITDA</w:t>
            </w:r>
            <w:r>
              <w:rPr>
                <w:rFonts w:ascii="Times New Roman;Times;serif" w:hAnsi="Times New Roman;Times;serif"/>
                <w:b w:val="false"/>
                <w:i/>
                <w:sz w:val="20"/>
              </w:rPr>
              <w:t>re</w:t>
            </w:r>
            <w:r>
              <w:rPr>
                <w:caps w:val="false"/>
                <w:smallCaps w:val="false"/>
              </w:rPr>
              <w:t xml:space="preserve"> </w:t>
            </w:r>
            <w:r>
              <w:rPr>
                <w:rFonts w:ascii="Times New Roman;Times;serif" w:hAnsi="Times New Roman;Times;serif"/>
                <w:b w:val="false"/>
                <w:i w:val="false"/>
                <w:caps w:val="false"/>
                <w:smallCaps w:val="false"/>
                <w:sz w:val="20"/>
              </w:rPr>
              <w:t>and Adjusted EBITDA</w:t>
            </w:r>
            <w:r>
              <w:rPr>
                <w:rFonts w:ascii="Times New Roman;Times;serif" w:hAnsi="Times New Roman;Times;serif"/>
                <w:b w:val="false"/>
                <w:i/>
                <w:sz w:val="20"/>
              </w:rPr>
              <w:t>re</w:t>
            </w:r>
            <w:r>
              <w:rPr>
                <w:rFonts w:ascii="Times New Roman;Times;serif" w:hAnsi="Times New Roman;Times;serif"/>
                <w:b w:val="false"/>
                <w:i w:val="false"/>
                <w:caps w:val="false"/>
                <w:smallCaps w:val="false"/>
                <w:sz w:val="20"/>
              </w:rPr>
              <w:t>, Excluding Noncontrolling Interest,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Funds From Operations (“FFO”) available to common stockholders and unit holders and Adjusted FFO available to common stockholders and unit holders.</w:t>
            </w:r>
          </w:p>
        </w:tc>
      </w:tr>
    </w:tbl>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See “Non-GAAP Financial Measures” below for further discussion.</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 results of operations of our Hospitality segment are affected by the number and type of group meetings and conventions scheduled to attend our hotels in a given period. A variety of factors can affect the results of any interim period, including the nature and quality of the group meetings and conventions attending our hotels during such period, which meetings and conventions (and applicable room rates) have often been contracted for several years in advance, seasonality, the level of attrition our hotels experience, and the level of transient business at our hotels during such period. Increases in costs, including labor costs, costs of food and other supplies, and energy costs can negatively affect our results, particularly during an inflationary economic environment. We rely on Marriott, as the manager of our hotels, to manage these factors and to offset any identified shortfalls in occupancy.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Selected Financial Information</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 following table contains our unaudited selected summary financial data for the three and six months ended June 30, 2026 and 2025. The table also shows the percentage relationships to total revenues and, in the case of segment operating income, its relationship to segment revenues (in thousands, except percentages).</w:t>
      </w:r>
    </w:p>
    <w:tbl>
      <w:tblPr>
        <w:tblW w:w="10429" w:type="dxa"/>
        <w:jc w:val="left"/>
        <w:tblInd w:w="0" w:type="dxa"/>
        <w:tblLayout w:type="fixed"/>
        <w:tblCellMar>
          <w:top w:w="0" w:type="dxa"/>
          <w:left w:w="0" w:type="dxa"/>
          <w:bottom w:w="0" w:type="dxa"/>
          <w:right w:w="0" w:type="dxa"/>
        </w:tblCellMar>
      </w:tblPr>
      <w:tblGrid>
        <w:gridCol w:w="1186"/>
        <w:gridCol w:w="346"/>
        <w:gridCol w:w="196"/>
        <w:gridCol w:w="691"/>
        <w:gridCol w:w="346"/>
        <w:gridCol w:w="511"/>
        <w:gridCol w:w="346"/>
        <w:gridCol w:w="109"/>
        <w:gridCol w:w="196"/>
        <w:gridCol w:w="691"/>
        <w:gridCol w:w="346"/>
        <w:gridCol w:w="511"/>
        <w:gridCol w:w="346"/>
        <w:gridCol w:w="196"/>
        <w:gridCol w:w="826"/>
        <w:gridCol w:w="346"/>
        <w:gridCol w:w="511"/>
        <w:gridCol w:w="346"/>
        <w:gridCol w:w="109"/>
        <w:gridCol w:w="196"/>
        <w:gridCol w:w="826"/>
        <w:gridCol w:w="346"/>
        <w:gridCol w:w="511"/>
        <w:gridCol w:w="241"/>
        <w:gridCol w:w="154"/>
      </w:tblGrid>
      <w:tr>
        <w:trPr/>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753110" cy="175260"/>
                      <wp:effectExtent l="0" t="0" r="0" b="0"/>
                      <wp:wrapNone/>
                      <wp:docPr id="274" name="Frame274"/>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219710" cy="175260"/>
                      <wp:effectExtent l="0" t="0" r="0" b="0"/>
                      <wp:wrapNone/>
                      <wp:docPr id="275" name="Frame2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124460" cy="175260"/>
                      <wp:effectExtent l="0" t="0" r="0" b="0"/>
                      <wp:wrapNone/>
                      <wp:docPr id="276" name="Frame27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438785" cy="175260"/>
                      <wp:effectExtent l="0" t="0" r="0" b="0"/>
                      <wp:wrapNone/>
                      <wp:docPr id="277" name="Frame27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219710" cy="175260"/>
                      <wp:effectExtent l="0" t="0" r="0" b="0"/>
                      <wp:wrapNone/>
                      <wp:docPr id="278" name="Frame2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324485" cy="175260"/>
                      <wp:effectExtent l="0" t="0" r="0" b="0"/>
                      <wp:wrapNone/>
                      <wp:docPr id="279" name="Frame279"/>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219710" cy="175260"/>
                      <wp:effectExtent l="0" t="0" r="0" b="0"/>
                      <wp:wrapNone/>
                      <wp:docPr id="280" name="Frame2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69215" cy="175260"/>
                      <wp:effectExtent l="0" t="0" r="0" b="0"/>
                      <wp:wrapNone/>
                      <wp:docPr id="281" name="Frame28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124460" cy="175260"/>
                      <wp:effectExtent l="0" t="0" r="0" b="0"/>
                      <wp:wrapNone/>
                      <wp:docPr id="282" name="Frame28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438785" cy="175260"/>
                      <wp:effectExtent l="0" t="0" r="0" b="0"/>
                      <wp:wrapNone/>
                      <wp:docPr id="283" name="Frame28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219710" cy="175260"/>
                      <wp:effectExtent l="0" t="0" r="0" b="0"/>
                      <wp:wrapNone/>
                      <wp:docPr id="284" name="Frame2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324485" cy="175260"/>
                      <wp:effectExtent l="0" t="0" r="0" b="0"/>
                      <wp:wrapNone/>
                      <wp:docPr id="285" name="Frame285"/>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219710" cy="175260"/>
                      <wp:effectExtent l="0" t="0" r="0" b="0"/>
                      <wp:wrapNone/>
                      <wp:docPr id="286" name="Frame2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124460" cy="175260"/>
                      <wp:effectExtent l="0" t="0" r="0" b="0"/>
                      <wp:wrapNone/>
                      <wp:docPr id="287" name="Frame28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524510" cy="175260"/>
                      <wp:effectExtent l="0" t="0" r="0" b="0"/>
                      <wp:wrapNone/>
                      <wp:docPr id="288" name="Frame288"/>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219710" cy="175260"/>
                      <wp:effectExtent l="0" t="0" r="0" b="0"/>
                      <wp:wrapNone/>
                      <wp:docPr id="289" name="Frame2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324485" cy="175260"/>
                      <wp:effectExtent l="0" t="0" r="0" b="0"/>
                      <wp:wrapNone/>
                      <wp:docPr id="290" name="Frame290"/>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219710" cy="175260"/>
                      <wp:effectExtent l="0" t="0" r="0" b="0"/>
                      <wp:wrapNone/>
                      <wp:docPr id="291" name="Frame2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69215" cy="175260"/>
                      <wp:effectExtent l="0" t="0" r="0" b="0"/>
                      <wp:wrapNone/>
                      <wp:docPr id="292" name="Frame29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124460" cy="175260"/>
                      <wp:effectExtent l="0" t="0" r="0" b="0"/>
                      <wp:wrapNone/>
                      <wp:docPr id="293" name="Frame29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524510" cy="175260"/>
                      <wp:effectExtent l="0" t="0" r="0" b="0"/>
                      <wp:wrapNone/>
                      <wp:docPr id="294" name="Frame294"/>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219710" cy="175260"/>
                      <wp:effectExtent l="0" t="0" r="0" b="0"/>
                      <wp:wrapNone/>
                      <wp:docPr id="295" name="Frame2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324485" cy="175260"/>
                      <wp:effectExtent l="0" t="0" r="0" b="0"/>
                      <wp:wrapNone/>
                      <wp:docPr id="296" name="Frame296"/>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153035" cy="175260"/>
                      <wp:effectExtent l="0" t="0" r="0" b="0"/>
                      <wp:wrapNone/>
                      <wp:docPr id="297" name="Frame297"/>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97790" cy="175260"/>
                      <wp:effectExtent l="0" t="0" r="0" b="0"/>
                      <wp:wrapNone/>
                      <wp:docPr id="298" name="Frame298"/>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1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943" w:type="dxa"/>
            <w:gridSpan w:val="10"/>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46" w:type="dxa"/>
            <w:tcBorders/>
            <w:vAlign w:val="center"/>
          </w:tcPr>
          <w:p>
            <w:pPr>
              <w:pStyle w:val="TableContents"/>
              <w:bidi w:val="0"/>
              <w:spacing w:before="0" w:after="1"/>
              <w:ind w:left="0" w:right="0" w:hanging="0"/>
              <w:jc w:val="left"/>
              <w:rPr/>
            </w:pPr>
            <w:r>
              <w:rPr/>
              <w:t>​</w:t>
            </w:r>
          </w:p>
        </w:tc>
        <w:tc>
          <w:tcPr>
            <w:tcW w:w="4213" w:type="dxa"/>
            <w:gridSpan w:val="10"/>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241" w:type="dxa"/>
            <w:tcBorders/>
            <w:vAlign w:val="center"/>
          </w:tcPr>
          <w:p>
            <w:pPr>
              <w:pStyle w:val="TableContents"/>
              <w:bidi w:val="0"/>
              <w:spacing w:before="0" w:after="1"/>
              <w:ind w:left="0" w:right="0" w:hanging="0"/>
              <w:jc w:val="lef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11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943" w:type="dxa"/>
            <w:gridSpan w:val="10"/>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46" w:type="dxa"/>
            <w:tcBorders/>
            <w:vAlign w:val="center"/>
          </w:tcPr>
          <w:p>
            <w:pPr>
              <w:pStyle w:val="TableContents"/>
              <w:bidi w:val="0"/>
              <w:spacing w:before="0" w:after="1"/>
              <w:ind w:left="0" w:right="0" w:hanging="0"/>
              <w:jc w:val="left"/>
              <w:rPr/>
            </w:pPr>
            <w:r>
              <w:rPr/>
              <w:t>​</w:t>
            </w:r>
          </w:p>
        </w:tc>
        <w:tc>
          <w:tcPr>
            <w:tcW w:w="4213" w:type="dxa"/>
            <w:gridSpan w:val="10"/>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241" w:type="dxa"/>
            <w:tcBorders/>
            <w:vAlign w:val="center"/>
          </w:tcPr>
          <w:p>
            <w:pPr>
              <w:pStyle w:val="TableContents"/>
              <w:bidi w:val="0"/>
              <w:spacing w:before="0" w:after="1"/>
              <w:ind w:left="0" w:right="0" w:hanging="0"/>
              <w:jc w:val="lef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11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center"/>
              <w:rPr/>
            </w:pPr>
            <w:r>
              <w:rPr/>
              <w:t>  ​ ​ ​</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1"/>
              <w:ind w:left="0" w:right="0" w:hanging="0"/>
              <w:jc w:val="left"/>
              <w:rPr/>
            </w:pPr>
            <w:r>
              <w:rPr/>
              <w:t>  ​ ​ ​</w:t>
            </w:r>
          </w:p>
        </w:tc>
        <w:tc>
          <w:tcPr>
            <w:tcW w:w="109"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1"/>
              <w:ind w:left="0" w:right="0" w:hanging="0"/>
              <w:jc w:val="left"/>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center"/>
              <w:rPr/>
            </w:pPr>
            <w:r>
              <w:rPr/>
              <w:t>  ​ ​ ​</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1"/>
              <w:ind w:left="0" w:right="0" w:hanging="0"/>
              <w:jc w:val="left"/>
              <w:rPr/>
            </w:pPr>
            <w:r>
              <w:rPr/>
              <w:t>  ​ ​ ​</w:t>
            </w:r>
          </w:p>
        </w:tc>
        <w:tc>
          <w:tcPr>
            <w:tcW w:w="109" w:type="dxa"/>
            <w:tcBorders/>
            <w:vAlign w:val="center"/>
          </w:tcPr>
          <w:p>
            <w:pPr>
              <w:pStyle w:val="TableContents"/>
              <w:bidi w:val="0"/>
              <w:spacing w:before="0" w:after="1"/>
              <w:ind w:left="0" w:right="0" w:hanging="0"/>
              <w:jc w:val="left"/>
              <w:rPr/>
            </w:pPr>
            <w:r>
              <w:rPr/>
              <w:t>​</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241" w:type="dxa"/>
            <w:tcBorders/>
            <w:vAlign w:val="center"/>
          </w:tcPr>
          <w:p>
            <w:pPr>
              <w:pStyle w:val="TableContents"/>
              <w:bidi w:val="0"/>
              <w:spacing w:before="0" w:after="1"/>
              <w:ind w:left="0" w:right="0" w:hanging="0"/>
              <w:jc w:val="left"/>
              <w:rPr/>
            </w:pPr>
            <w:r>
              <w:rPr/>
              <w:t> </w:t>
            </w:r>
          </w:p>
        </w:tc>
        <w:tc>
          <w:tcPr>
            <w:tcW w:w="154" w:type="dxa"/>
            <w:tcBorders/>
            <w:vAlign w:val="center"/>
          </w:tcPr>
          <w:p>
            <w:pPr>
              <w:pStyle w:val="TableContents"/>
              <w:bidi w:val="0"/>
              <w:spacing w:before="0" w:after="1"/>
              <w:ind w:left="0" w:right="0" w:hanging="0"/>
              <w:jc w:val="left"/>
              <w:rPr/>
            </w:pPr>
            <w:r>
              <w:rPr/>
              <w:t>​</w:t>
            </w:r>
          </w:p>
        </w:tc>
      </w:tr>
      <w:tr>
        <w:trPr/>
        <w:tc>
          <w:tcPr>
            <w:tcW w:w="1186" w:type="dxa"/>
            <w:tcBorders/>
            <w:shd w:fill="CCEEFF" w:val="clear"/>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REVENUES:</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pPr>
            <w:r>
              <w:rPr/>
              <w:t>  ​</w:t>
            </w:r>
          </w:p>
        </w:tc>
        <w:tc>
          <w:tcPr>
            <w:tcW w:w="241" w:type="dxa"/>
            <w:tcBorders/>
            <w:shd w:fill="CCEEFF" w:val="clear"/>
            <w:vAlign w:val="center"/>
          </w:tcPr>
          <w:p>
            <w:pPr>
              <w:pStyle w:val="TableContents"/>
              <w:bidi w:val="0"/>
              <w:spacing w:before="0" w:after="1"/>
              <w:ind w:left="0" w:right="0" w:hanging="0"/>
              <w:jc w:val="left"/>
              <w:rPr/>
            </w:pPr>
            <w:r>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1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Rooms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232,366</w:t>
            </w:r>
          </w:p>
        </w:tc>
        <w:tc>
          <w:tcPr>
            <w:tcW w:w="34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31.0</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200,900</w:t>
            </w:r>
          </w:p>
        </w:tc>
        <w:tc>
          <w:tcPr>
            <w:tcW w:w="34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30.5</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456,124</w:t>
            </w:r>
          </w:p>
        </w:tc>
        <w:tc>
          <w:tcPr>
            <w:tcW w:w="34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32.3</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390,132</w:t>
            </w:r>
          </w:p>
        </w:tc>
        <w:tc>
          <w:tcPr>
            <w:tcW w:w="34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31.3</w:t>
            </w:r>
          </w:p>
        </w:tc>
        <w:tc>
          <w:tcPr>
            <w:tcW w:w="24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54" w:type="dxa"/>
            <w:tcBorders/>
            <w:vAlign w:val="center"/>
          </w:tcPr>
          <w:p>
            <w:pPr>
              <w:pStyle w:val="TableContents"/>
              <w:bidi w:val="0"/>
              <w:spacing w:before="0" w:after="1"/>
              <w:ind w:left="0" w:right="0" w:hanging="0"/>
              <w:jc w:val="left"/>
              <w:rPr/>
            </w:pPr>
            <w:r>
              <w:rPr/>
              <w:t>​</w:t>
            </w:r>
          </w:p>
        </w:tc>
      </w:tr>
      <w:tr>
        <w:trPr/>
        <w:tc>
          <w:tcPr>
            <w:tcW w:w="1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Food and beverage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296,437</w:t>
            </w:r>
          </w:p>
        </w:tc>
        <w:tc>
          <w:tcPr>
            <w:tcW w:w="34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39.6</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250,391</w:t>
            </w:r>
          </w:p>
        </w:tc>
        <w:tc>
          <w:tcPr>
            <w:tcW w:w="34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38.0</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585,784</w:t>
            </w:r>
          </w:p>
        </w:tc>
        <w:tc>
          <w:tcPr>
            <w:tcW w:w="34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41.4</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503,654</w:t>
            </w:r>
          </w:p>
        </w:tc>
        <w:tc>
          <w:tcPr>
            <w:tcW w:w="34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40.4</w:t>
            </w:r>
          </w:p>
        </w:tc>
        <w:tc>
          <w:tcPr>
            <w:tcW w:w="24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1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hotel revenue</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76,161</w:t>
            </w:r>
          </w:p>
        </w:tc>
        <w:tc>
          <w:tcPr>
            <w:tcW w:w="34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10.2</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64,920</w:t>
            </w:r>
          </w:p>
        </w:tc>
        <w:tc>
          <w:tcPr>
            <w:tcW w:w="34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9.8</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148,445</w:t>
            </w:r>
          </w:p>
        </w:tc>
        <w:tc>
          <w:tcPr>
            <w:tcW w:w="34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10.5</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120,155</w:t>
            </w:r>
          </w:p>
        </w:tc>
        <w:tc>
          <w:tcPr>
            <w:tcW w:w="34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9.6</w:t>
            </w:r>
          </w:p>
        </w:tc>
        <w:tc>
          <w:tcPr>
            <w:tcW w:w="24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54" w:type="dxa"/>
            <w:tcBorders/>
            <w:vAlign w:val="center"/>
          </w:tcPr>
          <w:p>
            <w:pPr>
              <w:pStyle w:val="TableContents"/>
              <w:bidi w:val="0"/>
              <w:spacing w:before="0" w:after="1"/>
              <w:ind w:left="0" w:right="0" w:hanging="0"/>
              <w:jc w:val="left"/>
              <w:rPr/>
            </w:pPr>
            <w:r>
              <w:rPr/>
              <w:t>​</w:t>
            </w:r>
          </w:p>
        </w:tc>
      </w:tr>
      <w:tr>
        <w:trPr/>
        <w:tc>
          <w:tcPr>
            <w:tcW w:w="1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Entertainment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144,014</w:t>
            </w:r>
          </w:p>
        </w:tc>
        <w:tc>
          <w:tcPr>
            <w:tcW w:w="346" w:type="dxa"/>
            <w:tcBorders/>
            <w:shd w:fill="CCEEFF" w:val="clear"/>
            <w:vAlign w:val="center"/>
          </w:tcPr>
          <w:p>
            <w:pPr>
              <w:pStyle w:val="TableContents"/>
              <w:bidi w:val="0"/>
              <w:spacing w:before="0" w:after="1"/>
              <w:ind w:left="0" w:right="0" w:hanging="0"/>
              <w:jc w:val="left"/>
              <w:rPr/>
            </w:pPr>
            <w:r>
              <w:rPr/>
              <w:t> </w:t>
            </w:r>
          </w:p>
        </w:tc>
        <w:tc>
          <w:tcPr>
            <w:tcW w:w="5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19.2</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143,304</w:t>
            </w:r>
          </w:p>
        </w:tc>
        <w:tc>
          <w:tcPr>
            <w:tcW w:w="346" w:type="dxa"/>
            <w:tcBorders/>
            <w:shd w:fill="CCEEFF" w:val="clear"/>
            <w:vAlign w:val="center"/>
          </w:tcPr>
          <w:p>
            <w:pPr>
              <w:pStyle w:val="TableContents"/>
              <w:bidi w:val="0"/>
              <w:spacing w:before="0" w:after="1"/>
              <w:ind w:left="0" w:right="0" w:hanging="0"/>
              <w:jc w:val="left"/>
              <w:rPr/>
            </w:pPr>
            <w:r>
              <w:rPr/>
              <w:t> </w:t>
            </w:r>
          </w:p>
        </w:tc>
        <w:tc>
          <w:tcPr>
            <w:tcW w:w="5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21.7</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223,197</w:t>
            </w:r>
          </w:p>
        </w:tc>
        <w:tc>
          <w:tcPr>
            <w:tcW w:w="346" w:type="dxa"/>
            <w:tcBorders/>
            <w:shd w:fill="CCEEFF" w:val="clear"/>
            <w:vAlign w:val="center"/>
          </w:tcPr>
          <w:p>
            <w:pPr>
              <w:pStyle w:val="TableContents"/>
              <w:bidi w:val="0"/>
              <w:spacing w:before="0" w:after="1"/>
              <w:ind w:left="0" w:right="0" w:hanging="0"/>
              <w:jc w:val="left"/>
              <w:rPr/>
            </w:pPr>
            <w:r>
              <w:rPr/>
              <w:t> </w:t>
            </w:r>
          </w:p>
        </w:tc>
        <w:tc>
          <w:tcPr>
            <w:tcW w:w="5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15.8</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232,854</w:t>
            </w:r>
          </w:p>
        </w:tc>
        <w:tc>
          <w:tcPr>
            <w:tcW w:w="346" w:type="dxa"/>
            <w:tcBorders/>
            <w:shd w:fill="CCEEFF" w:val="clear"/>
            <w:vAlign w:val="center"/>
          </w:tcPr>
          <w:p>
            <w:pPr>
              <w:pStyle w:val="TableContents"/>
              <w:bidi w:val="0"/>
              <w:spacing w:before="0" w:after="1"/>
              <w:ind w:left="0" w:right="0" w:hanging="0"/>
              <w:jc w:val="left"/>
              <w:rPr/>
            </w:pPr>
            <w:r>
              <w:rPr/>
              <w:t> </w:t>
            </w:r>
          </w:p>
        </w:tc>
        <w:tc>
          <w:tcPr>
            <w:tcW w:w="5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18.7</w:t>
            </w:r>
          </w:p>
        </w:tc>
        <w:tc>
          <w:tcPr>
            <w:tcW w:w="24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1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revenues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748,978</w:t>
            </w:r>
          </w:p>
        </w:tc>
        <w:tc>
          <w:tcPr>
            <w:tcW w:w="346" w:type="dxa"/>
            <w:tcBorders/>
            <w:vAlign w:val="center"/>
          </w:tcPr>
          <w:p>
            <w:pPr>
              <w:pStyle w:val="TableContents"/>
              <w:bidi w:val="0"/>
              <w:spacing w:before="0" w:after="1"/>
              <w:ind w:left="0" w:right="0" w:hanging="0"/>
              <w:jc w:val="left"/>
              <w:rPr/>
            </w:pPr>
            <w:r>
              <w:rPr/>
              <w:t> </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100.0</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659,515</w:t>
            </w:r>
          </w:p>
        </w:tc>
        <w:tc>
          <w:tcPr>
            <w:tcW w:w="346" w:type="dxa"/>
            <w:tcBorders/>
            <w:vAlign w:val="center"/>
          </w:tcPr>
          <w:p>
            <w:pPr>
              <w:pStyle w:val="TableContents"/>
              <w:bidi w:val="0"/>
              <w:spacing w:before="0" w:after="1"/>
              <w:ind w:left="0" w:right="0" w:hanging="0"/>
              <w:jc w:val="left"/>
              <w:rPr/>
            </w:pPr>
            <w:r>
              <w:rPr/>
              <w:t> </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100.0</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1,413,550</w:t>
            </w:r>
          </w:p>
        </w:tc>
        <w:tc>
          <w:tcPr>
            <w:tcW w:w="346" w:type="dxa"/>
            <w:tcBorders/>
            <w:vAlign w:val="center"/>
          </w:tcPr>
          <w:p>
            <w:pPr>
              <w:pStyle w:val="TableContents"/>
              <w:bidi w:val="0"/>
              <w:spacing w:before="0" w:after="1"/>
              <w:ind w:left="0" w:right="0" w:hanging="0"/>
              <w:jc w:val="left"/>
              <w:rPr/>
            </w:pPr>
            <w:r>
              <w:rPr/>
              <w:t> </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100.0</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1,246,795</w:t>
            </w:r>
          </w:p>
        </w:tc>
        <w:tc>
          <w:tcPr>
            <w:tcW w:w="346" w:type="dxa"/>
            <w:tcBorders/>
            <w:vAlign w:val="center"/>
          </w:tcPr>
          <w:p>
            <w:pPr>
              <w:pStyle w:val="TableContents"/>
              <w:bidi w:val="0"/>
              <w:spacing w:before="0" w:after="1"/>
              <w:ind w:left="0" w:right="0" w:hanging="0"/>
              <w:jc w:val="left"/>
              <w:rPr/>
            </w:pPr>
            <w:r>
              <w:rPr/>
              <w:t> </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100.0</w:t>
            </w:r>
          </w:p>
        </w:tc>
        <w:tc>
          <w:tcPr>
            <w:tcW w:w="24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54" w:type="dxa"/>
            <w:tcBorders/>
            <w:vAlign w:val="center"/>
          </w:tcPr>
          <w:p>
            <w:pPr>
              <w:pStyle w:val="TableContents"/>
              <w:bidi w:val="0"/>
              <w:spacing w:before="0" w:after="1"/>
              <w:ind w:left="0" w:right="0" w:hanging="0"/>
              <w:jc w:val="left"/>
              <w:rPr/>
            </w:pPr>
            <w:r>
              <w:rPr/>
              <w:t>​</w:t>
            </w:r>
          </w:p>
        </w:tc>
      </w:tr>
      <w:tr>
        <w:trPr/>
        <w:tc>
          <w:tcPr>
            <w:tcW w:w="1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OPERATING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pPr>
            <w:r>
              <w:rPr/>
              <w:t>  ​</w:t>
            </w:r>
          </w:p>
        </w:tc>
        <w:tc>
          <w:tcPr>
            <w:tcW w:w="241" w:type="dxa"/>
            <w:tcBorders/>
            <w:shd w:fill="CCEEFF" w:val="clear"/>
            <w:vAlign w:val="center"/>
          </w:tcPr>
          <w:p>
            <w:pPr>
              <w:pStyle w:val="TableContents"/>
              <w:bidi w:val="0"/>
              <w:spacing w:before="0" w:after="1"/>
              <w:ind w:left="0" w:right="0" w:hanging="0"/>
              <w:jc w:val="left"/>
              <w:rPr/>
            </w:pPr>
            <w:r>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1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Rooms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52,581</w:t>
            </w:r>
          </w:p>
        </w:tc>
        <w:tc>
          <w:tcPr>
            <w:tcW w:w="34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7.0</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47,238</w:t>
            </w:r>
          </w:p>
        </w:tc>
        <w:tc>
          <w:tcPr>
            <w:tcW w:w="34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7.2</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103,175</w:t>
            </w:r>
          </w:p>
        </w:tc>
        <w:tc>
          <w:tcPr>
            <w:tcW w:w="34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7.3</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93,527</w:t>
            </w:r>
          </w:p>
        </w:tc>
        <w:tc>
          <w:tcPr>
            <w:tcW w:w="34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7.5</w:t>
            </w:r>
          </w:p>
        </w:tc>
        <w:tc>
          <w:tcPr>
            <w:tcW w:w="24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54" w:type="dxa"/>
            <w:tcBorders/>
            <w:vAlign w:val="center"/>
          </w:tcPr>
          <w:p>
            <w:pPr>
              <w:pStyle w:val="TableContents"/>
              <w:bidi w:val="0"/>
              <w:spacing w:before="0" w:after="1"/>
              <w:ind w:left="0" w:right="0" w:hanging="0"/>
              <w:jc w:val="left"/>
              <w:rPr/>
            </w:pPr>
            <w:r>
              <w:rPr/>
              <w:t>​</w:t>
            </w:r>
          </w:p>
        </w:tc>
      </w:tr>
      <w:tr>
        <w:trPr/>
        <w:tc>
          <w:tcPr>
            <w:tcW w:w="1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Food and beverage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159,120</w:t>
            </w:r>
          </w:p>
        </w:tc>
        <w:tc>
          <w:tcPr>
            <w:tcW w:w="34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21.2</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136,152</w:t>
            </w:r>
          </w:p>
        </w:tc>
        <w:tc>
          <w:tcPr>
            <w:tcW w:w="34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20.6</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317,283</w:t>
            </w:r>
          </w:p>
        </w:tc>
        <w:tc>
          <w:tcPr>
            <w:tcW w:w="34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22.4</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274,291</w:t>
            </w:r>
          </w:p>
        </w:tc>
        <w:tc>
          <w:tcPr>
            <w:tcW w:w="34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22.0</w:t>
            </w:r>
          </w:p>
        </w:tc>
        <w:tc>
          <w:tcPr>
            <w:tcW w:w="24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1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hotel expenses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150,260</w:t>
            </w:r>
          </w:p>
        </w:tc>
        <w:tc>
          <w:tcPr>
            <w:tcW w:w="34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20.1</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130,588</w:t>
            </w:r>
          </w:p>
        </w:tc>
        <w:tc>
          <w:tcPr>
            <w:tcW w:w="34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19.8</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294,882</w:t>
            </w:r>
          </w:p>
        </w:tc>
        <w:tc>
          <w:tcPr>
            <w:tcW w:w="34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20.9</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254,512</w:t>
            </w:r>
          </w:p>
        </w:tc>
        <w:tc>
          <w:tcPr>
            <w:tcW w:w="34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20.4</w:t>
            </w:r>
          </w:p>
        </w:tc>
        <w:tc>
          <w:tcPr>
            <w:tcW w:w="24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54" w:type="dxa"/>
            <w:tcBorders/>
            <w:vAlign w:val="center"/>
          </w:tcPr>
          <w:p>
            <w:pPr>
              <w:pStyle w:val="TableContents"/>
              <w:bidi w:val="0"/>
              <w:spacing w:before="0" w:after="1"/>
              <w:ind w:left="0" w:right="0" w:hanging="0"/>
              <w:jc w:val="left"/>
              <w:rPr/>
            </w:pPr>
            <w:r>
              <w:rPr/>
              <w:t>​</w:t>
            </w:r>
          </w:p>
        </w:tc>
      </w:tr>
      <w:tr>
        <w:trPr/>
        <w:tc>
          <w:tcPr>
            <w:tcW w:w="1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Hotel management fees, net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22,142</w:t>
            </w:r>
          </w:p>
        </w:tc>
        <w:tc>
          <w:tcPr>
            <w:tcW w:w="34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17,916</w:t>
            </w:r>
          </w:p>
        </w:tc>
        <w:tc>
          <w:tcPr>
            <w:tcW w:w="34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43,057</w:t>
            </w:r>
          </w:p>
        </w:tc>
        <w:tc>
          <w:tcPr>
            <w:tcW w:w="34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36,379</w:t>
            </w:r>
          </w:p>
        </w:tc>
        <w:tc>
          <w:tcPr>
            <w:tcW w:w="34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w:t>
            </w:r>
          </w:p>
        </w:tc>
        <w:tc>
          <w:tcPr>
            <w:tcW w:w="24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1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Entertainment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101,563</w:t>
            </w:r>
          </w:p>
        </w:tc>
        <w:tc>
          <w:tcPr>
            <w:tcW w:w="34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13.6</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110,376</w:t>
            </w:r>
          </w:p>
        </w:tc>
        <w:tc>
          <w:tcPr>
            <w:tcW w:w="34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16.7</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166,672</w:t>
            </w:r>
          </w:p>
        </w:tc>
        <w:tc>
          <w:tcPr>
            <w:tcW w:w="34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11.8</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180,146</w:t>
            </w:r>
          </w:p>
        </w:tc>
        <w:tc>
          <w:tcPr>
            <w:tcW w:w="34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14.4</w:t>
            </w:r>
          </w:p>
        </w:tc>
        <w:tc>
          <w:tcPr>
            <w:tcW w:w="24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54" w:type="dxa"/>
            <w:tcBorders/>
            <w:vAlign w:val="center"/>
          </w:tcPr>
          <w:p>
            <w:pPr>
              <w:pStyle w:val="TableContents"/>
              <w:bidi w:val="0"/>
              <w:spacing w:before="0" w:after="1"/>
              <w:ind w:left="0" w:right="0" w:hanging="0"/>
              <w:jc w:val="left"/>
              <w:rPr/>
            </w:pPr>
            <w:r>
              <w:rPr/>
              <w:t>​</w:t>
            </w:r>
          </w:p>
        </w:tc>
      </w:tr>
      <w:tr>
        <w:trPr/>
        <w:tc>
          <w:tcPr>
            <w:tcW w:w="1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Corporate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11,245</w:t>
            </w:r>
          </w:p>
        </w:tc>
        <w:tc>
          <w:tcPr>
            <w:tcW w:w="34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10,759</w:t>
            </w:r>
          </w:p>
        </w:tc>
        <w:tc>
          <w:tcPr>
            <w:tcW w:w="34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22,530</w:t>
            </w:r>
          </w:p>
        </w:tc>
        <w:tc>
          <w:tcPr>
            <w:tcW w:w="34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21,529</w:t>
            </w:r>
          </w:p>
        </w:tc>
        <w:tc>
          <w:tcPr>
            <w:tcW w:w="34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w:t>
            </w:r>
          </w:p>
        </w:tc>
        <w:tc>
          <w:tcPr>
            <w:tcW w:w="24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1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Preopening costs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438</w:t>
            </w:r>
          </w:p>
        </w:tc>
        <w:tc>
          <w:tcPr>
            <w:tcW w:w="34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0.1</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98</w:t>
            </w:r>
          </w:p>
        </w:tc>
        <w:tc>
          <w:tcPr>
            <w:tcW w:w="34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0.0</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825</w:t>
            </w:r>
          </w:p>
        </w:tc>
        <w:tc>
          <w:tcPr>
            <w:tcW w:w="34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0.1</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185</w:t>
            </w:r>
          </w:p>
        </w:tc>
        <w:tc>
          <w:tcPr>
            <w:tcW w:w="34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0.0</w:t>
            </w:r>
          </w:p>
        </w:tc>
        <w:tc>
          <w:tcPr>
            <w:tcW w:w="24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54" w:type="dxa"/>
            <w:tcBorders/>
            <w:vAlign w:val="center"/>
          </w:tcPr>
          <w:p>
            <w:pPr>
              <w:pStyle w:val="TableContents"/>
              <w:bidi w:val="0"/>
              <w:spacing w:before="0" w:after="1"/>
              <w:ind w:left="0" w:right="0" w:hanging="0"/>
              <w:jc w:val="left"/>
              <w:rPr/>
            </w:pPr>
            <w:r>
              <w:rPr/>
              <w:t>​</w:t>
            </w:r>
          </w:p>
        </w:tc>
      </w:tr>
      <w:tr>
        <w:trPr/>
        <w:tc>
          <w:tcPr>
            <w:tcW w:w="1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pPr>
            <w:r>
              <w:rPr/>
              <w:t>  ​</w:t>
            </w:r>
          </w:p>
        </w:tc>
        <w:tc>
          <w:tcPr>
            <w:tcW w:w="241" w:type="dxa"/>
            <w:tcBorders/>
            <w:shd w:fill="CCEEFF" w:val="clear"/>
            <w:vAlign w:val="center"/>
          </w:tcPr>
          <w:p>
            <w:pPr>
              <w:pStyle w:val="TableContents"/>
              <w:bidi w:val="0"/>
              <w:spacing w:before="0" w:after="1"/>
              <w:ind w:left="0" w:right="0" w:hanging="0"/>
              <w:jc w:val="left"/>
              <w:rPr/>
            </w:pPr>
            <w:r>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1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Hospitality</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67,218</w:t>
            </w:r>
          </w:p>
        </w:tc>
        <w:tc>
          <w:tcPr>
            <w:tcW w:w="34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9.0</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57,397</w:t>
            </w:r>
          </w:p>
        </w:tc>
        <w:tc>
          <w:tcPr>
            <w:tcW w:w="34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8.7</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133,226</w:t>
            </w:r>
          </w:p>
        </w:tc>
        <w:tc>
          <w:tcPr>
            <w:tcW w:w="34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9.4</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111,503</w:t>
            </w:r>
          </w:p>
        </w:tc>
        <w:tc>
          <w:tcPr>
            <w:tcW w:w="34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8.9</w:t>
            </w:r>
          </w:p>
        </w:tc>
        <w:tc>
          <w:tcPr>
            <w:tcW w:w="24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54" w:type="dxa"/>
            <w:tcBorders/>
            <w:vAlign w:val="center"/>
          </w:tcPr>
          <w:p>
            <w:pPr>
              <w:pStyle w:val="TableContents"/>
              <w:bidi w:val="0"/>
              <w:spacing w:before="0" w:after="1"/>
              <w:ind w:left="0" w:right="0" w:hanging="0"/>
              <w:jc w:val="left"/>
              <w:rPr/>
            </w:pPr>
            <w:r>
              <w:rPr/>
              <w:t>​</w:t>
            </w:r>
          </w:p>
        </w:tc>
      </w:tr>
      <w:tr>
        <w:trPr/>
        <w:tc>
          <w:tcPr>
            <w:tcW w:w="1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Entertainment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9,609</w:t>
            </w:r>
          </w:p>
        </w:tc>
        <w:tc>
          <w:tcPr>
            <w:tcW w:w="34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9,335</w:t>
            </w:r>
          </w:p>
        </w:tc>
        <w:tc>
          <w:tcPr>
            <w:tcW w:w="34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19,043</w:t>
            </w:r>
          </w:p>
        </w:tc>
        <w:tc>
          <w:tcPr>
            <w:tcW w:w="34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18,712</w:t>
            </w:r>
          </w:p>
        </w:tc>
        <w:tc>
          <w:tcPr>
            <w:tcW w:w="34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w:t>
            </w:r>
          </w:p>
        </w:tc>
        <w:tc>
          <w:tcPr>
            <w:tcW w:w="24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1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Corporate and Other</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257</w:t>
            </w:r>
          </w:p>
        </w:tc>
        <w:tc>
          <w:tcPr>
            <w:tcW w:w="34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0.0</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231</w:t>
            </w:r>
          </w:p>
        </w:tc>
        <w:tc>
          <w:tcPr>
            <w:tcW w:w="34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0.0</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516</w:t>
            </w:r>
          </w:p>
        </w:tc>
        <w:tc>
          <w:tcPr>
            <w:tcW w:w="34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0.0</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465</w:t>
            </w:r>
          </w:p>
        </w:tc>
        <w:tc>
          <w:tcPr>
            <w:tcW w:w="34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0.0</w:t>
            </w:r>
          </w:p>
        </w:tc>
        <w:tc>
          <w:tcPr>
            <w:tcW w:w="24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54" w:type="dxa"/>
            <w:tcBorders/>
            <w:vAlign w:val="center"/>
          </w:tcPr>
          <w:p>
            <w:pPr>
              <w:pStyle w:val="TableContents"/>
              <w:bidi w:val="0"/>
              <w:spacing w:before="0" w:after="1"/>
              <w:ind w:left="0" w:right="0" w:hanging="0"/>
              <w:jc w:val="left"/>
              <w:rPr/>
            </w:pPr>
            <w:r>
              <w:rPr/>
              <w:t>​</w:t>
            </w:r>
          </w:p>
        </w:tc>
      </w:tr>
      <w:tr>
        <w:trPr/>
        <w:tc>
          <w:tcPr>
            <w:tcW w:w="1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depreciation and amortization</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77,084</w:t>
            </w:r>
          </w:p>
        </w:tc>
        <w:tc>
          <w:tcPr>
            <w:tcW w:w="34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10.3</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66,963</w:t>
            </w:r>
          </w:p>
        </w:tc>
        <w:tc>
          <w:tcPr>
            <w:tcW w:w="34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10.2</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152,785</w:t>
            </w:r>
          </w:p>
        </w:tc>
        <w:tc>
          <w:tcPr>
            <w:tcW w:w="34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10.8</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130,680</w:t>
            </w:r>
          </w:p>
        </w:tc>
        <w:tc>
          <w:tcPr>
            <w:tcW w:w="34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10.5</w:t>
            </w:r>
          </w:p>
        </w:tc>
        <w:tc>
          <w:tcPr>
            <w:tcW w:w="24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1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operating expenses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574,433</w:t>
            </w:r>
          </w:p>
        </w:tc>
        <w:tc>
          <w:tcPr>
            <w:tcW w:w="34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76.7</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520,090</w:t>
            </w:r>
          </w:p>
        </w:tc>
        <w:tc>
          <w:tcPr>
            <w:tcW w:w="34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78.9</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1,101,209</w:t>
            </w:r>
          </w:p>
        </w:tc>
        <w:tc>
          <w:tcPr>
            <w:tcW w:w="34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77.9</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991,249</w:t>
            </w:r>
          </w:p>
        </w:tc>
        <w:tc>
          <w:tcPr>
            <w:tcW w:w="34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79.5</w:t>
            </w:r>
          </w:p>
        </w:tc>
        <w:tc>
          <w:tcPr>
            <w:tcW w:w="24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54" w:type="dxa"/>
            <w:tcBorders/>
            <w:vAlign w:val="center"/>
          </w:tcPr>
          <w:p>
            <w:pPr>
              <w:pStyle w:val="TableContents"/>
              <w:bidi w:val="0"/>
              <w:spacing w:before="0" w:after="1"/>
              <w:ind w:left="0" w:right="0" w:hanging="0"/>
              <w:jc w:val="left"/>
              <w:rPr/>
            </w:pPr>
            <w:r>
              <w:rPr/>
              <w:t>​</w:t>
            </w:r>
          </w:p>
        </w:tc>
      </w:tr>
      <w:tr>
        <w:trPr/>
        <w:tc>
          <w:tcPr>
            <w:tcW w:w="1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OPERATING INCOME (LOSS):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pPr>
            <w:r>
              <w:rPr/>
              <w:t>  ​</w:t>
            </w:r>
          </w:p>
        </w:tc>
        <w:tc>
          <w:tcPr>
            <w:tcW w:w="241" w:type="dxa"/>
            <w:tcBorders/>
            <w:shd w:fill="CCEEFF" w:val="clear"/>
            <w:vAlign w:val="center"/>
          </w:tcPr>
          <w:p>
            <w:pPr>
              <w:pStyle w:val="TableContents"/>
              <w:bidi w:val="0"/>
              <w:spacing w:before="0" w:after="1"/>
              <w:ind w:left="0" w:right="0" w:hanging="0"/>
              <w:jc w:val="left"/>
              <w:rPr/>
            </w:pPr>
            <w:r>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1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Hospitality</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153,643</w:t>
            </w:r>
          </w:p>
        </w:tc>
        <w:tc>
          <w:tcPr>
            <w:tcW w:w="34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25.4</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126,920</w:t>
            </w:r>
          </w:p>
        </w:tc>
        <w:tc>
          <w:tcPr>
            <w:tcW w:w="34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24.6</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298,730</w:t>
            </w:r>
          </w:p>
        </w:tc>
        <w:tc>
          <w:tcPr>
            <w:tcW w:w="34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25.1</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243,729</w:t>
            </w:r>
          </w:p>
        </w:tc>
        <w:tc>
          <w:tcPr>
            <w:tcW w:w="34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24.0</w:t>
            </w:r>
          </w:p>
        </w:tc>
        <w:tc>
          <w:tcPr>
            <w:tcW w:w="24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54" w:type="dxa"/>
            <w:tcBorders/>
            <w:vAlign w:val="center"/>
          </w:tcPr>
          <w:p>
            <w:pPr>
              <w:pStyle w:val="TableContents"/>
              <w:bidi w:val="0"/>
              <w:spacing w:before="0" w:after="1"/>
              <w:ind w:left="0" w:right="0" w:hanging="0"/>
              <w:jc w:val="left"/>
              <w:rPr/>
            </w:pPr>
            <w:r>
              <w:rPr/>
              <w:t>​</w:t>
            </w:r>
          </w:p>
        </w:tc>
      </w:tr>
      <w:tr>
        <w:trPr/>
        <w:tc>
          <w:tcPr>
            <w:tcW w:w="1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Entertainment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32,842</w:t>
            </w:r>
          </w:p>
        </w:tc>
        <w:tc>
          <w:tcPr>
            <w:tcW w:w="34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22.8</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23,593</w:t>
            </w:r>
          </w:p>
        </w:tc>
        <w:tc>
          <w:tcPr>
            <w:tcW w:w="34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16.5</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37,482</w:t>
            </w:r>
          </w:p>
        </w:tc>
        <w:tc>
          <w:tcPr>
            <w:tcW w:w="34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16.8</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33,996</w:t>
            </w:r>
          </w:p>
        </w:tc>
        <w:tc>
          <w:tcPr>
            <w:tcW w:w="34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14.6</w:t>
            </w:r>
          </w:p>
        </w:tc>
        <w:tc>
          <w:tcPr>
            <w:tcW w:w="24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1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Corporate and Other</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(11,502)</w:t>
            </w:r>
          </w:p>
        </w:tc>
        <w:tc>
          <w:tcPr>
            <w:tcW w:w="34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(A)  </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(10,990)</w:t>
            </w:r>
          </w:p>
        </w:tc>
        <w:tc>
          <w:tcPr>
            <w:tcW w:w="34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(A)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(23,046)</w:t>
            </w:r>
          </w:p>
        </w:tc>
        <w:tc>
          <w:tcPr>
            <w:tcW w:w="34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(A)  </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(21,994)</w:t>
            </w:r>
          </w:p>
        </w:tc>
        <w:tc>
          <w:tcPr>
            <w:tcW w:w="34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(A)  </w:t>
            </w:r>
          </w:p>
        </w:tc>
        <w:tc>
          <w:tcPr>
            <w:tcW w:w="241" w:type="dxa"/>
            <w:tcBorders/>
            <w:vAlign w:val="center"/>
          </w:tcPr>
          <w:p>
            <w:pPr>
              <w:pStyle w:val="TableContents"/>
              <w:bidi w:val="0"/>
              <w:spacing w:before="0" w:after="1"/>
              <w:ind w:left="0" w:right="0" w:hanging="0"/>
              <w:jc w:val="lef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1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Preopening costs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(438)</w:t>
            </w:r>
          </w:p>
        </w:tc>
        <w:tc>
          <w:tcPr>
            <w:tcW w:w="34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(0.1)</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(98)</w:t>
            </w:r>
          </w:p>
        </w:tc>
        <w:tc>
          <w:tcPr>
            <w:tcW w:w="34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(0.0)</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(825)</w:t>
            </w:r>
          </w:p>
        </w:tc>
        <w:tc>
          <w:tcPr>
            <w:tcW w:w="34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(0.1)</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(185)</w:t>
            </w:r>
          </w:p>
        </w:tc>
        <w:tc>
          <w:tcPr>
            <w:tcW w:w="34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(0.0)</w:t>
            </w:r>
          </w:p>
        </w:tc>
        <w:tc>
          <w:tcPr>
            <w:tcW w:w="24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1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operating income</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174,545</w:t>
            </w:r>
          </w:p>
        </w:tc>
        <w:tc>
          <w:tcPr>
            <w:tcW w:w="34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23.3</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139,425</w:t>
            </w:r>
          </w:p>
        </w:tc>
        <w:tc>
          <w:tcPr>
            <w:tcW w:w="34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21.1</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312,341</w:t>
            </w:r>
          </w:p>
        </w:tc>
        <w:tc>
          <w:tcPr>
            <w:tcW w:w="34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22.1</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255,546</w:t>
            </w:r>
          </w:p>
        </w:tc>
        <w:tc>
          <w:tcPr>
            <w:tcW w:w="34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20.5</w:t>
            </w:r>
          </w:p>
        </w:tc>
        <w:tc>
          <w:tcPr>
            <w:tcW w:w="24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54" w:type="dxa"/>
            <w:tcBorders/>
            <w:vAlign w:val="center"/>
          </w:tcPr>
          <w:p>
            <w:pPr>
              <w:pStyle w:val="TableContents"/>
              <w:bidi w:val="0"/>
              <w:spacing w:before="0" w:after="1"/>
              <w:ind w:left="0" w:right="0" w:hanging="0"/>
              <w:jc w:val="left"/>
              <w:rPr/>
            </w:pPr>
            <w:r>
              <w:rPr/>
              <w:t>​</w:t>
            </w:r>
          </w:p>
        </w:tc>
      </w:tr>
      <w:tr>
        <w:trPr/>
        <w:tc>
          <w:tcPr>
            <w:tcW w:w="1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Interest expense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(63,875)</w:t>
            </w:r>
          </w:p>
        </w:tc>
        <w:tc>
          <w:tcPr>
            <w:tcW w:w="34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(A)  </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(58,534)</w:t>
            </w:r>
          </w:p>
        </w:tc>
        <w:tc>
          <w:tcPr>
            <w:tcW w:w="34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(A)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(127,994)</w:t>
            </w:r>
          </w:p>
        </w:tc>
        <w:tc>
          <w:tcPr>
            <w:tcW w:w="34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(A)  </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(112,817)</w:t>
            </w:r>
          </w:p>
        </w:tc>
        <w:tc>
          <w:tcPr>
            <w:tcW w:w="34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(A)  </w:t>
            </w:r>
          </w:p>
        </w:tc>
        <w:tc>
          <w:tcPr>
            <w:tcW w:w="241" w:type="dxa"/>
            <w:tcBorders/>
            <w:shd w:fill="CCEEFF" w:val="clear"/>
            <w:vAlign w:val="center"/>
          </w:tcPr>
          <w:p>
            <w:pPr>
              <w:pStyle w:val="TableContents"/>
              <w:bidi w:val="0"/>
              <w:spacing w:before="0" w:after="1"/>
              <w:ind w:left="0" w:right="0" w:hanging="0"/>
              <w:jc w:val="left"/>
              <w:rPr/>
            </w:pPr>
            <w:r>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1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Interest income</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3,727</w:t>
            </w:r>
          </w:p>
        </w:tc>
        <w:tc>
          <w:tcPr>
            <w:tcW w:w="34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(A)  </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5,583</w:t>
            </w:r>
          </w:p>
        </w:tc>
        <w:tc>
          <w:tcPr>
            <w:tcW w:w="34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(A)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8,913</w:t>
            </w:r>
          </w:p>
        </w:tc>
        <w:tc>
          <w:tcPr>
            <w:tcW w:w="34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(A)  </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11,042</w:t>
            </w:r>
          </w:p>
        </w:tc>
        <w:tc>
          <w:tcPr>
            <w:tcW w:w="34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(A)  </w:t>
            </w:r>
          </w:p>
        </w:tc>
        <w:tc>
          <w:tcPr>
            <w:tcW w:w="241" w:type="dxa"/>
            <w:tcBorders/>
            <w:vAlign w:val="center"/>
          </w:tcPr>
          <w:p>
            <w:pPr>
              <w:pStyle w:val="TableContents"/>
              <w:bidi w:val="0"/>
              <w:spacing w:before="0" w:after="1"/>
              <w:ind w:left="0" w:right="0" w:hanging="0"/>
              <w:jc w:val="lef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1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Loss on extinguishment of debt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(A)  </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(2,542)</w:t>
            </w:r>
          </w:p>
        </w:tc>
        <w:tc>
          <w:tcPr>
            <w:tcW w:w="34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(A)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(2,200)</w:t>
            </w:r>
          </w:p>
        </w:tc>
        <w:tc>
          <w:tcPr>
            <w:tcW w:w="34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(A)  </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(2,542)</w:t>
            </w:r>
          </w:p>
        </w:tc>
        <w:tc>
          <w:tcPr>
            <w:tcW w:w="34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(A)  </w:t>
            </w:r>
          </w:p>
        </w:tc>
        <w:tc>
          <w:tcPr>
            <w:tcW w:w="241" w:type="dxa"/>
            <w:tcBorders/>
            <w:shd w:fill="CCEEFF" w:val="clear"/>
            <w:vAlign w:val="center"/>
          </w:tcPr>
          <w:p>
            <w:pPr>
              <w:pStyle w:val="TableContents"/>
              <w:bidi w:val="0"/>
              <w:spacing w:before="0" w:after="1"/>
              <w:ind w:left="0" w:right="0" w:hanging="0"/>
              <w:jc w:val="left"/>
              <w:rPr/>
            </w:pPr>
            <w:r>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1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Income (loss) from unconsolidated joint ventures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w:t>
            </w:r>
          </w:p>
        </w:tc>
        <w:tc>
          <w:tcPr>
            <w:tcW w:w="34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(A)  </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w:t>
            </w:r>
          </w:p>
        </w:tc>
        <w:tc>
          <w:tcPr>
            <w:tcW w:w="34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(A)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w:t>
            </w:r>
          </w:p>
        </w:tc>
        <w:tc>
          <w:tcPr>
            <w:tcW w:w="34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(A)  </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w:t>
            </w:r>
          </w:p>
        </w:tc>
        <w:tc>
          <w:tcPr>
            <w:tcW w:w="34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(A)  </w:t>
            </w:r>
          </w:p>
        </w:tc>
        <w:tc>
          <w:tcPr>
            <w:tcW w:w="241" w:type="dxa"/>
            <w:tcBorders/>
            <w:vAlign w:val="center"/>
          </w:tcPr>
          <w:p>
            <w:pPr>
              <w:pStyle w:val="TableContents"/>
              <w:bidi w:val="0"/>
              <w:spacing w:before="0" w:after="1"/>
              <w:ind w:left="0" w:right="0" w:hanging="0"/>
              <w:jc w:val="lef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1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gains and (losses), net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(259)</w:t>
            </w:r>
          </w:p>
        </w:tc>
        <w:tc>
          <w:tcPr>
            <w:tcW w:w="34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(A)  </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(196)</w:t>
            </w:r>
          </w:p>
        </w:tc>
        <w:tc>
          <w:tcPr>
            <w:tcW w:w="34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(A)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(621)</w:t>
            </w:r>
          </w:p>
        </w:tc>
        <w:tc>
          <w:tcPr>
            <w:tcW w:w="34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(A)  </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(304)</w:t>
            </w:r>
          </w:p>
        </w:tc>
        <w:tc>
          <w:tcPr>
            <w:tcW w:w="34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(A)  </w:t>
            </w:r>
          </w:p>
        </w:tc>
        <w:tc>
          <w:tcPr>
            <w:tcW w:w="241" w:type="dxa"/>
            <w:tcBorders/>
            <w:shd w:fill="CCEEFF" w:val="clear"/>
            <w:vAlign w:val="center"/>
          </w:tcPr>
          <w:p>
            <w:pPr>
              <w:pStyle w:val="TableContents"/>
              <w:bidi w:val="0"/>
              <w:spacing w:before="0" w:after="1"/>
              <w:ind w:left="0" w:right="0" w:hanging="0"/>
              <w:jc w:val="left"/>
              <w:rPr/>
            </w:pPr>
            <w:r>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1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Provision for income taxes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(12,063)</w:t>
            </w:r>
          </w:p>
        </w:tc>
        <w:tc>
          <w:tcPr>
            <w:tcW w:w="34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(A)  </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(7,848)</w:t>
            </w:r>
          </w:p>
        </w:tc>
        <w:tc>
          <w:tcPr>
            <w:tcW w:w="34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(A)  </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(18,962)</w:t>
            </w:r>
          </w:p>
        </w:tc>
        <w:tc>
          <w:tcPr>
            <w:tcW w:w="34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(A)  </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(12,007)</w:t>
            </w:r>
          </w:p>
        </w:tc>
        <w:tc>
          <w:tcPr>
            <w:tcW w:w="34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(A)  </w:t>
            </w:r>
          </w:p>
        </w:tc>
        <w:tc>
          <w:tcPr>
            <w:tcW w:w="241" w:type="dxa"/>
            <w:tcBorders/>
            <w:vAlign w:val="center"/>
          </w:tcPr>
          <w:p>
            <w:pPr>
              <w:pStyle w:val="TableContents"/>
              <w:bidi w:val="0"/>
              <w:spacing w:before="0" w:after="1"/>
              <w:ind w:left="0" w:right="0" w:hanging="0"/>
              <w:jc w:val="lef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1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income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102,079</w:t>
            </w:r>
          </w:p>
        </w:tc>
        <w:tc>
          <w:tcPr>
            <w:tcW w:w="34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(A)  </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75,875</w:t>
            </w:r>
          </w:p>
        </w:tc>
        <w:tc>
          <w:tcPr>
            <w:tcW w:w="34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(A)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171,481</w:t>
            </w:r>
          </w:p>
        </w:tc>
        <w:tc>
          <w:tcPr>
            <w:tcW w:w="34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(A)  </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138,889</w:t>
            </w:r>
          </w:p>
        </w:tc>
        <w:tc>
          <w:tcPr>
            <w:tcW w:w="34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(A)  </w:t>
            </w:r>
          </w:p>
        </w:tc>
        <w:tc>
          <w:tcPr>
            <w:tcW w:w="241" w:type="dxa"/>
            <w:tcBorders/>
            <w:shd w:fill="CCEEFF" w:val="clear"/>
            <w:vAlign w:val="center"/>
          </w:tcPr>
          <w:p>
            <w:pPr>
              <w:pStyle w:val="TableContents"/>
              <w:bidi w:val="0"/>
              <w:spacing w:before="0" w:after="1"/>
              <w:ind w:left="0" w:right="0" w:hanging="0"/>
              <w:jc w:val="left"/>
              <w:rPr/>
            </w:pPr>
            <w:r>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1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Net income attributable to noncontrolling interest in Opry Entertainment Group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(4,050)</w:t>
            </w:r>
          </w:p>
        </w:tc>
        <w:tc>
          <w:tcPr>
            <w:tcW w:w="34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(A)  </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(2,094)</w:t>
            </w:r>
          </w:p>
        </w:tc>
        <w:tc>
          <w:tcPr>
            <w:tcW w:w="34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(A)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(3,462)</w:t>
            </w:r>
          </w:p>
        </w:tc>
        <w:tc>
          <w:tcPr>
            <w:tcW w:w="34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(A)  </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(2,805)</w:t>
            </w:r>
          </w:p>
        </w:tc>
        <w:tc>
          <w:tcPr>
            <w:tcW w:w="34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(A)  </w:t>
            </w:r>
          </w:p>
        </w:tc>
        <w:tc>
          <w:tcPr>
            <w:tcW w:w="241" w:type="dxa"/>
            <w:tcBorders/>
            <w:vAlign w:val="center"/>
          </w:tcPr>
          <w:p>
            <w:pPr>
              <w:pStyle w:val="TableContents"/>
              <w:bidi w:val="0"/>
              <w:spacing w:before="0" w:after="1"/>
              <w:ind w:left="0" w:right="0" w:hanging="0"/>
              <w:jc w:val="lef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1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income attributable to other noncontrolling interests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(5,279)</w:t>
            </w:r>
          </w:p>
        </w:tc>
        <w:tc>
          <w:tcPr>
            <w:tcW w:w="34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(A)  </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(2,028)</w:t>
            </w:r>
          </w:p>
        </w:tc>
        <w:tc>
          <w:tcPr>
            <w:tcW w:w="34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(A)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(4,794)</w:t>
            </w:r>
          </w:p>
        </w:tc>
        <w:tc>
          <w:tcPr>
            <w:tcW w:w="34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(A)  </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(1,370)</w:t>
            </w:r>
          </w:p>
        </w:tc>
        <w:tc>
          <w:tcPr>
            <w:tcW w:w="34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(A)  </w:t>
            </w:r>
          </w:p>
        </w:tc>
        <w:tc>
          <w:tcPr>
            <w:tcW w:w="241" w:type="dxa"/>
            <w:tcBorders/>
            <w:shd w:fill="CCEEFF" w:val="clear"/>
            <w:vAlign w:val="center"/>
          </w:tcPr>
          <w:p>
            <w:pPr>
              <w:pStyle w:val="TableContents"/>
              <w:bidi w:val="0"/>
              <w:spacing w:before="0" w:after="1"/>
              <w:ind w:left="0" w:right="0" w:hanging="0"/>
              <w:jc w:val="left"/>
              <w:rPr/>
            </w:pPr>
            <w:r>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1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income available to common stockholders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92,750</w:t>
            </w:r>
          </w:p>
        </w:tc>
        <w:tc>
          <w:tcPr>
            <w:tcW w:w="34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(A)  </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71,753</w:t>
            </w:r>
          </w:p>
        </w:tc>
        <w:tc>
          <w:tcPr>
            <w:tcW w:w="34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(A)  </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163,225</w:t>
            </w:r>
          </w:p>
        </w:tc>
        <w:tc>
          <w:tcPr>
            <w:tcW w:w="34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(A)  </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134,714</w:t>
            </w:r>
          </w:p>
        </w:tc>
        <w:tc>
          <w:tcPr>
            <w:tcW w:w="34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(A)  </w:t>
            </w:r>
          </w:p>
        </w:tc>
        <w:tc>
          <w:tcPr>
            <w:tcW w:w="241" w:type="dxa"/>
            <w:tcBorders/>
            <w:vAlign w:val="center"/>
          </w:tcPr>
          <w:p>
            <w:pPr>
              <w:pStyle w:val="TableContents"/>
              <w:bidi w:val="0"/>
              <w:spacing w:before="0" w:after="1"/>
              <w:ind w:left="0" w:right="0" w:hanging="0"/>
              <w:jc w:val="left"/>
              <w:rPr/>
            </w:pPr>
            <w:r>
              <w:rPr/>
              <w:t>​</w:t>
            </w:r>
          </w:p>
        </w:tc>
        <w:tc>
          <w:tcPr>
            <w:tcW w:w="154" w:type="dxa"/>
            <w:tcBorders/>
            <w:vAlign w:val="center"/>
          </w:tcPr>
          <w:p>
            <w:pPr>
              <w:pStyle w:val="TableContents"/>
              <w:bidi w:val="0"/>
              <w:spacing w:before="0" w:after="1"/>
              <w:ind w:left="0" w:right="0" w:hanging="0"/>
              <w:jc w:val="left"/>
              <w:rPr/>
            </w:pPr>
            <w:r>
              <w:rPr/>
              <w:t>​</w:t>
            </w:r>
          </w:p>
        </w:tc>
      </w:tr>
    </w:tbl>
    <w:tbl>
      <w:tblPr>
        <w:tblW w:w="9422" w:type="dxa"/>
        <w:jc w:val="left"/>
        <w:tblInd w:w="0" w:type="dxa"/>
        <w:tblLayout w:type="fixed"/>
        <w:tblCellMar>
          <w:top w:w="0" w:type="dxa"/>
          <w:left w:w="0" w:type="dxa"/>
          <w:bottom w:w="0" w:type="dxa"/>
          <w:right w:w="0" w:type="dxa"/>
        </w:tblCellMar>
      </w:tblPr>
      <w:tblGrid>
        <w:gridCol w:w="376"/>
        <w:gridCol w:w="9046"/>
      </w:tblGrid>
      <w:tr>
        <w:trPr/>
        <w:tc>
          <w:tcPr>
            <w:tcW w:w="37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0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amounts have not been shown as a percentage of revenue because they have no relationship to revenue.</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Summary Financial Results</w:t>
      </w:r>
    </w:p>
    <w:p>
      <w:pPr>
        <w:pStyle w:val="TextBody"/>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Results of Operations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 following table summarizes our financial results for the three and six months ended June 30, 2026 and 2025 (in thousands, except percentages and per share data):</w:t>
      </w:r>
    </w:p>
    <w:tbl>
      <w:tblPr>
        <w:tblW w:w="10205" w:type="dxa"/>
        <w:jc w:val="left"/>
        <w:tblInd w:w="0" w:type="dxa"/>
        <w:tblLayout w:type="fixed"/>
        <w:tblCellMar>
          <w:top w:w="0" w:type="dxa"/>
          <w:left w:w="0" w:type="dxa"/>
          <w:bottom w:w="0" w:type="dxa"/>
          <w:right w:w="0" w:type="dxa"/>
        </w:tblCellMar>
      </w:tblPr>
      <w:tblGrid>
        <w:gridCol w:w="1441"/>
        <w:gridCol w:w="346"/>
        <w:gridCol w:w="211"/>
        <w:gridCol w:w="781"/>
        <w:gridCol w:w="346"/>
        <w:gridCol w:w="211"/>
        <w:gridCol w:w="781"/>
        <w:gridCol w:w="346"/>
        <w:gridCol w:w="661"/>
        <w:gridCol w:w="361"/>
        <w:gridCol w:w="346"/>
        <w:gridCol w:w="211"/>
        <w:gridCol w:w="931"/>
        <w:gridCol w:w="346"/>
        <w:gridCol w:w="211"/>
        <w:gridCol w:w="931"/>
        <w:gridCol w:w="346"/>
        <w:gridCol w:w="661"/>
        <w:gridCol w:w="346"/>
        <w:gridCol w:w="391"/>
      </w:tblGrid>
      <w:tr>
        <w:trPr/>
        <w:tc>
          <w:tcPr>
            <w:tcW w:w="14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915035" cy="175260"/>
                      <wp:effectExtent l="0" t="0" r="0" b="0"/>
                      <wp:wrapNone/>
                      <wp:docPr id="299" name="Frame299"/>
                      <a:graphic xmlns:a="http://schemas.openxmlformats.org/drawingml/2006/main">
                        <a:graphicData uri="http://schemas.microsoft.com/office/word/2010/wordprocessingShape">
                          <wps:wsp>
                            <wps:cNvSpPr txBox="1"/>
                            <wps:spPr>
                              <a:xfrm>
                                <a:off x="0" y="0"/>
                                <a:ext cx="915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219710" cy="175260"/>
                      <wp:effectExtent l="0" t="0" r="0" b="0"/>
                      <wp:wrapNone/>
                      <wp:docPr id="300" name="Frame3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133985" cy="175260"/>
                      <wp:effectExtent l="0" t="0" r="0" b="0"/>
                      <wp:wrapNone/>
                      <wp:docPr id="301" name="Frame30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495935" cy="175260"/>
                      <wp:effectExtent l="0" t="0" r="0" b="0"/>
                      <wp:wrapNone/>
                      <wp:docPr id="302" name="Frame30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219710" cy="175260"/>
                      <wp:effectExtent l="0" t="0" r="0" b="0"/>
                      <wp:wrapNone/>
                      <wp:docPr id="303" name="Frame3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133985" cy="175260"/>
                      <wp:effectExtent l="0" t="0" r="0" b="0"/>
                      <wp:wrapNone/>
                      <wp:docPr id="304" name="Frame30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495935" cy="175260"/>
                      <wp:effectExtent l="0" t="0" r="0" b="0"/>
                      <wp:wrapNone/>
                      <wp:docPr id="305" name="Frame30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219710" cy="175260"/>
                      <wp:effectExtent l="0" t="0" r="0" b="0"/>
                      <wp:wrapNone/>
                      <wp:docPr id="306" name="Frame3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419735" cy="175260"/>
                      <wp:effectExtent l="0" t="0" r="0" b="0"/>
                      <wp:wrapNone/>
                      <wp:docPr id="307" name="Frame307"/>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229235" cy="175260"/>
                      <wp:effectExtent l="0" t="0" r="0" b="0"/>
                      <wp:wrapNone/>
                      <wp:docPr id="308" name="Frame308"/>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219710" cy="175260"/>
                      <wp:effectExtent l="0" t="0" r="0" b="0"/>
                      <wp:wrapNone/>
                      <wp:docPr id="309" name="Frame3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133985" cy="175260"/>
                      <wp:effectExtent l="0" t="0" r="0" b="0"/>
                      <wp:wrapNone/>
                      <wp:docPr id="310" name="Frame3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591185" cy="175260"/>
                      <wp:effectExtent l="0" t="0" r="0" b="0"/>
                      <wp:wrapNone/>
                      <wp:docPr id="311" name="Frame31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219710" cy="175260"/>
                      <wp:effectExtent l="0" t="0" r="0" b="0"/>
                      <wp:wrapNone/>
                      <wp:docPr id="312" name="Frame3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133985" cy="175260"/>
                      <wp:effectExtent l="0" t="0" r="0" b="0"/>
                      <wp:wrapNone/>
                      <wp:docPr id="313" name="Frame3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591185" cy="175260"/>
                      <wp:effectExtent l="0" t="0" r="0" b="0"/>
                      <wp:wrapNone/>
                      <wp:docPr id="314" name="Frame31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219710" cy="175260"/>
                      <wp:effectExtent l="0" t="0" r="0" b="0"/>
                      <wp:wrapNone/>
                      <wp:docPr id="315" name="Frame3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419735" cy="175260"/>
                      <wp:effectExtent l="0" t="0" r="0" b="0"/>
                      <wp:wrapNone/>
                      <wp:docPr id="316" name="Frame316"/>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219710" cy="175260"/>
                      <wp:effectExtent l="0" t="0" r="0" b="0"/>
                      <wp:wrapNone/>
                      <wp:docPr id="317" name="Frame3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248285" cy="175260"/>
                      <wp:effectExtent l="0" t="0" r="0" b="0"/>
                      <wp:wrapNone/>
                      <wp:docPr id="318" name="Frame318"/>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337" w:type="dxa"/>
            <w:gridSpan w:val="7"/>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637" w:type="dxa"/>
            <w:gridSpan w:val="7"/>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46"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14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337"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637"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14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14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6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61" w:type="dxa"/>
            <w:tcBorders/>
            <w:vAlign w:val="center"/>
          </w:tcPr>
          <w:p>
            <w:pPr>
              <w:pStyle w:val="TableContents"/>
              <w:bidi w:val="0"/>
              <w:spacing w:before="0" w:after="0"/>
              <w:ind w:left="0" w:right="0" w:hanging="0"/>
              <w:jc w:val="left"/>
              <w:rPr/>
            </w:pPr>
            <w:r>
              <w:rPr/>
              <w:t>  ​ ​ ​</w:t>
            </w:r>
          </w:p>
        </w:tc>
        <w:tc>
          <w:tcPr>
            <w:tcW w:w="346" w:type="dxa"/>
            <w:tcBorders/>
            <w:vAlign w:val="center"/>
          </w:tcPr>
          <w:p>
            <w:pPr>
              <w:pStyle w:val="TableContents"/>
              <w:bidi w:val="0"/>
              <w:spacing w:before="0" w:after="0"/>
              <w:ind w:left="0" w:right="0" w:hanging="0"/>
              <w:jc w:val="center"/>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6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46" w:type="dxa"/>
            <w:tcBorders/>
            <w:vAlign w:val="center"/>
          </w:tcPr>
          <w:p>
            <w:pPr>
              <w:pStyle w:val="TableContents"/>
              <w:bidi w:val="0"/>
              <w:spacing w:before="0" w:after="0"/>
              <w:ind w:left="0" w:right="0" w:hanging="0"/>
              <w:jc w:val="left"/>
              <w:rPr/>
            </w:pPr>
            <w:r>
              <w:rPr/>
              <w:t>  ​ ​ ​</w:t>
            </w:r>
          </w:p>
        </w:tc>
        <w:tc>
          <w:tcPr>
            <w:tcW w:w="391" w:type="dxa"/>
            <w:tcBorders/>
            <w:vAlign w:val="center"/>
          </w:tcPr>
          <w:p>
            <w:pPr>
              <w:pStyle w:val="TableContents"/>
              <w:bidi w:val="0"/>
              <w:spacing w:before="0" w:after="0"/>
              <w:ind w:left="0" w:right="0" w:hanging="0"/>
              <w:jc w:val="center"/>
              <w:rPr/>
            </w:pPr>
            <w:r>
              <w:rPr/>
              <w:t>  ​ ​ ​</w:t>
            </w:r>
          </w:p>
        </w:tc>
      </w:tr>
      <w:tr>
        <w:trPr/>
        <w:tc>
          <w:tcPr>
            <w:tcW w:w="14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revenues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748,978</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659,515</w:t>
            </w:r>
          </w:p>
        </w:tc>
        <w:tc>
          <w:tcPr>
            <w:tcW w:w="34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1,413,550</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1,246,795</w:t>
            </w:r>
          </w:p>
        </w:tc>
        <w:tc>
          <w:tcPr>
            <w:tcW w:w="34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14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operating expenses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574,433</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520,090</w:t>
            </w:r>
          </w:p>
        </w:tc>
        <w:tc>
          <w:tcPr>
            <w:tcW w:w="34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1,101,209</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991,249</w:t>
            </w:r>
          </w:p>
        </w:tc>
        <w:tc>
          <w:tcPr>
            <w:tcW w:w="34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1" w:type="dxa"/>
            <w:tcBorders/>
            <w:vAlign w:val="center"/>
          </w:tcPr>
          <w:p>
            <w:pPr>
              <w:pStyle w:val="TableContents"/>
              <w:bidi w:val="0"/>
              <w:spacing w:before="0" w:after="0"/>
              <w:ind w:left="0" w:right="0" w:hanging="0"/>
              <w:jc w:val="left"/>
              <w:rPr/>
            </w:pPr>
            <w:r>
              <w:rPr/>
              <w:t>​</w:t>
            </w:r>
          </w:p>
        </w:tc>
      </w:tr>
      <w:tr>
        <w:trPr/>
        <w:tc>
          <w:tcPr>
            <w:tcW w:w="14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174,545</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139,425</w:t>
            </w:r>
          </w:p>
        </w:tc>
        <w:tc>
          <w:tcPr>
            <w:tcW w:w="34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312,341</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255,546</w:t>
            </w:r>
          </w:p>
        </w:tc>
        <w:tc>
          <w:tcPr>
            <w:tcW w:w="34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14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102,079</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75,875</w:t>
            </w:r>
          </w:p>
        </w:tc>
        <w:tc>
          <w:tcPr>
            <w:tcW w:w="34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34.5</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171,481</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138,889</w:t>
            </w:r>
          </w:p>
        </w:tc>
        <w:tc>
          <w:tcPr>
            <w:tcW w:w="34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1" w:type="dxa"/>
            <w:tcBorders/>
            <w:vAlign w:val="center"/>
          </w:tcPr>
          <w:p>
            <w:pPr>
              <w:pStyle w:val="TableContents"/>
              <w:bidi w:val="0"/>
              <w:spacing w:before="0" w:after="0"/>
              <w:ind w:left="0" w:right="0" w:hanging="0"/>
              <w:jc w:val="left"/>
              <w:rPr/>
            </w:pPr>
            <w:r>
              <w:rPr/>
              <w:t>​</w:t>
            </w:r>
          </w:p>
        </w:tc>
      </w:tr>
      <w:tr>
        <w:trPr/>
        <w:tc>
          <w:tcPr>
            <w:tcW w:w="14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available to common stockholders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92,750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71,753</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29.3</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163,225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134,714</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14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available to common stockholders per share - diluted</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w:t>
            </w:r>
          </w:p>
        </w:tc>
        <w:tc>
          <w:tcPr>
            <w:tcW w:w="34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w:t>
            </w:r>
          </w:p>
        </w:tc>
        <w:tc>
          <w:tcPr>
            <w:tcW w:w="34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Total Revenues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 increase in our total revenues for the three months ended June 30, 2026, as compared to the same period in 2025, is attributable to an increase in our Hospitality segment of $88.8 million and an increase in our Entertainment segment of $0.7 million, as presented in the tables below.</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 increase in our total revenues for the six months ended June 30, 2026, as compared to the same period in 2025, is attributable to an increase in our Hospitality segment of $176.4 million, partially offset by a decrease in our Entertainment segment of $9.7 million, as presented in the tables below.</w:t>
      </w:r>
    </w:p>
    <w:p>
      <w:pPr>
        <w:pStyle w:val="TextBody"/>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Total Operating Expenses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 increase in our total operating expenses for the three months ended June 30, 2026, as compared to the same period in 2025, is primarily the result of an increase in our Hospitality segment of $62.0 million (which includes an increase of $9.8 million in depreciation and amortization expense), partially offset by a decrease of $8.8 million in our Entertainment segment, as presented in the tables below.</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 increase in our total operating expenses for the six months ended June 30, 2026, as compared to the same period in 2025, is primarily the result of an increase in our Hospitality segment of $121.4 million (which includes an increase of $21.7 million in depreciation and amortization expense), partially offset by a decrease of $13.5 million in our Entertainment segment, as presented in the tables below.</w:t>
      </w:r>
    </w:p>
    <w:p>
      <w:pPr>
        <w:pStyle w:val="TextBody"/>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Operating Income</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 above factors resulted in an increase of $35.1 million and $56.8 million in operating income for the three and six months ended June 30, 2026, respectively, as compared to the 2025 periods.</w:t>
      </w:r>
    </w:p>
    <w:p>
      <w:pPr>
        <w:pStyle w:val="TextBody"/>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Net Income</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Our $26.2 million increase in net income for the three months ended June 30, 2026, as compared to the same period in 2025, was primarily due to the changes in our revenues and operating expenses reflected above, impacted by the following factors, each as described more fully below:</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$7.2 million increase in interest expense, net, in the 2026 period, as compared to the 2025 period, due primarily to interest expense incurred for our $625.0 million senior notes that were issued in June 2025.</w:t>
            </w:r>
          </w:p>
        </w:tc>
      </w:tr>
    </w:tbl>
    <w:tbl>
      <w:tblPr>
        <w:tblW w:w="9066" w:type="dxa"/>
        <w:jc w:val="left"/>
        <w:tblInd w:w="0" w:type="dxa"/>
        <w:tblLayout w:type="fixed"/>
        <w:tblCellMar>
          <w:top w:w="28" w:type="dxa"/>
          <w:left w:w="28" w:type="dxa"/>
          <w:bottom w:w="28" w:type="dxa"/>
          <w:right w:w="28" w:type="dxa"/>
        </w:tblCellMar>
      </w:tblPr>
      <w:tblGrid>
        <w:gridCol w:w="124"/>
        <w:gridCol w:w="256"/>
        <w:gridCol w:w="86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6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$4.2 million increase in provision for income taxes in the 2026 period, as compared to the 2025 period.</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051" w:type="dxa"/>
        <w:jc w:val="left"/>
        <w:tblInd w:w="0" w:type="dxa"/>
        <w:tblLayout w:type="fixed"/>
        <w:tblCellMar>
          <w:top w:w="28" w:type="dxa"/>
          <w:left w:w="28" w:type="dxa"/>
          <w:bottom w:w="28" w:type="dxa"/>
          <w:right w:w="28" w:type="dxa"/>
        </w:tblCellMar>
      </w:tblPr>
      <w:tblGrid>
        <w:gridCol w:w="124"/>
        <w:gridCol w:w="256"/>
        <w:gridCol w:w="86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6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loss on extinguishment of debt of $2.5 million in the 2025 period that did not recur in the 2026 period.</w:t>
            </w:r>
          </w:p>
        </w:tc>
      </w:tr>
    </w:tbl>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Our $32.6 million increase in net income for the six months ended June 30, 2026, as compared to the same period in 2025, was primarily due to the changes in our revenues and operating expenses reflected above, impacted by the following factors, each as described more fully below:</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$17.3 million increase in interest expense, net, in the 2026 period, as compared to the 2025 period, due primarily to interest expense incurred for our $625.0 million senior notes that were issued in June 2025.</w:t>
            </w:r>
          </w:p>
        </w:tc>
      </w:tr>
    </w:tbl>
    <w:tbl>
      <w:tblPr>
        <w:tblW w:w="9066" w:type="dxa"/>
        <w:jc w:val="left"/>
        <w:tblInd w:w="0" w:type="dxa"/>
        <w:tblLayout w:type="fixed"/>
        <w:tblCellMar>
          <w:top w:w="28" w:type="dxa"/>
          <w:left w:w="28" w:type="dxa"/>
          <w:bottom w:w="28" w:type="dxa"/>
          <w:right w:w="28" w:type="dxa"/>
        </w:tblCellMar>
      </w:tblPr>
      <w:tblGrid>
        <w:gridCol w:w="124"/>
        <w:gridCol w:w="256"/>
        <w:gridCol w:w="86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6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$7.0 million increase in provision for income taxes in the 2026 period, as compared to the 2025 period.</w:t>
            </w:r>
          </w:p>
        </w:tc>
      </w:tr>
    </w:tbl>
    <w:p>
      <w:pPr>
        <w:pStyle w:val="TextBody"/>
        <w:bidi w:val="0"/>
        <w:spacing w:before="0" w:after="200"/>
        <w:ind w:left="0" w:right="0" w:hanging="0"/>
        <w:jc w:val="left"/>
        <w:rPr>
          <w:rFonts w:ascii="Times New Roman;Times;serif" w:hAnsi="Times New Roman;Times;serif"/>
          <w:b w:val="false"/>
          <w:i/>
          <w:sz w:val="20"/>
        </w:rPr>
      </w:pPr>
      <w:r>
        <w:rPr>
          <w:rFonts w:ascii="Times New Roman;Times;serif" w:hAnsi="Times New Roman;Times;serif"/>
          <w:b w:val="false"/>
          <w:i/>
          <w:sz w:val="20"/>
        </w:rPr>
        <w:t>Factors and Trends Contributing to Performance and Current Environment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Important factors and trends contributing to our performance during the three months ended June 30, 2026, compared to the three months ended June 30, 2025, were: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The addition of JW Marriott Desert Ridge for the full period, including an increase of $55.3 million in revenues; the property averaged $264.85 in RevPAR and $701.55 in Total RevPAR.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An increase in same-store (Hospitality segment excluding JW Marriott Desert Ridge) ADR of 6.9% in the 2026 period, as compared to the 2025 period.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An increase in same-store outside-the-room spend in the 2026 period of 7.4% over the 2025 period, driven by strong spending from group customers.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An increase of 21.0% in total revenue and Total RevPAR at Gaylord Palms in the 2026 period, as compared to the 2025 period, primarily as a result of a 31.9% increase in outside-the-room spend primarily due to an increase in banquet and technology spending, as well as an 11.0% increase in ADR.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An increase of 8.4% in total revenue and Total RevPAR at Gaylord National in the 2026 period, as compared to the 2025 period, primarily as a result of a 7.1% increase in group rooms traveled and the resulting increase in banquet revenue, as well as a 6.3% increase in ADR.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An increase of 7.5% in total revenue and Total RevPAR at Gaylord Opryland in the 2026 period, as compared to the 2025 period, primarily as a result of a 7.8% increase in outside-the-room spend primarily due to an increase in banquet and technology spending, as well as an 8.4% increase in ADR.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An increase of 3.7% in total revenue and Total RevPAR at Gaylord Rockies in the 2026 period, as compared to the 2025 period, primarily as a result of a 6.0% increase in ADR and a 3.1% increase in outside-the-room spend primarily due to an increase in banquet and technology spending.</w:t>
            </w:r>
          </w:p>
        </w:tc>
      </w:tr>
    </w:tbl>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Important factors and trends contributing to our performance during the six months ended June 30, 2026, compared to the six months ended June 30, 2025, were: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The addition of JW Marriott Desert Ridge for the full period, including an increase of $129.2 million in revenues; the property averaged $310.88 in RevPAR and $782.30 in Total RevPAR. </w:t>
            </w:r>
          </w:p>
        </w:tc>
      </w:tr>
    </w:tbl>
    <w:tbl>
      <w:tblPr>
        <w:tblW w:w="7941" w:type="dxa"/>
        <w:jc w:val="left"/>
        <w:tblInd w:w="0" w:type="dxa"/>
        <w:tblLayout w:type="fixed"/>
        <w:tblCellMar>
          <w:top w:w="28" w:type="dxa"/>
          <w:left w:w="28" w:type="dxa"/>
          <w:bottom w:w="28" w:type="dxa"/>
          <w:right w:w="28" w:type="dxa"/>
        </w:tblCellMar>
      </w:tblPr>
      <w:tblGrid>
        <w:gridCol w:w="124"/>
        <w:gridCol w:w="256"/>
        <w:gridCol w:w="75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An increase in same-store ADR of 6.0% in the 2026 period, as compared to the 2025 period.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An increase in same-store outside-the-room spend in the 2026 period of 5.3% over the 2025 period, driven by a favorable mix of group room nights traveled.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An increase of 15.3% in total revenue and Total RevPAR at Gaylord Palms in the 2026 period, as compared to the 2025 period, primarily as a result of a 19.6% increase in outside-the-room spend primarily due to an increase in banquet and technology spending, as well as a 10.2% increase in ADR.</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An increase of 11.9% in total revenue and Total RevPAR at Gaylord Opryland in the 2026 period, as compared to the 2025 period, primarily as a result of a 3.3% increase in group rooms traveled, which also drove increased outside-the-room spend of 13.1%, primarily due to an increase in banquet revenue, and a 7.2% increase in ADR.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An increase of 2.8% in total revenue and Total RevPAR at Gaylord Rockies in the 2026 period, as compared to the 2025 period, primarily as a result of a 3.4% increase in ADR.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 decrease of 4.8% in total revenue and Total RevPAR at JW Marriott Hill Country in the 2026 period, as compared to the 2025 period, primarily as a result of a decrease of 7.0 points of occupancy due primarily to a decrease in group rooms traveled and the resulting decrease in banquet revenue. The decrease in occupancy is partially attributable to the ongoing rooms renovation at the property.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 decrease of 1.9% in total revenue and Total RevPAR at Gaylord Texan in the 2026 period, as compared to the 2025 period, primarily as a result of a decrease of 4.8 points of occupancy due to a decrease in both group and transient room nights. This decline is primarily attributable to the ongoing rooms renovation at the property.</w:t>
            </w:r>
          </w:p>
        </w:tc>
      </w:tr>
    </w:tbl>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Other important factors and trends for the three and six months ended, and as of, June 30, 2026 include: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Same-store net definite group room nights booked at our hotels for all future periods in the three and six months ended June 30, 2026 increased 9.3% and 11.7%, respectively, as compared to the same periods in 2025.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Same-store group room nights on the books for all future years at our hotels at June 30, 2026 is 2.7% higher than the number on the books at the same point in 2025. In addition, the estimated ADR on those group room nights on the books at June 30, 2026 is 5.6% higher than the same point in 2025.</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Operating Results – Detailed Segment Financial Information</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Hospitality Segment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i/>
          <w:sz w:val="20"/>
        </w:rPr>
        <w:t xml:space="preserve">Total Segment Results. </w:t>
      </w:r>
      <w:r>
        <w:rPr>
          <w:rFonts w:ascii="Times New Roman;Times;serif" w:hAnsi="Times New Roman;Times;serif"/>
          <w:sz w:val="20"/>
        </w:rPr>
        <w:t>The following presents the financial results of our Hospitality segment for the three and six months ended June 30, 2026 and 2025 (in thousands, except percentages and performance metrics):</w:t>
      </w:r>
    </w:p>
    <w:tbl>
      <w:tblPr>
        <w:tblW w:w="10205" w:type="dxa"/>
        <w:jc w:val="left"/>
        <w:tblInd w:w="0" w:type="dxa"/>
        <w:tblLayout w:type="fixed"/>
        <w:tblCellMar>
          <w:top w:w="0" w:type="dxa"/>
          <w:left w:w="0" w:type="dxa"/>
          <w:bottom w:w="0" w:type="dxa"/>
          <w:right w:w="0" w:type="dxa"/>
        </w:tblCellMar>
      </w:tblPr>
      <w:tblGrid>
        <w:gridCol w:w="1936"/>
        <w:gridCol w:w="346"/>
        <w:gridCol w:w="196"/>
        <w:gridCol w:w="691"/>
        <w:gridCol w:w="331"/>
        <w:gridCol w:w="196"/>
        <w:gridCol w:w="691"/>
        <w:gridCol w:w="346"/>
        <w:gridCol w:w="661"/>
        <w:gridCol w:w="346"/>
        <w:gridCol w:w="346"/>
        <w:gridCol w:w="196"/>
        <w:gridCol w:w="826"/>
        <w:gridCol w:w="331"/>
        <w:gridCol w:w="196"/>
        <w:gridCol w:w="826"/>
        <w:gridCol w:w="346"/>
        <w:gridCol w:w="661"/>
        <w:gridCol w:w="346"/>
        <w:gridCol w:w="391"/>
      </w:tblGrid>
      <w:tr>
        <w:trPr/>
        <w:tc>
          <w:tcPr>
            <w:tcW w:w="19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1229360" cy="175260"/>
                      <wp:effectExtent l="0" t="0" r="0" b="0"/>
                      <wp:wrapNone/>
                      <wp:docPr id="319" name="Frame319"/>
                      <a:graphic xmlns:a="http://schemas.openxmlformats.org/drawingml/2006/main">
                        <a:graphicData uri="http://schemas.microsoft.com/office/word/2010/wordprocessingShape">
                          <wps:wsp>
                            <wps:cNvSpPr txBox="1"/>
                            <wps:spPr>
                              <a:xfrm>
                                <a:off x="0" y="0"/>
                                <a:ext cx="1229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219710" cy="175260"/>
                      <wp:effectExtent l="0" t="0" r="0" b="0"/>
                      <wp:wrapNone/>
                      <wp:docPr id="320" name="Frame3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124460" cy="175260"/>
                      <wp:effectExtent l="0" t="0" r="0" b="0"/>
                      <wp:wrapNone/>
                      <wp:docPr id="321" name="Frame32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438785" cy="175260"/>
                      <wp:effectExtent l="0" t="0" r="0" b="0"/>
                      <wp:wrapNone/>
                      <wp:docPr id="322" name="Frame32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210185" cy="175260"/>
                      <wp:effectExtent l="0" t="0" r="0" b="0"/>
                      <wp:wrapNone/>
                      <wp:docPr id="323" name="Frame323"/>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124460" cy="175260"/>
                      <wp:effectExtent l="0" t="0" r="0" b="0"/>
                      <wp:wrapNone/>
                      <wp:docPr id="324" name="Frame32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438785" cy="175260"/>
                      <wp:effectExtent l="0" t="0" r="0" b="0"/>
                      <wp:wrapNone/>
                      <wp:docPr id="325" name="Frame32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219710" cy="175260"/>
                      <wp:effectExtent l="0" t="0" r="0" b="0"/>
                      <wp:wrapNone/>
                      <wp:docPr id="326" name="Frame3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419735" cy="175260"/>
                      <wp:effectExtent l="0" t="0" r="0" b="0"/>
                      <wp:wrapNone/>
                      <wp:docPr id="327" name="Frame327"/>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219710" cy="175260"/>
                      <wp:effectExtent l="0" t="0" r="0" b="0"/>
                      <wp:wrapNone/>
                      <wp:docPr id="328" name="Frame3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219710" cy="175260"/>
                      <wp:effectExtent l="0" t="0" r="0" b="0"/>
                      <wp:wrapNone/>
                      <wp:docPr id="329" name="Frame3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124460" cy="175260"/>
                      <wp:effectExtent l="0" t="0" r="0" b="0"/>
                      <wp:wrapNone/>
                      <wp:docPr id="330" name="Frame33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524510" cy="175260"/>
                      <wp:effectExtent l="0" t="0" r="0" b="0"/>
                      <wp:wrapNone/>
                      <wp:docPr id="331" name="Frame331"/>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210185" cy="175260"/>
                      <wp:effectExtent l="0" t="0" r="0" b="0"/>
                      <wp:wrapNone/>
                      <wp:docPr id="332" name="Frame332"/>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124460" cy="175260"/>
                      <wp:effectExtent l="0" t="0" r="0" b="0"/>
                      <wp:wrapNone/>
                      <wp:docPr id="333" name="Frame33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524510" cy="175260"/>
                      <wp:effectExtent l="0" t="0" r="0" b="0"/>
                      <wp:wrapNone/>
                      <wp:docPr id="334" name="Frame334"/>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219710" cy="175260"/>
                      <wp:effectExtent l="0" t="0" r="0" b="0"/>
                      <wp:wrapNone/>
                      <wp:docPr id="335" name="Frame3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419735" cy="175260"/>
                      <wp:effectExtent l="0" t="0" r="0" b="0"/>
                      <wp:wrapNone/>
                      <wp:docPr id="336" name="Frame336"/>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219710" cy="175260"/>
                      <wp:effectExtent l="0" t="0" r="0" b="0"/>
                      <wp:wrapNone/>
                      <wp:docPr id="337" name="Frame3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248285" cy="175260"/>
                      <wp:effectExtent l="0" t="0" r="0" b="0"/>
                      <wp:wrapNone/>
                      <wp:docPr id="338" name="Frame338"/>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9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112" w:type="dxa"/>
            <w:gridSpan w:val="7"/>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382" w:type="dxa"/>
            <w:gridSpan w:val="7"/>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46" w:type="dxa"/>
            <w:tcBorders/>
            <w:vAlign w:val="center"/>
          </w:tcPr>
          <w:p>
            <w:pPr>
              <w:pStyle w:val="TableContents"/>
              <w:bidi w:val="0"/>
              <w:spacing w:before="0" w:after="1"/>
              <w:ind w:left="0" w:right="0" w:hanging="0"/>
              <w:jc w:val="left"/>
              <w:rPr/>
            </w:pPr>
            <w:r>
              <w:rPr/>
              <w:t>​</w:t>
            </w:r>
          </w:p>
        </w:tc>
        <w:tc>
          <w:tcPr>
            <w:tcW w:w="391" w:type="dxa"/>
            <w:tcBorders/>
            <w:vAlign w:val="center"/>
          </w:tcPr>
          <w:p>
            <w:pPr>
              <w:pStyle w:val="TableContents"/>
              <w:bidi w:val="0"/>
              <w:spacing w:before="0" w:after="1"/>
              <w:ind w:left="0" w:right="0" w:hanging="0"/>
              <w:jc w:val="left"/>
              <w:rPr/>
            </w:pPr>
            <w:r>
              <w:rPr/>
              <w:t>​</w:t>
            </w:r>
          </w:p>
        </w:tc>
      </w:tr>
      <w:tr>
        <w:trPr/>
        <w:tc>
          <w:tcPr>
            <w:tcW w:w="19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112"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382"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1"/>
              <w:ind w:left="0" w:right="0" w:hanging="0"/>
              <w:jc w:val="left"/>
              <w:rPr/>
            </w:pPr>
            <w:r>
              <w:rPr/>
              <w:t>​</w:t>
            </w:r>
          </w:p>
        </w:tc>
        <w:tc>
          <w:tcPr>
            <w:tcW w:w="391" w:type="dxa"/>
            <w:tcBorders/>
            <w:vAlign w:val="center"/>
          </w:tcPr>
          <w:p>
            <w:pPr>
              <w:pStyle w:val="TableContents"/>
              <w:bidi w:val="0"/>
              <w:spacing w:before="0" w:after="1"/>
              <w:ind w:left="0" w:right="0" w:hanging="0"/>
              <w:jc w:val="left"/>
              <w:rPr/>
            </w:pPr>
            <w:r>
              <w:rPr/>
              <w:t>​</w:t>
            </w:r>
          </w:p>
        </w:tc>
      </w:tr>
      <w:tr>
        <w:trPr/>
        <w:tc>
          <w:tcPr>
            <w:tcW w:w="19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pPr>
            <w:r>
              <w:rPr/>
              <w:t>​</w:t>
            </w:r>
          </w:p>
        </w:tc>
        <w:tc>
          <w:tcPr>
            <w:tcW w:w="331"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66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center"/>
              <w:rPr/>
            </w:pPr>
            <w:r>
              <w:rPr/>
              <w:t>​</w:t>
            </w:r>
          </w:p>
        </w:tc>
        <w:tc>
          <w:tcPr>
            <w:tcW w:w="826" w:type="dxa"/>
            <w:tcBorders/>
            <w:vAlign w:val="center"/>
          </w:tcPr>
          <w:p>
            <w:pPr>
              <w:pStyle w:val="TableContents"/>
              <w:bidi w:val="0"/>
              <w:spacing w:before="0" w:after="1"/>
              <w:ind w:left="0" w:right="0" w:hanging="0"/>
              <w:jc w:val="center"/>
              <w:rPr/>
            </w:pPr>
            <w:r>
              <w:rPr/>
              <w:t>​</w:t>
            </w:r>
          </w:p>
        </w:tc>
        <w:tc>
          <w:tcPr>
            <w:tcW w:w="331"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82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66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1"/>
              <w:ind w:left="0" w:right="0" w:hanging="0"/>
              <w:jc w:val="left"/>
              <w:rPr/>
            </w:pPr>
            <w:r>
              <w:rPr/>
              <w:t>​</w:t>
            </w:r>
          </w:p>
        </w:tc>
        <w:tc>
          <w:tcPr>
            <w:tcW w:w="391" w:type="dxa"/>
            <w:tcBorders/>
            <w:vAlign w:val="center"/>
          </w:tcPr>
          <w:p>
            <w:pPr>
              <w:pStyle w:val="TableContents"/>
              <w:bidi w:val="0"/>
              <w:spacing w:before="0" w:after="1"/>
              <w:ind w:left="0" w:right="0" w:hanging="0"/>
              <w:jc w:val="left"/>
              <w:rPr/>
            </w:pPr>
            <w:r>
              <w:rPr/>
              <w:t>​</w:t>
            </w:r>
          </w:p>
        </w:tc>
      </w:tr>
      <w:tr>
        <w:trPr/>
        <w:tc>
          <w:tcPr>
            <w:tcW w:w="19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31"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46" w:type="dxa"/>
            <w:tcBorders/>
            <w:vAlign w:val="center"/>
          </w:tcPr>
          <w:p>
            <w:pPr>
              <w:pStyle w:val="TableContents"/>
              <w:bidi w:val="0"/>
              <w:spacing w:before="0" w:after="1"/>
              <w:ind w:left="0" w:right="0" w:hanging="0"/>
              <w:jc w:val="left"/>
              <w:rPr/>
            </w:pPr>
            <w:r>
              <w:rPr/>
              <w:t>  ​ ​ ​</w:t>
            </w:r>
          </w:p>
        </w:tc>
        <w:tc>
          <w:tcPr>
            <w:tcW w:w="346" w:type="dxa"/>
            <w:tcBorders/>
            <w:vAlign w:val="center"/>
          </w:tcPr>
          <w:p>
            <w:pPr>
              <w:pStyle w:val="TableContents"/>
              <w:bidi w:val="0"/>
              <w:spacing w:before="0" w:after="1"/>
              <w:ind w:left="0" w:right="0" w:hanging="0"/>
              <w:jc w:val="center"/>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31" w:type="dxa"/>
            <w:tcBorders/>
            <w:vAlign w:val="center"/>
          </w:tcPr>
          <w:p>
            <w:pPr>
              <w:pStyle w:val="TableContents"/>
              <w:bidi w:val="0"/>
              <w:spacing w:before="0" w:after="1"/>
              <w:ind w:left="0" w:right="0" w:hanging="0"/>
              <w:jc w:val="left"/>
              <w:rPr/>
            </w:pPr>
            <w:r>
              <w:rPr/>
              <w:t>​</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46" w:type="dxa"/>
            <w:tcBorders/>
            <w:vAlign w:val="center"/>
          </w:tcPr>
          <w:p>
            <w:pPr>
              <w:pStyle w:val="TableContents"/>
              <w:bidi w:val="0"/>
              <w:spacing w:before="0" w:after="1"/>
              <w:ind w:left="0" w:right="0" w:hanging="0"/>
              <w:jc w:val="left"/>
              <w:rPr/>
            </w:pPr>
            <w:r>
              <w:rPr/>
              <w:t>  ​ ​ ​</w:t>
            </w:r>
          </w:p>
        </w:tc>
        <w:tc>
          <w:tcPr>
            <w:tcW w:w="391" w:type="dxa"/>
            <w:tcBorders/>
            <w:vAlign w:val="center"/>
          </w:tcPr>
          <w:p>
            <w:pPr>
              <w:pStyle w:val="TableContents"/>
              <w:bidi w:val="0"/>
              <w:spacing w:before="0" w:after="1"/>
              <w:ind w:left="0" w:right="0" w:hanging="0"/>
              <w:jc w:val="center"/>
              <w:rPr/>
            </w:pPr>
            <w:r>
              <w:rPr/>
              <w:t>  ​ ​ ​</w:t>
            </w:r>
          </w:p>
        </w:tc>
      </w:tr>
      <w:tr>
        <w:trPr/>
        <w:tc>
          <w:tcPr>
            <w:tcW w:w="1936" w:type="dxa"/>
            <w:tcBorders/>
            <w:shd w:fill="CCEEFF" w:val="clear"/>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Revenues:</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  ​</w:t>
            </w:r>
          </w:p>
        </w:tc>
        <w:tc>
          <w:tcPr>
            <w:tcW w:w="331"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  ​</w:t>
            </w:r>
          </w:p>
        </w:tc>
        <w:tc>
          <w:tcPr>
            <w:tcW w:w="331"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391" w:type="dxa"/>
            <w:tcBorders/>
            <w:shd w:fill="CCEEFF" w:val="clear"/>
            <w:vAlign w:val="center"/>
          </w:tcPr>
          <w:p>
            <w:pPr>
              <w:pStyle w:val="TableContents"/>
              <w:bidi w:val="0"/>
              <w:spacing w:before="0" w:after="1"/>
              <w:ind w:left="0" w:right="0" w:hanging="0"/>
              <w:jc w:val="left"/>
              <w:rPr/>
            </w:pPr>
            <w:r>
              <w:rPr/>
              <w:t> </w:t>
            </w:r>
          </w:p>
        </w:tc>
      </w:tr>
      <w:tr>
        <w:trPr/>
        <w:tc>
          <w:tcPr>
            <w:tcW w:w="193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Rooms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232,366</w:t>
            </w:r>
          </w:p>
        </w:tc>
        <w:tc>
          <w:tcPr>
            <w:tcW w:w="331"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200,900</w:t>
            </w:r>
          </w:p>
        </w:tc>
        <w:tc>
          <w:tcPr>
            <w:tcW w:w="34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15.7 </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456,124</w:t>
            </w:r>
          </w:p>
        </w:tc>
        <w:tc>
          <w:tcPr>
            <w:tcW w:w="331"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390,132</w:t>
            </w:r>
          </w:p>
        </w:tc>
        <w:tc>
          <w:tcPr>
            <w:tcW w:w="34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16.9 </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391" w:type="dxa"/>
            <w:tcBorders/>
            <w:vAlign w:val="center"/>
          </w:tcPr>
          <w:p>
            <w:pPr>
              <w:pStyle w:val="TableContents"/>
              <w:bidi w:val="0"/>
              <w:spacing w:before="0" w:after="1"/>
              <w:ind w:left="0" w:right="0" w:hanging="0"/>
              <w:jc w:val="left"/>
              <w:rPr/>
            </w:pPr>
            <w:r>
              <w:rPr/>
              <w:t>​</w:t>
            </w:r>
          </w:p>
        </w:tc>
      </w:tr>
      <w:tr>
        <w:trPr/>
        <w:tc>
          <w:tcPr>
            <w:tcW w:w="193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Food and beverage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296,437</w:t>
            </w:r>
          </w:p>
        </w:tc>
        <w:tc>
          <w:tcPr>
            <w:tcW w:w="331"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250,391</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18.4 </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585,784</w:t>
            </w:r>
          </w:p>
        </w:tc>
        <w:tc>
          <w:tcPr>
            <w:tcW w:w="331"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503,654</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16.3 </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193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hotel revenue</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76,161</w:t>
            </w:r>
          </w:p>
        </w:tc>
        <w:tc>
          <w:tcPr>
            <w:tcW w:w="331"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64,920</w:t>
            </w:r>
          </w:p>
        </w:tc>
        <w:tc>
          <w:tcPr>
            <w:tcW w:w="34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17.3 </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148,445</w:t>
            </w:r>
          </w:p>
        </w:tc>
        <w:tc>
          <w:tcPr>
            <w:tcW w:w="331"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120,155</w:t>
            </w:r>
          </w:p>
        </w:tc>
        <w:tc>
          <w:tcPr>
            <w:tcW w:w="34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23.5 </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391" w:type="dxa"/>
            <w:tcBorders/>
            <w:vAlign w:val="center"/>
          </w:tcPr>
          <w:p>
            <w:pPr>
              <w:pStyle w:val="TableContents"/>
              <w:bidi w:val="0"/>
              <w:spacing w:before="0" w:after="1"/>
              <w:ind w:left="0" w:right="0" w:hanging="0"/>
              <w:jc w:val="left"/>
              <w:rPr/>
            </w:pPr>
            <w:r>
              <w:rPr/>
              <w:t>​</w:t>
            </w:r>
          </w:p>
        </w:tc>
      </w:tr>
      <w:tr>
        <w:trPr/>
        <w:tc>
          <w:tcPr>
            <w:tcW w:w="193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hospitality revenue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604,964</w:t>
            </w:r>
          </w:p>
        </w:tc>
        <w:tc>
          <w:tcPr>
            <w:tcW w:w="331"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516,211</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17.2 </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1,190,353</w:t>
            </w:r>
          </w:p>
        </w:tc>
        <w:tc>
          <w:tcPr>
            <w:tcW w:w="331"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1,013,941</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17.4 </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1936" w:type="dxa"/>
            <w:tcBorders/>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Hospitality operating expenses: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  ​</w:t>
            </w:r>
          </w:p>
        </w:tc>
        <w:tc>
          <w:tcPr>
            <w:tcW w:w="331"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pPr>
            <w:r>
              <w:rPr/>
              <w:t>  ​</w:t>
            </w:r>
          </w:p>
        </w:tc>
        <w:tc>
          <w:tcPr>
            <w:tcW w:w="331"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91" w:type="dxa"/>
            <w:tcBorders/>
            <w:vAlign w:val="center"/>
          </w:tcPr>
          <w:p>
            <w:pPr>
              <w:pStyle w:val="TableContents"/>
              <w:bidi w:val="0"/>
              <w:spacing w:before="0" w:after="1"/>
              <w:ind w:left="0" w:right="0" w:hanging="0"/>
              <w:jc w:val="left"/>
              <w:rPr/>
            </w:pPr>
            <w:r>
              <w:rPr/>
              <w:t>​</w:t>
            </w:r>
          </w:p>
        </w:tc>
      </w:tr>
      <w:tr>
        <w:trPr/>
        <w:tc>
          <w:tcPr>
            <w:tcW w:w="193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Rooms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52,581</w:t>
            </w:r>
          </w:p>
        </w:tc>
        <w:tc>
          <w:tcPr>
            <w:tcW w:w="331"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47,238</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11.3 </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103,175</w:t>
            </w:r>
          </w:p>
        </w:tc>
        <w:tc>
          <w:tcPr>
            <w:tcW w:w="331"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93,527</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10.3 </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193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Food and beverage</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159,120</w:t>
            </w:r>
          </w:p>
        </w:tc>
        <w:tc>
          <w:tcPr>
            <w:tcW w:w="331"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136,152</w:t>
            </w:r>
          </w:p>
        </w:tc>
        <w:tc>
          <w:tcPr>
            <w:tcW w:w="34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16.9 </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317,283</w:t>
            </w:r>
          </w:p>
        </w:tc>
        <w:tc>
          <w:tcPr>
            <w:tcW w:w="331"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274,291</w:t>
            </w:r>
          </w:p>
        </w:tc>
        <w:tc>
          <w:tcPr>
            <w:tcW w:w="34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15.7 </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391" w:type="dxa"/>
            <w:tcBorders/>
            <w:vAlign w:val="center"/>
          </w:tcPr>
          <w:p>
            <w:pPr>
              <w:pStyle w:val="TableContents"/>
              <w:bidi w:val="0"/>
              <w:spacing w:before="0" w:after="1"/>
              <w:ind w:left="0" w:right="0" w:hanging="0"/>
              <w:jc w:val="left"/>
              <w:rPr/>
            </w:pPr>
            <w:r>
              <w:rPr/>
              <w:t>​</w:t>
            </w:r>
          </w:p>
        </w:tc>
      </w:tr>
      <w:tr>
        <w:trPr/>
        <w:tc>
          <w:tcPr>
            <w:tcW w:w="193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hotel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150,260</w:t>
            </w:r>
          </w:p>
        </w:tc>
        <w:tc>
          <w:tcPr>
            <w:tcW w:w="331"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130,588</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15.1 </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294,882</w:t>
            </w:r>
          </w:p>
        </w:tc>
        <w:tc>
          <w:tcPr>
            <w:tcW w:w="331"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254,512</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15.9 </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193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Management fees, net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22,142</w:t>
            </w:r>
          </w:p>
        </w:tc>
        <w:tc>
          <w:tcPr>
            <w:tcW w:w="331"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17,916</w:t>
            </w:r>
          </w:p>
        </w:tc>
        <w:tc>
          <w:tcPr>
            <w:tcW w:w="34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23.6 </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43,057</w:t>
            </w:r>
          </w:p>
        </w:tc>
        <w:tc>
          <w:tcPr>
            <w:tcW w:w="331"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36,379</w:t>
            </w:r>
          </w:p>
        </w:tc>
        <w:tc>
          <w:tcPr>
            <w:tcW w:w="34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18.4 </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391" w:type="dxa"/>
            <w:tcBorders/>
            <w:vAlign w:val="center"/>
          </w:tcPr>
          <w:p>
            <w:pPr>
              <w:pStyle w:val="TableContents"/>
              <w:bidi w:val="0"/>
              <w:spacing w:before="0" w:after="1"/>
              <w:ind w:left="0" w:right="0" w:hanging="0"/>
              <w:jc w:val="left"/>
              <w:rPr/>
            </w:pPr>
            <w:r>
              <w:rPr/>
              <w:t>​</w:t>
            </w:r>
          </w:p>
        </w:tc>
      </w:tr>
      <w:tr>
        <w:trPr/>
        <w:tc>
          <w:tcPr>
            <w:tcW w:w="193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67,218</w:t>
            </w:r>
          </w:p>
        </w:tc>
        <w:tc>
          <w:tcPr>
            <w:tcW w:w="331"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57,397</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17.1 </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133,226</w:t>
            </w:r>
          </w:p>
        </w:tc>
        <w:tc>
          <w:tcPr>
            <w:tcW w:w="331"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111,503</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19.5 </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193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Hospitality operating expenses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451,321</w:t>
            </w:r>
          </w:p>
        </w:tc>
        <w:tc>
          <w:tcPr>
            <w:tcW w:w="331"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389,291</w:t>
            </w:r>
          </w:p>
        </w:tc>
        <w:tc>
          <w:tcPr>
            <w:tcW w:w="34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15.9 </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891,623</w:t>
            </w:r>
          </w:p>
        </w:tc>
        <w:tc>
          <w:tcPr>
            <w:tcW w:w="331"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770,212</w:t>
            </w:r>
          </w:p>
        </w:tc>
        <w:tc>
          <w:tcPr>
            <w:tcW w:w="34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15.8 </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391" w:type="dxa"/>
            <w:tcBorders/>
            <w:vAlign w:val="center"/>
          </w:tcPr>
          <w:p>
            <w:pPr>
              <w:pStyle w:val="TableContents"/>
              <w:bidi w:val="0"/>
              <w:spacing w:before="0" w:after="1"/>
              <w:ind w:left="0" w:right="0" w:hanging="0"/>
              <w:jc w:val="left"/>
              <w:rPr/>
            </w:pPr>
            <w:r>
              <w:rPr/>
              <w:t>​</w:t>
            </w:r>
          </w:p>
        </w:tc>
      </w:tr>
      <w:tr>
        <w:trPr/>
        <w:tc>
          <w:tcPr>
            <w:tcW w:w="1936" w:type="dxa"/>
            <w:tcBorders/>
            <w:shd w:fill="CCEEFF" w:val="clear"/>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Hospitality operating income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153,643</w:t>
            </w:r>
          </w:p>
        </w:tc>
        <w:tc>
          <w:tcPr>
            <w:tcW w:w="331"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126,920</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21.1 </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298,730</w:t>
            </w:r>
          </w:p>
        </w:tc>
        <w:tc>
          <w:tcPr>
            <w:tcW w:w="331"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243,729</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22.6 </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1936" w:type="dxa"/>
            <w:tcBorders/>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Hospitality performance metrics: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  ​</w:t>
            </w:r>
          </w:p>
        </w:tc>
        <w:tc>
          <w:tcPr>
            <w:tcW w:w="331"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pPr>
            <w:r>
              <w:rPr/>
              <w:t>  ​</w:t>
            </w:r>
          </w:p>
        </w:tc>
        <w:tc>
          <w:tcPr>
            <w:tcW w:w="331"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91" w:type="dxa"/>
            <w:tcBorders/>
            <w:vAlign w:val="center"/>
          </w:tcPr>
          <w:p>
            <w:pPr>
              <w:pStyle w:val="TableContents"/>
              <w:bidi w:val="0"/>
              <w:spacing w:before="0" w:after="1"/>
              <w:ind w:left="0" w:right="0" w:hanging="0"/>
              <w:jc w:val="left"/>
              <w:rPr/>
            </w:pPr>
            <w:r>
              <w:rPr/>
              <w:t>​</w:t>
            </w:r>
          </w:p>
        </w:tc>
      </w:tr>
      <w:tr>
        <w:trPr/>
        <w:tc>
          <w:tcPr>
            <w:tcW w:w="193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Occupancy</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72.7</w:t>
            </w:r>
          </w:p>
        </w:tc>
        <w:tc>
          <w:tcPr>
            <w:tcW w:w="33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73.3</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(0.6)</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70.4</w:t>
            </w:r>
          </w:p>
        </w:tc>
        <w:tc>
          <w:tcPr>
            <w:tcW w:w="33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71.5</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pts</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193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ADR</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284.05</w:t>
            </w:r>
          </w:p>
        </w:tc>
        <w:tc>
          <w:tcPr>
            <w:tcW w:w="331"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258.88</w:t>
            </w:r>
          </w:p>
        </w:tc>
        <w:tc>
          <w:tcPr>
            <w:tcW w:w="34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9.7 </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289.42</w:t>
            </w:r>
          </w:p>
        </w:tc>
        <w:tc>
          <w:tcPr>
            <w:tcW w:w="331"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261.53</w:t>
            </w:r>
          </w:p>
        </w:tc>
        <w:tc>
          <w:tcPr>
            <w:tcW w:w="34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10.7 </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391" w:type="dxa"/>
            <w:tcBorders/>
            <w:vAlign w:val="center"/>
          </w:tcPr>
          <w:p>
            <w:pPr>
              <w:pStyle w:val="TableContents"/>
              <w:bidi w:val="0"/>
              <w:spacing w:before="0" w:after="1"/>
              <w:ind w:left="0" w:right="0" w:hanging="0"/>
              <w:jc w:val="left"/>
              <w:rPr/>
            </w:pPr>
            <w:r>
              <w:rPr/>
              <w:t>​</w:t>
            </w:r>
          </w:p>
        </w:tc>
      </w:tr>
      <w:tr>
        <w:trPr/>
        <w:tc>
          <w:tcPr>
            <w:tcW w:w="193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RevPAR (1)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206.52</w:t>
            </w:r>
          </w:p>
        </w:tc>
        <w:tc>
          <w:tcPr>
            <w:tcW w:w="331"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189.77</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8.8 </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203.82</w:t>
            </w:r>
          </w:p>
        </w:tc>
        <w:tc>
          <w:tcPr>
            <w:tcW w:w="331"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187.03</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9.0 </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193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RevPAR (2)</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537.69</w:t>
            </w:r>
          </w:p>
        </w:tc>
        <w:tc>
          <w:tcPr>
            <w:tcW w:w="331"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487.62</w:t>
            </w:r>
          </w:p>
        </w:tc>
        <w:tc>
          <w:tcPr>
            <w:tcW w:w="34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10.3 </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531.91</w:t>
            </w:r>
          </w:p>
        </w:tc>
        <w:tc>
          <w:tcPr>
            <w:tcW w:w="331"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486.10</w:t>
            </w:r>
          </w:p>
        </w:tc>
        <w:tc>
          <w:tcPr>
            <w:tcW w:w="34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9.4 </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391" w:type="dxa"/>
            <w:tcBorders/>
            <w:vAlign w:val="center"/>
          </w:tcPr>
          <w:p>
            <w:pPr>
              <w:pStyle w:val="TableContents"/>
              <w:bidi w:val="0"/>
              <w:spacing w:before="0" w:after="1"/>
              <w:ind w:left="0" w:right="0" w:hanging="0"/>
              <w:jc w:val="left"/>
              <w:rPr/>
            </w:pPr>
            <w:r>
              <w:rPr/>
              <w:t>​</w:t>
            </w:r>
          </w:p>
        </w:tc>
      </w:tr>
      <w:tr>
        <w:trPr/>
        <w:tc>
          <w:tcPr>
            <w:tcW w:w="193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Definite Group Room Nights Booked</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642,300</w:t>
            </w:r>
          </w:p>
        </w:tc>
        <w:tc>
          <w:tcPr>
            <w:tcW w:w="331"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552,682</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16.2 </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925,286</w:t>
            </w:r>
          </w:p>
        </w:tc>
        <w:tc>
          <w:tcPr>
            <w:tcW w:w="331"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757,876</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22.1 </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1936" w:type="dxa"/>
            <w:tcBorders/>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Same-store Hospitality performance metrics (3):</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w:t>
            </w:r>
          </w:p>
        </w:tc>
        <w:tc>
          <w:tcPr>
            <w:tcW w:w="331"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pPr>
            <w:r>
              <w:rPr/>
              <w:t>​</w:t>
            </w:r>
          </w:p>
        </w:tc>
        <w:tc>
          <w:tcPr>
            <w:tcW w:w="331"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391" w:type="dxa"/>
            <w:tcBorders/>
            <w:vAlign w:val="center"/>
          </w:tcPr>
          <w:p>
            <w:pPr>
              <w:pStyle w:val="TableContents"/>
              <w:bidi w:val="0"/>
              <w:spacing w:before="0" w:after="1"/>
              <w:ind w:left="0" w:right="0" w:hanging="0"/>
              <w:jc w:val="left"/>
              <w:rPr/>
            </w:pPr>
            <w:r>
              <w:rPr/>
              <w:t>​</w:t>
            </w:r>
          </w:p>
        </w:tc>
      </w:tr>
      <w:tr>
        <w:trPr/>
        <w:tc>
          <w:tcPr>
            <w:tcW w:w="193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Occupancy</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72.8</w:t>
            </w:r>
          </w:p>
        </w:tc>
        <w:tc>
          <w:tcPr>
            <w:tcW w:w="33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74.0</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70.2</w:t>
            </w:r>
          </w:p>
        </w:tc>
        <w:tc>
          <w:tcPr>
            <w:tcW w:w="33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71.8</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pts</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193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ADR</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277.19</w:t>
            </w:r>
          </w:p>
        </w:tc>
        <w:tc>
          <w:tcPr>
            <w:tcW w:w="331"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259.19</w:t>
            </w:r>
          </w:p>
        </w:tc>
        <w:tc>
          <w:tcPr>
            <w:tcW w:w="34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6.9</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277.47</w:t>
            </w:r>
          </w:p>
        </w:tc>
        <w:tc>
          <w:tcPr>
            <w:tcW w:w="331"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261.71</w:t>
            </w:r>
          </w:p>
        </w:tc>
        <w:tc>
          <w:tcPr>
            <w:tcW w:w="34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6.0 </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c>
          <w:tcPr>
            <w:tcW w:w="391" w:type="dxa"/>
            <w:tcBorders/>
            <w:vAlign w:val="center"/>
          </w:tcPr>
          <w:p>
            <w:pPr>
              <w:pStyle w:val="TableContents"/>
              <w:bidi w:val="0"/>
              <w:spacing w:before="0" w:after="1"/>
              <w:ind w:left="0" w:right="0" w:hanging="0"/>
              <w:jc w:val="left"/>
              <w:rPr/>
            </w:pPr>
            <w:r>
              <w:rPr/>
              <w:t>​</w:t>
            </w:r>
          </w:p>
        </w:tc>
      </w:tr>
      <w:tr>
        <w:trPr/>
        <w:tc>
          <w:tcPr>
            <w:tcW w:w="193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RevPAR (1)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201.67</w:t>
            </w:r>
          </w:p>
        </w:tc>
        <w:tc>
          <w:tcPr>
            <w:tcW w:w="331"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191.70</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5.2</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194.91</w:t>
            </w:r>
          </w:p>
        </w:tc>
        <w:tc>
          <w:tcPr>
            <w:tcW w:w="331"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187.97</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3.7 </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193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RevPAR (2)</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524.05</w:t>
            </w:r>
          </w:p>
        </w:tc>
        <w:tc>
          <w:tcPr>
            <w:tcW w:w="331"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491.84</w:t>
            </w:r>
          </w:p>
        </w:tc>
        <w:tc>
          <w:tcPr>
            <w:tcW w:w="34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6.5</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511.07</w:t>
            </w:r>
          </w:p>
        </w:tc>
        <w:tc>
          <w:tcPr>
            <w:tcW w:w="331"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488.20</w:t>
            </w:r>
          </w:p>
        </w:tc>
        <w:tc>
          <w:tcPr>
            <w:tcW w:w="34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4.7 </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c>
          <w:tcPr>
            <w:tcW w:w="391" w:type="dxa"/>
            <w:tcBorders/>
            <w:vAlign w:val="center"/>
          </w:tcPr>
          <w:p>
            <w:pPr>
              <w:pStyle w:val="TableContents"/>
              <w:bidi w:val="0"/>
              <w:spacing w:before="0" w:after="1"/>
              <w:ind w:left="0" w:right="0" w:hanging="0"/>
              <w:jc w:val="left"/>
              <w:rPr/>
            </w:pPr>
            <w:r>
              <w:rPr/>
              <w:t>​</w:t>
            </w:r>
          </w:p>
        </w:tc>
      </w:tr>
      <w:tr>
        <w:trPr/>
        <w:tc>
          <w:tcPr>
            <w:tcW w:w="193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Definite Group Room Nights Booked</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589,929</w:t>
            </w:r>
          </w:p>
        </w:tc>
        <w:tc>
          <w:tcPr>
            <w:tcW w:w="331"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539,860</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9.3</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832,198</w:t>
            </w:r>
          </w:p>
        </w:tc>
        <w:tc>
          <w:tcPr>
            <w:tcW w:w="331"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745,054</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11.7 </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c>
          <w:tcPr>
            <w:tcW w:w="391" w:type="dxa"/>
            <w:tcBorders/>
            <w:shd w:fill="CCEEFF" w:val="clear"/>
            <w:vAlign w:val="center"/>
          </w:tcPr>
          <w:p>
            <w:pPr>
              <w:pStyle w:val="TableContents"/>
              <w:bidi w:val="0"/>
              <w:spacing w:before="0" w:after="1"/>
              <w:ind w:left="0" w:right="0" w:hanging="0"/>
              <w:jc w:val="left"/>
              <w:rPr/>
            </w:pPr>
            <w:r>
              <w:rPr/>
              <w:t>​</w:t>
            </w:r>
          </w:p>
        </w:tc>
      </w:tr>
    </w:tbl>
    <w:tbl>
      <w:tblPr>
        <w:tblW w:w="10205" w:type="dxa"/>
        <w:jc w:val="left"/>
        <w:tblInd w:w="0" w:type="dxa"/>
        <w:tblLayout w:type="fixed"/>
        <w:tblCellMar>
          <w:top w:w="0" w:type="dxa"/>
          <w:left w:w="0" w:type="dxa"/>
          <w:bottom w:w="0" w:type="dxa"/>
          <w:right w:w="0" w:type="dxa"/>
        </w:tblCellMar>
      </w:tblPr>
      <w:tblGrid>
        <w:gridCol w:w="311"/>
        <w:gridCol w:w="9894"/>
      </w:tblGrid>
      <w:tr>
        <w:trPr/>
        <w:tc>
          <w:tcPr>
            <w:tcW w:w="3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calculate Hospitality RevPAR by dividing room revenue by room nights available to guests for the period. Room nights available to guests include nights that rooms are out of service. Hospitality RevPAR is not comparable to similarly titled measures such as revenues.</w:t>
            </w:r>
          </w:p>
        </w:tc>
      </w:tr>
    </w:tbl>
    <w:tbl>
      <w:tblPr>
        <w:tblW w:w="10205" w:type="dxa"/>
        <w:jc w:val="left"/>
        <w:tblInd w:w="0" w:type="dxa"/>
        <w:tblLayout w:type="fixed"/>
        <w:tblCellMar>
          <w:top w:w="0" w:type="dxa"/>
          <w:left w:w="0" w:type="dxa"/>
          <w:bottom w:w="0" w:type="dxa"/>
          <w:right w:w="0" w:type="dxa"/>
        </w:tblCellMar>
      </w:tblPr>
      <w:tblGrid>
        <w:gridCol w:w="303"/>
        <w:gridCol w:w="9902"/>
      </w:tblGrid>
      <w:tr>
        <w:trPr/>
        <w:tc>
          <w:tcPr>
            <w:tcW w:w="3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calculate Hospitality Total RevPAR by dividing the sum of room, food and beverage, and other ancillary services revenue (which equals Hospitality segment revenue) by room nights available to guests for the period. Room nights available to guests include nights that rooms are out of service. Hospitality Total RevPAR is not comparable to similarly titled measures such as revenues.</w:t>
            </w:r>
          </w:p>
        </w:tc>
      </w:tr>
    </w:tbl>
    <w:tbl>
      <w:tblPr>
        <w:tblW w:w="10205" w:type="dxa"/>
        <w:jc w:val="left"/>
        <w:tblInd w:w="0" w:type="dxa"/>
        <w:tblLayout w:type="fixed"/>
        <w:tblCellMar>
          <w:top w:w="0" w:type="dxa"/>
          <w:left w:w="0" w:type="dxa"/>
          <w:bottom w:w="0" w:type="dxa"/>
          <w:right w:w="0" w:type="dxa"/>
        </w:tblCellMar>
      </w:tblPr>
      <w:tblGrid>
        <w:gridCol w:w="345"/>
        <w:gridCol w:w="9860"/>
      </w:tblGrid>
      <w:tr>
        <w:trPr/>
        <w:tc>
          <w:tcPr>
            <w:tcW w:w="3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8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Same-store Hospitality segment metrics do not include JW Marriott Desert Ridge, which we purchased on June 10, 2025.</w:t>
            </w:r>
          </w:p>
        </w:tc>
      </w:tr>
    </w:tbl>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Total Hospitality segment revenues in the three and six months ended June 30, 2026 include $10.1 million and $18.5 million, respectively, in attrition and cancellation fee revenue, an increase of $0.7 million and $2.3 million, respectively, in attrition and cancellation fee collections from the 2025 periods.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 percentage of group versus transient business based on rooms sold for our Hospitality segment for the periods presented was approximately as follows:</w:t>
      </w:r>
    </w:p>
    <w:tbl>
      <w:tblPr>
        <w:tblW w:w="5780" w:type="dxa"/>
        <w:jc w:val="left"/>
        <w:tblInd w:w="0" w:type="dxa"/>
        <w:tblLayout w:type="fixed"/>
        <w:tblCellMar>
          <w:top w:w="0" w:type="dxa"/>
          <w:left w:w="0" w:type="dxa"/>
          <w:bottom w:w="0" w:type="dxa"/>
          <w:right w:w="0" w:type="dxa"/>
        </w:tblCellMar>
      </w:tblPr>
      <w:tblGrid>
        <w:gridCol w:w="886"/>
        <w:gridCol w:w="346"/>
        <w:gridCol w:w="595"/>
        <w:gridCol w:w="460"/>
        <w:gridCol w:w="595"/>
        <w:gridCol w:w="361"/>
        <w:gridCol w:w="346"/>
        <w:gridCol w:w="524"/>
        <w:gridCol w:w="406"/>
        <w:gridCol w:w="524"/>
        <w:gridCol w:w="346"/>
        <w:gridCol w:w="391"/>
      </w:tblGrid>
      <w:tr>
        <w:trPr/>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562610" cy="175260"/>
                      <wp:effectExtent l="0" t="0" r="0" b="0"/>
                      <wp:wrapNone/>
                      <wp:docPr id="339" name="Frame339"/>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219710" cy="175260"/>
                      <wp:effectExtent l="0" t="0" r="0" b="0"/>
                      <wp:wrapNone/>
                      <wp:docPr id="340" name="Frame3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377825" cy="175260"/>
                      <wp:effectExtent l="0" t="0" r="0" b="0"/>
                      <wp:wrapNone/>
                      <wp:docPr id="341" name="Frame341"/>
                      <a:graphic xmlns:a="http://schemas.openxmlformats.org/drawingml/2006/main">
                        <a:graphicData uri="http://schemas.microsoft.com/office/word/2010/wordprocessingShape">
                          <wps:wsp>
                            <wps:cNvSpPr txBox="1"/>
                            <wps:spPr>
                              <a:xfrm>
                                <a:off x="0" y="0"/>
                                <a:ext cx="377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292100" cy="175260"/>
                      <wp:effectExtent l="0" t="0" r="0" b="0"/>
                      <wp:wrapNone/>
                      <wp:docPr id="342" name="Frame342"/>
                      <a:graphic xmlns:a="http://schemas.openxmlformats.org/drawingml/2006/main">
                        <a:graphicData uri="http://schemas.microsoft.com/office/word/2010/wordprocessingShape">
                          <wps:wsp>
                            <wps:cNvSpPr txBox="1"/>
                            <wps:spPr>
                              <a:xfrm>
                                <a:off x="0" y="0"/>
                                <a:ext cx="292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377825" cy="175260"/>
                      <wp:effectExtent l="0" t="0" r="0" b="0"/>
                      <wp:wrapNone/>
                      <wp:docPr id="343" name="Frame343"/>
                      <a:graphic xmlns:a="http://schemas.openxmlformats.org/drawingml/2006/main">
                        <a:graphicData uri="http://schemas.microsoft.com/office/word/2010/wordprocessingShape">
                          <wps:wsp>
                            <wps:cNvSpPr txBox="1"/>
                            <wps:spPr>
                              <a:xfrm>
                                <a:off x="0" y="0"/>
                                <a:ext cx="377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229235" cy="175260"/>
                      <wp:effectExtent l="0" t="0" r="0" b="0"/>
                      <wp:wrapNone/>
                      <wp:docPr id="344" name="Frame344"/>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219710" cy="175260"/>
                      <wp:effectExtent l="0" t="0" r="0" b="0"/>
                      <wp:wrapNone/>
                      <wp:docPr id="345" name="Frame3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332740" cy="175260"/>
                      <wp:effectExtent l="0" t="0" r="0" b="0"/>
                      <wp:wrapNone/>
                      <wp:docPr id="346" name="Frame346"/>
                      <a:graphic xmlns:a="http://schemas.openxmlformats.org/drawingml/2006/main">
                        <a:graphicData uri="http://schemas.microsoft.com/office/word/2010/wordprocessingShape">
                          <wps:wsp>
                            <wps:cNvSpPr txBox="1"/>
                            <wps:spPr>
                              <a:xfrm>
                                <a:off x="0" y="0"/>
                                <a:ext cx="332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257810" cy="175260"/>
                      <wp:effectExtent l="0" t="0" r="0" b="0"/>
                      <wp:wrapNone/>
                      <wp:docPr id="347" name="Frame347"/>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332740" cy="175260"/>
                      <wp:effectExtent l="0" t="0" r="0" b="0"/>
                      <wp:wrapNone/>
                      <wp:docPr id="348" name="Frame348"/>
                      <a:graphic xmlns:a="http://schemas.openxmlformats.org/drawingml/2006/main">
                        <a:graphicData uri="http://schemas.microsoft.com/office/word/2010/wordprocessingShape">
                          <wps:wsp>
                            <wps:cNvSpPr txBox="1"/>
                            <wps:spPr>
                              <a:xfrm>
                                <a:off x="0" y="0"/>
                                <a:ext cx="332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219710" cy="175260"/>
                      <wp:effectExtent l="0" t="0" r="0" b="0"/>
                      <wp:wrapNone/>
                      <wp:docPr id="349" name="Frame3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248285" cy="175260"/>
                      <wp:effectExtent l="0" t="0" r="0" b="0"/>
                      <wp:wrapNone/>
                      <wp:docPr id="350" name="Frame350"/>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8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650"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454"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46"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8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650"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454"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8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59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60" w:type="dxa"/>
            <w:tcBorders/>
            <w:vAlign w:val="center"/>
          </w:tcPr>
          <w:p>
            <w:pPr>
              <w:pStyle w:val="TableContents"/>
              <w:bidi w:val="0"/>
              <w:spacing w:before="0" w:after="0"/>
              <w:ind w:left="0" w:right="0" w:hanging="0"/>
              <w:jc w:val="left"/>
              <w:rPr/>
            </w:pPr>
            <w:r>
              <w:rPr/>
              <w:t>  ​ ​ ​</w:t>
            </w:r>
          </w:p>
        </w:tc>
        <w:tc>
          <w:tcPr>
            <w:tcW w:w="59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61" w:type="dxa"/>
            <w:tcBorders/>
            <w:vAlign w:val="center"/>
          </w:tcPr>
          <w:p>
            <w:pPr>
              <w:pStyle w:val="TableContents"/>
              <w:bidi w:val="0"/>
              <w:spacing w:before="0" w:after="0"/>
              <w:ind w:left="0" w:right="0" w:hanging="0"/>
              <w:jc w:val="left"/>
              <w:rPr/>
            </w:pPr>
            <w:r>
              <w:rPr/>
              <w:t>  ​ ​ ​</w:t>
            </w:r>
          </w:p>
        </w:tc>
        <w:tc>
          <w:tcPr>
            <w:tcW w:w="346" w:type="dxa"/>
            <w:tcBorders/>
            <w:vAlign w:val="center"/>
          </w:tcPr>
          <w:p>
            <w:pPr>
              <w:pStyle w:val="TableContents"/>
              <w:bidi w:val="0"/>
              <w:spacing w:before="0" w:after="0"/>
              <w:ind w:left="0" w:right="0" w:hanging="0"/>
              <w:jc w:val="left"/>
              <w:rPr/>
            </w:pPr>
            <w:r>
              <w:rPr/>
              <w:t>  ​ ​ ​</w:t>
            </w:r>
          </w:p>
        </w:tc>
        <w:tc>
          <w:tcPr>
            <w:tcW w:w="52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06" w:type="dxa"/>
            <w:tcBorders/>
            <w:vAlign w:val="center"/>
          </w:tcPr>
          <w:p>
            <w:pPr>
              <w:pStyle w:val="TableContents"/>
              <w:bidi w:val="0"/>
              <w:spacing w:before="0" w:after="0"/>
              <w:ind w:left="0" w:right="0" w:hanging="0"/>
              <w:jc w:val="left"/>
              <w:rPr/>
            </w:pPr>
            <w:r>
              <w:rPr/>
              <w:t>  ​ ​ ​</w:t>
            </w:r>
          </w:p>
        </w:tc>
        <w:tc>
          <w:tcPr>
            <w:tcW w:w="52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391" w:type="dxa"/>
            <w:tcBorders/>
            <w:vAlign w:val="center"/>
          </w:tcPr>
          <w:p>
            <w:pPr>
              <w:pStyle w:val="TableContents"/>
              <w:bidi w:val="0"/>
              <w:spacing w:before="0" w:after="0"/>
              <w:ind w:left="0" w:right="0" w:hanging="0"/>
              <w:jc w:val="left"/>
              <w:rPr/>
            </w:pPr>
            <w:r>
              <w:rPr/>
              <w:t>  ​ ​ ​</w:t>
            </w:r>
          </w:p>
        </w:tc>
      </w:tr>
      <w:tr>
        <w:trPr/>
        <w:tc>
          <w:tcPr>
            <w:tcW w:w="8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Group</w:t>
            </w:r>
          </w:p>
        </w:tc>
        <w:tc>
          <w:tcPr>
            <w:tcW w:w="346" w:type="dxa"/>
            <w:tcBorders/>
            <w:shd w:fill="CCEEFF" w:val="clear"/>
            <w:vAlign w:val="center"/>
          </w:tcPr>
          <w:p>
            <w:pPr>
              <w:pStyle w:val="TableContents"/>
              <w:bidi w:val="0"/>
              <w:spacing w:before="0" w:after="0"/>
              <w:ind w:left="0" w:right="0" w:hanging="0"/>
              <w:jc w:val="left"/>
              <w:rPr/>
            </w:pPr>
            <w:r>
              <w:rPr/>
              <w:t> </w:t>
            </w:r>
          </w:p>
        </w:tc>
        <w:tc>
          <w:tcPr>
            <w:tcW w:w="5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w:t>
            </w:r>
          </w:p>
        </w:tc>
        <w:tc>
          <w:tcPr>
            <w:tcW w:w="4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5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5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5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1" w:type="dxa"/>
            <w:tcBorders/>
            <w:shd w:fill="CCEEFF" w:val="clear"/>
            <w:vAlign w:val="center"/>
          </w:tcPr>
          <w:p>
            <w:pPr>
              <w:pStyle w:val="TableContents"/>
              <w:bidi w:val="0"/>
              <w:spacing w:before="0" w:after="0"/>
              <w:ind w:left="0" w:right="0" w:hanging="0"/>
              <w:jc w:val="left"/>
              <w:rPr/>
            </w:pPr>
            <w:r>
              <w:rPr/>
              <w:t> </w:t>
            </w:r>
          </w:p>
        </w:tc>
      </w:tr>
      <w:tr>
        <w:trPr/>
        <w:tc>
          <w:tcPr>
            <w:tcW w:w="8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Transient</w:t>
            </w:r>
          </w:p>
        </w:tc>
        <w:tc>
          <w:tcPr>
            <w:tcW w:w="346" w:type="dxa"/>
            <w:tcBorders/>
            <w:vAlign w:val="center"/>
          </w:tcPr>
          <w:p>
            <w:pPr>
              <w:pStyle w:val="TableContents"/>
              <w:bidi w:val="0"/>
              <w:spacing w:before="0" w:after="0"/>
              <w:ind w:left="0" w:right="0" w:hanging="0"/>
              <w:jc w:val="left"/>
              <w:rPr/>
            </w:pPr>
            <w:r>
              <w:rPr/>
              <w:t> </w:t>
            </w:r>
          </w:p>
        </w:tc>
        <w:tc>
          <w:tcPr>
            <w:tcW w:w="5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4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5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346" w:type="dxa"/>
            <w:tcBorders/>
            <w:vAlign w:val="center"/>
          </w:tcPr>
          <w:p>
            <w:pPr>
              <w:pStyle w:val="TableContents"/>
              <w:bidi w:val="0"/>
              <w:spacing w:before="0" w:after="0"/>
              <w:ind w:left="0" w:right="0" w:hanging="0"/>
              <w:jc w:val="left"/>
              <w:rPr/>
            </w:pPr>
            <w:r>
              <w:rPr/>
              <w:t> </w:t>
            </w:r>
          </w:p>
        </w:tc>
        <w:tc>
          <w:tcPr>
            <w:tcW w:w="5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5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1"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Other hotel expenses for the three and six months ended June 30, 2026 and 2025 consist of the following (in thousands):</w:t>
      </w:r>
    </w:p>
    <w:tbl>
      <w:tblPr>
        <w:tblW w:w="10205" w:type="dxa"/>
        <w:jc w:val="left"/>
        <w:tblInd w:w="0" w:type="dxa"/>
        <w:tblLayout w:type="fixed"/>
        <w:tblCellMar>
          <w:top w:w="0" w:type="dxa"/>
          <w:left w:w="0" w:type="dxa"/>
          <w:bottom w:w="0" w:type="dxa"/>
          <w:right w:w="0" w:type="dxa"/>
        </w:tblCellMar>
      </w:tblPr>
      <w:tblGrid>
        <w:gridCol w:w="1741"/>
        <w:gridCol w:w="346"/>
        <w:gridCol w:w="211"/>
        <w:gridCol w:w="781"/>
        <w:gridCol w:w="346"/>
        <w:gridCol w:w="211"/>
        <w:gridCol w:w="781"/>
        <w:gridCol w:w="346"/>
        <w:gridCol w:w="661"/>
        <w:gridCol w:w="361"/>
        <w:gridCol w:w="346"/>
        <w:gridCol w:w="211"/>
        <w:gridCol w:w="781"/>
        <w:gridCol w:w="346"/>
        <w:gridCol w:w="211"/>
        <w:gridCol w:w="781"/>
        <w:gridCol w:w="346"/>
        <w:gridCol w:w="661"/>
        <w:gridCol w:w="346"/>
        <w:gridCol w:w="391"/>
      </w:tblGrid>
      <w:tr>
        <w:trPr/>
        <w:tc>
          <w:tcPr>
            <w:tcW w:w="1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1105535" cy="175260"/>
                      <wp:effectExtent l="0" t="0" r="0" b="0"/>
                      <wp:wrapNone/>
                      <wp:docPr id="351" name="Frame351"/>
                      <a:graphic xmlns:a="http://schemas.openxmlformats.org/drawingml/2006/main">
                        <a:graphicData uri="http://schemas.microsoft.com/office/word/2010/wordprocessingShape">
                          <wps:wsp>
                            <wps:cNvSpPr txBox="1"/>
                            <wps:spPr>
                              <a:xfrm>
                                <a:off x="0" y="0"/>
                                <a:ext cx="1105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219710" cy="175260"/>
                      <wp:effectExtent l="0" t="0" r="0" b="0"/>
                      <wp:wrapNone/>
                      <wp:docPr id="352" name="Frame3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133985" cy="175260"/>
                      <wp:effectExtent l="0" t="0" r="0" b="0"/>
                      <wp:wrapNone/>
                      <wp:docPr id="353" name="Frame35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495935" cy="175260"/>
                      <wp:effectExtent l="0" t="0" r="0" b="0"/>
                      <wp:wrapNone/>
                      <wp:docPr id="354" name="Frame35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219710" cy="175260"/>
                      <wp:effectExtent l="0" t="0" r="0" b="0"/>
                      <wp:wrapNone/>
                      <wp:docPr id="355" name="Frame3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133985" cy="175260"/>
                      <wp:effectExtent l="0" t="0" r="0" b="0"/>
                      <wp:wrapNone/>
                      <wp:docPr id="356" name="Frame35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495935" cy="175260"/>
                      <wp:effectExtent l="0" t="0" r="0" b="0"/>
                      <wp:wrapNone/>
                      <wp:docPr id="357" name="Frame35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219710" cy="175260"/>
                      <wp:effectExtent l="0" t="0" r="0" b="0"/>
                      <wp:wrapNone/>
                      <wp:docPr id="358" name="Frame3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419735" cy="175260"/>
                      <wp:effectExtent l="0" t="0" r="0" b="0"/>
                      <wp:wrapNone/>
                      <wp:docPr id="359" name="Frame359"/>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229235" cy="175260"/>
                      <wp:effectExtent l="0" t="0" r="0" b="0"/>
                      <wp:wrapNone/>
                      <wp:docPr id="360" name="Frame360"/>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219710" cy="175260"/>
                      <wp:effectExtent l="0" t="0" r="0" b="0"/>
                      <wp:wrapNone/>
                      <wp:docPr id="361" name="Frame3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133985" cy="175260"/>
                      <wp:effectExtent l="0" t="0" r="0" b="0"/>
                      <wp:wrapNone/>
                      <wp:docPr id="362" name="Frame36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495935" cy="175260"/>
                      <wp:effectExtent l="0" t="0" r="0" b="0"/>
                      <wp:wrapNone/>
                      <wp:docPr id="363" name="Frame36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219710" cy="175260"/>
                      <wp:effectExtent l="0" t="0" r="0" b="0"/>
                      <wp:wrapNone/>
                      <wp:docPr id="364" name="Frame3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133985" cy="175260"/>
                      <wp:effectExtent l="0" t="0" r="0" b="0"/>
                      <wp:wrapNone/>
                      <wp:docPr id="365" name="Frame36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495935" cy="175260"/>
                      <wp:effectExtent l="0" t="0" r="0" b="0"/>
                      <wp:wrapNone/>
                      <wp:docPr id="366" name="Frame36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219710" cy="175260"/>
                      <wp:effectExtent l="0" t="0" r="0" b="0"/>
                      <wp:wrapNone/>
                      <wp:docPr id="367" name="Frame3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419735" cy="175260"/>
                      <wp:effectExtent l="0" t="0" r="0" b="0"/>
                      <wp:wrapNone/>
                      <wp:docPr id="368" name="Frame368"/>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219710" cy="175260"/>
                      <wp:effectExtent l="0" t="0" r="0" b="0"/>
                      <wp:wrapNone/>
                      <wp:docPr id="369" name="Frame3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248285" cy="175260"/>
                      <wp:effectExtent l="0" t="0" r="0" b="0"/>
                      <wp:wrapNone/>
                      <wp:docPr id="370" name="Frame370"/>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337" w:type="dxa"/>
            <w:gridSpan w:val="7"/>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337" w:type="dxa"/>
            <w:gridSpan w:val="7"/>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46"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337"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337"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6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61" w:type="dxa"/>
            <w:tcBorders/>
            <w:vAlign w:val="center"/>
          </w:tcPr>
          <w:p>
            <w:pPr>
              <w:pStyle w:val="TableContents"/>
              <w:bidi w:val="0"/>
              <w:spacing w:before="0" w:after="0"/>
              <w:ind w:left="0" w:right="0" w:hanging="0"/>
              <w:jc w:val="left"/>
              <w:rPr/>
            </w:pPr>
            <w:r>
              <w:rPr/>
              <w:t>  ​ ​ ​</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6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46" w:type="dxa"/>
            <w:tcBorders/>
            <w:vAlign w:val="center"/>
          </w:tcPr>
          <w:p>
            <w:pPr>
              <w:pStyle w:val="TableContents"/>
              <w:bidi w:val="0"/>
              <w:spacing w:before="0" w:after="0"/>
              <w:ind w:left="0" w:right="0" w:hanging="0"/>
              <w:jc w:val="left"/>
              <w:rPr/>
            </w:pPr>
            <w:r>
              <w:rPr/>
              <w:t>  ​ ​ ​</w:t>
            </w:r>
          </w:p>
        </w:tc>
        <w:tc>
          <w:tcPr>
            <w:tcW w:w="391" w:type="dxa"/>
            <w:tcBorders/>
            <w:vAlign w:val="center"/>
          </w:tcPr>
          <w:p>
            <w:pPr>
              <w:pStyle w:val="TableContents"/>
              <w:bidi w:val="0"/>
              <w:spacing w:before="0" w:after="0"/>
              <w:ind w:left="0" w:right="0" w:hanging="0"/>
              <w:jc w:val="center"/>
              <w:rPr/>
            </w:pPr>
            <w:r>
              <w:rPr/>
              <w:t>  ​ ​ ​</w:t>
            </w:r>
          </w:p>
        </w:tc>
      </w:tr>
      <w:tr>
        <w:trPr/>
        <w:tc>
          <w:tcPr>
            <w:tcW w:w="17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Administrative employment costs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58,074</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49,134</w:t>
            </w:r>
          </w:p>
        </w:tc>
        <w:tc>
          <w:tcPr>
            <w:tcW w:w="34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18.2 </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114,901</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97,634</w:t>
            </w:r>
          </w:p>
        </w:tc>
        <w:tc>
          <w:tcPr>
            <w:tcW w:w="34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17.7 </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Utilities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13,095</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11,974</w:t>
            </w:r>
          </w:p>
        </w:tc>
        <w:tc>
          <w:tcPr>
            <w:tcW w:w="34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9.4 </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25,755</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22,872</w:t>
            </w:r>
          </w:p>
        </w:tc>
        <w:tc>
          <w:tcPr>
            <w:tcW w:w="34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12.6 </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1" w:type="dxa"/>
            <w:tcBorders/>
            <w:vAlign w:val="center"/>
          </w:tcPr>
          <w:p>
            <w:pPr>
              <w:pStyle w:val="TableContents"/>
              <w:bidi w:val="0"/>
              <w:spacing w:before="0" w:after="0"/>
              <w:ind w:left="0" w:right="0" w:hanging="0"/>
              <w:jc w:val="left"/>
              <w:rPr/>
            </w:pPr>
            <w:r>
              <w:rPr/>
              <w:t>​</w:t>
            </w:r>
          </w:p>
        </w:tc>
      </w:tr>
      <w:tr>
        <w:trPr/>
        <w:tc>
          <w:tcPr>
            <w:tcW w:w="17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taxes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13,197</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12,508</w:t>
            </w:r>
          </w:p>
        </w:tc>
        <w:tc>
          <w:tcPr>
            <w:tcW w:w="34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5.5 </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26,357</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24,562</w:t>
            </w:r>
          </w:p>
        </w:tc>
        <w:tc>
          <w:tcPr>
            <w:tcW w:w="34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7.3 </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65,894</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56,972</w:t>
            </w:r>
          </w:p>
        </w:tc>
        <w:tc>
          <w:tcPr>
            <w:tcW w:w="34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15.7 </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127,869</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109,444</w:t>
            </w:r>
          </w:p>
        </w:tc>
        <w:tc>
          <w:tcPr>
            <w:tcW w:w="34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16.8 </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1" w:type="dxa"/>
            <w:tcBorders/>
            <w:vAlign w:val="center"/>
          </w:tcPr>
          <w:p>
            <w:pPr>
              <w:pStyle w:val="TableContents"/>
              <w:bidi w:val="0"/>
              <w:spacing w:before="0" w:after="0"/>
              <w:ind w:left="0" w:right="0" w:hanging="0"/>
              <w:jc w:val="left"/>
              <w:rPr/>
            </w:pPr>
            <w:r>
              <w:rPr/>
              <w:t>​</w:t>
            </w:r>
          </w:p>
        </w:tc>
      </w:tr>
      <w:tr>
        <w:trPr/>
        <w:tc>
          <w:tcPr>
            <w:tcW w:w="17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hotel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150,260</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130,588</w:t>
            </w:r>
          </w:p>
        </w:tc>
        <w:tc>
          <w:tcPr>
            <w:tcW w:w="34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15.1 </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294,882</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254,512</w:t>
            </w:r>
          </w:p>
        </w:tc>
        <w:tc>
          <w:tcPr>
            <w:tcW w:w="34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15.9 </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Each of the other hotel expense categories above increased in the three and six months ended June 30, 2026, as compared to the 2025 periods, primarily due to the addition of JW Marriott Desert Ridge. Administrative employment costs include salaries and benefits for hotel administrative functions, including, among others, senior management, accounting, human resources, sales, conference services, engineering and security. The increase in property taxes during the 2026 periods, as compared to the 2025 periods, also includes an increase at Gaylord Opryland due to the expiration of a previous tax abatement plan. The increase in other expenses, which include supplies, advertising, maintenance costs and consulting costs, during the 2026 periods, as compared to the 2025 periods, also includes an increase of various miscellaneous expenses at Gaylord Opryland associated with the increase in business levels.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Each of our management agreements with Marriott requires us to pay Marriott a base management fee based on the gross revenues from the applicable property for each fiscal year or portion thereof. The applicable percentage for our Gaylord Hotels properties, excluding Gaylord Rockies, is approximately 2% of gross revenues, Gaylord Rockies and JW Marriott Desert Ridge are approximately 3% of gross revenues, and JW Marriott Hill Country is approximately 3.5% of gross revenues. Additionally, we pay Marriott an incentive management fee based on the profitability of our hotels. In the three months ended June 30, 2026 and 2025, we incurred $14.7 million and $12.3 million, respectively, and in the six months ended June 30, 2026 and 2025, we incurred $28.7 million and $23.9 million, respectively, related to base management fees for our Hospitality segment. In the three months ended June 30, 2026 and 2025, we incurred $8.2 million and $6.4 million, respectively, and in the six months ended June 30, 2026 and 2025, we incurred $15.9 million and $14.0 million, respectively, related to incentive management fees for our Hospitality segment. Management fees are presented throughout this Quarterly Report on Form 10-Q net of the amortization of the deferred management rights proceeds discussed in Note 5, “Deferred Management Rights Proceeds,” to the Company’s Annual Report on Form 10-K for the year ended December 31, 2025.</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Total Hospitality segment depreciation and amortization expense increased in the three and six months ended June 30, 2026, as compared to the same periods in 2025, primarily due to the increase in depreciable assets associated with JW Marriott Desert Ridge, as well as increases in asset values at Gaylord Texan related to the ongoing rooms renovation and Gaylord Opryland related to the 2026 completion of a sports bar, pavilion and event lawn and the 2025 renovation of an existing ballroom and pre-function space.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 xml:space="preserve">Property-Level Results. </w:t>
      </w:r>
      <w:r>
        <w:rPr>
          <w:rFonts w:ascii="Times New Roman;Times;serif" w:hAnsi="Times New Roman;Times;serif"/>
          <w:sz w:val="20"/>
        </w:rPr>
        <w:t>The following presents the property-level financial results of our Hospitality segment for the three and six months ended June 30, 2026 and 2025.</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i/>
          <w:sz w:val="20"/>
        </w:rPr>
        <w:t xml:space="preserve">Gaylord Opryland Results. </w:t>
      </w:r>
      <w:r>
        <w:rPr>
          <w:rFonts w:ascii="Times New Roman;Times;serif" w:hAnsi="Times New Roman;Times;serif"/>
          <w:sz w:val="20"/>
        </w:rPr>
        <w:t>The results of Gaylord Opryland for the three and six months ended June 30, 2026 and 2025 are as follows (in thousands, except percentages and performance metrics):</w:t>
      </w:r>
    </w:p>
    <w:tbl>
      <w:tblPr>
        <w:tblW w:w="10205" w:type="dxa"/>
        <w:jc w:val="left"/>
        <w:tblInd w:w="0" w:type="dxa"/>
        <w:tblLayout w:type="fixed"/>
        <w:tblCellMar>
          <w:top w:w="0" w:type="dxa"/>
          <w:left w:w="0" w:type="dxa"/>
          <w:bottom w:w="0" w:type="dxa"/>
          <w:right w:w="0" w:type="dxa"/>
        </w:tblCellMar>
      </w:tblPr>
      <w:tblGrid>
        <w:gridCol w:w="2096"/>
        <w:gridCol w:w="346"/>
        <w:gridCol w:w="196"/>
        <w:gridCol w:w="691"/>
        <w:gridCol w:w="346"/>
        <w:gridCol w:w="196"/>
        <w:gridCol w:w="691"/>
        <w:gridCol w:w="346"/>
        <w:gridCol w:w="661"/>
        <w:gridCol w:w="346"/>
        <w:gridCol w:w="346"/>
        <w:gridCol w:w="196"/>
        <w:gridCol w:w="730"/>
        <w:gridCol w:w="346"/>
        <w:gridCol w:w="196"/>
        <w:gridCol w:w="730"/>
        <w:gridCol w:w="346"/>
        <w:gridCol w:w="661"/>
        <w:gridCol w:w="346"/>
        <w:gridCol w:w="393"/>
      </w:tblGrid>
      <w:tr>
        <w:trPr/>
        <w:tc>
          <w:tcPr>
            <w:tcW w:w="2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1330960" cy="175260"/>
                      <wp:effectExtent l="0" t="0" r="0" b="0"/>
                      <wp:wrapNone/>
                      <wp:docPr id="371" name="Frame371"/>
                      <a:graphic xmlns:a="http://schemas.openxmlformats.org/drawingml/2006/main">
                        <a:graphicData uri="http://schemas.microsoft.com/office/word/2010/wordprocessingShape">
                          <wps:wsp>
                            <wps:cNvSpPr txBox="1"/>
                            <wps:spPr>
                              <a:xfrm>
                                <a:off x="0" y="0"/>
                                <a:ext cx="1330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219710" cy="175260"/>
                      <wp:effectExtent l="0" t="0" r="0" b="0"/>
                      <wp:wrapNone/>
                      <wp:docPr id="372" name="Frame3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124460" cy="175260"/>
                      <wp:effectExtent l="0" t="0" r="0" b="0"/>
                      <wp:wrapNone/>
                      <wp:docPr id="373" name="Frame37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438785" cy="175260"/>
                      <wp:effectExtent l="0" t="0" r="0" b="0"/>
                      <wp:wrapNone/>
                      <wp:docPr id="374" name="Frame37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219710" cy="175260"/>
                      <wp:effectExtent l="0" t="0" r="0" b="0"/>
                      <wp:wrapNone/>
                      <wp:docPr id="375" name="Frame3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124460" cy="175260"/>
                      <wp:effectExtent l="0" t="0" r="0" b="0"/>
                      <wp:wrapNone/>
                      <wp:docPr id="376" name="Frame37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438785" cy="175260"/>
                      <wp:effectExtent l="0" t="0" r="0" b="0"/>
                      <wp:wrapNone/>
                      <wp:docPr id="377" name="Frame37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219710" cy="175260"/>
                      <wp:effectExtent l="0" t="0" r="0" b="0"/>
                      <wp:wrapNone/>
                      <wp:docPr id="378" name="Frame3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419735" cy="175260"/>
                      <wp:effectExtent l="0" t="0" r="0" b="0"/>
                      <wp:wrapNone/>
                      <wp:docPr id="379" name="Frame379"/>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219710" cy="175260"/>
                      <wp:effectExtent l="0" t="0" r="0" b="0"/>
                      <wp:wrapNone/>
                      <wp:docPr id="380" name="Frame3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219710" cy="175260"/>
                      <wp:effectExtent l="0" t="0" r="0" b="0"/>
                      <wp:wrapNone/>
                      <wp:docPr id="381" name="Frame3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124460" cy="175260"/>
                      <wp:effectExtent l="0" t="0" r="0" b="0"/>
                      <wp:wrapNone/>
                      <wp:docPr id="382" name="Frame38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463550" cy="175260"/>
                      <wp:effectExtent l="0" t="0" r="0" b="0"/>
                      <wp:wrapNone/>
                      <wp:docPr id="383" name="Frame383"/>
                      <a:graphic xmlns:a="http://schemas.openxmlformats.org/drawingml/2006/main">
                        <a:graphicData uri="http://schemas.microsoft.com/office/word/2010/wordprocessingShape">
                          <wps:wsp>
                            <wps:cNvSpPr txBox="1"/>
                            <wps:spPr>
                              <a:xfrm>
                                <a:off x="0" y="0"/>
                                <a:ext cx="4635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219710" cy="175260"/>
                      <wp:effectExtent l="0" t="0" r="0" b="0"/>
                      <wp:wrapNone/>
                      <wp:docPr id="384" name="Frame3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124460" cy="175260"/>
                      <wp:effectExtent l="0" t="0" r="0" b="0"/>
                      <wp:wrapNone/>
                      <wp:docPr id="385" name="Frame38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463550" cy="175260"/>
                      <wp:effectExtent l="0" t="0" r="0" b="0"/>
                      <wp:wrapNone/>
                      <wp:docPr id="386" name="Frame386"/>
                      <a:graphic xmlns:a="http://schemas.openxmlformats.org/drawingml/2006/main">
                        <a:graphicData uri="http://schemas.microsoft.com/office/word/2010/wordprocessingShape">
                          <wps:wsp>
                            <wps:cNvSpPr txBox="1"/>
                            <wps:spPr>
                              <a:xfrm>
                                <a:off x="0" y="0"/>
                                <a:ext cx="4635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219710" cy="175260"/>
                      <wp:effectExtent l="0" t="0" r="0" b="0"/>
                      <wp:wrapNone/>
                      <wp:docPr id="387" name="Frame3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419735" cy="175260"/>
                      <wp:effectExtent l="0" t="0" r="0" b="0"/>
                      <wp:wrapNone/>
                      <wp:docPr id="388" name="Frame388"/>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219710" cy="175260"/>
                      <wp:effectExtent l="0" t="0" r="0" b="0"/>
                      <wp:wrapNone/>
                      <wp:docPr id="389" name="Frame3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249555" cy="175260"/>
                      <wp:effectExtent l="0" t="0" r="0" b="0"/>
                      <wp:wrapNone/>
                      <wp:docPr id="390" name="Frame390"/>
                      <a:graphic xmlns:a="http://schemas.openxmlformats.org/drawingml/2006/main">
                        <a:graphicData uri="http://schemas.microsoft.com/office/word/2010/wordprocessingShape">
                          <wps:wsp>
                            <wps:cNvSpPr txBox="1"/>
                            <wps:spPr>
                              <a:xfrm>
                                <a:off x="0" y="0"/>
                                <a:ext cx="2495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0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127" w:type="dxa"/>
            <w:gridSpan w:val="7"/>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3205" w:type="dxa"/>
            <w:gridSpan w:val="7"/>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46" w:type="dxa"/>
            <w:tcBorders/>
            <w:vAlign w:val="center"/>
          </w:tcPr>
          <w:p>
            <w:pPr>
              <w:pStyle w:val="TableContents"/>
              <w:bidi w:val="0"/>
              <w:spacing w:before="0" w:after="1"/>
              <w:ind w:left="0" w:right="0" w:hanging="0"/>
              <w:jc w:val="left"/>
              <w:rPr/>
            </w:pPr>
            <w:r>
              <w:rPr/>
              <w:t>​</w:t>
            </w:r>
          </w:p>
        </w:tc>
        <w:tc>
          <w:tcPr>
            <w:tcW w:w="393" w:type="dxa"/>
            <w:tcBorders/>
            <w:vAlign w:val="center"/>
          </w:tcPr>
          <w:p>
            <w:pPr>
              <w:pStyle w:val="TableContents"/>
              <w:bidi w:val="0"/>
              <w:spacing w:before="0" w:after="1"/>
              <w:ind w:left="0" w:right="0" w:hanging="0"/>
              <w:jc w:val="left"/>
              <w:rPr/>
            </w:pPr>
            <w:r>
              <w:rPr/>
              <w:t>​</w:t>
            </w:r>
          </w:p>
        </w:tc>
      </w:tr>
      <w:tr>
        <w:trPr/>
        <w:tc>
          <w:tcPr>
            <w:tcW w:w="20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127"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3205"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1"/>
              <w:ind w:left="0" w:right="0" w:hanging="0"/>
              <w:jc w:val="left"/>
              <w:rPr/>
            </w:pPr>
            <w:r>
              <w:rPr/>
              <w:t>​</w:t>
            </w:r>
          </w:p>
        </w:tc>
        <w:tc>
          <w:tcPr>
            <w:tcW w:w="393" w:type="dxa"/>
            <w:tcBorders/>
            <w:vAlign w:val="center"/>
          </w:tcPr>
          <w:p>
            <w:pPr>
              <w:pStyle w:val="TableContents"/>
              <w:bidi w:val="0"/>
              <w:spacing w:before="0" w:after="1"/>
              <w:ind w:left="0" w:right="0" w:hanging="0"/>
              <w:jc w:val="center"/>
              <w:rPr/>
            </w:pPr>
            <w:r>
              <w:rPr/>
              <w:t>​</w:t>
            </w:r>
          </w:p>
        </w:tc>
      </w:tr>
      <w:tr>
        <w:trPr/>
        <w:tc>
          <w:tcPr>
            <w:tcW w:w="20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66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center"/>
              <w:rPr/>
            </w:pPr>
            <w:r>
              <w:rPr/>
              <w:t>​</w:t>
            </w:r>
          </w:p>
        </w:tc>
        <w:tc>
          <w:tcPr>
            <w:tcW w:w="730"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730"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66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1"/>
              <w:ind w:left="0" w:right="0" w:hanging="0"/>
              <w:jc w:val="left"/>
              <w:rPr/>
            </w:pPr>
            <w:r>
              <w:rPr/>
              <w:t>​</w:t>
            </w:r>
          </w:p>
        </w:tc>
        <w:tc>
          <w:tcPr>
            <w:tcW w:w="393" w:type="dxa"/>
            <w:tcBorders/>
            <w:vAlign w:val="center"/>
          </w:tcPr>
          <w:p>
            <w:pPr>
              <w:pStyle w:val="TableContents"/>
              <w:bidi w:val="0"/>
              <w:spacing w:before="0" w:after="1"/>
              <w:ind w:left="0" w:right="0" w:hanging="0"/>
              <w:jc w:val="center"/>
              <w:rPr/>
            </w:pPr>
            <w:r>
              <w:rPr/>
              <w:t>​</w:t>
            </w:r>
          </w:p>
        </w:tc>
      </w:tr>
      <w:tr>
        <w:trPr/>
        <w:tc>
          <w:tcPr>
            <w:tcW w:w="20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46" w:type="dxa"/>
            <w:tcBorders/>
            <w:vAlign w:val="center"/>
          </w:tcPr>
          <w:p>
            <w:pPr>
              <w:pStyle w:val="TableContents"/>
              <w:bidi w:val="0"/>
              <w:spacing w:before="0" w:after="1"/>
              <w:ind w:left="0" w:right="0" w:hanging="0"/>
              <w:jc w:val="left"/>
              <w:rPr/>
            </w:pPr>
            <w:r>
              <w:rPr/>
              <w:t>  ​ ​ ​</w:t>
            </w:r>
          </w:p>
        </w:tc>
        <w:tc>
          <w:tcPr>
            <w:tcW w:w="346" w:type="dxa"/>
            <w:tcBorders/>
            <w:vAlign w:val="center"/>
          </w:tcPr>
          <w:p>
            <w:pPr>
              <w:pStyle w:val="TableContents"/>
              <w:bidi w:val="0"/>
              <w:spacing w:before="0" w:after="1"/>
              <w:ind w:left="0" w:right="0" w:hanging="0"/>
              <w:jc w:val="left"/>
              <w:rPr/>
            </w:pPr>
            <w:r>
              <w:rPr/>
              <w:t>  ​ ​ ​</w:t>
            </w:r>
          </w:p>
        </w:tc>
        <w:tc>
          <w:tcPr>
            <w:tcW w:w="9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9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46" w:type="dxa"/>
            <w:tcBorders/>
            <w:vAlign w:val="center"/>
          </w:tcPr>
          <w:p>
            <w:pPr>
              <w:pStyle w:val="TableContents"/>
              <w:bidi w:val="0"/>
              <w:spacing w:before="0" w:after="1"/>
              <w:ind w:left="0" w:right="0" w:hanging="0"/>
              <w:jc w:val="left"/>
              <w:rPr/>
            </w:pPr>
            <w:r>
              <w:rPr/>
              <w:t>  ​ ​ ​</w:t>
            </w:r>
          </w:p>
        </w:tc>
        <w:tc>
          <w:tcPr>
            <w:tcW w:w="393" w:type="dxa"/>
            <w:tcBorders/>
            <w:vAlign w:val="center"/>
          </w:tcPr>
          <w:p>
            <w:pPr>
              <w:pStyle w:val="TableContents"/>
              <w:bidi w:val="0"/>
              <w:spacing w:before="0" w:after="1"/>
              <w:ind w:left="0" w:right="0" w:hanging="0"/>
              <w:jc w:val="left"/>
              <w:rPr/>
            </w:pPr>
            <w:r>
              <w:rPr/>
              <w:t>  ​ ​ ​</w:t>
            </w:r>
          </w:p>
        </w:tc>
      </w:tr>
      <w:tr>
        <w:trPr/>
        <w:tc>
          <w:tcPr>
            <w:tcW w:w="20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Revenues:</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73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730"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393" w:type="dxa"/>
            <w:tcBorders/>
            <w:shd w:fill="CCEEFF" w:val="clear"/>
            <w:vAlign w:val="center"/>
          </w:tcPr>
          <w:p>
            <w:pPr>
              <w:pStyle w:val="TableContents"/>
              <w:bidi w:val="0"/>
              <w:spacing w:before="0" w:after="1"/>
              <w:ind w:left="0" w:right="0" w:hanging="0"/>
              <w:jc w:val="left"/>
              <w:rPr/>
            </w:pPr>
            <w:r>
              <w:rPr/>
              <w:t> </w:t>
            </w:r>
          </w:p>
        </w:tc>
      </w:tr>
      <w:tr>
        <w:trPr/>
        <w:tc>
          <w:tcPr>
            <w:tcW w:w="20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Rooms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 xml:space="preserve">52,084 </w:t>
            </w:r>
          </w:p>
        </w:tc>
        <w:tc>
          <w:tcPr>
            <w:tcW w:w="3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 xml:space="preserve">48,669 </w:t>
            </w:r>
          </w:p>
        </w:tc>
        <w:tc>
          <w:tcPr>
            <w:tcW w:w="34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 xml:space="preserve">7.0 </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30"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 xml:space="preserve">102,399 </w:t>
            </w:r>
          </w:p>
        </w:tc>
        <w:tc>
          <w:tcPr>
            <w:tcW w:w="3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30"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 xml:space="preserve">92,984 </w:t>
            </w:r>
          </w:p>
        </w:tc>
        <w:tc>
          <w:tcPr>
            <w:tcW w:w="34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10.1</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393" w:type="dxa"/>
            <w:tcBorders/>
            <w:vAlign w:val="center"/>
          </w:tcPr>
          <w:p>
            <w:pPr>
              <w:pStyle w:val="TableContents"/>
              <w:bidi w:val="0"/>
              <w:spacing w:before="0" w:after="1"/>
              <w:ind w:left="0" w:right="0" w:hanging="0"/>
              <w:jc w:val="left"/>
              <w:rPr/>
            </w:pPr>
            <w:r>
              <w:rPr/>
              <w:t>​</w:t>
            </w:r>
          </w:p>
        </w:tc>
      </w:tr>
      <w:tr>
        <w:trPr/>
        <w:tc>
          <w:tcPr>
            <w:tcW w:w="20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Food and beverage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 xml:space="preserve">55,347 </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 xml:space="preserve">51,469 </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7.5</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3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 xml:space="preserve">116,144 </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 </w:t>
            </w:r>
          </w:p>
        </w:tc>
        <w:tc>
          <w:tcPr>
            <w:tcW w:w="73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 xml:space="preserve">103,267 </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12.5</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393" w:type="dxa"/>
            <w:tcBorders/>
            <w:shd w:fill="CCEEFF" w:val="clear"/>
            <w:vAlign w:val="center"/>
          </w:tcPr>
          <w:p>
            <w:pPr>
              <w:pStyle w:val="TableContents"/>
              <w:bidi w:val="0"/>
              <w:spacing w:before="0" w:after="1"/>
              <w:ind w:left="0" w:right="0" w:hanging="0"/>
              <w:jc w:val="left"/>
              <w:rPr/>
            </w:pPr>
            <w:r>
              <w:rPr/>
              <w:t>​</w:t>
            </w:r>
          </w:p>
        </w:tc>
      </w:tr>
      <w:tr>
        <w:trPr/>
        <w:tc>
          <w:tcPr>
            <w:tcW w:w="20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hotel revenue</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 xml:space="preserve">17,759 </w:t>
            </w:r>
          </w:p>
        </w:tc>
        <w:tc>
          <w:tcPr>
            <w:tcW w:w="346" w:type="dxa"/>
            <w:tcBorders/>
            <w:vAlign w:val="center"/>
          </w:tcPr>
          <w:p>
            <w:pPr>
              <w:pStyle w:val="TableContents"/>
              <w:bidi w:val="0"/>
              <w:spacing w:before="0" w:after="1"/>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 xml:space="preserve">16,327 </w:t>
            </w:r>
          </w:p>
        </w:tc>
        <w:tc>
          <w:tcPr>
            <w:tcW w:w="34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8.8</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3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 xml:space="preserve">35,026 </w:t>
            </w:r>
          </w:p>
        </w:tc>
        <w:tc>
          <w:tcPr>
            <w:tcW w:w="346" w:type="dxa"/>
            <w:tcBorders/>
            <w:vAlign w:val="center"/>
          </w:tcPr>
          <w:p>
            <w:pPr>
              <w:pStyle w:val="TableContents"/>
              <w:bidi w:val="0"/>
              <w:spacing w:before="0" w:after="1"/>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3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 xml:space="preserve">30,392 </w:t>
            </w:r>
          </w:p>
        </w:tc>
        <w:tc>
          <w:tcPr>
            <w:tcW w:w="34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15.2</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393" w:type="dxa"/>
            <w:tcBorders/>
            <w:vAlign w:val="center"/>
          </w:tcPr>
          <w:p>
            <w:pPr>
              <w:pStyle w:val="TableContents"/>
              <w:bidi w:val="0"/>
              <w:spacing w:before="0" w:after="1"/>
              <w:ind w:left="0" w:right="0" w:hanging="0"/>
              <w:jc w:val="left"/>
              <w:rPr/>
            </w:pPr>
            <w:r>
              <w:rPr/>
              <w:t>​</w:t>
            </w:r>
          </w:p>
        </w:tc>
      </w:tr>
      <w:tr>
        <w:trPr/>
        <w:tc>
          <w:tcPr>
            <w:tcW w:w="20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revenue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125,190</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116,465</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7.5</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3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253,569</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 </w:t>
            </w:r>
          </w:p>
        </w:tc>
        <w:tc>
          <w:tcPr>
            <w:tcW w:w="73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226,643</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11.9</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393" w:type="dxa"/>
            <w:tcBorders/>
            <w:shd w:fill="CCEEFF" w:val="clear"/>
            <w:vAlign w:val="center"/>
          </w:tcPr>
          <w:p>
            <w:pPr>
              <w:pStyle w:val="TableContents"/>
              <w:bidi w:val="0"/>
              <w:spacing w:before="0" w:after="1"/>
              <w:ind w:left="0" w:right="0" w:hanging="0"/>
              <w:jc w:val="left"/>
              <w:rPr/>
            </w:pPr>
            <w:r>
              <w:rPr/>
              <w:t>​</w:t>
            </w:r>
          </w:p>
        </w:tc>
      </w:tr>
      <w:tr>
        <w:trPr/>
        <w:tc>
          <w:tcPr>
            <w:tcW w:w="20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Operating expenses: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3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 </w:t>
            </w:r>
          </w:p>
        </w:tc>
        <w:tc>
          <w:tcPr>
            <w:tcW w:w="730"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393" w:type="dxa"/>
            <w:tcBorders/>
            <w:vAlign w:val="center"/>
          </w:tcPr>
          <w:p>
            <w:pPr>
              <w:pStyle w:val="TableContents"/>
              <w:bidi w:val="0"/>
              <w:spacing w:before="0" w:after="1"/>
              <w:ind w:left="0" w:right="0" w:hanging="0"/>
              <w:jc w:val="left"/>
              <w:rPr/>
            </w:pPr>
            <w:r>
              <w:rPr/>
              <w:t>​</w:t>
            </w:r>
          </w:p>
        </w:tc>
      </w:tr>
      <w:tr>
        <w:trPr/>
        <w:tc>
          <w:tcPr>
            <w:tcW w:w="20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Rooms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10,834</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 xml:space="preserve">10,448 </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3.7</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3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 xml:space="preserve">21,587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3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 xml:space="preserve">20,551 </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5.0</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393" w:type="dxa"/>
            <w:tcBorders/>
            <w:shd w:fill="CCEEFF" w:val="clear"/>
            <w:vAlign w:val="center"/>
          </w:tcPr>
          <w:p>
            <w:pPr>
              <w:pStyle w:val="TableContents"/>
              <w:bidi w:val="0"/>
              <w:spacing w:before="0" w:after="1"/>
              <w:ind w:left="0" w:right="0" w:hanging="0"/>
              <w:jc w:val="left"/>
              <w:rPr/>
            </w:pPr>
            <w:r>
              <w:rPr/>
              <w:t>​</w:t>
            </w:r>
          </w:p>
        </w:tc>
      </w:tr>
      <w:tr>
        <w:trPr/>
        <w:tc>
          <w:tcPr>
            <w:tcW w:w="20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Food and beverage</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30,262</w:t>
            </w:r>
          </w:p>
        </w:tc>
        <w:tc>
          <w:tcPr>
            <w:tcW w:w="3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 xml:space="preserve">26,976 </w:t>
            </w:r>
          </w:p>
        </w:tc>
        <w:tc>
          <w:tcPr>
            <w:tcW w:w="34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12.2</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30"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 xml:space="preserve">62,712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30"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 xml:space="preserve">54,889 </w:t>
            </w:r>
          </w:p>
        </w:tc>
        <w:tc>
          <w:tcPr>
            <w:tcW w:w="34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14.3</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393" w:type="dxa"/>
            <w:tcBorders/>
            <w:vAlign w:val="center"/>
          </w:tcPr>
          <w:p>
            <w:pPr>
              <w:pStyle w:val="TableContents"/>
              <w:bidi w:val="0"/>
              <w:spacing w:before="0" w:after="1"/>
              <w:ind w:left="0" w:right="0" w:hanging="0"/>
              <w:jc w:val="left"/>
              <w:rPr/>
            </w:pPr>
            <w:r>
              <w:rPr/>
              <w:t>​</w:t>
            </w:r>
          </w:p>
        </w:tc>
      </w:tr>
      <w:tr>
        <w:trPr/>
        <w:tc>
          <w:tcPr>
            <w:tcW w:w="20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hotel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32,014</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 xml:space="preserve">30,346 </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5.5</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3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 xml:space="preserve">62,864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3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 xml:space="preserve">59,040 </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6.5</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393" w:type="dxa"/>
            <w:tcBorders/>
            <w:shd w:fill="CCEEFF" w:val="clear"/>
            <w:vAlign w:val="center"/>
          </w:tcPr>
          <w:p>
            <w:pPr>
              <w:pStyle w:val="TableContents"/>
              <w:bidi w:val="0"/>
              <w:spacing w:before="0" w:after="1"/>
              <w:ind w:left="0" w:right="0" w:hanging="0"/>
              <w:jc w:val="left"/>
              <w:rPr/>
            </w:pPr>
            <w:r>
              <w:rPr/>
              <w:t>​</w:t>
            </w:r>
          </w:p>
        </w:tc>
      </w:tr>
      <w:tr>
        <w:trPr/>
        <w:tc>
          <w:tcPr>
            <w:tcW w:w="20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Management fees, net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6,117</w:t>
            </w:r>
          </w:p>
        </w:tc>
        <w:tc>
          <w:tcPr>
            <w:tcW w:w="3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4,976</w:t>
            </w:r>
          </w:p>
        </w:tc>
        <w:tc>
          <w:tcPr>
            <w:tcW w:w="34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22.9</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30"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 xml:space="preserve">11,918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30"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10,286</w:t>
            </w:r>
          </w:p>
        </w:tc>
        <w:tc>
          <w:tcPr>
            <w:tcW w:w="34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15.9</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393" w:type="dxa"/>
            <w:tcBorders/>
            <w:vAlign w:val="center"/>
          </w:tcPr>
          <w:p>
            <w:pPr>
              <w:pStyle w:val="TableContents"/>
              <w:bidi w:val="0"/>
              <w:spacing w:before="0" w:after="1"/>
              <w:ind w:left="0" w:right="0" w:hanging="0"/>
              <w:jc w:val="left"/>
              <w:rPr/>
            </w:pPr>
            <w:r>
              <w:rPr/>
              <w:t>​</w:t>
            </w:r>
          </w:p>
        </w:tc>
      </w:tr>
      <w:tr>
        <w:trPr/>
        <w:tc>
          <w:tcPr>
            <w:tcW w:w="20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Depreciation and amortization</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9,396</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 xml:space="preserve">8,575 </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9.6</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3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 xml:space="preserve">18,099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3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 xml:space="preserve">16,635 </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8.8</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393" w:type="dxa"/>
            <w:tcBorders/>
            <w:shd w:fill="CCEEFF" w:val="clear"/>
            <w:vAlign w:val="center"/>
          </w:tcPr>
          <w:p>
            <w:pPr>
              <w:pStyle w:val="TableContents"/>
              <w:bidi w:val="0"/>
              <w:spacing w:before="0" w:after="1"/>
              <w:ind w:left="0" w:right="0" w:hanging="0"/>
              <w:jc w:val="left"/>
              <w:rPr/>
            </w:pPr>
            <w:r>
              <w:rPr/>
              <w:t>​</w:t>
            </w:r>
          </w:p>
        </w:tc>
      </w:tr>
      <w:tr>
        <w:trPr/>
        <w:tc>
          <w:tcPr>
            <w:tcW w:w="20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operating expenses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88,623</w:t>
            </w:r>
          </w:p>
        </w:tc>
        <w:tc>
          <w:tcPr>
            <w:tcW w:w="346" w:type="dxa"/>
            <w:tcBorders/>
            <w:vAlign w:val="center"/>
          </w:tcPr>
          <w:p>
            <w:pPr>
              <w:pStyle w:val="TableContents"/>
              <w:bidi w:val="0"/>
              <w:spacing w:before="0" w:after="1"/>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81,321</w:t>
            </w:r>
          </w:p>
        </w:tc>
        <w:tc>
          <w:tcPr>
            <w:tcW w:w="34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9.0</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3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177,180</w:t>
            </w:r>
          </w:p>
        </w:tc>
        <w:tc>
          <w:tcPr>
            <w:tcW w:w="346" w:type="dxa"/>
            <w:tcBorders/>
            <w:vAlign w:val="center"/>
          </w:tcPr>
          <w:p>
            <w:pPr>
              <w:pStyle w:val="TableContents"/>
              <w:bidi w:val="0"/>
              <w:spacing w:before="0" w:after="1"/>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3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161,401</w:t>
            </w:r>
          </w:p>
        </w:tc>
        <w:tc>
          <w:tcPr>
            <w:tcW w:w="34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9.8</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393" w:type="dxa"/>
            <w:tcBorders/>
            <w:vAlign w:val="center"/>
          </w:tcPr>
          <w:p>
            <w:pPr>
              <w:pStyle w:val="TableContents"/>
              <w:bidi w:val="0"/>
              <w:spacing w:before="0" w:after="1"/>
              <w:ind w:left="0" w:right="0" w:hanging="0"/>
              <w:jc w:val="left"/>
              <w:rPr/>
            </w:pPr>
            <w:r>
              <w:rPr/>
              <w:t>​</w:t>
            </w:r>
          </w:p>
        </w:tc>
      </w:tr>
      <w:tr>
        <w:trPr/>
        <w:tc>
          <w:tcPr>
            <w:tcW w:w="20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Operating income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36,567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35,144</w:t>
            </w:r>
          </w:p>
        </w:tc>
        <w:tc>
          <w:tcPr>
            <w:tcW w:w="346" w:type="dxa"/>
            <w:tcBorders/>
            <w:shd w:fill="CCEEFF" w:val="clear"/>
            <w:vAlign w:val="center"/>
          </w:tcPr>
          <w:p>
            <w:pPr>
              <w:pStyle w:val="TableContents"/>
              <w:bidi w:val="0"/>
              <w:spacing w:before="0" w:after="1"/>
              <w:ind w:left="0" w:right="0" w:hanging="0"/>
              <w:jc w:val="left"/>
              <w:rPr/>
            </w:pPr>
            <w:r>
              <w:rPr/>
              <w:t>​</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4.0</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3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76,389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3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65,242</w:t>
            </w:r>
          </w:p>
        </w:tc>
        <w:tc>
          <w:tcPr>
            <w:tcW w:w="346" w:type="dxa"/>
            <w:tcBorders/>
            <w:shd w:fill="CCEEFF" w:val="clear"/>
            <w:vAlign w:val="center"/>
          </w:tcPr>
          <w:p>
            <w:pPr>
              <w:pStyle w:val="TableContents"/>
              <w:bidi w:val="0"/>
              <w:spacing w:before="0" w:after="1"/>
              <w:ind w:left="0" w:right="0" w:hanging="0"/>
              <w:jc w:val="left"/>
              <w:rPr/>
            </w:pPr>
            <w:r>
              <w:rPr/>
              <w:t>​</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17.1</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393" w:type="dxa"/>
            <w:tcBorders/>
            <w:shd w:fill="CCEEFF" w:val="clear"/>
            <w:vAlign w:val="center"/>
          </w:tcPr>
          <w:p>
            <w:pPr>
              <w:pStyle w:val="TableContents"/>
              <w:bidi w:val="0"/>
              <w:spacing w:before="0" w:after="1"/>
              <w:ind w:left="0" w:right="0" w:hanging="0"/>
              <w:jc w:val="left"/>
              <w:rPr/>
            </w:pPr>
            <w:r>
              <w:rPr/>
              <w:t>​</w:t>
            </w:r>
          </w:p>
        </w:tc>
      </w:tr>
      <w:tr>
        <w:trPr/>
        <w:tc>
          <w:tcPr>
            <w:tcW w:w="20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Performance metrics: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30"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 </w:t>
            </w:r>
          </w:p>
        </w:tc>
        <w:tc>
          <w:tcPr>
            <w:tcW w:w="730"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393" w:type="dxa"/>
            <w:tcBorders/>
            <w:vAlign w:val="center"/>
          </w:tcPr>
          <w:p>
            <w:pPr>
              <w:pStyle w:val="TableContents"/>
              <w:bidi w:val="0"/>
              <w:spacing w:before="0" w:after="1"/>
              <w:ind w:left="0" w:right="0" w:hanging="0"/>
              <w:jc w:val="left"/>
              <w:rPr/>
            </w:pPr>
            <w:r>
              <w:rPr/>
              <w:t>​</w:t>
            </w:r>
          </w:p>
        </w:tc>
      </w:tr>
      <w:tr>
        <w:trPr/>
        <w:tc>
          <w:tcPr>
            <w:tcW w:w="20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Occupancy</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74.2</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75.2</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3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72.0</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196" w:type="dxa"/>
            <w:tcBorders/>
            <w:shd w:fill="CCEEFF" w:val="clear"/>
            <w:vAlign w:val="center"/>
          </w:tcPr>
          <w:p>
            <w:pPr>
              <w:pStyle w:val="TableContents"/>
              <w:bidi w:val="0"/>
              <w:spacing w:before="0" w:after="1"/>
              <w:ind w:left="0" w:right="0" w:hanging="0"/>
              <w:jc w:val="left"/>
              <w:rPr/>
            </w:pPr>
            <w:r>
              <w:rPr/>
              <w:t> </w:t>
            </w:r>
          </w:p>
        </w:tc>
        <w:tc>
          <w:tcPr>
            <w:tcW w:w="73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70.1</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pts</w:t>
            </w:r>
          </w:p>
        </w:tc>
        <w:tc>
          <w:tcPr>
            <w:tcW w:w="393" w:type="dxa"/>
            <w:tcBorders/>
            <w:shd w:fill="CCEEFF" w:val="clear"/>
            <w:vAlign w:val="center"/>
          </w:tcPr>
          <w:p>
            <w:pPr>
              <w:pStyle w:val="TableContents"/>
              <w:bidi w:val="0"/>
              <w:spacing w:before="0" w:after="1"/>
              <w:ind w:left="0" w:right="0" w:hanging="0"/>
              <w:jc w:val="left"/>
              <w:rPr/>
            </w:pPr>
            <w:r>
              <w:rPr/>
              <w:t>​</w:t>
            </w:r>
          </w:p>
        </w:tc>
      </w:tr>
      <w:tr>
        <w:trPr/>
        <w:tc>
          <w:tcPr>
            <w:tcW w:w="20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ADR</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266.96</w:t>
            </w:r>
          </w:p>
        </w:tc>
        <w:tc>
          <w:tcPr>
            <w:tcW w:w="3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246.17</w:t>
            </w:r>
          </w:p>
        </w:tc>
        <w:tc>
          <w:tcPr>
            <w:tcW w:w="34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8.4</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30"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272.09</w:t>
            </w:r>
          </w:p>
        </w:tc>
        <w:tc>
          <w:tcPr>
            <w:tcW w:w="3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30"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253.72</w:t>
            </w:r>
          </w:p>
        </w:tc>
        <w:tc>
          <w:tcPr>
            <w:tcW w:w="34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7.2</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393" w:type="dxa"/>
            <w:tcBorders/>
            <w:vAlign w:val="center"/>
          </w:tcPr>
          <w:p>
            <w:pPr>
              <w:pStyle w:val="TableContents"/>
              <w:bidi w:val="0"/>
              <w:spacing w:before="0" w:after="1"/>
              <w:ind w:left="0" w:right="0" w:hanging="0"/>
              <w:jc w:val="left"/>
              <w:rPr/>
            </w:pPr>
            <w:r>
              <w:rPr/>
              <w:t>​</w:t>
            </w:r>
          </w:p>
        </w:tc>
      </w:tr>
      <w:tr>
        <w:trPr/>
        <w:tc>
          <w:tcPr>
            <w:tcW w:w="20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RevPAR</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198.18</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185.19</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7.0</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3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195.89</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3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177.88</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10.1</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393" w:type="dxa"/>
            <w:tcBorders/>
            <w:shd w:fill="CCEEFF" w:val="clear"/>
            <w:vAlign w:val="center"/>
          </w:tcPr>
          <w:p>
            <w:pPr>
              <w:pStyle w:val="TableContents"/>
              <w:bidi w:val="0"/>
              <w:spacing w:before="0" w:after="1"/>
              <w:ind w:left="0" w:right="0" w:hanging="0"/>
              <w:jc w:val="left"/>
              <w:rPr/>
            </w:pPr>
            <w:r>
              <w:rPr/>
              <w:t>​</w:t>
            </w:r>
          </w:p>
        </w:tc>
      </w:tr>
      <w:tr>
        <w:trPr/>
        <w:tc>
          <w:tcPr>
            <w:tcW w:w="20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RevPAR</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476.36</w:t>
            </w:r>
          </w:p>
        </w:tc>
        <w:tc>
          <w:tcPr>
            <w:tcW w:w="3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443.16</w:t>
            </w:r>
          </w:p>
        </w:tc>
        <w:tc>
          <w:tcPr>
            <w:tcW w:w="34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7.5</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30"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485.09</w:t>
            </w:r>
          </w:p>
        </w:tc>
        <w:tc>
          <w:tcPr>
            <w:tcW w:w="3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30"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433.58</w:t>
            </w:r>
          </w:p>
        </w:tc>
        <w:tc>
          <w:tcPr>
            <w:tcW w:w="34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11.9</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393"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i/>
          <w:sz w:val="20"/>
        </w:rPr>
        <w:t xml:space="preserve">Gaylord Palms Results. </w:t>
      </w:r>
      <w:r>
        <w:rPr>
          <w:rFonts w:ascii="Times New Roman;Times;serif" w:hAnsi="Times New Roman;Times;serif"/>
          <w:sz w:val="20"/>
        </w:rPr>
        <w:t>The results of Gaylord Palms for the three and six months ended June 30, 2026 and 2025 are as follows (in thousands, except percentages and performance metrics):</w:t>
      </w:r>
    </w:p>
    <w:tbl>
      <w:tblPr>
        <w:tblW w:w="10085" w:type="dxa"/>
        <w:jc w:val="left"/>
        <w:tblInd w:w="0" w:type="dxa"/>
        <w:tblLayout w:type="fixed"/>
        <w:tblCellMar>
          <w:top w:w="0" w:type="dxa"/>
          <w:left w:w="0" w:type="dxa"/>
          <w:bottom w:w="0" w:type="dxa"/>
          <w:right w:w="0" w:type="dxa"/>
        </w:tblCellMar>
      </w:tblPr>
      <w:tblGrid>
        <w:gridCol w:w="2236"/>
        <w:gridCol w:w="346"/>
        <w:gridCol w:w="196"/>
        <w:gridCol w:w="601"/>
        <w:gridCol w:w="346"/>
        <w:gridCol w:w="196"/>
        <w:gridCol w:w="601"/>
        <w:gridCol w:w="346"/>
        <w:gridCol w:w="661"/>
        <w:gridCol w:w="346"/>
        <w:gridCol w:w="346"/>
        <w:gridCol w:w="196"/>
        <w:gridCol w:w="691"/>
        <w:gridCol w:w="346"/>
        <w:gridCol w:w="196"/>
        <w:gridCol w:w="691"/>
        <w:gridCol w:w="346"/>
        <w:gridCol w:w="661"/>
        <w:gridCol w:w="346"/>
        <w:gridCol w:w="391"/>
      </w:tblGrid>
      <w:tr>
        <w:trPr/>
        <w:tc>
          <w:tcPr>
            <w:tcW w:w="2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1419860" cy="175260"/>
                      <wp:effectExtent l="0" t="0" r="0" b="0"/>
                      <wp:wrapNone/>
                      <wp:docPr id="391" name="Frame391"/>
                      <a:graphic xmlns:a="http://schemas.openxmlformats.org/drawingml/2006/main">
                        <a:graphicData uri="http://schemas.microsoft.com/office/word/2010/wordprocessingShape">
                          <wps:wsp>
                            <wps:cNvSpPr txBox="1"/>
                            <wps:spPr>
                              <a:xfrm>
                                <a:off x="0" y="0"/>
                                <a:ext cx="1419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219710" cy="175260"/>
                      <wp:effectExtent l="0" t="0" r="0" b="0"/>
                      <wp:wrapNone/>
                      <wp:docPr id="392" name="Frame3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124460" cy="175260"/>
                      <wp:effectExtent l="0" t="0" r="0" b="0"/>
                      <wp:wrapNone/>
                      <wp:docPr id="393" name="Frame39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381635" cy="175260"/>
                      <wp:effectExtent l="0" t="0" r="0" b="0"/>
                      <wp:wrapNone/>
                      <wp:docPr id="394" name="Frame394"/>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219710" cy="175260"/>
                      <wp:effectExtent l="0" t="0" r="0" b="0"/>
                      <wp:wrapNone/>
                      <wp:docPr id="395" name="Frame3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124460" cy="175260"/>
                      <wp:effectExtent l="0" t="0" r="0" b="0"/>
                      <wp:wrapNone/>
                      <wp:docPr id="396" name="Frame39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381635" cy="175260"/>
                      <wp:effectExtent l="0" t="0" r="0" b="0"/>
                      <wp:wrapNone/>
                      <wp:docPr id="397" name="Frame397"/>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219710" cy="175260"/>
                      <wp:effectExtent l="0" t="0" r="0" b="0"/>
                      <wp:wrapNone/>
                      <wp:docPr id="398" name="Frame3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419735" cy="175260"/>
                      <wp:effectExtent l="0" t="0" r="0" b="0"/>
                      <wp:wrapNone/>
                      <wp:docPr id="399" name="Frame399"/>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219710" cy="175260"/>
                      <wp:effectExtent l="0" t="0" r="0" b="0"/>
                      <wp:wrapNone/>
                      <wp:docPr id="400" name="Frame4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219710" cy="175260"/>
                      <wp:effectExtent l="0" t="0" r="0" b="0"/>
                      <wp:wrapNone/>
                      <wp:docPr id="401" name="Frame4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124460" cy="175260"/>
                      <wp:effectExtent l="0" t="0" r="0" b="0"/>
                      <wp:wrapNone/>
                      <wp:docPr id="402" name="Frame40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438785" cy="175260"/>
                      <wp:effectExtent l="0" t="0" r="0" b="0"/>
                      <wp:wrapNone/>
                      <wp:docPr id="403" name="Frame40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219710" cy="175260"/>
                      <wp:effectExtent l="0" t="0" r="0" b="0"/>
                      <wp:wrapNone/>
                      <wp:docPr id="404" name="Frame4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124460" cy="175260"/>
                      <wp:effectExtent l="0" t="0" r="0" b="0"/>
                      <wp:wrapNone/>
                      <wp:docPr id="405" name="Frame40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438785" cy="175260"/>
                      <wp:effectExtent l="0" t="0" r="0" b="0"/>
                      <wp:wrapNone/>
                      <wp:docPr id="406" name="Frame40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219710" cy="175260"/>
                      <wp:effectExtent l="0" t="0" r="0" b="0"/>
                      <wp:wrapNone/>
                      <wp:docPr id="407" name="Frame4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419735" cy="175260"/>
                      <wp:effectExtent l="0" t="0" r="0" b="0"/>
                      <wp:wrapNone/>
                      <wp:docPr id="408" name="Frame408"/>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219710" cy="175260"/>
                      <wp:effectExtent l="0" t="0" r="0" b="0"/>
                      <wp:wrapNone/>
                      <wp:docPr id="409" name="Frame4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248285" cy="175260"/>
                      <wp:effectExtent l="0" t="0" r="0" b="0"/>
                      <wp:wrapNone/>
                      <wp:docPr id="410" name="Frame410"/>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2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947" w:type="dxa"/>
            <w:gridSpan w:val="7"/>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127" w:type="dxa"/>
            <w:gridSpan w:val="7"/>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46" w:type="dxa"/>
            <w:tcBorders/>
            <w:vAlign w:val="center"/>
          </w:tcPr>
          <w:p>
            <w:pPr>
              <w:pStyle w:val="TableContents"/>
              <w:bidi w:val="0"/>
              <w:spacing w:before="0" w:after="1"/>
              <w:ind w:left="0" w:right="0" w:hanging="0"/>
              <w:jc w:val="left"/>
              <w:rPr/>
            </w:pPr>
            <w:r>
              <w:rPr/>
              <w:t>​</w:t>
            </w:r>
          </w:p>
        </w:tc>
        <w:tc>
          <w:tcPr>
            <w:tcW w:w="391" w:type="dxa"/>
            <w:tcBorders/>
            <w:vAlign w:val="center"/>
          </w:tcPr>
          <w:p>
            <w:pPr>
              <w:pStyle w:val="TableContents"/>
              <w:bidi w:val="0"/>
              <w:spacing w:before="0" w:after="1"/>
              <w:ind w:left="0" w:right="0" w:hanging="0"/>
              <w:jc w:val="left"/>
              <w:rPr/>
            </w:pPr>
            <w:r>
              <w:rPr/>
              <w:t>​</w:t>
            </w:r>
          </w:p>
        </w:tc>
      </w:tr>
      <w:tr>
        <w:trPr/>
        <w:tc>
          <w:tcPr>
            <w:tcW w:w="22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947"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127"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1"/>
              <w:ind w:left="0" w:right="0" w:hanging="0"/>
              <w:jc w:val="left"/>
              <w:rPr/>
            </w:pPr>
            <w:r>
              <w:rPr/>
              <w:t>​</w:t>
            </w:r>
          </w:p>
        </w:tc>
        <w:tc>
          <w:tcPr>
            <w:tcW w:w="391" w:type="dxa"/>
            <w:tcBorders/>
            <w:vAlign w:val="center"/>
          </w:tcPr>
          <w:p>
            <w:pPr>
              <w:pStyle w:val="TableContents"/>
              <w:bidi w:val="0"/>
              <w:spacing w:before="0" w:after="1"/>
              <w:ind w:left="0" w:right="0" w:hanging="0"/>
              <w:jc w:val="left"/>
              <w:rPr/>
            </w:pPr>
            <w:r>
              <w:rPr/>
              <w:t>​</w:t>
            </w:r>
          </w:p>
        </w:tc>
      </w:tr>
      <w:tr>
        <w:trPr/>
        <w:tc>
          <w:tcPr>
            <w:tcW w:w="22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center"/>
              <w:rPr/>
            </w:pPr>
            <w:r>
              <w:rPr/>
              <w:t>​</w:t>
            </w:r>
          </w:p>
        </w:tc>
        <w:tc>
          <w:tcPr>
            <w:tcW w:w="60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60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66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66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1"/>
              <w:ind w:left="0" w:right="0" w:hanging="0"/>
              <w:jc w:val="left"/>
              <w:rPr/>
            </w:pPr>
            <w:r>
              <w:rPr/>
              <w:t>​</w:t>
            </w:r>
          </w:p>
        </w:tc>
        <w:tc>
          <w:tcPr>
            <w:tcW w:w="391" w:type="dxa"/>
            <w:tcBorders/>
            <w:vAlign w:val="center"/>
          </w:tcPr>
          <w:p>
            <w:pPr>
              <w:pStyle w:val="TableContents"/>
              <w:bidi w:val="0"/>
              <w:spacing w:before="0" w:after="1"/>
              <w:ind w:left="0" w:right="0" w:hanging="0"/>
              <w:jc w:val="left"/>
              <w:rPr/>
            </w:pPr>
            <w:r>
              <w:rPr/>
              <w:t>​</w:t>
            </w:r>
          </w:p>
        </w:tc>
      </w:tr>
      <w:tr>
        <w:trPr/>
        <w:tc>
          <w:tcPr>
            <w:tcW w:w="22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46" w:type="dxa"/>
            <w:tcBorders/>
            <w:vAlign w:val="center"/>
          </w:tcPr>
          <w:p>
            <w:pPr>
              <w:pStyle w:val="TableContents"/>
              <w:bidi w:val="0"/>
              <w:spacing w:before="0" w:after="1"/>
              <w:ind w:left="0" w:right="0" w:hanging="0"/>
              <w:jc w:val="left"/>
              <w:rPr/>
            </w:pPr>
            <w:r>
              <w:rPr/>
              <w:t>  ​ ​ ​</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46" w:type="dxa"/>
            <w:tcBorders/>
            <w:vAlign w:val="center"/>
          </w:tcPr>
          <w:p>
            <w:pPr>
              <w:pStyle w:val="TableContents"/>
              <w:bidi w:val="0"/>
              <w:spacing w:before="0" w:after="1"/>
              <w:ind w:left="0" w:right="0" w:hanging="0"/>
              <w:jc w:val="left"/>
              <w:rPr/>
            </w:pPr>
            <w:r>
              <w:rPr/>
              <w:t>  ​ ​ ​</w:t>
            </w:r>
          </w:p>
        </w:tc>
        <w:tc>
          <w:tcPr>
            <w:tcW w:w="391" w:type="dxa"/>
            <w:tcBorders/>
            <w:vAlign w:val="center"/>
          </w:tcPr>
          <w:p>
            <w:pPr>
              <w:pStyle w:val="TableContents"/>
              <w:bidi w:val="0"/>
              <w:spacing w:before="0" w:after="1"/>
              <w:ind w:left="0" w:right="0" w:hanging="0"/>
              <w:jc w:val="left"/>
              <w:rPr/>
            </w:pPr>
            <w:r>
              <w:rPr/>
              <w:t>  ​ ​ ​</w:t>
            </w:r>
          </w:p>
        </w:tc>
      </w:tr>
      <w:tr>
        <w:trPr/>
        <w:tc>
          <w:tcPr>
            <w:tcW w:w="22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Revenues:</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391" w:type="dxa"/>
            <w:tcBorders/>
            <w:shd w:fill="CCEEFF" w:val="clear"/>
            <w:vAlign w:val="center"/>
          </w:tcPr>
          <w:p>
            <w:pPr>
              <w:pStyle w:val="TableContents"/>
              <w:bidi w:val="0"/>
              <w:spacing w:before="0" w:after="1"/>
              <w:ind w:left="0" w:right="0" w:hanging="0"/>
              <w:jc w:val="left"/>
              <w:rPr/>
            </w:pPr>
            <w:r>
              <w:rPr/>
              <w:t> </w:t>
            </w:r>
          </w:p>
        </w:tc>
      </w:tr>
      <w:tr>
        <w:trPr/>
        <w:tc>
          <w:tcPr>
            <w:tcW w:w="22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Rooms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31,658</w:t>
            </w:r>
          </w:p>
        </w:tc>
        <w:tc>
          <w:tcPr>
            <w:tcW w:w="3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30,017</w:t>
            </w:r>
          </w:p>
        </w:tc>
        <w:tc>
          <w:tcPr>
            <w:tcW w:w="34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 xml:space="preserve">5.5 </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67,680</w:t>
            </w:r>
          </w:p>
        </w:tc>
        <w:tc>
          <w:tcPr>
            <w:tcW w:w="3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62,440</w:t>
            </w:r>
          </w:p>
        </w:tc>
        <w:tc>
          <w:tcPr>
            <w:tcW w:w="34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8.4</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391" w:type="dxa"/>
            <w:tcBorders/>
            <w:vAlign w:val="center"/>
          </w:tcPr>
          <w:p>
            <w:pPr>
              <w:pStyle w:val="TableContents"/>
              <w:bidi w:val="0"/>
              <w:spacing w:before="0" w:after="1"/>
              <w:ind w:left="0" w:right="0" w:hanging="0"/>
              <w:jc w:val="left"/>
              <w:rPr/>
            </w:pPr>
            <w:r>
              <w:rPr/>
              <w:t>​</w:t>
            </w:r>
          </w:p>
        </w:tc>
      </w:tr>
      <w:tr>
        <w:trPr/>
        <w:tc>
          <w:tcPr>
            <w:tcW w:w="22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Food and beverage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45,803</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33,218</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37.9</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95,910</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78,443</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22.3</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22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hotel revenue</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11,030</w:t>
            </w:r>
          </w:p>
        </w:tc>
        <w:tc>
          <w:tcPr>
            <w:tcW w:w="346" w:type="dxa"/>
            <w:tcBorders/>
            <w:vAlign w:val="center"/>
          </w:tcPr>
          <w:p>
            <w:pPr>
              <w:pStyle w:val="TableContents"/>
              <w:bidi w:val="0"/>
              <w:spacing w:before="0" w:after="1"/>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9,878</w:t>
            </w:r>
          </w:p>
        </w:tc>
        <w:tc>
          <w:tcPr>
            <w:tcW w:w="34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11.7</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22,547</w:t>
            </w:r>
          </w:p>
        </w:tc>
        <w:tc>
          <w:tcPr>
            <w:tcW w:w="346" w:type="dxa"/>
            <w:tcBorders/>
            <w:vAlign w:val="center"/>
          </w:tcPr>
          <w:p>
            <w:pPr>
              <w:pStyle w:val="TableContents"/>
              <w:bidi w:val="0"/>
              <w:spacing w:before="0" w:after="1"/>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20,623</w:t>
            </w:r>
          </w:p>
        </w:tc>
        <w:tc>
          <w:tcPr>
            <w:tcW w:w="34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9.3</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391" w:type="dxa"/>
            <w:tcBorders/>
            <w:vAlign w:val="center"/>
          </w:tcPr>
          <w:p>
            <w:pPr>
              <w:pStyle w:val="TableContents"/>
              <w:bidi w:val="0"/>
              <w:spacing w:before="0" w:after="1"/>
              <w:ind w:left="0" w:right="0" w:hanging="0"/>
              <w:jc w:val="left"/>
              <w:rPr/>
            </w:pPr>
            <w:r>
              <w:rPr/>
              <w:t>​</w:t>
            </w:r>
          </w:p>
        </w:tc>
      </w:tr>
      <w:tr>
        <w:trPr/>
        <w:tc>
          <w:tcPr>
            <w:tcW w:w="22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revenue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88,491</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73,113</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21.0</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186,137</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161,506</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15.3</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22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Operating expenses: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391" w:type="dxa"/>
            <w:tcBorders/>
            <w:vAlign w:val="center"/>
          </w:tcPr>
          <w:p>
            <w:pPr>
              <w:pStyle w:val="TableContents"/>
              <w:bidi w:val="0"/>
              <w:spacing w:before="0" w:after="1"/>
              <w:ind w:left="0" w:right="0" w:hanging="0"/>
              <w:jc w:val="left"/>
              <w:rPr/>
            </w:pPr>
            <w:r>
              <w:rPr/>
              <w:t>​</w:t>
            </w:r>
          </w:p>
        </w:tc>
      </w:tr>
      <w:tr>
        <w:trPr/>
        <w:tc>
          <w:tcPr>
            <w:tcW w:w="22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Rooms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7,168</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6,825</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5.0</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13,921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13,512</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22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Food and beverage</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23,773</w:t>
            </w:r>
          </w:p>
        </w:tc>
        <w:tc>
          <w:tcPr>
            <w:tcW w:w="3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19,431</w:t>
            </w:r>
          </w:p>
        </w:tc>
        <w:tc>
          <w:tcPr>
            <w:tcW w:w="34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22.3</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48,947</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42,617</w:t>
            </w:r>
          </w:p>
        </w:tc>
        <w:tc>
          <w:tcPr>
            <w:tcW w:w="34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14.9</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391" w:type="dxa"/>
            <w:tcBorders/>
            <w:vAlign w:val="center"/>
          </w:tcPr>
          <w:p>
            <w:pPr>
              <w:pStyle w:val="TableContents"/>
              <w:bidi w:val="0"/>
              <w:spacing w:before="0" w:after="1"/>
              <w:ind w:left="0" w:right="0" w:hanging="0"/>
              <w:jc w:val="left"/>
              <w:rPr/>
            </w:pPr>
            <w:r>
              <w:rPr/>
              <w:t>​</w:t>
            </w:r>
          </w:p>
        </w:tc>
      </w:tr>
      <w:tr>
        <w:trPr/>
        <w:tc>
          <w:tcPr>
            <w:tcW w:w="22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hotel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24,227</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21,998</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10.1</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48,140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45,264</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6.4</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22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Management fees, net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3,293</w:t>
            </w:r>
          </w:p>
        </w:tc>
        <w:tc>
          <w:tcPr>
            <w:tcW w:w="3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2,579</w:t>
            </w:r>
          </w:p>
        </w:tc>
        <w:tc>
          <w:tcPr>
            <w:tcW w:w="34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27.7</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6,541</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5,841</w:t>
            </w:r>
          </w:p>
        </w:tc>
        <w:tc>
          <w:tcPr>
            <w:tcW w:w="34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12.0</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391" w:type="dxa"/>
            <w:tcBorders/>
            <w:vAlign w:val="center"/>
          </w:tcPr>
          <w:p>
            <w:pPr>
              <w:pStyle w:val="TableContents"/>
              <w:bidi w:val="0"/>
              <w:spacing w:before="0" w:after="1"/>
              <w:ind w:left="0" w:right="0" w:hanging="0"/>
              <w:jc w:val="left"/>
              <w:rPr/>
            </w:pPr>
            <w:r>
              <w:rPr/>
              <w:t>​</w:t>
            </w:r>
          </w:p>
        </w:tc>
      </w:tr>
      <w:tr>
        <w:trPr/>
        <w:tc>
          <w:tcPr>
            <w:tcW w:w="22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Depreciation and amortization</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8,912</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8,609</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17,727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16,819</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5.4</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22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operating expenses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67,373</w:t>
            </w:r>
          </w:p>
        </w:tc>
        <w:tc>
          <w:tcPr>
            <w:tcW w:w="346" w:type="dxa"/>
            <w:tcBorders/>
            <w:vAlign w:val="center"/>
          </w:tcPr>
          <w:p>
            <w:pPr>
              <w:pStyle w:val="TableContents"/>
              <w:bidi w:val="0"/>
              <w:spacing w:before="0" w:after="1"/>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59,442</w:t>
            </w:r>
          </w:p>
        </w:tc>
        <w:tc>
          <w:tcPr>
            <w:tcW w:w="34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13.3</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135,276</w:t>
            </w:r>
          </w:p>
        </w:tc>
        <w:tc>
          <w:tcPr>
            <w:tcW w:w="346" w:type="dxa"/>
            <w:tcBorders/>
            <w:vAlign w:val="center"/>
          </w:tcPr>
          <w:p>
            <w:pPr>
              <w:pStyle w:val="TableContents"/>
              <w:bidi w:val="0"/>
              <w:spacing w:before="0" w:after="1"/>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124,053</w:t>
            </w:r>
          </w:p>
        </w:tc>
        <w:tc>
          <w:tcPr>
            <w:tcW w:w="34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9.0</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391" w:type="dxa"/>
            <w:tcBorders/>
            <w:vAlign w:val="center"/>
          </w:tcPr>
          <w:p>
            <w:pPr>
              <w:pStyle w:val="TableContents"/>
              <w:bidi w:val="0"/>
              <w:spacing w:before="0" w:after="1"/>
              <w:ind w:left="0" w:right="0" w:hanging="0"/>
              <w:jc w:val="left"/>
              <w:rPr/>
            </w:pPr>
            <w:r>
              <w:rPr/>
              <w:t>​</w:t>
            </w:r>
          </w:p>
        </w:tc>
      </w:tr>
      <w:tr>
        <w:trPr/>
        <w:tc>
          <w:tcPr>
            <w:tcW w:w="22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Operating income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21,118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13,671</w:t>
            </w:r>
          </w:p>
        </w:tc>
        <w:tc>
          <w:tcPr>
            <w:tcW w:w="346" w:type="dxa"/>
            <w:tcBorders/>
            <w:shd w:fill="CCEEFF" w:val="clear"/>
            <w:vAlign w:val="center"/>
          </w:tcPr>
          <w:p>
            <w:pPr>
              <w:pStyle w:val="TableContents"/>
              <w:bidi w:val="0"/>
              <w:spacing w:before="0" w:after="1"/>
              <w:ind w:left="0" w:right="0" w:hanging="0"/>
              <w:jc w:val="left"/>
              <w:rPr/>
            </w:pPr>
            <w:r>
              <w:rPr/>
              <w:t>​</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54.5</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50,861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37,453</w:t>
            </w:r>
          </w:p>
        </w:tc>
        <w:tc>
          <w:tcPr>
            <w:tcW w:w="346" w:type="dxa"/>
            <w:tcBorders/>
            <w:shd w:fill="CCEEFF" w:val="clear"/>
            <w:vAlign w:val="center"/>
          </w:tcPr>
          <w:p>
            <w:pPr>
              <w:pStyle w:val="TableContents"/>
              <w:bidi w:val="0"/>
              <w:spacing w:before="0" w:after="1"/>
              <w:ind w:left="0" w:right="0" w:hanging="0"/>
              <w:jc w:val="left"/>
              <w:rPr/>
            </w:pPr>
            <w:r>
              <w:rPr/>
              <w:t>​</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35.8</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22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Performance metrics: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391" w:type="dxa"/>
            <w:tcBorders/>
            <w:vAlign w:val="center"/>
          </w:tcPr>
          <w:p>
            <w:pPr>
              <w:pStyle w:val="TableContents"/>
              <w:bidi w:val="0"/>
              <w:spacing w:before="0" w:after="1"/>
              <w:ind w:left="0" w:right="0" w:hanging="0"/>
              <w:jc w:val="left"/>
              <w:rPr/>
            </w:pPr>
            <w:r>
              <w:rPr/>
              <w:t>​</w:t>
            </w:r>
          </w:p>
        </w:tc>
      </w:tr>
      <w:tr>
        <w:trPr/>
        <w:tc>
          <w:tcPr>
            <w:tcW w:w="22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Occupancy</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75.0</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78.9</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76.1</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77.4</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pts</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22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ADR</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270.06</w:t>
            </w:r>
          </w:p>
        </w:tc>
        <w:tc>
          <w:tcPr>
            <w:tcW w:w="3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243.35</w:t>
            </w:r>
          </w:p>
        </w:tc>
        <w:tc>
          <w:tcPr>
            <w:tcW w:w="34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11.0</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285.86</w:t>
            </w:r>
          </w:p>
        </w:tc>
        <w:tc>
          <w:tcPr>
            <w:tcW w:w="3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259.34</w:t>
            </w:r>
          </w:p>
        </w:tc>
        <w:tc>
          <w:tcPr>
            <w:tcW w:w="34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10.2</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391" w:type="dxa"/>
            <w:tcBorders/>
            <w:vAlign w:val="center"/>
          </w:tcPr>
          <w:p>
            <w:pPr>
              <w:pStyle w:val="TableContents"/>
              <w:bidi w:val="0"/>
              <w:spacing w:before="0" w:after="1"/>
              <w:ind w:left="0" w:right="0" w:hanging="0"/>
              <w:jc w:val="left"/>
              <w:rPr/>
            </w:pPr>
            <w:r>
              <w:rPr/>
              <w:t>​</w:t>
            </w:r>
          </w:p>
        </w:tc>
      </w:tr>
      <w:tr>
        <w:trPr/>
        <w:tc>
          <w:tcPr>
            <w:tcW w:w="22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RevPAR</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202.49</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192.00</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5.5</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217.65</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200.80</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8.4</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22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RevPAR</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566.02</w:t>
            </w:r>
          </w:p>
        </w:tc>
        <w:tc>
          <w:tcPr>
            <w:tcW w:w="3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467.66</w:t>
            </w:r>
          </w:p>
        </w:tc>
        <w:tc>
          <w:tcPr>
            <w:tcW w:w="34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21.0</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598.59</w:t>
            </w:r>
          </w:p>
        </w:tc>
        <w:tc>
          <w:tcPr>
            <w:tcW w:w="3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519.38</w:t>
            </w:r>
          </w:p>
        </w:tc>
        <w:tc>
          <w:tcPr>
            <w:tcW w:w="34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15.3</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391"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i/>
          <w:sz w:val="20"/>
        </w:rPr>
        <w:t xml:space="preserve">Gaylord Texan Results. </w:t>
      </w:r>
      <w:r>
        <w:rPr>
          <w:rFonts w:ascii="Times New Roman;Times;serif" w:hAnsi="Times New Roman;Times;serif"/>
          <w:sz w:val="20"/>
        </w:rPr>
        <w:t>The results of Gaylord Texan for the three and six months ended June 30, 2026 and 2025 are as follows (in thousands, except percentages and performance metrics):</w:t>
      </w:r>
    </w:p>
    <w:tbl>
      <w:tblPr>
        <w:tblW w:w="10085" w:type="dxa"/>
        <w:jc w:val="left"/>
        <w:tblInd w:w="0" w:type="dxa"/>
        <w:tblLayout w:type="fixed"/>
        <w:tblCellMar>
          <w:top w:w="0" w:type="dxa"/>
          <w:left w:w="0" w:type="dxa"/>
          <w:bottom w:w="0" w:type="dxa"/>
          <w:right w:w="0" w:type="dxa"/>
        </w:tblCellMar>
      </w:tblPr>
      <w:tblGrid>
        <w:gridCol w:w="2236"/>
        <w:gridCol w:w="346"/>
        <w:gridCol w:w="196"/>
        <w:gridCol w:w="601"/>
        <w:gridCol w:w="346"/>
        <w:gridCol w:w="196"/>
        <w:gridCol w:w="601"/>
        <w:gridCol w:w="346"/>
        <w:gridCol w:w="661"/>
        <w:gridCol w:w="346"/>
        <w:gridCol w:w="346"/>
        <w:gridCol w:w="196"/>
        <w:gridCol w:w="691"/>
        <w:gridCol w:w="346"/>
        <w:gridCol w:w="196"/>
        <w:gridCol w:w="691"/>
        <w:gridCol w:w="346"/>
        <w:gridCol w:w="661"/>
        <w:gridCol w:w="346"/>
        <w:gridCol w:w="391"/>
      </w:tblGrid>
      <w:tr>
        <w:trPr/>
        <w:tc>
          <w:tcPr>
            <w:tcW w:w="2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1419860" cy="175260"/>
                      <wp:effectExtent l="0" t="0" r="0" b="0"/>
                      <wp:wrapNone/>
                      <wp:docPr id="411" name="Frame411"/>
                      <a:graphic xmlns:a="http://schemas.openxmlformats.org/drawingml/2006/main">
                        <a:graphicData uri="http://schemas.microsoft.com/office/word/2010/wordprocessingShape">
                          <wps:wsp>
                            <wps:cNvSpPr txBox="1"/>
                            <wps:spPr>
                              <a:xfrm>
                                <a:off x="0" y="0"/>
                                <a:ext cx="1419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219710" cy="175260"/>
                      <wp:effectExtent l="0" t="0" r="0" b="0"/>
                      <wp:wrapNone/>
                      <wp:docPr id="412" name="Frame4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124460" cy="175260"/>
                      <wp:effectExtent l="0" t="0" r="0" b="0"/>
                      <wp:wrapNone/>
                      <wp:docPr id="413" name="Frame41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381635" cy="175260"/>
                      <wp:effectExtent l="0" t="0" r="0" b="0"/>
                      <wp:wrapNone/>
                      <wp:docPr id="414" name="Frame414"/>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219710" cy="175260"/>
                      <wp:effectExtent l="0" t="0" r="0" b="0"/>
                      <wp:wrapNone/>
                      <wp:docPr id="415" name="Frame4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124460" cy="175260"/>
                      <wp:effectExtent l="0" t="0" r="0" b="0"/>
                      <wp:wrapNone/>
                      <wp:docPr id="416" name="Frame41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381635" cy="175260"/>
                      <wp:effectExtent l="0" t="0" r="0" b="0"/>
                      <wp:wrapNone/>
                      <wp:docPr id="417" name="Frame417"/>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219710" cy="175260"/>
                      <wp:effectExtent l="0" t="0" r="0" b="0"/>
                      <wp:wrapNone/>
                      <wp:docPr id="418" name="Frame4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419735" cy="175260"/>
                      <wp:effectExtent l="0" t="0" r="0" b="0"/>
                      <wp:wrapNone/>
                      <wp:docPr id="419" name="Frame419"/>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219710" cy="175260"/>
                      <wp:effectExtent l="0" t="0" r="0" b="0"/>
                      <wp:wrapNone/>
                      <wp:docPr id="420" name="Frame4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219710" cy="175260"/>
                      <wp:effectExtent l="0" t="0" r="0" b="0"/>
                      <wp:wrapNone/>
                      <wp:docPr id="421" name="Frame4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124460" cy="175260"/>
                      <wp:effectExtent l="0" t="0" r="0" b="0"/>
                      <wp:wrapNone/>
                      <wp:docPr id="422" name="Frame42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438785" cy="175260"/>
                      <wp:effectExtent l="0" t="0" r="0" b="0"/>
                      <wp:wrapNone/>
                      <wp:docPr id="423" name="Frame42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219710" cy="175260"/>
                      <wp:effectExtent l="0" t="0" r="0" b="0"/>
                      <wp:wrapNone/>
                      <wp:docPr id="424" name="Frame4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124460" cy="175260"/>
                      <wp:effectExtent l="0" t="0" r="0" b="0"/>
                      <wp:wrapNone/>
                      <wp:docPr id="425" name="Frame42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438785" cy="175260"/>
                      <wp:effectExtent l="0" t="0" r="0" b="0"/>
                      <wp:wrapNone/>
                      <wp:docPr id="426" name="Frame42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219710" cy="175260"/>
                      <wp:effectExtent l="0" t="0" r="0" b="0"/>
                      <wp:wrapNone/>
                      <wp:docPr id="427" name="Frame4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419735" cy="175260"/>
                      <wp:effectExtent l="0" t="0" r="0" b="0"/>
                      <wp:wrapNone/>
                      <wp:docPr id="428" name="Frame428"/>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219710" cy="175260"/>
                      <wp:effectExtent l="0" t="0" r="0" b="0"/>
                      <wp:wrapNone/>
                      <wp:docPr id="429" name="Frame4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248285" cy="175260"/>
                      <wp:effectExtent l="0" t="0" r="0" b="0"/>
                      <wp:wrapNone/>
                      <wp:docPr id="430" name="Frame430"/>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2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947" w:type="dxa"/>
            <w:gridSpan w:val="7"/>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127" w:type="dxa"/>
            <w:gridSpan w:val="7"/>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46" w:type="dxa"/>
            <w:tcBorders/>
            <w:vAlign w:val="center"/>
          </w:tcPr>
          <w:p>
            <w:pPr>
              <w:pStyle w:val="TableContents"/>
              <w:bidi w:val="0"/>
              <w:spacing w:before="0" w:after="1"/>
              <w:ind w:left="0" w:right="0" w:hanging="0"/>
              <w:jc w:val="left"/>
              <w:rPr/>
            </w:pPr>
            <w:r>
              <w:rPr/>
              <w:t>​</w:t>
            </w:r>
          </w:p>
        </w:tc>
        <w:tc>
          <w:tcPr>
            <w:tcW w:w="391" w:type="dxa"/>
            <w:tcBorders/>
            <w:vAlign w:val="center"/>
          </w:tcPr>
          <w:p>
            <w:pPr>
              <w:pStyle w:val="TableContents"/>
              <w:bidi w:val="0"/>
              <w:spacing w:before="0" w:after="1"/>
              <w:ind w:left="0" w:right="0" w:hanging="0"/>
              <w:jc w:val="left"/>
              <w:rPr/>
            </w:pPr>
            <w:r>
              <w:rPr/>
              <w:t>​</w:t>
            </w:r>
          </w:p>
        </w:tc>
      </w:tr>
      <w:tr>
        <w:trPr/>
        <w:tc>
          <w:tcPr>
            <w:tcW w:w="22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947"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127"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1"/>
              <w:ind w:left="0" w:right="0" w:hanging="0"/>
              <w:jc w:val="left"/>
              <w:rPr/>
            </w:pPr>
            <w:r>
              <w:rPr/>
              <w:t>​</w:t>
            </w:r>
          </w:p>
        </w:tc>
        <w:tc>
          <w:tcPr>
            <w:tcW w:w="391" w:type="dxa"/>
            <w:tcBorders/>
            <w:vAlign w:val="center"/>
          </w:tcPr>
          <w:p>
            <w:pPr>
              <w:pStyle w:val="TableContents"/>
              <w:bidi w:val="0"/>
              <w:spacing w:before="0" w:after="1"/>
              <w:ind w:left="0" w:right="0" w:hanging="0"/>
              <w:jc w:val="left"/>
              <w:rPr/>
            </w:pPr>
            <w:r>
              <w:rPr/>
              <w:t>​</w:t>
            </w:r>
          </w:p>
        </w:tc>
      </w:tr>
      <w:tr>
        <w:trPr/>
        <w:tc>
          <w:tcPr>
            <w:tcW w:w="22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center"/>
              <w:rPr/>
            </w:pPr>
            <w:r>
              <w:rPr/>
              <w:t>​</w:t>
            </w:r>
          </w:p>
        </w:tc>
        <w:tc>
          <w:tcPr>
            <w:tcW w:w="60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60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66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66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1"/>
              <w:ind w:left="0" w:right="0" w:hanging="0"/>
              <w:jc w:val="left"/>
              <w:rPr/>
            </w:pPr>
            <w:r>
              <w:rPr/>
              <w:t>​</w:t>
            </w:r>
          </w:p>
        </w:tc>
        <w:tc>
          <w:tcPr>
            <w:tcW w:w="391" w:type="dxa"/>
            <w:tcBorders/>
            <w:vAlign w:val="center"/>
          </w:tcPr>
          <w:p>
            <w:pPr>
              <w:pStyle w:val="TableContents"/>
              <w:bidi w:val="0"/>
              <w:spacing w:before="0" w:after="1"/>
              <w:ind w:left="0" w:right="0" w:hanging="0"/>
              <w:jc w:val="left"/>
              <w:rPr/>
            </w:pPr>
            <w:r>
              <w:rPr/>
              <w:t>​</w:t>
            </w:r>
          </w:p>
        </w:tc>
      </w:tr>
      <w:tr>
        <w:trPr/>
        <w:tc>
          <w:tcPr>
            <w:tcW w:w="22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46" w:type="dxa"/>
            <w:tcBorders/>
            <w:vAlign w:val="center"/>
          </w:tcPr>
          <w:p>
            <w:pPr>
              <w:pStyle w:val="TableContents"/>
              <w:bidi w:val="0"/>
              <w:spacing w:before="0" w:after="1"/>
              <w:ind w:left="0" w:right="0" w:hanging="0"/>
              <w:jc w:val="left"/>
              <w:rPr/>
            </w:pPr>
            <w:r>
              <w:rPr/>
              <w:t>  ​ ​ ​</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46" w:type="dxa"/>
            <w:tcBorders/>
            <w:vAlign w:val="center"/>
          </w:tcPr>
          <w:p>
            <w:pPr>
              <w:pStyle w:val="TableContents"/>
              <w:bidi w:val="0"/>
              <w:spacing w:before="0" w:after="1"/>
              <w:ind w:left="0" w:right="0" w:hanging="0"/>
              <w:jc w:val="left"/>
              <w:rPr/>
            </w:pPr>
            <w:r>
              <w:rPr/>
              <w:t>  ​ ​ ​</w:t>
            </w:r>
          </w:p>
        </w:tc>
        <w:tc>
          <w:tcPr>
            <w:tcW w:w="391" w:type="dxa"/>
            <w:tcBorders/>
            <w:vAlign w:val="center"/>
          </w:tcPr>
          <w:p>
            <w:pPr>
              <w:pStyle w:val="TableContents"/>
              <w:bidi w:val="0"/>
              <w:spacing w:before="0" w:after="1"/>
              <w:ind w:left="0" w:right="0" w:hanging="0"/>
              <w:jc w:val="left"/>
              <w:rPr/>
            </w:pPr>
            <w:r>
              <w:rPr/>
              <w:t>  ​ ​ ​</w:t>
            </w:r>
          </w:p>
        </w:tc>
      </w:tr>
      <w:tr>
        <w:trPr/>
        <w:tc>
          <w:tcPr>
            <w:tcW w:w="22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Revenues:</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391" w:type="dxa"/>
            <w:tcBorders/>
            <w:shd w:fill="CCEEFF" w:val="clear"/>
            <w:vAlign w:val="center"/>
          </w:tcPr>
          <w:p>
            <w:pPr>
              <w:pStyle w:val="TableContents"/>
              <w:bidi w:val="0"/>
              <w:spacing w:before="0" w:after="1"/>
              <w:ind w:left="0" w:right="0" w:hanging="0"/>
              <w:jc w:val="left"/>
              <w:rPr/>
            </w:pPr>
            <w:r>
              <w:rPr/>
              <w:t> </w:t>
            </w:r>
          </w:p>
        </w:tc>
      </w:tr>
      <w:tr>
        <w:trPr/>
        <w:tc>
          <w:tcPr>
            <w:tcW w:w="22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Rooms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30,968</w:t>
            </w:r>
          </w:p>
        </w:tc>
        <w:tc>
          <w:tcPr>
            <w:tcW w:w="3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30,095</w:t>
            </w:r>
          </w:p>
        </w:tc>
        <w:tc>
          <w:tcPr>
            <w:tcW w:w="34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 xml:space="preserve">2.9 </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59,086</w:t>
            </w:r>
          </w:p>
        </w:tc>
        <w:tc>
          <w:tcPr>
            <w:tcW w:w="3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60,755</w:t>
            </w:r>
          </w:p>
        </w:tc>
        <w:tc>
          <w:tcPr>
            <w:tcW w:w="34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391" w:type="dxa"/>
            <w:tcBorders/>
            <w:vAlign w:val="center"/>
          </w:tcPr>
          <w:p>
            <w:pPr>
              <w:pStyle w:val="TableContents"/>
              <w:bidi w:val="0"/>
              <w:spacing w:before="0" w:after="1"/>
              <w:ind w:left="0" w:right="0" w:hanging="0"/>
              <w:jc w:val="left"/>
              <w:rPr/>
            </w:pPr>
            <w:r>
              <w:rPr/>
              <w:t>​</w:t>
            </w:r>
          </w:p>
        </w:tc>
      </w:tr>
      <w:tr>
        <w:trPr/>
        <w:tc>
          <w:tcPr>
            <w:tcW w:w="22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Food and beverage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42,540</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43,223</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88,933</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89,660</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(0.8)</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22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hotel revenue</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8,751</w:t>
            </w:r>
          </w:p>
        </w:tc>
        <w:tc>
          <w:tcPr>
            <w:tcW w:w="346" w:type="dxa"/>
            <w:tcBorders/>
            <w:vAlign w:val="center"/>
          </w:tcPr>
          <w:p>
            <w:pPr>
              <w:pStyle w:val="TableContents"/>
              <w:bidi w:val="0"/>
              <w:spacing w:before="0" w:after="1"/>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9,176</w:t>
            </w:r>
          </w:p>
        </w:tc>
        <w:tc>
          <w:tcPr>
            <w:tcW w:w="34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(4.6)</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17,611</w:t>
            </w:r>
          </w:p>
        </w:tc>
        <w:tc>
          <w:tcPr>
            <w:tcW w:w="346" w:type="dxa"/>
            <w:tcBorders/>
            <w:vAlign w:val="center"/>
          </w:tcPr>
          <w:p>
            <w:pPr>
              <w:pStyle w:val="TableContents"/>
              <w:bidi w:val="0"/>
              <w:spacing w:before="0" w:after="1"/>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18,456</w:t>
            </w:r>
          </w:p>
        </w:tc>
        <w:tc>
          <w:tcPr>
            <w:tcW w:w="34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(4.6)</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391" w:type="dxa"/>
            <w:tcBorders/>
            <w:vAlign w:val="center"/>
          </w:tcPr>
          <w:p>
            <w:pPr>
              <w:pStyle w:val="TableContents"/>
              <w:bidi w:val="0"/>
              <w:spacing w:before="0" w:after="1"/>
              <w:ind w:left="0" w:right="0" w:hanging="0"/>
              <w:jc w:val="left"/>
              <w:rPr/>
            </w:pPr>
            <w:r>
              <w:rPr/>
              <w:t>​</w:t>
            </w:r>
          </w:p>
        </w:tc>
      </w:tr>
      <w:tr>
        <w:trPr/>
        <w:tc>
          <w:tcPr>
            <w:tcW w:w="22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revenue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82,259</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82,494</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(0.3)</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165,630</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168,871</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22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Operating expenses: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391" w:type="dxa"/>
            <w:tcBorders/>
            <w:vAlign w:val="center"/>
          </w:tcPr>
          <w:p>
            <w:pPr>
              <w:pStyle w:val="TableContents"/>
              <w:bidi w:val="0"/>
              <w:spacing w:before="0" w:after="1"/>
              <w:ind w:left="0" w:right="0" w:hanging="0"/>
              <w:jc w:val="left"/>
              <w:rPr/>
            </w:pPr>
            <w:r>
              <w:rPr/>
              <w:t>​</w:t>
            </w:r>
          </w:p>
        </w:tc>
      </w:tr>
      <w:tr>
        <w:trPr/>
        <w:tc>
          <w:tcPr>
            <w:tcW w:w="22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Rooms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6,632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6,153</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7.8</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13,092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12,768</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22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Food and beverage</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22,279</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22,003</w:t>
            </w:r>
          </w:p>
        </w:tc>
        <w:tc>
          <w:tcPr>
            <w:tcW w:w="34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45,888</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45,443</w:t>
            </w:r>
          </w:p>
        </w:tc>
        <w:tc>
          <w:tcPr>
            <w:tcW w:w="34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391" w:type="dxa"/>
            <w:tcBorders/>
            <w:vAlign w:val="center"/>
          </w:tcPr>
          <w:p>
            <w:pPr>
              <w:pStyle w:val="TableContents"/>
              <w:bidi w:val="0"/>
              <w:spacing w:before="0" w:after="1"/>
              <w:ind w:left="0" w:right="0" w:hanging="0"/>
              <w:jc w:val="left"/>
              <w:rPr/>
            </w:pPr>
            <w:r>
              <w:rPr/>
              <w:t>​</w:t>
            </w:r>
          </w:p>
        </w:tc>
      </w:tr>
      <w:tr>
        <w:trPr/>
        <w:tc>
          <w:tcPr>
            <w:tcW w:w="22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hotel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19,345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20,096</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(3.7)</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38,702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39,521</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22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Management fees, net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2,794</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3,083</w:t>
            </w:r>
          </w:p>
        </w:tc>
        <w:tc>
          <w:tcPr>
            <w:tcW w:w="34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(9.4)</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5,609</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6,356</w:t>
            </w:r>
          </w:p>
        </w:tc>
        <w:tc>
          <w:tcPr>
            <w:tcW w:w="34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(11.8)</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391" w:type="dxa"/>
            <w:tcBorders/>
            <w:vAlign w:val="center"/>
          </w:tcPr>
          <w:p>
            <w:pPr>
              <w:pStyle w:val="TableContents"/>
              <w:bidi w:val="0"/>
              <w:spacing w:before="0" w:after="1"/>
              <w:ind w:left="0" w:right="0" w:hanging="0"/>
              <w:jc w:val="left"/>
              <w:rPr/>
            </w:pPr>
            <w:r>
              <w:rPr/>
              <w:t>​</w:t>
            </w:r>
          </w:p>
        </w:tc>
      </w:tr>
      <w:tr>
        <w:trPr/>
        <w:tc>
          <w:tcPr>
            <w:tcW w:w="22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Depreciation and amortization</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7,681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6,157</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24.8</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15,006</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12,086</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24.2</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22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operating expenses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58,731</w:t>
            </w:r>
          </w:p>
        </w:tc>
        <w:tc>
          <w:tcPr>
            <w:tcW w:w="346" w:type="dxa"/>
            <w:tcBorders/>
            <w:vAlign w:val="center"/>
          </w:tcPr>
          <w:p>
            <w:pPr>
              <w:pStyle w:val="TableContents"/>
              <w:bidi w:val="0"/>
              <w:spacing w:before="0" w:after="1"/>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57,492</w:t>
            </w:r>
          </w:p>
        </w:tc>
        <w:tc>
          <w:tcPr>
            <w:tcW w:w="34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118,297</w:t>
            </w:r>
          </w:p>
        </w:tc>
        <w:tc>
          <w:tcPr>
            <w:tcW w:w="346" w:type="dxa"/>
            <w:tcBorders/>
            <w:vAlign w:val="center"/>
          </w:tcPr>
          <w:p>
            <w:pPr>
              <w:pStyle w:val="TableContents"/>
              <w:bidi w:val="0"/>
              <w:spacing w:before="0" w:after="1"/>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116,174</w:t>
            </w:r>
          </w:p>
        </w:tc>
        <w:tc>
          <w:tcPr>
            <w:tcW w:w="34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391" w:type="dxa"/>
            <w:tcBorders/>
            <w:vAlign w:val="center"/>
          </w:tcPr>
          <w:p>
            <w:pPr>
              <w:pStyle w:val="TableContents"/>
              <w:bidi w:val="0"/>
              <w:spacing w:before="0" w:after="1"/>
              <w:ind w:left="0" w:right="0" w:hanging="0"/>
              <w:jc w:val="left"/>
              <w:rPr/>
            </w:pPr>
            <w:r>
              <w:rPr/>
              <w:t>​</w:t>
            </w:r>
          </w:p>
        </w:tc>
      </w:tr>
      <w:tr>
        <w:trPr/>
        <w:tc>
          <w:tcPr>
            <w:tcW w:w="22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Operating income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23,528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25,002</w:t>
            </w:r>
          </w:p>
        </w:tc>
        <w:tc>
          <w:tcPr>
            <w:tcW w:w="346" w:type="dxa"/>
            <w:tcBorders/>
            <w:shd w:fill="CCEEFF" w:val="clear"/>
            <w:vAlign w:val="center"/>
          </w:tcPr>
          <w:p>
            <w:pPr>
              <w:pStyle w:val="TableContents"/>
              <w:bidi w:val="0"/>
              <w:spacing w:before="0" w:after="1"/>
              <w:ind w:left="0" w:right="0" w:hanging="0"/>
              <w:jc w:val="left"/>
              <w:rPr/>
            </w:pPr>
            <w:r>
              <w:rPr/>
              <w:t>​</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(5.9)</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47,333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52,697</w:t>
            </w:r>
          </w:p>
        </w:tc>
        <w:tc>
          <w:tcPr>
            <w:tcW w:w="346" w:type="dxa"/>
            <w:tcBorders/>
            <w:shd w:fill="CCEEFF" w:val="clear"/>
            <w:vAlign w:val="center"/>
          </w:tcPr>
          <w:p>
            <w:pPr>
              <w:pStyle w:val="TableContents"/>
              <w:bidi w:val="0"/>
              <w:spacing w:before="0" w:after="1"/>
              <w:ind w:left="0" w:right="0" w:hanging="0"/>
              <w:jc w:val="left"/>
              <w:rPr/>
            </w:pPr>
            <w:r>
              <w:rPr/>
              <w:t>​</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(10.2)</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22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Performance metrics: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391" w:type="dxa"/>
            <w:tcBorders/>
            <w:vAlign w:val="center"/>
          </w:tcPr>
          <w:p>
            <w:pPr>
              <w:pStyle w:val="TableContents"/>
              <w:bidi w:val="0"/>
              <w:spacing w:before="0" w:after="1"/>
              <w:ind w:left="0" w:right="0" w:hanging="0"/>
              <w:jc w:val="left"/>
              <w:rPr/>
            </w:pPr>
            <w:r>
              <w:rPr/>
              <w:t>​</w:t>
            </w:r>
          </w:p>
        </w:tc>
      </w:tr>
      <w:tr>
        <w:trPr/>
        <w:tc>
          <w:tcPr>
            <w:tcW w:w="22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Occupancy</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69.9</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72.0</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67.7</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72.5</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(4.8)</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pts</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22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ADR</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268.51</w:t>
            </w:r>
          </w:p>
        </w:tc>
        <w:tc>
          <w:tcPr>
            <w:tcW w:w="3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253.06</w:t>
            </w:r>
          </w:p>
        </w:tc>
        <w:tc>
          <w:tcPr>
            <w:tcW w:w="34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6.1</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266.01</w:t>
            </w:r>
          </w:p>
        </w:tc>
        <w:tc>
          <w:tcPr>
            <w:tcW w:w="3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255.16</w:t>
            </w:r>
          </w:p>
        </w:tc>
        <w:tc>
          <w:tcPr>
            <w:tcW w:w="34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4.3</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391" w:type="dxa"/>
            <w:tcBorders/>
            <w:vAlign w:val="center"/>
          </w:tcPr>
          <w:p>
            <w:pPr>
              <w:pStyle w:val="TableContents"/>
              <w:bidi w:val="0"/>
              <w:spacing w:before="0" w:after="1"/>
              <w:ind w:left="0" w:right="0" w:hanging="0"/>
              <w:jc w:val="left"/>
              <w:rPr/>
            </w:pPr>
            <w:r>
              <w:rPr/>
              <w:t>​</w:t>
            </w:r>
          </w:p>
        </w:tc>
      </w:tr>
      <w:tr>
        <w:trPr/>
        <w:tc>
          <w:tcPr>
            <w:tcW w:w="22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RevPAR</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187.60</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182.32</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179.96</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185.04</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22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RevPAR</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498.32</w:t>
            </w:r>
          </w:p>
        </w:tc>
        <w:tc>
          <w:tcPr>
            <w:tcW w:w="3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499.74</w:t>
            </w:r>
          </w:p>
        </w:tc>
        <w:tc>
          <w:tcPr>
            <w:tcW w:w="34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(0.3)</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504.46</w:t>
            </w:r>
          </w:p>
        </w:tc>
        <w:tc>
          <w:tcPr>
            <w:tcW w:w="3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514.33</w:t>
            </w:r>
          </w:p>
        </w:tc>
        <w:tc>
          <w:tcPr>
            <w:tcW w:w="34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391"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i/>
          <w:sz w:val="20"/>
        </w:rPr>
        <w:t xml:space="preserve">Gaylord National Results. </w:t>
      </w:r>
      <w:r>
        <w:rPr>
          <w:rFonts w:ascii="Times New Roman;Times;serif" w:hAnsi="Times New Roman;Times;serif"/>
          <w:sz w:val="20"/>
        </w:rPr>
        <w:t>The results of Gaylord National for the three and six months ended June 30, 2026 and 2025 are as follows (in thousands, except percentages and performance metrics):</w:t>
      </w:r>
    </w:p>
    <w:tbl>
      <w:tblPr>
        <w:tblW w:w="10085" w:type="dxa"/>
        <w:jc w:val="left"/>
        <w:tblInd w:w="0" w:type="dxa"/>
        <w:tblLayout w:type="fixed"/>
        <w:tblCellMar>
          <w:top w:w="0" w:type="dxa"/>
          <w:left w:w="0" w:type="dxa"/>
          <w:bottom w:w="0" w:type="dxa"/>
          <w:right w:w="0" w:type="dxa"/>
        </w:tblCellMar>
      </w:tblPr>
      <w:tblGrid>
        <w:gridCol w:w="2236"/>
        <w:gridCol w:w="346"/>
        <w:gridCol w:w="196"/>
        <w:gridCol w:w="601"/>
        <w:gridCol w:w="346"/>
        <w:gridCol w:w="196"/>
        <w:gridCol w:w="601"/>
        <w:gridCol w:w="346"/>
        <w:gridCol w:w="661"/>
        <w:gridCol w:w="346"/>
        <w:gridCol w:w="346"/>
        <w:gridCol w:w="196"/>
        <w:gridCol w:w="691"/>
        <w:gridCol w:w="346"/>
        <w:gridCol w:w="196"/>
        <w:gridCol w:w="691"/>
        <w:gridCol w:w="346"/>
        <w:gridCol w:w="661"/>
        <w:gridCol w:w="346"/>
        <w:gridCol w:w="391"/>
      </w:tblGrid>
      <w:tr>
        <w:trPr/>
        <w:tc>
          <w:tcPr>
            <w:tcW w:w="2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1419860" cy="175260"/>
                      <wp:effectExtent l="0" t="0" r="0" b="0"/>
                      <wp:wrapNone/>
                      <wp:docPr id="431" name="Frame431"/>
                      <a:graphic xmlns:a="http://schemas.openxmlformats.org/drawingml/2006/main">
                        <a:graphicData uri="http://schemas.microsoft.com/office/word/2010/wordprocessingShape">
                          <wps:wsp>
                            <wps:cNvSpPr txBox="1"/>
                            <wps:spPr>
                              <a:xfrm>
                                <a:off x="0" y="0"/>
                                <a:ext cx="1419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219710" cy="175260"/>
                      <wp:effectExtent l="0" t="0" r="0" b="0"/>
                      <wp:wrapNone/>
                      <wp:docPr id="432" name="Frame4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124460" cy="175260"/>
                      <wp:effectExtent l="0" t="0" r="0" b="0"/>
                      <wp:wrapNone/>
                      <wp:docPr id="433" name="Frame43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381635" cy="175260"/>
                      <wp:effectExtent l="0" t="0" r="0" b="0"/>
                      <wp:wrapNone/>
                      <wp:docPr id="434" name="Frame434"/>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219710" cy="175260"/>
                      <wp:effectExtent l="0" t="0" r="0" b="0"/>
                      <wp:wrapNone/>
                      <wp:docPr id="435" name="Frame4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124460" cy="175260"/>
                      <wp:effectExtent l="0" t="0" r="0" b="0"/>
                      <wp:wrapNone/>
                      <wp:docPr id="436" name="Frame43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381635" cy="175260"/>
                      <wp:effectExtent l="0" t="0" r="0" b="0"/>
                      <wp:wrapNone/>
                      <wp:docPr id="437" name="Frame437"/>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219710" cy="175260"/>
                      <wp:effectExtent l="0" t="0" r="0" b="0"/>
                      <wp:wrapNone/>
                      <wp:docPr id="438" name="Frame4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419735" cy="175260"/>
                      <wp:effectExtent l="0" t="0" r="0" b="0"/>
                      <wp:wrapNone/>
                      <wp:docPr id="439" name="Frame439"/>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219710" cy="175260"/>
                      <wp:effectExtent l="0" t="0" r="0" b="0"/>
                      <wp:wrapNone/>
                      <wp:docPr id="440" name="Frame4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219710" cy="175260"/>
                      <wp:effectExtent l="0" t="0" r="0" b="0"/>
                      <wp:wrapNone/>
                      <wp:docPr id="441" name="Frame4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124460" cy="175260"/>
                      <wp:effectExtent l="0" t="0" r="0" b="0"/>
                      <wp:wrapNone/>
                      <wp:docPr id="442" name="Frame44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438785" cy="175260"/>
                      <wp:effectExtent l="0" t="0" r="0" b="0"/>
                      <wp:wrapNone/>
                      <wp:docPr id="443" name="Frame44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219710" cy="175260"/>
                      <wp:effectExtent l="0" t="0" r="0" b="0"/>
                      <wp:wrapNone/>
                      <wp:docPr id="444" name="Frame4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124460" cy="175260"/>
                      <wp:effectExtent l="0" t="0" r="0" b="0"/>
                      <wp:wrapNone/>
                      <wp:docPr id="445" name="Frame44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438785" cy="175260"/>
                      <wp:effectExtent l="0" t="0" r="0" b="0"/>
                      <wp:wrapNone/>
                      <wp:docPr id="446" name="Frame44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219710" cy="175260"/>
                      <wp:effectExtent l="0" t="0" r="0" b="0"/>
                      <wp:wrapNone/>
                      <wp:docPr id="447" name="Frame4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419735" cy="175260"/>
                      <wp:effectExtent l="0" t="0" r="0" b="0"/>
                      <wp:wrapNone/>
                      <wp:docPr id="448" name="Frame448"/>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219710" cy="175260"/>
                      <wp:effectExtent l="0" t="0" r="0" b="0"/>
                      <wp:wrapNone/>
                      <wp:docPr id="449" name="Frame4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248285" cy="175260"/>
                      <wp:effectExtent l="0" t="0" r="0" b="0"/>
                      <wp:wrapNone/>
                      <wp:docPr id="450" name="Frame450"/>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2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947" w:type="dxa"/>
            <w:gridSpan w:val="7"/>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127" w:type="dxa"/>
            <w:gridSpan w:val="7"/>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46" w:type="dxa"/>
            <w:tcBorders/>
            <w:vAlign w:val="center"/>
          </w:tcPr>
          <w:p>
            <w:pPr>
              <w:pStyle w:val="TableContents"/>
              <w:bidi w:val="0"/>
              <w:spacing w:before="0" w:after="1"/>
              <w:ind w:left="0" w:right="0" w:hanging="0"/>
              <w:jc w:val="left"/>
              <w:rPr/>
            </w:pPr>
            <w:r>
              <w:rPr/>
              <w:t>​</w:t>
            </w:r>
          </w:p>
        </w:tc>
        <w:tc>
          <w:tcPr>
            <w:tcW w:w="391" w:type="dxa"/>
            <w:tcBorders/>
            <w:vAlign w:val="center"/>
          </w:tcPr>
          <w:p>
            <w:pPr>
              <w:pStyle w:val="TableContents"/>
              <w:bidi w:val="0"/>
              <w:spacing w:before="0" w:after="1"/>
              <w:ind w:left="0" w:right="0" w:hanging="0"/>
              <w:jc w:val="left"/>
              <w:rPr/>
            </w:pPr>
            <w:r>
              <w:rPr/>
              <w:t>​</w:t>
            </w:r>
          </w:p>
        </w:tc>
      </w:tr>
      <w:tr>
        <w:trPr/>
        <w:tc>
          <w:tcPr>
            <w:tcW w:w="22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947"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127"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1"/>
              <w:ind w:left="0" w:right="0" w:hanging="0"/>
              <w:jc w:val="left"/>
              <w:rPr/>
            </w:pPr>
            <w:r>
              <w:rPr/>
              <w:t>​</w:t>
            </w:r>
          </w:p>
        </w:tc>
        <w:tc>
          <w:tcPr>
            <w:tcW w:w="391" w:type="dxa"/>
            <w:tcBorders/>
            <w:vAlign w:val="center"/>
          </w:tcPr>
          <w:p>
            <w:pPr>
              <w:pStyle w:val="TableContents"/>
              <w:bidi w:val="0"/>
              <w:spacing w:before="0" w:after="1"/>
              <w:ind w:left="0" w:right="0" w:hanging="0"/>
              <w:jc w:val="left"/>
              <w:rPr/>
            </w:pPr>
            <w:r>
              <w:rPr/>
              <w:t>​</w:t>
            </w:r>
          </w:p>
        </w:tc>
      </w:tr>
      <w:tr>
        <w:trPr/>
        <w:tc>
          <w:tcPr>
            <w:tcW w:w="22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center"/>
              <w:rPr/>
            </w:pPr>
            <w:r>
              <w:rPr/>
              <w:t>​</w:t>
            </w:r>
          </w:p>
        </w:tc>
        <w:tc>
          <w:tcPr>
            <w:tcW w:w="60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60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66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66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1"/>
              <w:ind w:left="0" w:right="0" w:hanging="0"/>
              <w:jc w:val="left"/>
              <w:rPr/>
            </w:pPr>
            <w:r>
              <w:rPr/>
              <w:t>​</w:t>
            </w:r>
          </w:p>
        </w:tc>
        <w:tc>
          <w:tcPr>
            <w:tcW w:w="391" w:type="dxa"/>
            <w:tcBorders/>
            <w:vAlign w:val="center"/>
          </w:tcPr>
          <w:p>
            <w:pPr>
              <w:pStyle w:val="TableContents"/>
              <w:bidi w:val="0"/>
              <w:spacing w:before="0" w:after="1"/>
              <w:ind w:left="0" w:right="0" w:hanging="0"/>
              <w:jc w:val="left"/>
              <w:rPr/>
            </w:pPr>
            <w:r>
              <w:rPr/>
              <w:t>​</w:t>
            </w:r>
          </w:p>
        </w:tc>
      </w:tr>
      <w:tr>
        <w:trPr/>
        <w:tc>
          <w:tcPr>
            <w:tcW w:w="22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46" w:type="dxa"/>
            <w:tcBorders/>
            <w:vAlign w:val="center"/>
          </w:tcPr>
          <w:p>
            <w:pPr>
              <w:pStyle w:val="TableContents"/>
              <w:bidi w:val="0"/>
              <w:spacing w:before="0" w:after="1"/>
              <w:ind w:left="0" w:right="0" w:hanging="0"/>
              <w:jc w:val="left"/>
              <w:rPr/>
            </w:pPr>
            <w:r>
              <w:rPr/>
              <w:t>  ​ ​ ​</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46" w:type="dxa"/>
            <w:tcBorders/>
            <w:vAlign w:val="center"/>
          </w:tcPr>
          <w:p>
            <w:pPr>
              <w:pStyle w:val="TableContents"/>
              <w:bidi w:val="0"/>
              <w:spacing w:before="0" w:after="1"/>
              <w:ind w:left="0" w:right="0" w:hanging="0"/>
              <w:jc w:val="left"/>
              <w:rPr/>
            </w:pPr>
            <w:r>
              <w:rPr/>
              <w:t>  ​ ​ ​</w:t>
            </w:r>
          </w:p>
        </w:tc>
        <w:tc>
          <w:tcPr>
            <w:tcW w:w="391" w:type="dxa"/>
            <w:tcBorders/>
            <w:vAlign w:val="center"/>
          </w:tcPr>
          <w:p>
            <w:pPr>
              <w:pStyle w:val="TableContents"/>
              <w:bidi w:val="0"/>
              <w:spacing w:before="0" w:after="1"/>
              <w:ind w:left="0" w:right="0" w:hanging="0"/>
              <w:jc w:val="left"/>
              <w:rPr/>
            </w:pPr>
            <w:r>
              <w:rPr/>
              <w:t>  ​ ​ ​</w:t>
            </w:r>
          </w:p>
        </w:tc>
      </w:tr>
      <w:tr>
        <w:trPr/>
        <w:tc>
          <w:tcPr>
            <w:tcW w:w="22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Revenues:</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391" w:type="dxa"/>
            <w:tcBorders/>
            <w:shd w:fill="CCEEFF" w:val="clear"/>
            <w:vAlign w:val="center"/>
          </w:tcPr>
          <w:p>
            <w:pPr>
              <w:pStyle w:val="TableContents"/>
              <w:bidi w:val="0"/>
              <w:spacing w:before="0" w:after="1"/>
              <w:ind w:left="0" w:right="0" w:hanging="0"/>
              <w:jc w:val="left"/>
              <w:rPr/>
            </w:pPr>
            <w:r>
              <w:rPr/>
              <w:t> </w:t>
            </w:r>
          </w:p>
        </w:tc>
      </w:tr>
      <w:tr>
        <w:trPr/>
        <w:tc>
          <w:tcPr>
            <w:tcW w:w="22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Rooms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36,345</w:t>
            </w:r>
          </w:p>
        </w:tc>
        <w:tc>
          <w:tcPr>
            <w:tcW w:w="3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32,487</w:t>
            </w:r>
          </w:p>
        </w:tc>
        <w:tc>
          <w:tcPr>
            <w:tcW w:w="34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11.9</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66,532</w:t>
            </w:r>
          </w:p>
        </w:tc>
        <w:tc>
          <w:tcPr>
            <w:tcW w:w="3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64,882</w:t>
            </w:r>
          </w:p>
        </w:tc>
        <w:tc>
          <w:tcPr>
            <w:tcW w:w="34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391" w:type="dxa"/>
            <w:tcBorders/>
            <w:vAlign w:val="center"/>
          </w:tcPr>
          <w:p>
            <w:pPr>
              <w:pStyle w:val="TableContents"/>
              <w:bidi w:val="0"/>
              <w:spacing w:before="0" w:after="1"/>
              <w:ind w:left="0" w:right="0" w:hanging="0"/>
              <w:jc w:val="left"/>
              <w:rPr/>
            </w:pPr>
            <w:r>
              <w:rPr/>
              <w:t>​</w:t>
            </w:r>
          </w:p>
        </w:tc>
      </w:tr>
      <w:tr>
        <w:trPr/>
        <w:tc>
          <w:tcPr>
            <w:tcW w:w="22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Food and beverage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46,298</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43,638</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6.1</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82,907</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85,761</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22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hotel revenue</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7,779</w:t>
            </w:r>
          </w:p>
        </w:tc>
        <w:tc>
          <w:tcPr>
            <w:tcW w:w="346" w:type="dxa"/>
            <w:tcBorders/>
            <w:vAlign w:val="center"/>
          </w:tcPr>
          <w:p>
            <w:pPr>
              <w:pStyle w:val="TableContents"/>
              <w:bidi w:val="0"/>
              <w:spacing w:before="0" w:after="1"/>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7,288</w:t>
            </w:r>
          </w:p>
        </w:tc>
        <w:tc>
          <w:tcPr>
            <w:tcW w:w="34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6.7</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15,210</w:t>
            </w:r>
          </w:p>
        </w:tc>
        <w:tc>
          <w:tcPr>
            <w:tcW w:w="346" w:type="dxa"/>
            <w:tcBorders/>
            <w:vAlign w:val="center"/>
          </w:tcPr>
          <w:p>
            <w:pPr>
              <w:pStyle w:val="TableContents"/>
              <w:bidi w:val="0"/>
              <w:spacing w:before="0" w:after="1"/>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13,599</w:t>
            </w:r>
          </w:p>
        </w:tc>
        <w:tc>
          <w:tcPr>
            <w:tcW w:w="34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11.8</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391" w:type="dxa"/>
            <w:tcBorders/>
            <w:vAlign w:val="center"/>
          </w:tcPr>
          <w:p>
            <w:pPr>
              <w:pStyle w:val="TableContents"/>
              <w:bidi w:val="0"/>
              <w:spacing w:before="0" w:after="1"/>
              <w:ind w:left="0" w:right="0" w:hanging="0"/>
              <w:jc w:val="left"/>
              <w:rPr/>
            </w:pPr>
            <w:r>
              <w:rPr/>
              <w:t>​</w:t>
            </w:r>
          </w:p>
        </w:tc>
      </w:tr>
      <w:tr>
        <w:trPr/>
        <w:tc>
          <w:tcPr>
            <w:tcW w:w="22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revenue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90,422</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83,413</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8.4</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164,649</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164,242</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0.2</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22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Operating expenses: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391" w:type="dxa"/>
            <w:tcBorders/>
            <w:vAlign w:val="center"/>
          </w:tcPr>
          <w:p>
            <w:pPr>
              <w:pStyle w:val="TableContents"/>
              <w:bidi w:val="0"/>
              <w:spacing w:before="0" w:after="1"/>
              <w:ind w:left="0" w:right="0" w:hanging="0"/>
              <w:jc w:val="left"/>
              <w:rPr/>
            </w:pPr>
            <w:r>
              <w:rPr/>
              <w:t>​</w:t>
            </w:r>
          </w:p>
        </w:tc>
      </w:tr>
      <w:tr>
        <w:trPr/>
        <w:tc>
          <w:tcPr>
            <w:tcW w:w="22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Rooms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11,760</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11,005</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6.9</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22,915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22,956</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(0.2)</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22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Food and beverage</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26,274</w:t>
            </w:r>
          </w:p>
        </w:tc>
        <w:tc>
          <w:tcPr>
            <w:tcW w:w="3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25,373</w:t>
            </w:r>
          </w:p>
        </w:tc>
        <w:tc>
          <w:tcPr>
            <w:tcW w:w="34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3.6</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50,217</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51,259</w:t>
            </w:r>
          </w:p>
        </w:tc>
        <w:tc>
          <w:tcPr>
            <w:tcW w:w="34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391" w:type="dxa"/>
            <w:tcBorders/>
            <w:vAlign w:val="center"/>
          </w:tcPr>
          <w:p>
            <w:pPr>
              <w:pStyle w:val="TableContents"/>
              <w:bidi w:val="0"/>
              <w:spacing w:before="0" w:after="1"/>
              <w:ind w:left="0" w:right="0" w:hanging="0"/>
              <w:jc w:val="left"/>
              <w:rPr/>
            </w:pPr>
            <w:r>
              <w:rPr/>
              <w:t>​</w:t>
            </w:r>
          </w:p>
        </w:tc>
      </w:tr>
      <w:tr>
        <w:trPr/>
        <w:tc>
          <w:tcPr>
            <w:tcW w:w="22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hotel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22,733</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21,107</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7.7</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45,860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44,414</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22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Management fees, net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1,610</w:t>
            </w:r>
          </w:p>
        </w:tc>
        <w:tc>
          <w:tcPr>
            <w:tcW w:w="3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1,621</w:t>
            </w:r>
          </w:p>
        </w:tc>
        <w:tc>
          <w:tcPr>
            <w:tcW w:w="34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(0.7)</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2,895</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3,389</w:t>
            </w:r>
          </w:p>
        </w:tc>
        <w:tc>
          <w:tcPr>
            <w:tcW w:w="34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(14.6)</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391" w:type="dxa"/>
            <w:tcBorders/>
            <w:vAlign w:val="center"/>
          </w:tcPr>
          <w:p>
            <w:pPr>
              <w:pStyle w:val="TableContents"/>
              <w:bidi w:val="0"/>
              <w:spacing w:before="0" w:after="1"/>
              <w:ind w:left="0" w:right="0" w:hanging="0"/>
              <w:jc w:val="left"/>
              <w:rPr/>
            </w:pPr>
            <w:r>
              <w:rPr/>
              <w:t>​</w:t>
            </w:r>
          </w:p>
        </w:tc>
      </w:tr>
      <w:tr>
        <w:trPr/>
        <w:tc>
          <w:tcPr>
            <w:tcW w:w="22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Depreciation and amortization</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8,495</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8,489</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0.1</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16,987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16,932</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0.3</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22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operating expenses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70,872</w:t>
            </w:r>
          </w:p>
        </w:tc>
        <w:tc>
          <w:tcPr>
            <w:tcW w:w="346" w:type="dxa"/>
            <w:tcBorders/>
            <w:vAlign w:val="center"/>
          </w:tcPr>
          <w:p>
            <w:pPr>
              <w:pStyle w:val="TableContents"/>
              <w:bidi w:val="0"/>
              <w:spacing w:before="0" w:after="1"/>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67,595</w:t>
            </w:r>
          </w:p>
        </w:tc>
        <w:tc>
          <w:tcPr>
            <w:tcW w:w="34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4.8</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138,874</w:t>
            </w:r>
          </w:p>
        </w:tc>
        <w:tc>
          <w:tcPr>
            <w:tcW w:w="346" w:type="dxa"/>
            <w:tcBorders/>
            <w:vAlign w:val="center"/>
          </w:tcPr>
          <w:p>
            <w:pPr>
              <w:pStyle w:val="TableContents"/>
              <w:bidi w:val="0"/>
              <w:spacing w:before="0" w:after="1"/>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138,950</w:t>
            </w:r>
          </w:p>
        </w:tc>
        <w:tc>
          <w:tcPr>
            <w:tcW w:w="34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(0.1)</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391" w:type="dxa"/>
            <w:tcBorders/>
            <w:vAlign w:val="center"/>
          </w:tcPr>
          <w:p>
            <w:pPr>
              <w:pStyle w:val="TableContents"/>
              <w:bidi w:val="0"/>
              <w:spacing w:before="0" w:after="1"/>
              <w:ind w:left="0" w:right="0" w:hanging="0"/>
              <w:jc w:val="left"/>
              <w:rPr/>
            </w:pPr>
            <w:r>
              <w:rPr/>
              <w:t>​</w:t>
            </w:r>
          </w:p>
        </w:tc>
      </w:tr>
      <w:tr>
        <w:trPr/>
        <w:tc>
          <w:tcPr>
            <w:tcW w:w="22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Operating income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19,550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15,818</w:t>
            </w:r>
          </w:p>
        </w:tc>
        <w:tc>
          <w:tcPr>
            <w:tcW w:w="346" w:type="dxa"/>
            <w:tcBorders/>
            <w:shd w:fill="CCEEFF" w:val="clear"/>
            <w:vAlign w:val="center"/>
          </w:tcPr>
          <w:p>
            <w:pPr>
              <w:pStyle w:val="TableContents"/>
              <w:bidi w:val="0"/>
              <w:spacing w:before="0" w:after="1"/>
              <w:ind w:left="0" w:right="0" w:hanging="0"/>
              <w:jc w:val="left"/>
              <w:rPr/>
            </w:pPr>
            <w:r>
              <w:rPr/>
              <w:t>​</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23.6</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25,775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25,292</w:t>
            </w:r>
          </w:p>
        </w:tc>
        <w:tc>
          <w:tcPr>
            <w:tcW w:w="346" w:type="dxa"/>
            <w:tcBorders/>
            <w:shd w:fill="CCEEFF" w:val="clear"/>
            <w:vAlign w:val="center"/>
          </w:tcPr>
          <w:p>
            <w:pPr>
              <w:pStyle w:val="TableContents"/>
              <w:bidi w:val="0"/>
              <w:spacing w:before="0" w:after="1"/>
              <w:ind w:left="0" w:right="0" w:hanging="0"/>
              <w:jc w:val="left"/>
              <w:rPr/>
            </w:pPr>
            <w:r>
              <w:rPr/>
              <w:t>​</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22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Performance metrics: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391" w:type="dxa"/>
            <w:tcBorders/>
            <w:vAlign w:val="center"/>
          </w:tcPr>
          <w:p>
            <w:pPr>
              <w:pStyle w:val="TableContents"/>
              <w:bidi w:val="0"/>
              <w:spacing w:before="0" w:after="1"/>
              <w:ind w:left="0" w:right="0" w:hanging="0"/>
              <w:jc w:val="left"/>
              <w:rPr/>
            </w:pPr>
            <w:r>
              <w:rPr/>
              <w:t>​</w:t>
            </w:r>
          </w:p>
        </w:tc>
      </w:tr>
      <w:tr>
        <w:trPr/>
        <w:tc>
          <w:tcPr>
            <w:tcW w:w="22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Occupancy</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71.3</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67.8</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67.2</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70.1</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pts</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22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ADR</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280.70</w:t>
            </w:r>
          </w:p>
        </w:tc>
        <w:tc>
          <w:tcPr>
            <w:tcW w:w="3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263.97</w:t>
            </w:r>
          </w:p>
        </w:tc>
        <w:tc>
          <w:tcPr>
            <w:tcW w:w="34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6.3</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274.10</w:t>
            </w:r>
          </w:p>
        </w:tc>
        <w:tc>
          <w:tcPr>
            <w:tcW w:w="3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256.29</w:t>
            </w:r>
          </w:p>
        </w:tc>
        <w:tc>
          <w:tcPr>
            <w:tcW w:w="34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6.9</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391" w:type="dxa"/>
            <w:tcBorders/>
            <w:vAlign w:val="center"/>
          </w:tcPr>
          <w:p>
            <w:pPr>
              <w:pStyle w:val="TableContents"/>
              <w:bidi w:val="0"/>
              <w:spacing w:before="0" w:after="1"/>
              <w:ind w:left="0" w:right="0" w:hanging="0"/>
              <w:jc w:val="left"/>
              <w:rPr/>
            </w:pPr>
            <w:r>
              <w:rPr/>
              <w:t>​</w:t>
            </w:r>
          </w:p>
        </w:tc>
      </w:tr>
      <w:tr>
        <w:trPr/>
        <w:tc>
          <w:tcPr>
            <w:tcW w:w="22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RevPAR</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200.10</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178.85</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11.9</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184.16</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179.59</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22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RevPAR</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497.82</w:t>
            </w:r>
          </w:p>
        </w:tc>
        <w:tc>
          <w:tcPr>
            <w:tcW w:w="3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459.23</w:t>
            </w:r>
          </w:p>
        </w:tc>
        <w:tc>
          <w:tcPr>
            <w:tcW w:w="34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8.4</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455.74</w:t>
            </w:r>
          </w:p>
        </w:tc>
        <w:tc>
          <w:tcPr>
            <w:tcW w:w="3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454.62</w:t>
            </w:r>
          </w:p>
        </w:tc>
        <w:tc>
          <w:tcPr>
            <w:tcW w:w="34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0.2</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391"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i/>
          <w:sz w:val="20"/>
        </w:rPr>
        <w:t>Gaylord Rockies Results</w:t>
      </w:r>
      <w:r>
        <w:rPr>
          <w:rFonts w:ascii="Times New Roman;Times;serif" w:hAnsi="Times New Roman;Times;serif"/>
          <w:sz w:val="20"/>
        </w:rPr>
        <w:t>. The results of Gaylord Rockies for the three and six months ended June 30, 2026 and 2025 are as follows (in thousands, except percentages and performance metrics):</w:t>
      </w:r>
    </w:p>
    <w:tbl>
      <w:tblPr>
        <w:tblW w:w="9374" w:type="dxa"/>
        <w:jc w:val="left"/>
        <w:tblInd w:w="0" w:type="dxa"/>
        <w:tblLayout w:type="fixed"/>
        <w:tblCellMar>
          <w:top w:w="0" w:type="dxa"/>
          <w:left w:w="0" w:type="dxa"/>
          <w:bottom w:w="0" w:type="dxa"/>
          <w:right w:w="0" w:type="dxa"/>
        </w:tblCellMar>
      </w:tblPr>
      <w:tblGrid>
        <w:gridCol w:w="2236"/>
        <w:gridCol w:w="109"/>
        <w:gridCol w:w="196"/>
        <w:gridCol w:w="601"/>
        <w:gridCol w:w="346"/>
        <w:gridCol w:w="196"/>
        <w:gridCol w:w="601"/>
        <w:gridCol w:w="346"/>
        <w:gridCol w:w="661"/>
        <w:gridCol w:w="346"/>
        <w:gridCol w:w="109"/>
        <w:gridCol w:w="196"/>
        <w:gridCol w:w="691"/>
        <w:gridCol w:w="346"/>
        <w:gridCol w:w="196"/>
        <w:gridCol w:w="691"/>
        <w:gridCol w:w="346"/>
        <w:gridCol w:w="661"/>
        <w:gridCol w:w="346"/>
        <w:gridCol w:w="154"/>
      </w:tblGrid>
      <w:tr>
        <w:trPr/>
        <w:tc>
          <w:tcPr>
            <w:tcW w:w="2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1419860" cy="175260"/>
                      <wp:effectExtent l="0" t="0" r="0" b="0"/>
                      <wp:wrapNone/>
                      <wp:docPr id="451" name="Frame451"/>
                      <a:graphic xmlns:a="http://schemas.openxmlformats.org/drawingml/2006/main">
                        <a:graphicData uri="http://schemas.microsoft.com/office/word/2010/wordprocessingShape">
                          <wps:wsp>
                            <wps:cNvSpPr txBox="1"/>
                            <wps:spPr>
                              <a:xfrm>
                                <a:off x="0" y="0"/>
                                <a:ext cx="1419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69215" cy="175260"/>
                      <wp:effectExtent l="0" t="0" r="0" b="0"/>
                      <wp:wrapNone/>
                      <wp:docPr id="452" name="Frame45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124460" cy="175260"/>
                      <wp:effectExtent l="0" t="0" r="0" b="0"/>
                      <wp:wrapNone/>
                      <wp:docPr id="453" name="Frame45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381635" cy="175260"/>
                      <wp:effectExtent l="0" t="0" r="0" b="0"/>
                      <wp:wrapNone/>
                      <wp:docPr id="454" name="Frame454"/>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219710" cy="175260"/>
                      <wp:effectExtent l="0" t="0" r="0" b="0"/>
                      <wp:wrapNone/>
                      <wp:docPr id="455" name="Frame4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124460" cy="175260"/>
                      <wp:effectExtent l="0" t="0" r="0" b="0"/>
                      <wp:wrapNone/>
                      <wp:docPr id="456" name="Frame45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381635" cy="175260"/>
                      <wp:effectExtent l="0" t="0" r="0" b="0"/>
                      <wp:wrapNone/>
                      <wp:docPr id="457" name="Frame457"/>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219710" cy="175260"/>
                      <wp:effectExtent l="0" t="0" r="0" b="0"/>
                      <wp:wrapNone/>
                      <wp:docPr id="458" name="Frame4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419735" cy="175260"/>
                      <wp:effectExtent l="0" t="0" r="0" b="0"/>
                      <wp:wrapNone/>
                      <wp:docPr id="459" name="Frame459"/>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219710" cy="175260"/>
                      <wp:effectExtent l="0" t="0" r="0" b="0"/>
                      <wp:wrapNone/>
                      <wp:docPr id="460" name="Frame4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69215" cy="175260"/>
                      <wp:effectExtent l="0" t="0" r="0" b="0"/>
                      <wp:wrapNone/>
                      <wp:docPr id="461" name="Frame46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124460" cy="175260"/>
                      <wp:effectExtent l="0" t="0" r="0" b="0"/>
                      <wp:wrapNone/>
                      <wp:docPr id="462" name="Frame46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438785" cy="175260"/>
                      <wp:effectExtent l="0" t="0" r="0" b="0"/>
                      <wp:wrapNone/>
                      <wp:docPr id="463" name="Frame46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219710" cy="175260"/>
                      <wp:effectExtent l="0" t="0" r="0" b="0"/>
                      <wp:wrapNone/>
                      <wp:docPr id="464" name="Frame4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124460" cy="175260"/>
                      <wp:effectExtent l="0" t="0" r="0" b="0"/>
                      <wp:wrapNone/>
                      <wp:docPr id="465" name="Frame46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438785" cy="175260"/>
                      <wp:effectExtent l="0" t="0" r="0" b="0"/>
                      <wp:wrapNone/>
                      <wp:docPr id="466" name="Frame46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219710" cy="175260"/>
                      <wp:effectExtent l="0" t="0" r="0" b="0"/>
                      <wp:wrapNone/>
                      <wp:docPr id="467" name="Frame4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419735" cy="175260"/>
                      <wp:effectExtent l="0" t="0" r="0" b="0"/>
                      <wp:wrapNone/>
                      <wp:docPr id="468" name="Frame468"/>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219710" cy="175260"/>
                      <wp:effectExtent l="0" t="0" r="0" b="0"/>
                      <wp:wrapNone/>
                      <wp:docPr id="469" name="Frame4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97790" cy="175260"/>
                      <wp:effectExtent l="0" t="0" r="0" b="0"/>
                      <wp:wrapNone/>
                      <wp:docPr id="470" name="Frame470"/>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947" w:type="dxa"/>
            <w:gridSpan w:val="7"/>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127" w:type="dxa"/>
            <w:gridSpan w:val="7"/>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4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22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947"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127"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22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0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60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22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6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6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4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22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Revenues: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9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9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22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Rooms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29,865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28,496</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56,219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53,579</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54" w:type="dxa"/>
            <w:tcBorders/>
            <w:vAlign w:val="center"/>
          </w:tcPr>
          <w:p>
            <w:pPr>
              <w:pStyle w:val="TableContents"/>
              <w:bidi w:val="0"/>
              <w:spacing w:before="0" w:after="0"/>
              <w:ind w:left="0" w:right="0" w:hanging="0"/>
              <w:jc w:val="left"/>
              <w:rPr/>
            </w:pPr>
            <w:r>
              <w:rPr/>
              <w:t>​</w:t>
            </w:r>
          </w:p>
        </w:tc>
      </w:tr>
      <w:tr>
        <w:trPr/>
        <w:tc>
          <w:tcPr>
            <w:tcW w:w="22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Food and beverage</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47,237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45,374</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86,116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84,998</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22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hotel revenue</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7,633</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7,852</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14,649</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14,093</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54" w:type="dxa"/>
            <w:tcBorders/>
            <w:vAlign w:val="center"/>
          </w:tcPr>
          <w:p>
            <w:pPr>
              <w:pStyle w:val="TableContents"/>
              <w:bidi w:val="0"/>
              <w:spacing w:before="0" w:after="0"/>
              <w:ind w:left="0" w:right="0" w:hanging="0"/>
              <w:jc w:val="left"/>
              <w:rPr/>
            </w:pPr>
            <w:r>
              <w:rPr/>
              <w:t>​</w:t>
            </w:r>
          </w:p>
        </w:tc>
      </w:tr>
      <w:tr>
        <w:trPr/>
        <w:tc>
          <w:tcPr>
            <w:tcW w:w="22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revenue</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84,735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81,722</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156,984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152,670</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22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expenses: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22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Rooms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6,195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6,377</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12,162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12,053</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0.9</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22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Food and beverage</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24,937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24,447</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48,410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47,797</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54" w:type="dxa"/>
            <w:tcBorders/>
            <w:vAlign w:val="center"/>
          </w:tcPr>
          <w:p>
            <w:pPr>
              <w:pStyle w:val="TableContents"/>
              <w:bidi w:val="0"/>
              <w:spacing w:before="0" w:after="0"/>
              <w:ind w:left="0" w:right="0" w:hanging="0"/>
              <w:jc w:val="left"/>
              <w:rPr/>
            </w:pPr>
            <w:r>
              <w:rPr/>
              <w:t>​</w:t>
            </w:r>
          </w:p>
        </w:tc>
      </w:tr>
      <w:tr>
        <w:trPr/>
        <w:tc>
          <w:tcPr>
            <w:tcW w:w="22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hotel expenses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11,724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11,769</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(0.4)</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22,710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21,900</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22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Management fees, net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2,946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2,434</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21.0</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5,136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4,550</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12.9</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54" w:type="dxa"/>
            <w:tcBorders/>
            <w:vAlign w:val="center"/>
          </w:tcPr>
          <w:p>
            <w:pPr>
              <w:pStyle w:val="TableContents"/>
              <w:bidi w:val="0"/>
              <w:spacing w:before="0" w:after="0"/>
              <w:ind w:left="0" w:right="0" w:hanging="0"/>
              <w:jc w:val="left"/>
              <w:rPr/>
            </w:pPr>
            <w:r>
              <w:rPr/>
              <w:t>​</w:t>
            </w:r>
          </w:p>
        </w:tc>
      </w:tr>
      <w:tr>
        <w:trPr/>
        <w:tc>
          <w:tcPr>
            <w:tcW w:w="22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Depreciation and amortization</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15,141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14,897</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30,329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29,749</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22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operating expenses</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60,943</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59,924</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118,747</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116,049</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54" w:type="dxa"/>
            <w:tcBorders/>
            <w:vAlign w:val="center"/>
          </w:tcPr>
          <w:p>
            <w:pPr>
              <w:pStyle w:val="TableContents"/>
              <w:bidi w:val="0"/>
              <w:spacing w:before="0" w:after="0"/>
              <w:ind w:left="0" w:right="0" w:hanging="0"/>
              <w:jc w:val="left"/>
              <w:rPr/>
            </w:pPr>
            <w:r>
              <w:rPr/>
              <w:t>​</w:t>
            </w:r>
          </w:p>
        </w:tc>
      </w:tr>
      <w:tr>
        <w:trPr/>
        <w:tc>
          <w:tcPr>
            <w:tcW w:w="22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income</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23,792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21,798</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9.1</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38,237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36,621</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22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Performance metrics: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22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Occupancy</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79.4</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80.3</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(0.9)</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pts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77.4</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76.3</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pts</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22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ADR</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275.43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259.78</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267.28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258.52</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54" w:type="dxa"/>
            <w:tcBorders/>
            <w:vAlign w:val="center"/>
          </w:tcPr>
          <w:p>
            <w:pPr>
              <w:pStyle w:val="TableContents"/>
              <w:bidi w:val="0"/>
              <w:spacing w:before="0" w:after="0"/>
              <w:ind w:left="0" w:right="0" w:hanging="0"/>
              <w:jc w:val="left"/>
              <w:rPr/>
            </w:pPr>
            <w:r>
              <w:rPr/>
              <w:t>​</w:t>
            </w:r>
          </w:p>
        </w:tc>
      </w:tr>
      <w:tr>
        <w:trPr/>
        <w:tc>
          <w:tcPr>
            <w:tcW w:w="22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RevPAR</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218.64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208.62</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206.93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197.21</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22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RevPAR</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620.35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598.29</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577.82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561.94</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JW Marriott Hill Country Results</w:t>
      </w:r>
      <w:r>
        <w:rPr>
          <w:rFonts w:ascii="Times New Roman;Times;serif" w:hAnsi="Times New Roman;Times;serif"/>
          <w:sz w:val="20"/>
        </w:rPr>
        <w:t>. The results of JW Marriott Hill Country for the three and six months ended June 30, 2026 and 2025 are as follows (in thousands, except percentages and performance metrics):</w:t>
      </w:r>
    </w:p>
    <w:p>
      <w:pPr>
        <w:pStyle w:val="TextBody"/>
        <w:bidi w:val="0"/>
        <w:spacing w:before="0" w:after="0"/>
        <w:ind w:left="0" w:right="0" w:hanging="0"/>
        <w:jc w:val="left"/>
        <w:rPr/>
      </w:pPr>
      <w:r>
        <w:rPr/>
        <w:t>​</w:t>
      </w:r>
    </w:p>
    <w:tbl>
      <w:tblPr>
        <w:tblW w:w="9374" w:type="dxa"/>
        <w:jc w:val="left"/>
        <w:tblInd w:w="0" w:type="dxa"/>
        <w:tblLayout w:type="fixed"/>
        <w:tblCellMar>
          <w:top w:w="0" w:type="dxa"/>
          <w:left w:w="0" w:type="dxa"/>
          <w:bottom w:w="0" w:type="dxa"/>
          <w:right w:w="0" w:type="dxa"/>
        </w:tblCellMar>
      </w:tblPr>
      <w:tblGrid>
        <w:gridCol w:w="2236"/>
        <w:gridCol w:w="109"/>
        <w:gridCol w:w="196"/>
        <w:gridCol w:w="601"/>
        <w:gridCol w:w="346"/>
        <w:gridCol w:w="196"/>
        <w:gridCol w:w="601"/>
        <w:gridCol w:w="346"/>
        <w:gridCol w:w="661"/>
        <w:gridCol w:w="346"/>
        <w:gridCol w:w="109"/>
        <w:gridCol w:w="196"/>
        <w:gridCol w:w="691"/>
        <w:gridCol w:w="346"/>
        <w:gridCol w:w="196"/>
        <w:gridCol w:w="691"/>
        <w:gridCol w:w="346"/>
        <w:gridCol w:w="661"/>
        <w:gridCol w:w="346"/>
        <w:gridCol w:w="154"/>
      </w:tblGrid>
      <w:tr>
        <w:trPr/>
        <w:tc>
          <w:tcPr>
            <w:tcW w:w="2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1419860" cy="175260"/>
                      <wp:effectExtent l="0" t="0" r="0" b="0"/>
                      <wp:wrapNone/>
                      <wp:docPr id="471" name="Frame471"/>
                      <a:graphic xmlns:a="http://schemas.openxmlformats.org/drawingml/2006/main">
                        <a:graphicData uri="http://schemas.microsoft.com/office/word/2010/wordprocessingShape">
                          <wps:wsp>
                            <wps:cNvSpPr txBox="1"/>
                            <wps:spPr>
                              <a:xfrm>
                                <a:off x="0" y="0"/>
                                <a:ext cx="1419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69215" cy="175260"/>
                      <wp:effectExtent l="0" t="0" r="0" b="0"/>
                      <wp:wrapNone/>
                      <wp:docPr id="472" name="Frame47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124460" cy="175260"/>
                      <wp:effectExtent l="0" t="0" r="0" b="0"/>
                      <wp:wrapNone/>
                      <wp:docPr id="473" name="Frame47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381635" cy="175260"/>
                      <wp:effectExtent l="0" t="0" r="0" b="0"/>
                      <wp:wrapNone/>
                      <wp:docPr id="474" name="Frame474"/>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219710" cy="175260"/>
                      <wp:effectExtent l="0" t="0" r="0" b="0"/>
                      <wp:wrapNone/>
                      <wp:docPr id="475" name="Frame4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124460" cy="175260"/>
                      <wp:effectExtent l="0" t="0" r="0" b="0"/>
                      <wp:wrapNone/>
                      <wp:docPr id="476" name="Frame47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381635" cy="175260"/>
                      <wp:effectExtent l="0" t="0" r="0" b="0"/>
                      <wp:wrapNone/>
                      <wp:docPr id="477" name="Frame477"/>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219710" cy="175260"/>
                      <wp:effectExtent l="0" t="0" r="0" b="0"/>
                      <wp:wrapNone/>
                      <wp:docPr id="478" name="Frame4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419735" cy="175260"/>
                      <wp:effectExtent l="0" t="0" r="0" b="0"/>
                      <wp:wrapNone/>
                      <wp:docPr id="479" name="Frame479"/>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219710" cy="175260"/>
                      <wp:effectExtent l="0" t="0" r="0" b="0"/>
                      <wp:wrapNone/>
                      <wp:docPr id="480" name="Frame4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69215" cy="175260"/>
                      <wp:effectExtent l="0" t="0" r="0" b="0"/>
                      <wp:wrapNone/>
                      <wp:docPr id="481" name="Frame48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124460" cy="175260"/>
                      <wp:effectExtent l="0" t="0" r="0" b="0"/>
                      <wp:wrapNone/>
                      <wp:docPr id="482" name="Frame48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438785" cy="175260"/>
                      <wp:effectExtent l="0" t="0" r="0" b="0"/>
                      <wp:wrapNone/>
                      <wp:docPr id="483" name="Frame48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219710" cy="175260"/>
                      <wp:effectExtent l="0" t="0" r="0" b="0"/>
                      <wp:wrapNone/>
                      <wp:docPr id="484" name="Frame4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124460" cy="175260"/>
                      <wp:effectExtent l="0" t="0" r="0" b="0"/>
                      <wp:wrapNone/>
                      <wp:docPr id="485" name="Frame48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438785" cy="175260"/>
                      <wp:effectExtent l="0" t="0" r="0" b="0"/>
                      <wp:wrapNone/>
                      <wp:docPr id="486" name="Frame48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219710" cy="175260"/>
                      <wp:effectExtent l="0" t="0" r="0" b="0"/>
                      <wp:wrapNone/>
                      <wp:docPr id="487" name="Frame4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419735" cy="175260"/>
                      <wp:effectExtent l="0" t="0" r="0" b="0"/>
                      <wp:wrapNone/>
                      <wp:docPr id="488" name="Frame488"/>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219710" cy="175260"/>
                      <wp:effectExtent l="0" t="0" r="0" b="0"/>
                      <wp:wrapNone/>
                      <wp:docPr id="489" name="Frame4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97790" cy="175260"/>
                      <wp:effectExtent l="0" t="0" r="0" b="0"/>
                      <wp:wrapNone/>
                      <wp:docPr id="490" name="Frame490"/>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23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947" w:type="dxa"/>
            <w:gridSpan w:val="7"/>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127" w:type="dxa"/>
            <w:gridSpan w:val="7"/>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46" w:type="dxa"/>
            <w:tcBorders/>
            <w:vAlign w:val="center"/>
          </w:tcPr>
          <w:p>
            <w:pPr>
              <w:pStyle w:val="TableContents"/>
              <w:bidi w:val="0"/>
              <w:spacing w:before="0" w:after="1"/>
              <w:ind w:left="0" w:right="0" w:hanging="0"/>
              <w:jc w:val="lef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223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947"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127"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1"/>
              <w:ind w:left="0" w:right="0" w:hanging="0"/>
              <w:jc w:val="lef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223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center"/>
              <w:rPr/>
            </w:pPr>
            <w:r>
              <w:rPr/>
              <w:t>​</w:t>
            </w:r>
          </w:p>
        </w:tc>
        <w:tc>
          <w:tcPr>
            <w:tcW w:w="60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60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66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66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1"/>
              <w:ind w:left="0" w:right="0" w:hanging="0"/>
              <w:jc w:val="lef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223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46" w:type="dxa"/>
            <w:tcBorders/>
            <w:vAlign w:val="center"/>
          </w:tcPr>
          <w:p>
            <w:pPr>
              <w:pStyle w:val="TableContents"/>
              <w:bidi w:val="0"/>
              <w:spacing w:before="0" w:after="1"/>
              <w:ind w:left="0" w:right="0" w:hanging="0"/>
              <w:jc w:val="lef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22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Revenues:</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6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center"/>
              <w:rPr/>
            </w:pPr>
            <w:r>
              <w:rPr/>
              <w:t>​</w:t>
            </w:r>
          </w:p>
        </w:tc>
        <w:tc>
          <w:tcPr>
            <w:tcW w:w="69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center"/>
              <w:rPr/>
            </w:pPr>
            <w:r>
              <w:rPr/>
              <w:t>​</w:t>
            </w:r>
          </w:p>
        </w:tc>
        <w:tc>
          <w:tcPr>
            <w:tcW w:w="69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6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22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Rooms</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22,268</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23,644</w:t>
            </w:r>
          </w:p>
        </w:tc>
        <w:tc>
          <w:tcPr>
            <w:tcW w:w="346"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(5.8)</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40,124</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43,338</w:t>
            </w:r>
          </w:p>
        </w:tc>
        <w:tc>
          <w:tcPr>
            <w:tcW w:w="346"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(7.4)</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154" w:type="dxa"/>
            <w:tcBorders/>
            <w:vAlign w:val="center"/>
          </w:tcPr>
          <w:p>
            <w:pPr>
              <w:pStyle w:val="TableContents"/>
              <w:bidi w:val="0"/>
              <w:spacing w:before="0" w:after="1"/>
              <w:ind w:left="0" w:right="0" w:hanging="0"/>
              <w:jc w:val="left"/>
              <w:rPr/>
            </w:pPr>
            <w:r>
              <w:rPr/>
              <w:t>​</w:t>
            </w:r>
          </w:p>
        </w:tc>
      </w:tr>
      <w:tr>
        <w:trPr/>
        <w:tc>
          <w:tcPr>
            <w:tcW w:w="22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Food and beverage</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30,786</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30,492</w:t>
            </w:r>
          </w:p>
        </w:tc>
        <w:tc>
          <w:tcPr>
            <w:tcW w:w="346" w:type="dxa"/>
            <w:tcBorders/>
            <w:shd w:fill="CCEEFF" w:val="clear"/>
            <w:vAlign w:val="center"/>
          </w:tcPr>
          <w:p>
            <w:pPr>
              <w:pStyle w:val="TableContents"/>
              <w:bidi w:val="0"/>
              <w:spacing w:before="0" w:after="1"/>
              <w:ind w:left="0" w:right="0" w:hanging="0"/>
              <w:jc w:val="left"/>
              <w:rPr/>
            </w:pPr>
            <w:r>
              <w:rPr/>
              <w:t>​</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54,690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57,833</w:t>
            </w:r>
          </w:p>
        </w:tc>
        <w:tc>
          <w:tcPr>
            <w:tcW w:w="346" w:type="dxa"/>
            <w:tcBorders/>
            <w:shd w:fill="CCEEFF" w:val="clear"/>
            <w:vAlign w:val="center"/>
          </w:tcPr>
          <w:p>
            <w:pPr>
              <w:pStyle w:val="TableContents"/>
              <w:bidi w:val="0"/>
              <w:spacing w:before="0" w:after="1"/>
              <w:ind w:left="0" w:right="0" w:hanging="0"/>
              <w:jc w:val="left"/>
              <w:rPr/>
            </w:pPr>
            <w:r>
              <w:rPr/>
              <w:t>​</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(5.4)</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22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hotel revenue</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12,708</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12,437</w:t>
            </w:r>
          </w:p>
        </w:tc>
        <w:tc>
          <w:tcPr>
            <w:tcW w:w="346"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21,243</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20,678</w:t>
            </w:r>
          </w:p>
        </w:tc>
        <w:tc>
          <w:tcPr>
            <w:tcW w:w="346"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154" w:type="dxa"/>
            <w:tcBorders/>
            <w:vAlign w:val="center"/>
          </w:tcPr>
          <w:p>
            <w:pPr>
              <w:pStyle w:val="TableContents"/>
              <w:bidi w:val="0"/>
              <w:spacing w:before="0" w:after="1"/>
              <w:ind w:left="0" w:right="0" w:hanging="0"/>
              <w:jc w:val="left"/>
              <w:rPr/>
            </w:pPr>
            <w:r>
              <w:rPr/>
              <w:t>​</w:t>
            </w:r>
          </w:p>
        </w:tc>
      </w:tr>
      <w:tr>
        <w:trPr/>
        <w:tc>
          <w:tcPr>
            <w:tcW w:w="22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revenue</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65,762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66,573</w:t>
            </w:r>
          </w:p>
        </w:tc>
        <w:tc>
          <w:tcPr>
            <w:tcW w:w="346" w:type="dxa"/>
            <w:tcBorders/>
            <w:shd w:fill="CCEEFF" w:val="clear"/>
            <w:vAlign w:val="center"/>
          </w:tcPr>
          <w:p>
            <w:pPr>
              <w:pStyle w:val="TableContents"/>
              <w:bidi w:val="0"/>
              <w:spacing w:before="0" w:after="1"/>
              <w:ind w:left="0" w:right="0" w:hanging="0"/>
              <w:jc w:val="left"/>
              <w:rPr/>
            </w:pPr>
            <w:r>
              <w:rPr/>
              <w:t>​</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116,057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121,849</w:t>
            </w:r>
          </w:p>
        </w:tc>
        <w:tc>
          <w:tcPr>
            <w:tcW w:w="346" w:type="dxa"/>
            <w:tcBorders/>
            <w:shd w:fill="CCEEFF" w:val="clear"/>
            <w:vAlign w:val="center"/>
          </w:tcPr>
          <w:p>
            <w:pPr>
              <w:pStyle w:val="TableContents"/>
              <w:bidi w:val="0"/>
              <w:spacing w:before="0" w:after="1"/>
              <w:ind w:left="0" w:right="0" w:hanging="0"/>
              <w:jc w:val="left"/>
              <w:rPr/>
            </w:pPr>
            <w:r>
              <w:rPr/>
              <w:t>​</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(4.8)</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22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Operating expenses:</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22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Rooms</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3,966</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4,153</w:t>
            </w:r>
          </w:p>
        </w:tc>
        <w:tc>
          <w:tcPr>
            <w:tcW w:w="346" w:type="dxa"/>
            <w:tcBorders/>
            <w:shd w:fill="CCEEFF" w:val="clear"/>
            <w:vAlign w:val="center"/>
          </w:tcPr>
          <w:p>
            <w:pPr>
              <w:pStyle w:val="TableContents"/>
              <w:bidi w:val="0"/>
              <w:spacing w:before="0" w:after="1"/>
              <w:ind w:left="0" w:right="0" w:hanging="0"/>
              <w:jc w:val="left"/>
              <w:rPr/>
            </w:pPr>
            <w:r>
              <w:rPr/>
              <w:t>​</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(4.5)</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7,358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7,959</w:t>
            </w:r>
          </w:p>
        </w:tc>
        <w:tc>
          <w:tcPr>
            <w:tcW w:w="346" w:type="dxa"/>
            <w:tcBorders/>
            <w:shd w:fill="CCEEFF" w:val="clear"/>
            <w:vAlign w:val="center"/>
          </w:tcPr>
          <w:p>
            <w:pPr>
              <w:pStyle w:val="TableContents"/>
              <w:bidi w:val="0"/>
              <w:spacing w:before="0" w:after="1"/>
              <w:ind w:left="0" w:right="0" w:hanging="0"/>
              <w:jc w:val="left"/>
              <w:rPr/>
            </w:pPr>
            <w:r>
              <w:rPr/>
              <w:t>​</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(7.6)</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22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Food and beverage</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15,185</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15,118</w:t>
            </w:r>
          </w:p>
        </w:tc>
        <w:tc>
          <w:tcPr>
            <w:tcW w:w="346"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0.4</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27,320</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28,676</w:t>
            </w:r>
          </w:p>
        </w:tc>
        <w:tc>
          <w:tcPr>
            <w:tcW w:w="346"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(4.7)</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154" w:type="dxa"/>
            <w:tcBorders/>
            <w:vAlign w:val="center"/>
          </w:tcPr>
          <w:p>
            <w:pPr>
              <w:pStyle w:val="TableContents"/>
              <w:bidi w:val="0"/>
              <w:spacing w:before="0" w:after="1"/>
              <w:ind w:left="0" w:right="0" w:hanging="0"/>
              <w:jc w:val="left"/>
              <w:rPr/>
            </w:pPr>
            <w:r>
              <w:rPr/>
              <w:t>​</w:t>
            </w:r>
          </w:p>
        </w:tc>
      </w:tr>
      <w:tr>
        <w:trPr/>
        <w:tc>
          <w:tcPr>
            <w:tcW w:w="22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hotel expenses</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20,286</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19,336</w:t>
            </w:r>
          </w:p>
        </w:tc>
        <w:tc>
          <w:tcPr>
            <w:tcW w:w="346" w:type="dxa"/>
            <w:tcBorders/>
            <w:shd w:fill="CCEEFF" w:val="clear"/>
            <w:vAlign w:val="center"/>
          </w:tcPr>
          <w:p>
            <w:pPr>
              <w:pStyle w:val="TableContents"/>
              <w:bidi w:val="0"/>
              <w:spacing w:before="0" w:after="1"/>
              <w:ind w:left="0" w:right="0" w:hanging="0"/>
              <w:jc w:val="left"/>
              <w:rPr/>
            </w:pPr>
            <w:r>
              <w:rPr/>
              <w:t>​</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38,049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36,158</w:t>
            </w:r>
          </w:p>
        </w:tc>
        <w:tc>
          <w:tcPr>
            <w:tcW w:w="346" w:type="dxa"/>
            <w:tcBorders/>
            <w:shd w:fill="CCEEFF" w:val="clear"/>
            <w:vAlign w:val="center"/>
          </w:tcPr>
          <w:p>
            <w:pPr>
              <w:pStyle w:val="TableContents"/>
              <w:bidi w:val="0"/>
              <w:spacing w:before="0" w:after="1"/>
              <w:ind w:left="0" w:right="0" w:hanging="0"/>
              <w:jc w:val="left"/>
              <w:rPr/>
            </w:pPr>
            <w:r>
              <w:rPr/>
              <w:t>​</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5.2</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22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Management fees, net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2,150</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2,797</w:t>
            </w:r>
          </w:p>
        </w:tc>
        <w:tc>
          <w:tcPr>
            <w:tcW w:w="346"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(23.1)</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3,785</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5,207</w:t>
            </w:r>
          </w:p>
        </w:tc>
        <w:tc>
          <w:tcPr>
            <w:tcW w:w="346"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(27.3)</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154" w:type="dxa"/>
            <w:tcBorders/>
            <w:vAlign w:val="center"/>
          </w:tcPr>
          <w:p>
            <w:pPr>
              <w:pStyle w:val="TableContents"/>
              <w:bidi w:val="0"/>
              <w:spacing w:before="0" w:after="1"/>
              <w:ind w:left="0" w:right="0" w:hanging="0"/>
              <w:jc w:val="left"/>
              <w:rPr/>
            </w:pPr>
            <w:r>
              <w:rPr/>
              <w:t>​</w:t>
            </w:r>
          </w:p>
        </w:tc>
      </w:tr>
      <w:tr>
        <w:trPr/>
        <w:tc>
          <w:tcPr>
            <w:tcW w:w="22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Depreciation and amortization</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8,193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7,919</w:t>
            </w:r>
          </w:p>
        </w:tc>
        <w:tc>
          <w:tcPr>
            <w:tcW w:w="346" w:type="dxa"/>
            <w:tcBorders/>
            <w:shd w:fill="CCEEFF" w:val="clear"/>
            <w:vAlign w:val="center"/>
          </w:tcPr>
          <w:p>
            <w:pPr>
              <w:pStyle w:val="TableContents"/>
              <w:bidi w:val="0"/>
              <w:spacing w:before="0" w:after="1"/>
              <w:ind w:left="0" w:right="0" w:hanging="0"/>
              <w:jc w:val="left"/>
              <w:rPr/>
            </w:pPr>
            <w:r>
              <w:rPr/>
              <w:t>​</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16,355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15,750</w:t>
            </w:r>
          </w:p>
        </w:tc>
        <w:tc>
          <w:tcPr>
            <w:tcW w:w="346" w:type="dxa"/>
            <w:tcBorders/>
            <w:shd w:fill="CCEEFF" w:val="clear"/>
            <w:vAlign w:val="center"/>
          </w:tcPr>
          <w:p>
            <w:pPr>
              <w:pStyle w:val="TableContents"/>
              <w:bidi w:val="0"/>
              <w:spacing w:before="0" w:after="1"/>
              <w:ind w:left="0" w:right="0" w:hanging="0"/>
              <w:jc w:val="left"/>
              <w:rPr/>
            </w:pPr>
            <w:r>
              <w:rPr/>
              <w:t>​</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3.8</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22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operating expenses</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49,780</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49,323</w:t>
            </w:r>
          </w:p>
        </w:tc>
        <w:tc>
          <w:tcPr>
            <w:tcW w:w="346"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0.9</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92,867</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93,750</w:t>
            </w:r>
          </w:p>
        </w:tc>
        <w:tc>
          <w:tcPr>
            <w:tcW w:w="346"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(0.9)</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154" w:type="dxa"/>
            <w:tcBorders/>
            <w:vAlign w:val="center"/>
          </w:tcPr>
          <w:p>
            <w:pPr>
              <w:pStyle w:val="TableContents"/>
              <w:bidi w:val="0"/>
              <w:spacing w:before="0" w:after="1"/>
              <w:ind w:left="0" w:right="0" w:hanging="0"/>
              <w:jc w:val="left"/>
              <w:rPr/>
            </w:pPr>
            <w:r>
              <w:rPr/>
              <w:t>​</w:t>
            </w:r>
          </w:p>
        </w:tc>
      </w:tr>
      <w:tr>
        <w:trPr/>
        <w:tc>
          <w:tcPr>
            <w:tcW w:w="22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Operating income</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15,982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17,250</w:t>
            </w:r>
          </w:p>
        </w:tc>
        <w:tc>
          <w:tcPr>
            <w:tcW w:w="346" w:type="dxa"/>
            <w:tcBorders/>
            <w:shd w:fill="CCEEFF" w:val="clear"/>
            <w:vAlign w:val="center"/>
          </w:tcPr>
          <w:p>
            <w:pPr>
              <w:pStyle w:val="TableContents"/>
              <w:bidi w:val="0"/>
              <w:spacing w:before="0" w:after="1"/>
              <w:ind w:left="0" w:right="0" w:hanging="0"/>
              <w:jc w:val="left"/>
              <w:rPr/>
            </w:pPr>
            <w:r>
              <w:rPr/>
              <w:t>​</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(7.4)</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23,190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28,099</w:t>
            </w:r>
          </w:p>
        </w:tc>
        <w:tc>
          <w:tcPr>
            <w:tcW w:w="346" w:type="dxa"/>
            <w:tcBorders/>
            <w:shd w:fill="CCEEFF" w:val="clear"/>
            <w:vAlign w:val="center"/>
          </w:tcPr>
          <w:p>
            <w:pPr>
              <w:pStyle w:val="TableContents"/>
              <w:bidi w:val="0"/>
              <w:spacing w:before="0" w:after="1"/>
              <w:ind w:left="0" w:right="0" w:hanging="0"/>
              <w:jc w:val="left"/>
              <w:rPr/>
            </w:pPr>
            <w:r>
              <w:rPr/>
              <w:t>​</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(17.5)</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22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Performance metrics:</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22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Occupancy</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70.9</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75.6</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(4.7)</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pts</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64.8</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71.8</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(7.0)</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pts</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22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ADR</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344.31</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342.79</w:t>
            </w:r>
          </w:p>
        </w:tc>
        <w:tc>
          <w:tcPr>
            <w:tcW w:w="346"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0.4</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341.31</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332.79</w:t>
            </w:r>
          </w:p>
        </w:tc>
        <w:tc>
          <w:tcPr>
            <w:tcW w:w="346"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154" w:type="dxa"/>
            <w:tcBorders/>
            <w:vAlign w:val="center"/>
          </w:tcPr>
          <w:p>
            <w:pPr>
              <w:pStyle w:val="TableContents"/>
              <w:bidi w:val="0"/>
              <w:spacing w:before="0" w:after="1"/>
              <w:ind w:left="0" w:right="0" w:hanging="0"/>
              <w:jc w:val="left"/>
              <w:rPr/>
            </w:pPr>
            <w:r>
              <w:rPr/>
              <w:t>​</w:t>
            </w:r>
          </w:p>
        </w:tc>
      </w:tr>
      <w:tr>
        <w:trPr/>
        <w:tc>
          <w:tcPr>
            <w:tcW w:w="22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RevPAR</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244.21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259.31</w:t>
            </w:r>
          </w:p>
        </w:tc>
        <w:tc>
          <w:tcPr>
            <w:tcW w:w="346" w:type="dxa"/>
            <w:tcBorders/>
            <w:shd w:fill="CCEEFF" w:val="clear"/>
            <w:vAlign w:val="center"/>
          </w:tcPr>
          <w:p>
            <w:pPr>
              <w:pStyle w:val="TableContents"/>
              <w:bidi w:val="0"/>
              <w:spacing w:before="0" w:after="1"/>
              <w:ind w:left="0" w:right="0" w:hanging="0"/>
              <w:jc w:val="left"/>
              <w:rPr/>
            </w:pPr>
            <w:r>
              <w:rPr/>
              <w:t>​</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(5.8)</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221.24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238.96</w:t>
            </w:r>
          </w:p>
        </w:tc>
        <w:tc>
          <w:tcPr>
            <w:tcW w:w="346" w:type="dxa"/>
            <w:tcBorders/>
            <w:shd w:fill="CCEEFF" w:val="clear"/>
            <w:vAlign w:val="center"/>
          </w:tcPr>
          <w:p>
            <w:pPr>
              <w:pStyle w:val="TableContents"/>
              <w:bidi w:val="0"/>
              <w:spacing w:before="0" w:after="1"/>
              <w:ind w:left="0" w:right="0" w:hanging="0"/>
              <w:jc w:val="left"/>
              <w:rPr/>
            </w:pPr>
            <w:r>
              <w:rPr/>
              <w:t>​</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(7.4)</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22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RevPAR</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721.22</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730.11</w:t>
            </w:r>
          </w:p>
        </w:tc>
        <w:tc>
          <w:tcPr>
            <w:tcW w:w="346"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639.92</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671.85</w:t>
            </w:r>
          </w:p>
        </w:tc>
        <w:tc>
          <w:tcPr>
            <w:tcW w:w="346"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(4.8)</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154"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val="false"/>
          <w:i/>
          <w:sz w:val="20"/>
        </w:rPr>
        <w:t>JW Marriott Desert Ridge Results</w:t>
      </w:r>
      <w:r>
        <w:rPr>
          <w:rFonts w:ascii="Times New Roman;Times;serif" w:hAnsi="Times New Roman;Times;serif"/>
          <w:b w:val="false"/>
          <w:i w:val="false"/>
          <w:caps w:val="false"/>
          <w:smallCaps w:val="false"/>
          <w:sz w:val="20"/>
        </w:rPr>
        <w:t>. We purchased JW Marriott Desert Ridge on June 10, 2025. The results of JW Marriott Desert Ridge for the three and six months ended June 30, 2026 and for the period ended June 30, 2025 are as follows (in thousands, except percentages and performance metrics):</w:t>
      </w:r>
    </w:p>
    <w:tbl>
      <w:tblPr>
        <w:tblW w:w="7578" w:type="dxa"/>
        <w:jc w:val="left"/>
        <w:tblInd w:w="0" w:type="dxa"/>
        <w:tblLayout w:type="fixed"/>
        <w:tblCellMar>
          <w:top w:w="0" w:type="dxa"/>
          <w:left w:w="0" w:type="dxa"/>
          <w:bottom w:w="0" w:type="dxa"/>
          <w:right w:w="0" w:type="dxa"/>
        </w:tblCellMar>
      </w:tblPr>
      <w:tblGrid>
        <w:gridCol w:w="2236"/>
        <w:gridCol w:w="109"/>
        <w:gridCol w:w="406"/>
        <w:gridCol w:w="1244"/>
        <w:gridCol w:w="346"/>
        <w:gridCol w:w="109"/>
        <w:gridCol w:w="321"/>
        <w:gridCol w:w="1134"/>
        <w:gridCol w:w="346"/>
        <w:gridCol w:w="109"/>
        <w:gridCol w:w="196"/>
        <w:gridCol w:w="631"/>
        <w:gridCol w:w="391"/>
      </w:tblGrid>
      <w:tr>
        <w:trPr/>
        <w:tc>
          <w:tcPr>
            <w:tcW w:w="2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1419860" cy="175260"/>
                      <wp:effectExtent l="0" t="0" r="0" b="0"/>
                      <wp:wrapNone/>
                      <wp:docPr id="491" name="Frame491"/>
                      <a:graphic xmlns:a="http://schemas.openxmlformats.org/drawingml/2006/main">
                        <a:graphicData uri="http://schemas.microsoft.com/office/word/2010/wordprocessingShape">
                          <wps:wsp>
                            <wps:cNvSpPr txBox="1"/>
                            <wps:spPr>
                              <a:xfrm>
                                <a:off x="0" y="0"/>
                                <a:ext cx="1419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3">
                      <wp:simplePos x="0" y="0"/>
                      <wp:positionH relativeFrom="character">
                        <wp:align>left</wp:align>
                      </wp:positionH>
                      <wp:positionV relativeFrom="line">
                        <wp:posOffset>635</wp:posOffset>
                      </wp:positionV>
                      <wp:extent cx="69215" cy="175260"/>
                      <wp:effectExtent l="0" t="0" r="0" b="0"/>
                      <wp:wrapNone/>
                      <wp:docPr id="492" name="Frame49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4">
                      <wp:simplePos x="0" y="0"/>
                      <wp:positionH relativeFrom="character">
                        <wp:align>left</wp:align>
                      </wp:positionH>
                      <wp:positionV relativeFrom="line">
                        <wp:posOffset>635</wp:posOffset>
                      </wp:positionV>
                      <wp:extent cx="257810" cy="175260"/>
                      <wp:effectExtent l="0" t="0" r="0" b="0"/>
                      <wp:wrapNone/>
                      <wp:docPr id="493" name="Frame493"/>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5">
                      <wp:simplePos x="0" y="0"/>
                      <wp:positionH relativeFrom="character">
                        <wp:align>left</wp:align>
                      </wp:positionH>
                      <wp:positionV relativeFrom="line">
                        <wp:posOffset>635</wp:posOffset>
                      </wp:positionV>
                      <wp:extent cx="789940" cy="175260"/>
                      <wp:effectExtent l="0" t="0" r="0" b="0"/>
                      <wp:wrapNone/>
                      <wp:docPr id="494" name="Frame494"/>
                      <a:graphic xmlns:a="http://schemas.openxmlformats.org/drawingml/2006/main">
                        <a:graphicData uri="http://schemas.microsoft.com/office/word/2010/wordprocessingShape">
                          <wps:wsp>
                            <wps:cNvSpPr txBox="1"/>
                            <wps:spPr>
                              <a:xfrm>
                                <a:off x="0" y="0"/>
                                <a:ext cx="7899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6">
                      <wp:simplePos x="0" y="0"/>
                      <wp:positionH relativeFrom="character">
                        <wp:align>left</wp:align>
                      </wp:positionH>
                      <wp:positionV relativeFrom="line">
                        <wp:posOffset>635</wp:posOffset>
                      </wp:positionV>
                      <wp:extent cx="219710" cy="175260"/>
                      <wp:effectExtent l="0" t="0" r="0" b="0"/>
                      <wp:wrapNone/>
                      <wp:docPr id="495" name="Frame4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7">
                      <wp:simplePos x="0" y="0"/>
                      <wp:positionH relativeFrom="character">
                        <wp:align>left</wp:align>
                      </wp:positionH>
                      <wp:positionV relativeFrom="line">
                        <wp:posOffset>635</wp:posOffset>
                      </wp:positionV>
                      <wp:extent cx="69215" cy="175260"/>
                      <wp:effectExtent l="0" t="0" r="0" b="0"/>
                      <wp:wrapNone/>
                      <wp:docPr id="496" name="Frame49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8">
                      <wp:simplePos x="0" y="0"/>
                      <wp:positionH relativeFrom="character">
                        <wp:align>left</wp:align>
                      </wp:positionH>
                      <wp:positionV relativeFrom="line">
                        <wp:posOffset>635</wp:posOffset>
                      </wp:positionV>
                      <wp:extent cx="203835" cy="175260"/>
                      <wp:effectExtent l="0" t="0" r="0" b="0"/>
                      <wp:wrapNone/>
                      <wp:docPr id="497" name="Frame497"/>
                      <a:graphic xmlns:a="http://schemas.openxmlformats.org/drawingml/2006/main">
                        <a:graphicData uri="http://schemas.microsoft.com/office/word/2010/wordprocessingShape">
                          <wps:wsp>
                            <wps:cNvSpPr txBox="1"/>
                            <wps:spPr>
                              <a:xfrm>
                                <a:off x="0" y="0"/>
                                <a:ext cx="203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9">
                      <wp:simplePos x="0" y="0"/>
                      <wp:positionH relativeFrom="character">
                        <wp:align>left</wp:align>
                      </wp:positionH>
                      <wp:positionV relativeFrom="line">
                        <wp:posOffset>635</wp:posOffset>
                      </wp:positionV>
                      <wp:extent cx="720090" cy="175260"/>
                      <wp:effectExtent l="0" t="0" r="0" b="0"/>
                      <wp:wrapNone/>
                      <wp:docPr id="498" name="Frame498"/>
                      <a:graphic xmlns:a="http://schemas.openxmlformats.org/drawingml/2006/main">
                        <a:graphicData uri="http://schemas.microsoft.com/office/word/2010/wordprocessingShape">
                          <wps:wsp>
                            <wps:cNvSpPr txBox="1"/>
                            <wps:spPr>
                              <a:xfrm>
                                <a:off x="0" y="0"/>
                                <a:ext cx="7200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0">
                      <wp:simplePos x="0" y="0"/>
                      <wp:positionH relativeFrom="character">
                        <wp:align>left</wp:align>
                      </wp:positionH>
                      <wp:positionV relativeFrom="line">
                        <wp:posOffset>635</wp:posOffset>
                      </wp:positionV>
                      <wp:extent cx="219710" cy="175260"/>
                      <wp:effectExtent l="0" t="0" r="0" b="0"/>
                      <wp:wrapNone/>
                      <wp:docPr id="499" name="Frame4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1">
                      <wp:simplePos x="0" y="0"/>
                      <wp:positionH relativeFrom="character">
                        <wp:align>left</wp:align>
                      </wp:positionH>
                      <wp:positionV relativeFrom="line">
                        <wp:posOffset>635</wp:posOffset>
                      </wp:positionV>
                      <wp:extent cx="69215" cy="175260"/>
                      <wp:effectExtent l="0" t="0" r="0" b="0"/>
                      <wp:wrapNone/>
                      <wp:docPr id="500" name="Frame50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2">
                      <wp:simplePos x="0" y="0"/>
                      <wp:positionH relativeFrom="character">
                        <wp:align>left</wp:align>
                      </wp:positionH>
                      <wp:positionV relativeFrom="line">
                        <wp:posOffset>635</wp:posOffset>
                      </wp:positionV>
                      <wp:extent cx="124460" cy="175260"/>
                      <wp:effectExtent l="0" t="0" r="0" b="0"/>
                      <wp:wrapNone/>
                      <wp:docPr id="501" name="Frame50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3">
                      <wp:simplePos x="0" y="0"/>
                      <wp:positionH relativeFrom="character">
                        <wp:align>left</wp:align>
                      </wp:positionH>
                      <wp:positionV relativeFrom="line">
                        <wp:posOffset>635</wp:posOffset>
                      </wp:positionV>
                      <wp:extent cx="400685" cy="175260"/>
                      <wp:effectExtent l="0" t="0" r="0" b="0"/>
                      <wp:wrapNone/>
                      <wp:docPr id="502" name="Frame502"/>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4">
                      <wp:simplePos x="0" y="0"/>
                      <wp:positionH relativeFrom="character">
                        <wp:align>left</wp:align>
                      </wp:positionH>
                      <wp:positionV relativeFrom="line">
                        <wp:posOffset>635</wp:posOffset>
                      </wp:positionV>
                      <wp:extent cx="248285" cy="175260"/>
                      <wp:effectExtent l="0" t="0" r="0" b="0"/>
                      <wp:wrapNone/>
                      <wp:docPr id="503" name="Frame503"/>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23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65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45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218" w:type="dxa"/>
            <w:gridSpan w:val="3"/>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Period Ended</w:t>
            </w:r>
          </w:p>
        </w:tc>
      </w:tr>
      <w:tr>
        <w:trPr/>
        <w:tc>
          <w:tcPr>
            <w:tcW w:w="223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65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45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218"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2025</w:t>
            </w:r>
          </w:p>
        </w:tc>
      </w:tr>
      <w:tr>
        <w:trPr/>
        <w:tc>
          <w:tcPr>
            <w:tcW w:w="22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Revenues:</w:t>
            </w:r>
          </w:p>
        </w:tc>
        <w:tc>
          <w:tcPr>
            <w:tcW w:w="109" w:type="dxa"/>
            <w:tcBorders/>
            <w:shd w:fill="CCEEFF" w:val="clear"/>
            <w:vAlign w:val="center"/>
          </w:tcPr>
          <w:p>
            <w:pPr>
              <w:pStyle w:val="TableContents"/>
              <w:bidi w:val="0"/>
              <w:spacing w:before="0" w:after="1"/>
              <w:ind w:left="0" w:right="0" w:hanging="0"/>
              <w:jc w:val="left"/>
              <w:rPr/>
            </w:pPr>
            <w:r>
              <w:rPr/>
              <w:t>​</w:t>
            </w:r>
          </w:p>
        </w:tc>
        <w:tc>
          <w:tcPr>
            <w:tcW w:w="406" w:type="dxa"/>
            <w:tcBorders/>
            <w:shd w:fill="CCEEFF" w:val="clear"/>
            <w:vAlign w:val="center"/>
          </w:tcPr>
          <w:p>
            <w:pPr>
              <w:pStyle w:val="TableContents"/>
              <w:bidi w:val="0"/>
              <w:spacing w:before="0" w:after="1"/>
              <w:ind w:left="0" w:right="0" w:hanging="0"/>
              <w:jc w:val="left"/>
              <w:rPr/>
            </w:pPr>
            <w:r>
              <w:rPr/>
              <w:t>​</w:t>
            </w:r>
          </w:p>
        </w:tc>
        <w:tc>
          <w:tcPr>
            <w:tcW w:w="124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21" w:type="dxa"/>
            <w:tcBorders/>
            <w:shd w:fill="CCEEFF" w:val="clear"/>
            <w:vAlign w:val="center"/>
          </w:tcPr>
          <w:p>
            <w:pPr>
              <w:pStyle w:val="TableContents"/>
              <w:bidi w:val="0"/>
              <w:spacing w:before="0" w:after="1"/>
              <w:ind w:left="0" w:right="0" w:hanging="0"/>
              <w:jc w:val="left"/>
              <w:rPr/>
            </w:pPr>
            <w:r>
              <w:rPr/>
              <w:t>​</w:t>
            </w:r>
          </w:p>
        </w:tc>
        <w:tc>
          <w:tcPr>
            <w:tcW w:w="113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pPr>
            <w:r>
              <w:rPr/>
              <w:t>​</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22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Rooms</w:t>
            </w:r>
          </w:p>
        </w:tc>
        <w:tc>
          <w:tcPr>
            <w:tcW w:w="109" w:type="dxa"/>
            <w:tcBorders/>
            <w:vAlign w:val="center"/>
          </w:tcPr>
          <w:p>
            <w:pPr>
              <w:pStyle w:val="TableContents"/>
              <w:bidi w:val="0"/>
              <w:spacing w:before="0" w:after="1"/>
              <w:ind w:left="0" w:right="0" w:hanging="0"/>
              <w:jc w:val="left"/>
              <w:rPr/>
            </w:pPr>
            <w:r>
              <w:rPr/>
              <w:t>​</w:t>
            </w:r>
          </w:p>
        </w:tc>
        <w:tc>
          <w:tcPr>
            <w:tcW w:w="40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24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22,897</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2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13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53,456</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1,791</w:t>
            </w:r>
          </w:p>
        </w:tc>
        <w:tc>
          <w:tcPr>
            <w:tcW w:w="391" w:type="dxa"/>
            <w:tcBorders/>
            <w:vAlign w:val="center"/>
          </w:tcPr>
          <w:p>
            <w:pPr>
              <w:pStyle w:val="TableContents"/>
              <w:bidi w:val="0"/>
              <w:spacing w:before="0" w:after="1"/>
              <w:ind w:left="0" w:right="0" w:hanging="0"/>
              <w:jc w:val="left"/>
              <w:rPr/>
            </w:pPr>
            <w:r>
              <w:rPr/>
              <w:t>​</w:t>
            </w:r>
          </w:p>
        </w:tc>
      </w:tr>
      <w:tr>
        <w:trPr/>
        <w:tc>
          <w:tcPr>
            <w:tcW w:w="22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Food and beverage</w:t>
            </w:r>
          </w:p>
        </w:tc>
        <w:tc>
          <w:tcPr>
            <w:tcW w:w="109" w:type="dxa"/>
            <w:tcBorders/>
            <w:shd w:fill="CCEEFF" w:val="clear"/>
            <w:vAlign w:val="center"/>
          </w:tcPr>
          <w:p>
            <w:pPr>
              <w:pStyle w:val="TableContents"/>
              <w:bidi w:val="0"/>
              <w:spacing w:before="0" w:after="1"/>
              <w:ind w:left="0" w:right="0" w:hanging="0"/>
              <w:jc w:val="left"/>
              <w:rPr/>
            </w:pPr>
            <w:r>
              <w:rPr/>
              <w:t>​</w:t>
            </w:r>
          </w:p>
        </w:tc>
        <w:tc>
          <w:tcPr>
            <w:tcW w:w="406" w:type="dxa"/>
            <w:tcBorders/>
            <w:shd w:fill="CCEEFF" w:val="clear"/>
            <w:vAlign w:val="center"/>
          </w:tcPr>
          <w:p>
            <w:pPr>
              <w:pStyle w:val="TableContents"/>
              <w:bidi w:val="0"/>
              <w:spacing w:before="0" w:after="1"/>
              <w:ind w:left="0" w:right="0" w:hanging="0"/>
              <w:jc w:val="left"/>
              <w:rPr/>
            </w:pPr>
            <w:r>
              <w:rPr/>
              <w:t>​</w:t>
            </w:r>
          </w:p>
        </w:tc>
        <w:tc>
          <w:tcPr>
            <w:tcW w:w="124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27,447</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21" w:type="dxa"/>
            <w:tcBorders/>
            <w:shd w:fill="CCEEFF" w:val="clear"/>
            <w:vAlign w:val="center"/>
          </w:tcPr>
          <w:p>
            <w:pPr>
              <w:pStyle w:val="TableContents"/>
              <w:bidi w:val="0"/>
              <w:spacing w:before="0" w:after="1"/>
              <w:ind w:left="0" w:right="0" w:hanging="0"/>
              <w:jc w:val="left"/>
              <w:rPr/>
            </w:pPr>
            <w:r>
              <w:rPr/>
              <w:t>​</w:t>
            </w:r>
          </w:p>
        </w:tc>
        <w:tc>
          <w:tcPr>
            <w:tcW w:w="113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59,420</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1,846</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22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hotel revenue</w:t>
            </w:r>
          </w:p>
        </w:tc>
        <w:tc>
          <w:tcPr>
            <w:tcW w:w="109" w:type="dxa"/>
            <w:tcBorders/>
            <w:vAlign w:val="center"/>
          </w:tcPr>
          <w:p>
            <w:pPr>
              <w:pStyle w:val="TableContents"/>
              <w:bidi w:val="0"/>
              <w:spacing w:before="0" w:after="1"/>
              <w:ind w:left="0" w:right="0" w:hanging="0"/>
              <w:jc w:val="left"/>
              <w:rPr/>
            </w:pPr>
            <w:r>
              <w:rPr/>
              <w:t>​</w:t>
            </w:r>
          </w:p>
        </w:tc>
        <w:tc>
          <w:tcPr>
            <w:tcW w:w="40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4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10,305</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2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3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21,641</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1,712</w:t>
            </w:r>
          </w:p>
        </w:tc>
        <w:tc>
          <w:tcPr>
            <w:tcW w:w="391" w:type="dxa"/>
            <w:tcBorders/>
            <w:vAlign w:val="center"/>
          </w:tcPr>
          <w:p>
            <w:pPr>
              <w:pStyle w:val="TableContents"/>
              <w:bidi w:val="0"/>
              <w:spacing w:before="0" w:after="1"/>
              <w:ind w:left="0" w:right="0" w:hanging="0"/>
              <w:jc w:val="left"/>
              <w:rPr/>
            </w:pPr>
            <w:r>
              <w:rPr/>
              <w:t>​</w:t>
            </w:r>
          </w:p>
        </w:tc>
      </w:tr>
      <w:tr>
        <w:trPr/>
        <w:tc>
          <w:tcPr>
            <w:tcW w:w="22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revenue</w:t>
            </w:r>
          </w:p>
        </w:tc>
        <w:tc>
          <w:tcPr>
            <w:tcW w:w="109" w:type="dxa"/>
            <w:tcBorders/>
            <w:shd w:fill="CCEEFF" w:val="clear"/>
            <w:vAlign w:val="center"/>
          </w:tcPr>
          <w:p>
            <w:pPr>
              <w:pStyle w:val="TableContents"/>
              <w:bidi w:val="0"/>
              <w:spacing w:before="0" w:after="1"/>
              <w:ind w:left="0" w:right="0" w:hanging="0"/>
              <w:jc w:val="left"/>
              <w:rPr/>
            </w:pPr>
            <w:r>
              <w:rPr/>
              <w:t>​</w:t>
            </w:r>
          </w:p>
        </w:tc>
        <w:tc>
          <w:tcPr>
            <w:tcW w:w="406" w:type="dxa"/>
            <w:tcBorders/>
            <w:shd w:fill="CCEEFF" w:val="clear"/>
            <w:vAlign w:val="center"/>
          </w:tcPr>
          <w:p>
            <w:pPr>
              <w:pStyle w:val="TableContents"/>
              <w:bidi w:val="0"/>
              <w:spacing w:before="0" w:after="1"/>
              <w:ind w:left="0" w:right="0" w:hanging="0"/>
              <w:jc w:val="left"/>
              <w:rPr/>
            </w:pPr>
            <w:r>
              <w:rPr/>
              <w:t>​</w:t>
            </w:r>
          </w:p>
        </w:tc>
        <w:tc>
          <w:tcPr>
            <w:tcW w:w="124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60,649</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21" w:type="dxa"/>
            <w:tcBorders/>
            <w:shd w:fill="CCEEFF" w:val="clear"/>
            <w:vAlign w:val="center"/>
          </w:tcPr>
          <w:p>
            <w:pPr>
              <w:pStyle w:val="TableContents"/>
              <w:bidi w:val="0"/>
              <w:spacing w:before="0" w:after="1"/>
              <w:ind w:left="0" w:right="0" w:hanging="0"/>
              <w:jc w:val="left"/>
              <w:rPr/>
            </w:pPr>
            <w:r>
              <w:rPr/>
              <w:t>​</w:t>
            </w:r>
          </w:p>
        </w:tc>
        <w:tc>
          <w:tcPr>
            <w:tcW w:w="113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134,517</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5,349</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22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Operating expenses:</w:t>
            </w:r>
          </w:p>
        </w:tc>
        <w:tc>
          <w:tcPr>
            <w:tcW w:w="109" w:type="dxa"/>
            <w:tcBorders/>
            <w:vAlign w:val="center"/>
          </w:tcPr>
          <w:p>
            <w:pPr>
              <w:pStyle w:val="TableContents"/>
              <w:bidi w:val="0"/>
              <w:spacing w:before="0" w:after="1"/>
              <w:ind w:left="0" w:right="0" w:hanging="0"/>
              <w:jc w:val="left"/>
              <w:rPr/>
            </w:pPr>
            <w:r>
              <w:rPr/>
              <w:t>​</w:t>
            </w:r>
          </w:p>
        </w:tc>
        <w:tc>
          <w:tcPr>
            <w:tcW w:w="406" w:type="dxa"/>
            <w:tcBorders/>
            <w:vAlign w:val="center"/>
          </w:tcPr>
          <w:p>
            <w:pPr>
              <w:pStyle w:val="TableContents"/>
              <w:bidi w:val="0"/>
              <w:spacing w:before="0" w:after="1"/>
              <w:ind w:left="0" w:right="0" w:hanging="0"/>
              <w:jc w:val="left"/>
              <w:rPr/>
            </w:pPr>
            <w:r>
              <w:rPr/>
              <w:t>​</w:t>
            </w:r>
          </w:p>
        </w:tc>
        <w:tc>
          <w:tcPr>
            <w:tcW w:w="124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21" w:type="dxa"/>
            <w:tcBorders/>
            <w:vAlign w:val="center"/>
          </w:tcPr>
          <w:p>
            <w:pPr>
              <w:pStyle w:val="TableContents"/>
              <w:bidi w:val="0"/>
              <w:spacing w:before="0" w:after="1"/>
              <w:ind w:left="0" w:right="0" w:hanging="0"/>
              <w:jc w:val="left"/>
              <w:rPr/>
            </w:pPr>
            <w:r>
              <w:rPr/>
              <w:t>​</w:t>
            </w:r>
          </w:p>
        </w:tc>
        <w:tc>
          <w:tcPr>
            <w:tcW w:w="113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91" w:type="dxa"/>
            <w:tcBorders/>
            <w:vAlign w:val="center"/>
          </w:tcPr>
          <w:p>
            <w:pPr>
              <w:pStyle w:val="TableContents"/>
              <w:bidi w:val="0"/>
              <w:spacing w:before="0" w:after="1"/>
              <w:ind w:left="0" w:right="0" w:hanging="0"/>
              <w:jc w:val="left"/>
              <w:rPr/>
            </w:pPr>
            <w:r>
              <w:rPr/>
              <w:t>​</w:t>
            </w:r>
          </w:p>
        </w:tc>
      </w:tr>
      <w:tr>
        <w:trPr/>
        <w:tc>
          <w:tcPr>
            <w:tcW w:w="22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Rooms</w:t>
            </w:r>
          </w:p>
        </w:tc>
        <w:tc>
          <w:tcPr>
            <w:tcW w:w="109" w:type="dxa"/>
            <w:tcBorders/>
            <w:shd w:fill="CCEEFF" w:val="clear"/>
            <w:vAlign w:val="center"/>
          </w:tcPr>
          <w:p>
            <w:pPr>
              <w:pStyle w:val="TableContents"/>
              <w:bidi w:val="0"/>
              <w:spacing w:before="0" w:after="1"/>
              <w:ind w:left="0" w:right="0" w:hanging="0"/>
              <w:jc w:val="left"/>
              <w:rPr/>
            </w:pPr>
            <w:r>
              <w:rPr/>
              <w:t>​</w:t>
            </w:r>
          </w:p>
        </w:tc>
        <w:tc>
          <w:tcPr>
            <w:tcW w:w="406" w:type="dxa"/>
            <w:tcBorders/>
            <w:shd w:fill="CCEEFF" w:val="clear"/>
            <w:vAlign w:val="center"/>
          </w:tcPr>
          <w:p>
            <w:pPr>
              <w:pStyle w:val="TableContents"/>
              <w:bidi w:val="0"/>
              <w:spacing w:before="0" w:after="1"/>
              <w:ind w:left="0" w:right="0" w:hanging="0"/>
              <w:jc w:val="left"/>
              <w:rPr/>
            </w:pPr>
            <w:r>
              <w:rPr/>
              <w:t>​</w:t>
            </w:r>
          </w:p>
        </w:tc>
        <w:tc>
          <w:tcPr>
            <w:tcW w:w="124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4,356</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21" w:type="dxa"/>
            <w:tcBorders/>
            <w:shd w:fill="CCEEFF" w:val="clear"/>
            <w:vAlign w:val="center"/>
          </w:tcPr>
          <w:p>
            <w:pPr>
              <w:pStyle w:val="TableContents"/>
              <w:bidi w:val="0"/>
              <w:spacing w:before="0" w:after="1"/>
              <w:ind w:left="0" w:right="0" w:hanging="0"/>
              <w:jc w:val="left"/>
              <w:rPr/>
            </w:pPr>
            <w:r>
              <w:rPr/>
              <w:t>​</w:t>
            </w:r>
          </w:p>
        </w:tc>
        <w:tc>
          <w:tcPr>
            <w:tcW w:w="113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9,070</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652</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22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Food and beverage</w:t>
            </w:r>
          </w:p>
        </w:tc>
        <w:tc>
          <w:tcPr>
            <w:tcW w:w="109" w:type="dxa"/>
            <w:tcBorders/>
            <w:vAlign w:val="center"/>
          </w:tcPr>
          <w:p>
            <w:pPr>
              <w:pStyle w:val="TableContents"/>
              <w:bidi w:val="0"/>
              <w:spacing w:before="0" w:after="1"/>
              <w:ind w:left="0" w:right="0" w:hanging="0"/>
              <w:jc w:val="left"/>
              <w:rPr/>
            </w:pPr>
            <w:r>
              <w:rPr/>
              <w:t>​</w:t>
            </w:r>
          </w:p>
        </w:tc>
        <w:tc>
          <w:tcPr>
            <w:tcW w:w="406" w:type="dxa"/>
            <w:tcBorders/>
            <w:vAlign w:val="center"/>
          </w:tcPr>
          <w:p>
            <w:pPr>
              <w:pStyle w:val="TableContents"/>
              <w:bidi w:val="0"/>
              <w:spacing w:before="0" w:after="1"/>
              <w:ind w:left="0" w:right="0" w:hanging="0"/>
              <w:jc w:val="left"/>
              <w:rPr/>
            </w:pPr>
            <w:r>
              <w:rPr/>
              <w:t>​</w:t>
            </w:r>
          </w:p>
        </w:tc>
        <w:tc>
          <w:tcPr>
            <w:tcW w:w="124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15,436</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21" w:type="dxa"/>
            <w:tcBorders/>
            <w:vAlign w:val="center"/>
          </w:tcPr>
          <w:p>
            <w:pPr>
              <w:pStyle w:val="TableContents"/>
              <w:bidi w:val="0"/>
              <w:spacing w:before="0" w:after="1"/>
              <w:ind w:left="0" w:right="0" w:hanging="0"/>
              <w:jc w:val="left"/>
              <w:rPr/>
            </w:pPr>
            <w:r>
              <w:rPr/>
              <w:t>​</w:t>
            </w:r>
          </w:p>
        </w:tc>
        <w:tc>
          <w:tcPr>
            <w:tcW w:w="113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31,951</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1,866</w:t>
            </w:r>
          </w:p>
        </w:tc>
        <w:tc>
          <w:tcPr>
            <w:tcW w:w="391" w:type="dxa"/>
            <w:tcBorders/>
            <w:vAlign w:val="center"/>
          </w:tcPr>
          <w:p>
            <w:pPr>
              <w:pStyle w:val="TableContents"/>
              <w:bidi w:val="0"/>
              <w:spacing w:before="0" w:after="1"/>
              <w:ind w:left="0" w:right="0" w:hanging="0"/>
              <w:jc w:val="left"/>
              <w:rPr/>
            </w:pPr>
            <w:r>
              <w:rPr/>
              <w:t>​</w:t>
            </w:r>
          </w:p>
        </w:tc>
      </w:tr>
      <w:tr>
        <w:trPr/>
        <w:tc>
          <w:tcPr>
            <w:tcW w:w="22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hotel expenses</w:t>
            </w:r>
          </w:p>
        </w:tc>
        <w:tc>
          <w:tcPr>
            <w:tcW w:w="109" w:type="dxa"/>
            <w:tcBorders/>
            <w:shd w:fill="CCEEFF" w:val="clear"/>
            <w:vAlign w:val="center"/>
          </w:tcPr>
          <w:p>
            <w:pPr>
              <w:pStyle w:val="TableContents"/>
              <w:bidi w:val="0"/>
              <w:spacing w:before="0" w:after="1"/>
              <w:ind w:left="0" w:right="0" w:hanging="0"/>
              <w:jc w:val="left"/>
              <w:rPr/>
            </w:pPr>
            <w:r>
              <w:rPr/>
              <w:t>​</w:t>
            </w:r>
          </w:p>
        </w:tc>
        <w:tc>
          <w:tcPr>
            <w:tcW w:w="406" w:type="dxa"/>
            <w:tcBorders/>
            <w:shd w:fill="CCEEFF" w:val="clear"/>
            <w:vAlign w:val="center"/>
          </w:tcPr>
          <w:p>
            <w:pPr>
              <w:pStyle w:val="TableContents"/>
              <w:bidi w:val="0"/>
              <w:spacing w:before="0" w:after="1"/>
              <w:ind w:left="0" w:right="0" w:hanging="0"/>
              <w:jc w:val="left"/>
              <w:rPr/>
            </w:pPr>
            <w:r>
              <w:rPr/>
              <w:t>​</w:t>
            </w:r>
          </w:p>
        </w:tc>
        <w:tc>
          <w:tcPr>
            <w:tcW w:w="124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17,553</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21" w:type="dxa"/>
            <w:tcBorders/>
            <w:shd w:fill="CCEEFF" w:val="clear"/>
            <w:vAlign w:val="center"/>
          </w:tcPr>
          <w:p>
            <w:pPr>
              <w:pStyle w:val="TableContents"/>
              <w:bidi w:val="0"/>
              <w:spacing w:before="0" w:after="1"/>
              <w:ind w:left="0" w:right="0" w:hanging="0"/>
              <w:jc w:val="left"/>
              <w:rPr/>
            </w:pPr>
            <w:r>
              <w:rPr/>
              <w:t>​</w:t>
            </w:r>
          </w:p>
        </w:tc>
        <w:tc>
          <w:tcPr>
            <w:tcW w:w="113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33,794</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3,447</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22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Management fees, net</w:t>
            </w:r>
          </w:p>
        </w:tc>
        <w:tc>
          <w:tcPr>
            <w:tcW w:w="109" w:type="dxa"/>
            <w:tcBorders/>
            <w:vAlign w:val="center"/>
          </w:tcPr>
          <w:p>
            <w:pPr>
              <w:pStyle w:val="TableContents"/>
              <w:bidi w:val="0"/>
              <w:spacing w:before="0" w:after="1"/>
              <w:ind w:left="0" w:right="0" w:hanging="0"/>
              <w:jc w:val="left"/>
              <w:rPr/>
            </w:pPr>
            <w:r>
              <w:rPr/>
              <w:t>​</w:t>
            </w:r>
          </w:p>
        </w:tc>
        <w:tc>
          <w:tcPr>
            <w:tcW w:w="406" w:type="dxa"/>
            <w:tcBorders/>
            <w:vAlign w:val="center"/>
          </w:tcPr>
          <w:p>
            <w:pPr>
              <w:pStyle w:val="TableContents"/>
              <w:bidi w:val="0"/>
              <w:spacing w:before="0" w:after="1"/>
              <w:ind w:left="0" w:right="0" w:hanging="0"/>
              <w:jc w:val="left"/>
              <w:rPr/>
            </w:pPr>
            <w:r>
              <w:rPr/>
              <w:t>​</w:t>
            </w:r>
          </w:p>
        </w:tc>
        <w:tc>
          <w:tcPr>
            <w:tcW w:w="124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2,794</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21" w:type="dxa"/>
            <w:tcBorders/>
            <w:vAlign w:val="center"/>
          </w:tcPr>
          <w:p>
            <w:pPr>
              <w:pStyle w:val="TableContents"/>
              <w:bidi w:val="0"/>
              <w:spacing w:before="0" w:after="1"/>
              <w:ind w:left="0" w:right="0" w:hanging="0"/>
              <w:jc w:val="left"/>
              <w:rPr/>
            </w:pPr>
            <w:r>
              <w:rPr/>
              <w:t>​</w:t>
            </w:r>
          </w:p>
        </w:tc>
        <w:tc>
          <w:tcPr>
            <w:tcW w:w="113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6,421</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w:t>
            </w:r>
          </w:p>
        </w:tc>
        <w:tc>
          <w:tcPr>
            <w:tcW w:w="391" w:type="dxa"/>
            <w:tcBorders/>
            <w:vAlign w:val="center"/>
          </w:tcPr>
          <w:p>
            <w:pPr>
              <w:pStyle w:val="TableContents"/>
              <w:bidi w:val="0"/>
              <w:spacing w:before="0" w:after="1"/>
              <w:ind w:left="0" w:right="0" w:hanging="0"/>
              <w:jc w:val="left"/>
              <w:rPr/>
            </w:pPr>
            <w:r>
              <w:rPr/>
              <w:t>​</w:t>
            </w:r>
          </w:p>
        </w:tc>
      </w:tr>
      <w:tr>
        <w:trPr/>
        <w:tc>
          <w:tcPr>
            <w:tcW w:w="22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Depreciation and amortization</w:t>
            </w:r>
          </w:p>
        </w:tc>
        <w:tc>
          <w:tcPr>
            <w:tcW w:w="109" w:type="dxa"/>
            <w:tcBorders/>
            <w:shd w:fill="CCEEFF" w:val="clear"/>
            <w:vAlign w:val="center"/>
          </w:tcPr>
          <w:p>
            <w:pPr>
              <w:pStyle w:val="TableContents"/>
              <w:bidi w:val="0"/>
              <w:spacing w:before="0" w:after="1"/>
              <w:ind w:left="0" w:right="0" w:hanging="0"/>
              <w:jc w:val="left"/>
              <w:rPr/>
            </w:pPr>
            <w:r>
              <w:rPr/>
              <w:t>​</w:t>
            </w:r>
          </w:p>
        </w:tc>
        <w:tc>
          <w:tcPr>
            <w:tcW w:w="40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4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8,578</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2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3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17,094</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1,943</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22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operating expenses</w:t>
            </w:r>
          </w:p>
        </w:tc>
        <w:tc>
          <w:tcPr>
            <w:tcW w:w="109" w:type="dxa"/>
            <w:tcBorders/>
            <w:vAlign w:val="center"/>
          </w:tcPr>
          <w:p>
            <w:pPr>
              <w:pStyle w:val="TableContents"/>
              <w:bidi w:val="0"/>
              <w:spacing w:before="0" w:after="1"/>
              <w:ind w:left="0" w:right="0" w:hanging="0"/>
              <w:jc w:val="left"/>
              <w:rPr/>
            </w:pPr>
            <w:r>
              <w:rPr/>
              <w:t>​</w:t>
            </w:r>
          </w:p>
        </w:tc>
        <w:tc>
          <w:tcPr>
            <w:tcW w:w="40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4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48,717</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2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3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98,330</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7,932</w:t>
            </w:r>
          </w:p>
        </w:tc>
        <w:tc>
          <w:tcPr>
            <w:tcW w:w="391" w:type="dxa"/>
            <w:tcBorders/>
            <w:vAlign w:val="center"/>
          </w:tcPr>
          <w:p>
            <w:pPr>
              <w:pStyle w:val="TableContents"/>
              <w:bidi w:val="0"/>
              <w:spacing w:before="0" w:after="1"/>
              <w:ind w:left="0" w:right="0" w:hanging="0"/>
              <w:jc w:val="left"/>
              <w:rPr/>
            </w:pPr>
            <w:r>
              <w:rPr/>
              <w:t>​</w:t>
            </w:r>
          </w:p>
        </w:tc>
      </w:tr>
      <w:tr>
        <w:trPr/>
        <w:tc>
          <w:tcPr>
            <w:tcW w:w="22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Operating income (loss)</w:t>
            </w:r>
          </w:p>
        </w:tc>
        <w:tc>
          <w:tcPr>
            <w:tcW w:w="109" w:type="dxa"/>
            <w:tcBorders/>
            <w:shd w:fill="CCEEFF" w:val="clear"/>
            <w:vAlign w:val="center"/>
          </w:tcPr>
          <w:p>
            <w:pPr>
              <w:pStyle w:val="TableContents"/>
              <w:bidi w:val="0"/>
              <w:spacing w:before="0" w:after="1"/>
              <w:ind w:left="0" w:right="0" w:hanging="0"/>
              <w:jc w:val="left"/>
              <w:rPr/>
            </w:pPr>
            <w:r>
              <w:rPr/>
              <w:t>​</w:t>
            </w:r>
          </w:p>
        </w:tc>
        <w:tc>
          <w:tcPr>
            <w:tcW w:w="40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24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11,932</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2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13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36,187</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(2,583)</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22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Performance metrics:</w:t>
            </w:r>
          </w:p>
        </w:tc>
        <w:tc>
          <w:tcPr>
            <w:tcW w:w="109" w:type="dxa"/>
            <w:tcBorders/>
            <w:vAlign w:val="center"/>
          </w:tcPr>
          <w:p>
            <w:pPr>
              <w:pStyle w:val="TableContents"/>
              <w:bidi w:val="0"/>
              <w:spacing w:before="0" w:after="1"/>
              <w:ind w:left="0" w:right="0" w:hanging="0"/>
              <w:jc w:val="left"/>
              <w:rPr/>
            </w:pPr>
            <w:r>
              <w:rPr/>
              <w:t>​</w:t>
            </w:r>
          </w:p>
        </w:tc>
        <w:tc>
          <w:tcPr>
            <w:tcW w:w="406" w:type="dxa"/>
            <w:tcBorders/>
            <w:vAlign w:val="center"/>
          </w:tcPr>
          <w:p>
            <w:pPr>
              <w:pStyle w:val="TableContents"/>
              <w:bidi w:val="0"/>
              <w:spacing w:before="0" w:after="1"/>
              <w:ind w:left="0" w:right="0" w:hanging="0"/>
              <w:jc w:val="left"/>
              <w:rPr/>
            </w:pPr>
            <w:r>
              <w:rPr/>
              <w:t>​</w:t>
            </w:r>
          </w:p>
        </w:tc>
        <w:tc>
          <w:tcPr>
            <w:tcW w:w="124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21" w:type="dxa"/>
            <w:tcBorders/>
            <w:vAlign w:val="center"/>
          </w:tcPr>
          <w:p>
            <w:pPr>
              <w:pStyle w:val="TableContents"/>
              <w:bidi w:val="0"/>
              <w:spacing w:before="0" w:after="1"/>
              <w:ind w:left="0" w:right="0" w:hanging="0"/>
              <w:jc w:val="left"/>
              <w:rPr/>
            </w:pPr>
            <w:r>
              <w:rPr/>
              <w:t>​</w:t>
            </w:r>
          </w:p>
        </w:tc>
        <w:tc>
          <w:tcPr>
            <w:tcW w:w="113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91" w:type="dxa"/>
            <w:tcBorders/>
            <w:vAlign w:val="center"/>
          </w:tcPr>
          <w:p>
            <w:pPr>
              <w:pStyle w:val="TableContents"/>
              <w:bidi w:val="0"/>
              <w:spacing w:before="0" w:after="1"/>
              <w:ind w:left="0" w:right="0" w:hanging="0"/>
              <w:jc w:val="left"/>
              <w:rPr/>
            </w:pPr>
            <w:r>
              <w:rPr/>
              <w:t>​</w:t>
            </w:r>
          </w:p>
        </w:tc>
      </w:tr>
      <w:tr>
        <w:trPr/>
        <w:tc>
          <w:tcPr>
            <w:tcW w:w="22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Occupancy</w:t>
            </w:r>
          </w:p>
        </w:tc>
        <w:tc>
          <w:tcPr>
            <w:tcW w:w="109" w:type="dxa"/>
            <w:tcBorders/>
            <w:shd w:fill="CCEEFF" w:val="clear"/>
            <w:vAlign w:val="center"/>
          </w:tcPr>
          <w:p>
            <w:pPr>
              <w:pStyle w:val="TableContents"/>
              <w:bidi w:val="0"/>
              <w:spacing w:before="0" w:after="1"/>
              <w:ind w:left="0" w:right="0" w:hanging="0"/>
              <w:jc w:val="left"/>
              <w:rPr/>
            </w:pPr>
            <w:r>
              <w:rPr/>
              <w:t>​</w:t>
            </w:r>
          </w:p>
        </w:tc>
        <w:tc>
          <w:tcPr>
            <w:tcW w:w="406" w:type="dxa"/>
            <w:tcBorders/>
            <w:shd w:fill="CCEEFF" w:val="clear"/>
            <w:vAlign w:val="center"/>
          </w:tcPr>
          <w:p>
            <w:pPr>
              <w:pStyle w:val="TableContents"/>
              <w:bidi w:val="0"/>
              <w:spacing w:before="0" w:after="1"/>
              <w:ind w:left="0" w:right="0" w:hanging="0"/>
              <w:jc w:val="left"/>
              <w:rPr/>
            </w:pPr>
            <w:r>
              <w:rPr/>
              <w:t>​</w:t>
            </w:r>
          </w:p>
        </w:tc>
        <w:tc>
          <w:tcPr>
            <w:tcW w:w="124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72.2</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321" w:type="dxa"/>
            <w:tcBorders/>
            <w:shd w:fill="CCEEFF" w:val="clear"/>
            <w:vAlign w:val="center"/>
          </w:tcPr>
          <w:p>
            <w:pPr>
              <w:pStyle w:val="TableContents"/>
              <w:bidi w:val="0"/>
              <w:spacing w:before="0" w:after="1"/>
              <w:ind w:left="0" w:right="0" w:hanging="0"/>
              <w:jc w:val="left"/>
              <w:rPr/>
            </w:pPr>
            <w:r>
              <w:rPr/>
              <w:t>​</w:t>
            </w:r>
          </w:p>
        </w:tc>
        <w:tc>
          <w:tcPr>
            <w:tcW w:w="113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72.6</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39.3</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r>
      <w:tr>
        <w:trPr/>
        <w:tc>
          <w:tcPr>
            <w:tcW w:w="22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ADR</w:t>
            </w:r>
          </w:p>
        </w:tc>
        <w:tc>
          <w:tcPr>
            <w:tcW w:w="109" w:type="dxa"/>
            <w:tcBorders/>
            <w:vAlign w:val="center"/>
          </w:tcPr>
          <w:p>
            <w:pPr>
              <w:pStyle w:val="TableContents"/>
              <w:bidi w:val="0"/>
              <w:spacing w:before="0" w:after="1"/>
              <w:ind w:left="0" w:right="0" w:hanging="0"/>
              <w:jc w:val="left"/>
              <w:rPr/>
            </w:pPr>
            <w:r>
              <w:rPr/>
              <w:t>​</w:t>
            </w:r>
          </w:p>
        </w:tc>
        <w:tc>
          <w:tcPr>
            <w:tcW w:w="40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24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367.08</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2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13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428.43</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228.50</w:t>
            </w:r>
          </w:p>
        </w:tc>
        <w:tc>
          <w:tcPr>
            <w:tcW w:w="391" w:type="dxa"/>
            <w:tcBorders/>
            <w:vAlign w:val="center"/>
          </w:tcPr>
          <w:p>
            <w:pPr>
              <w:pStyle w:val="TableContents"/>
              <w:bidi w:val="0"/>
              <w:spacing w:before="0" w:after="1"/>
              <w:ind w:left="0" w:right="0" w:hanging="0"/>
              <w:jc w:val="left"/>
              <w:rPr/>
            </w:pPr>
            <w:r>
              <w:rPr/>
              <w:t>​</w:t>
            </w:r>
          </w:p>
        </w:tc>
      </w:tr>
      <w:tr>
        <w:trPr/>
        <w:tc>
          <w:tcPr>
            <w:tcW w:w="22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RevPAR</w:t>
            </w:r>
          </w:p>
        </w:tc>
        <w:tc>
          <w:tcPr>
            <w:tcW w:w="109" w:type="dxa"/>
            <w:tcBorders/>
            <w:shd w:fill="CCEEFF" w:val="clear"/>
            <w:vAlign w:val="center"/>
          </w:tcPr>
          <w:p>
            <w:pPr>
              <w:pStyle w:val="TableContents"/>
              <w:bidi w:val="0"/>
              <w:spacing w:before="0" w:after="1"/>
              <w:ind w:left="0" w:right="0" w:hanging="0"/>
              <w:jc w:val="left"/>
              <w:rPr/>
            </w:pPr>
            <w:r>
              <w:rPr/>
              <w:t>​</w:t>
            </w:r>
          </w:p>
        </w:tc>
        <w:tc>
          <w:tcPr>
            <w:tcW w:w="40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24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264.85</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2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13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310.88</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89.76</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22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RevPAR</w:t>
            </w:r>
          </w:p>
        </w:tc>
        <w:tc>
          <w:tcPr>
            <w:tcW w:w="109" w:type="dxa"/>
            <w:tcBorders/>
            <w:vAlign w:val="center"/>
          </w:tcPr>
          <w:p>
            <w:pPr>
              <w:pStyle w:val="TableContents"/>
              <w:bidi w:val="0"/>
              <w:spacing w:before="0" w:after="1"/>
              <w:ind w:left="0" w:right="0" w:hanging="0"/>
              <w:jc w:val="left"/>
              <w:rPr/>
            </w:pPr>
            <w:r>
              <w:rPr/>
              <w:t>​</w:t>
            </w:r>
          </w:p>
        </w:tc>
        <w:tc>
          <w:tcPr>
            <w:tcW w:w="40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24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701.55</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2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13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782.30</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268.11</w:t>
            </w:r>
          </w:p>
        </w:tc>
        <w:tc>
          <w:tcPr>
            <w:tcW w:w="391"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left"/>
        <w:rPr/>
      </w:pPr>
      <w:r>
        <w:rPr/>
        <w:t>​</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Entertainment Segment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i/>
          <w:sz w:val="20"/>
        </w:rPr>
        <w:t xml:space="preserve">Total Segment Results. </w:t>
      </w:r>
      <w:r>
        <w:rPr>
          <w:rFonts w:ascii="Times New Roman;Times;serif" w:hAnsi="Times New Roman;Times;serif"/>
          <w:sz w:val="20"/>
        </w:rPr>
        <w:t>The following presents the financial results of our Entertainment segment for the three and six months ended June 30, 2026 and 2025 (in thousands, except percentages):</w:t>
      </w:r>
    </w:p>
    <w:tbl>
      <w:tblPr>
        <w:tblW w:w="10205" w:type="dxa"/>
        <w:jc w:val="left"/>
        <w:tblInd w:w="0" w:type="dxa"/>
        <w:tblLayout w:type="fixed"/>
        <w:tblCellMar>
          <w:top w:w="0" w:type="dxa"/>
          <w:left w:w="0" w:type="dxa"/>
          <w:bottom w:w="0" w:type="dxa"/>
          <w:right w:w="0" w:type="dxa"/>
        </w:tblCellMar>
      </w:tblPr>
      <w:tblGrid>
        <w:gridCol w:w="1453"/>
        <w:gridCol w:w="346"/>
        <w:gridCol w:w="211"/>
        <w:gridCol w:w="852"/>
        <w:gridCol w:w="346"/>
        <w:gridCol w:w="211"/>
        <w:gridCol w:w="852"/>
        <w:gridCol w:w="346"/>
        <w:gridCol w:w="661"/>
        <w:gridCol w:w="361"/>
        <w:gridCol w:w="346"/>
        <w:gridCol w:w="211"/>
        <w:gridCol w:w="852"/>
        <w:gridCol w:w="346"/>
        <w:gridCol w:w="211"/>
        <w:gridCol w:w="852"/>
        <w:gridCol w:w="346"/>
        <w:gridCol w:w="661"/>
        <w:gridCol w:w="346"/>
        <w:gridCol w:w="395"/>
      </w:tblGrid>
      <w:tr>
        <w:trPr/>
        <w:tc>
          <w:tcPr>
            <w:tcW w:w="14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5">
                      <wp:simplePos x="0" y="0"/>
                      <wp:positionH relativeFrom="character">
                        <wp:align>left</wp:align>
                      </wp:positionH>
                      <wp:positionV relativeFrom="line">
                        <wp:posOffset>635</wp:posOffset>
                      </wp:positionV>
                      <wp:extent cx="922655" cy="175260"/>
                      <wp:effectExtent l="0" t="0" r="0" b="0"/>
                      <wp:wrapNone/>
                      <wp:docPr id="504" name="Frame504"/>
                      <a:graphic xmlns:a="http://schemas.openxmlformats.org/drawingml/2006/main">
                        <a:graphicData uri="http://schemas.microsoft.com/office/word/2010/wordprocessingShape">
                          <wps:wsp>
                            <wps:cNvSpPr txBox="1"/>
                            <wps:spPr>
                              <a:xfrm>
                                <a:off x="0" y="0"/>
                                <a:ext cx="9226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6">
                      <wp:simplePos x="0" y="0"/>
                      <wp:positionH relativeFrom="character">
                        <wp:align>left</wp:align>
                      </wp:positionH>
                      <wp:positionV relativeFrom="line">
                        <wp:posOffset>635</wp:posOffset>
                      </wp:positionV>
                      <wp:extent cx="219710" cy="175260"/>
                      <wp:effectExtent l="0" t="0" r="0" b="0"/>
                      <wp:wrapNone/>
                      <wp:docPr id="505" name="Frame5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7">
                      <wp:simplePos x="0" y="0"/>
                      <wp:positionH relativeFrom="character">
                        <wp:align>left</wp:align>
                      </wp:positionH>
                      <wp:positionV relativeFrom="line">
                        <wp:posOffset>635</wp:posOffset>
                      </wp:positionV>
                      <wp:extent cx="133985" cy="175260"/>
                      <wp:effectExtent l="0" t="0" r="0" b="0"/>
                      <wp:wrapNone/>
                      <wp:docPr id="506" name="Frame50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8">
                      <wp:simplePos x="0" y="0"/>
                      <wp:positionH relativeFrom="character">
                        <wp:align>left</wp:align>
                      </wp:positionH>
                      <wp:positionV relativeFrom="line">
                        <wp:posOffset>635</wp:posOffset>
                      </wp:positionV>
                      <wp:extent cx="541020" cy="175260"/>
                      <wp:effectExtent l="0" t="0" r="0" b="0"/>
                      <wp:wrapNone/>
                      <wp:docPr id="507" name="Frame507"/>
                      <a:graphic xmlns:a="http://schemas.openxmlformats.org/drawingml/2006/main">
                        <a:graphicData uri="http://schemas.microsoft.com/office/word/2010/wordprocessingShape">
                          <wps:wsp>
                            <wps:cNvSpPr txBox="1"/>
                            <wps:spPr>
                              <a:xfrm>
                                <a:off x="0" y="0"/>
                                <a:ext cx="5410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9">
                      <wp:simplePos x="0" y="0"/>
                      <wp:positionH relativeFrom="character">
                        <wp:align>left</wp:align>
                      </wp:positionH>
                      <wp:positionV relativeFrom="line">
                        <wp:posOffset>635</wp:posOffset>
                      </wp:positionV>
                      <wp:extent cx="219710" cy="175260"/>
                      <wp:effectExtent l="0" t="0" r="0" b="0"/>
                      <wp:wrapNone/>
                      <wp:docPr id="508" name="Frame5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0">
                      <wp:simplePos x="0" y="0"/>
                      <wp:positionH relativeFrom="character">
                        <wp:align>left</wp:align>
                      </wp:positionH>
                      <wp:positionV relativeFrom="line">
                        <wp:posOffset>635</wp:posOffset>
                      </wp:positionV>
                      <wp:extent cx="133985" cy="175260"/>
                      <wp:effectExtent l="0" t="0" r="0" b="0"/>
                      <wp:wrapNone/>
                      <wp:docPr id="509" name="Frame50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1">
                      <wp:simplePos x="0" y="0"/>
                      <wp:positionH relativeFrom="character">
                        <wp:align>left</wp:align>
                      </wp:positionH>
                      <wp:positionV relativeFrom="line">
                        <wp:posOffset>635</wp:posOffset>
                      </wp:positionV>
                      <wp:extent cx="541020" cy="175260"/>
                      <wp:effectExtent l="0" t="0" r="0" b="0"/>
                      <wp:wrapNone/>
                      <wp:docPr id="510" name="Frame510"/>
                      <a:graphic xmlns:a="http://schemas.openxmlformats.org/drawingml/2006/main">
                        <a:graphicData uri="http://schemas.microsoft.com/office/word/2010/wordprocessingShape">
                          <wps:wsp>
                            <wps:cNvSpPr txBox="1"/>
                            <wps:spPr>
                              <a:xfrm>
                                <a:off x="0" y="0"/>
                                <a:ext cx="5410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2">
                      <wp:simplePos x="0" y="0"/>
                      <wp:positionH relativeFrom="character">
                        <wp:align>left</wp:align>
                      </wp:positionH>
                      <wp:positionV relativeFrom="line">
                        <wp:posOffset>635</wp:posOffset>
                      </wp:positionV>
                      <wp:extent cx="219710" cy="175260"/>
                      <wp:effectExtent l="0" t="0" r="0" b="0"/>
                      <wp:wrapNone/>
                      <wp:docPr id="511" name="Frame5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3">
                      <wp:simplePos x="0" y="0"/>
                      <wp:positionH relativeFrom="character">
                        <wp:align>left</wp:align>
                      </wp:positionH>
                      <wp:positionV relativeFrom="line">
                        <wp:posOffset>635</wp:posOffset>
                      </wp:positionV>
                      <wp:extent cx="419735" cy="175260"/>
                      <wp:effectExtent l="0" t="0" r="0" b="0"/>
                      <wp:wrapNone/>
                      <wp:docPr id="512" name="Frame512"/>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4">
                      <wp:simplePos x="0" y="0"/>
                      <wp:positionH relativeFrom="character">
                        <wp:align>left</wp:align>
                      </wp:positionH>
                      <wp:positionV relativeFrom="line">
                        <wp:posOffset>635</wp:posOffset>
                      </wp:positionV>
                      <wp:extent cx="229235" cy="175260"/>
                      <wp:effectExtent l="0" t="0" r="0" b="0"/>
                      <wp:wrapNone/>
                      <wp:docPr id="513" name="Frame513"/>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5">
                      <wp:simplePos x="0" y="0"/>
                      <wp:positionH relativeFrom="character">
                        <wp:align>left</wp:align>
                      </wp:positionH>
                      <wp:positionV relativeFrom="line">
                        <wp:posOffset>635</wp:posOffset>
                      </wp:positionV>
                      <wp:extent cx="219710" cy="175260"/>
                      <wp:effectExtent l="0" t="0" r="0" b="0"/>
                      <wp:wrapNone/>
                      <wp:docPr id="514" name="Frame5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6">
                      <wp:simplePos x="0" y="0"/>
                      <wp:positionH relativeFrom="character">
                        <wp:align>left</wp:align>
                      </wp:positionH>
                      <wp:positionV relativeFrom="line">
                        <wp:posOffset>635</wp:posOffset>
                      </wp:positionV>
                      <wp:extent cx="133985" cy="175260"/>
                      <wp:effectExtent l="0" t="0" r="0" b="0"/>
                      <wp:wrapNone/>
                      <wp:docPr id="515" name="Frame5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7">
                      <wp:simplePos x="0" y="0"/>
                      <wp:positionH relativeFrom="character">
                        <wp:align>left</wp:align>
                      </wp:positionH>
                      <wp:positionV relativeFrom="line">
                        <wp:posOffset>635</wp:posOffset>
                      </wp:positionV>
                      <wp:extent cx="541020" cy="175260"/>
                      <wp:effectExtent l="0" t="0" r="0" b="0"/>
                      <wp:wrapNone/>
                      <wp:docPr id="516" name="Frame516"/>
                      <a:graphic xmlns:a="http://schemas.openxmlformats.org/drawingml/2006/main">
                        <a:graphicData uri="http://schemas.microsoft.com/office/word/2010/wordprocessingShape">
                          <wps:wsp>
                            <wps:cNvSpPr txBox="1"/>
                            <wps:spPr>
                              <a:xfrm>
                                <a:off x="0" y="0"/>
                                <a:ext cx="5410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8">
                      <wp:simplePos x="0" y="0"/>
                      <wp:positionH relativeFrom="character">
                        <wp:align>left</wp:align>
                      </wp:positionH>
                      <wp:positionV relativeFrom="line">
                        <wp:posOffset>635</wp:posOffset>
                      </wp:positionV>
                      <wp:extent cx="219710" cy="175260"/>
                      <wp:effectExtent l="0" t="0" r="0" b="0"/>
                      <wp:wrapNone/>
                      <wp:docPr id="517" name="Frame5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9">
                      <wp:simplePos x="0" y="0"/>
                      <wp:positionH relativeFrom="character">
                        <wp:align>left</wp:align>
                      </wp:positionH>
                      <wp:positionV relativeFrom="line">
                        <wp:posOffset>635</wp:posOffset>
                      </wp:positionV>
                      <wp:extent cx="133985" cy="175260"/>
                      <wp:effectExtent l="0" t="0" r="0" b="0"/>
                      <wp:wrapNone/>
                      <wp:docPr id="518" name="Frame5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0">
                      <wp:simplePos x="0" y="0"/>
                      <wp:positionH relativeFrom="character">
                        <wp:align>left</wp:align>
                      </wp:positionH>
                      <wp:positionV relativeFrom="line">
                        <wp:posOffset>635</wp:posOffset>
                      </wp:positionV>
                      <wp:extent cx="541020" cy="175260"/>
                      <wp:effectExtent l="0" t="0" r="0" b="0"/>
                      <wp:wrapNone/>
                      <wp:docPr id="519" name="Frame519"/>
                      <a:graphic xmlns:a="http://schemas.openxmlformats.org/drawingml/2006/main">
                        <a:graphicData uri="http://schemas.microsoft.com/office/word/2010/wordprocessingShape">
                          <wps:wsp>
                            <wps:cNvSpPr txBox="1"/>
                            <wps:spPr>
                              <a:xfrm>
                                <a:off x="0" y="0"/>
                                <a:ext cx="5410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1">
                      <wp:simplePos x="0" y="0"/>
                      <wp:positionH relativeFrom="character">
                        <wp:align>left</wp:align>
                      </wp:positionH>
                      <wp:positionV relativeFrom="line">
                        <wp:posOffset>635</wp:posOffset>
                      </wp:positionV>
                      <wp:extent cx="219710" cy="175260"/>
                      <wp:effectExtent l="0" t="0" r="0" b="0"/>
                      <wp:wrapNone/>
                      <wp:docPr id="520" name="Frame5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2">
                      <wp:simplePos x="0" y="0"/>
                      <wp:positionH relativeFrom="character">
                        <wp:align>left</wp:align>
                      </wp:positionH>
                      <wp:positionV relativeFrom="line">
                        <wp:posOffset>635</wp:posOffset>
                      </wp:positionV>
                      <wp:extent cx="419735" cy="175260"/>
                      <wp:effectExtent l="0" t="0" r="0" b="0"/>
                      <wp:wrapNone/>
                      <wp:docPr id="521" name="Frame521"/>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3">
                      <wp:simplePos x="0" y="0"/>
                      <wp:positionH relativeFrom="character">
                        <wp:align>left</wp:align>
                      </wp:positionH>
                      <wp:positionV relativeFrom="line">
                        <wp:posOffset>635</wp:posOffset>
                      </wp:positionV>
                      <wp:extent cx="219710" cy="175260"/>
                      <wp:effectExtent l="0" t="0" r="0" b="0"/>
                      <wp:wrapNone/>
                      <wp:docPr id="522" name="Frame5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4">
                      <wp:simplePos x="0" y="0"/>
                      <wp:positionH relativeFrom="character">
                        <wp:align>left</wp:align>
                      </wp:positionH>
                      <wp:positionV relativeFrom="line">
                        <wp:posOffset>635</wp:posOffset>
                      </wp:positionV>
                      <wp:extent cx="250825" cy="175260"/>
                      <wp:effectExtent l="0" t="0" r="0" b="0"/>
                      <wp:wrapNone/>
                      <wp:docPr id="523" name="Frame523"/>
                      <a:graphic xmlns:a="http://schemas.openxmlformats.org/drawingml/2006/main">
                        <a:graphicData uri="http://schemas.microsoft.com/office/word/2010/wordprocessingShape">
                          <wps:wsp>
                            <wps:cNvSpPr txBox="1"/>
                            <wps:spPr>
                              <a:xfrm>
                                <a:off x="0" y="0"/>
                                <a:ext cx="2508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453"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479" w:type="dxa"/>
            <w:gridSpan w:val="7"/>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479" w:type="dxa"/>
            <w:gridSpan w:val="7"/>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46" w:type="dxa"/>
            <w:tcBorders/>
            <w:vAlign w:val="center"/>
          </w:tcPr>
          <w:p>
            <w:pPr>
              <w:pStyle w:val="TableContents"/>
              <w:bidi w:val="0"/>
              <w:spacing w:before="0" w:after="1"/>
              <w:ind w:left="0" w:right="0" w:hanging="0"/>
              <w:jc w:val="left"/>
              <w:rPr/>
            </w:pPr>
            <w:r>
              <w:rPr/>
              <w:t>​</w:t>
            </w:r>
          </w:p>
        </w:tc>
        <w:tc>
          <w:tcPr>
            <w:tcW w:w="395" w:type="dxa"/>
            <w:tcBorders/>
            <w:vAlign w:val="center"/>
          </w:tcPr>
          <w:p>
            <w:pPr>
              <w:pStyle w:val="TableContents"/>
              <w:bidi w:val="0"/>
              <w:spacing w:before="0" w:after="1"/>
              <w:ind w:left="0" w:right="0" w:hanging="0"/>
              <w:jc w:val="left"/>
              <w:rPr/>
            </w:pPr>
            <w:r>
              <w:rPr/>
              <w:t>​</w:t>
            </w:r>
          </w:p>
        </w:tc>
      </w:tr>
      <w:tr>
        <w:trPr/>
        <w:tc>
          <w:tcPr>
            <w:tcW w:w="1453"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479"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479"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1"/>
              <w:ind w:left="0" w:right="0" w:hanging="0"/>
              <w:jc w:val="left"/>
              <w:rPr/>
            </w:pPr>
            <w:r>
              <w:rPr/>
              <w:t>​</w:t>
            </w:r>
          </w:p>
        </w:tc>
        <w:tc>
          <w:tcPr>
            <w:tcW w:w="395" w:type="dxa"/>
            <w:tcBorders/>
            <w:vAlign w:val="center"/>
          </w:tcPr>
          <w:p>
            <w:pPr>
              <w:pStyle w:val="TableContents"/>
              <w:bidi w:val="0"/>
              <w:spacing w:before="0" w:after="1"/>
              <w:ind w:left="0" w:right="0" w:hanging="0"/>
              <w:jc w:val="left"/>
              <w:rPr/>
            </w:pPr>
            <w:r>
              <w:rPr/>
              <w:t>​</w:t>
            </w:r>
          </w:p>
        </w:tc>
      </w:tr>
      <w:tr>
        <w:trPr/>
        <w:tc>
          <w:tcPr>
            <w:tcW w:w="1453"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852"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852"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66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852"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852"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66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1"/>
              <w:ind w:left="0" w:right="0" w:hanging="0"/>
              <w:jc w:val="left"/>
              <w:rPr/>
            </w:pPr>
            <w:r>
              <w:rPr/>
              <w:t>​</w:t>
            </w:r>
          </w:p>
        </w:tc>
        <w:tc>
          <w:tcPr>
            <w:tcW w:w="395" w:type="dxa"/>
            <w:tcBorders/>
            <w:vAlign w:val="center"/>
          </w:tcPr>
          <w:p>
            <w:pPr>
              <w:pStyle w:val="TableContents"/>
              <w:bidi w:val="0"/>
              <w:spacing w:before="0" w:after="1"/>
              <w:ind w:left="0" w:right="0" w:hanging="0"/>
              <w:jc w:val="left"/>
              <w:rPr/>
            </w:pPr>
            <w:r>
              <w:rPr/>
              <w:t>​</w:t>
            </w:r>
          </w:p>
        </w:tc>
      </w:tr>
      <w:tr>
        <w:trPr/>
        <w:tc>
          <w:tcPr>
            <w:tcW w:w="1453"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06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06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61" w:type="dxa"/>
            <w:tcBorders/>
            <w:vAlign w:val="center"/>
          </w:tcPr>
          <w:p>
            <w:pPr>
              <w:pStyle w:val="TableContents"/>
              <w:bidi w:val="0"/>
              <w:spacing w:before="0" w:after="1"/>
              <w:ind w:left="0" w:right="0" w:hanging="0"/>
              <w:jc w:val="left"/>
              <w:rPr/>
            </w:pPr>
            <w:r>
              <w:rPr/>
              <w:t>  ​ ​ ​</w:t>
            </w:r>
          </w:p>
        </w:tc>
        <w:tc>
          <w:tcPr>
            <w:tcW w:w="346" w:type="dxa"/>
            <w:tcBorders/>
            <w:vAlign w:val="center"/>
          </w:tcPr>
          <w:p>
            <w:pPr>
              <w:pStyle w:val="TableContents"/>
              <w:bidi w:val="0"/>
              <w:spacing w:before="0" w:after="1"/>
              <w:ind w:left="0" w:right="0" w:hanging="0"/>
              <w:jc w:val="left"/>
              <w:rPr/>
            </w:pPr>
            <w:r>
              <w:rPr/>
              <w:t>  ​ ​ ​</w:t>
            </w:r>
          </w:p>
        </w:tc>
        <w:tc>
          <w:tcPr>
            <w:tcW w:w="106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06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46" w:type="dxa"/>
            <w:tcBorders/>
            <w:vAlign w:val="center"/>
          </w:tcPr>
          <w:p>
            <w:pPr>
              <w:pStyle w:val="TableContents"/>
              <w:bidi w:val="0"/>
              <w:spacing w:before="0" w:after="1"/>
              <w:ind w:left="0" w:right="0" w:hanging="0"/>
              <w:jc w:val="left"/>
              <w:rPr/>
            </w:pPr>
            <w:r>
              <w:rPr/>
              <w:t>  ​ ​ ​</w:t>
            </w:r>
          </w:p>
        </w:tc>
        <w:tc>
          <w:tcPr>
            <w:tcW w:w="395" w:type="dxa"/>
            <w:tcBorders/>
            <w:vAlign w:val="center"/>
          </w:tcPr>
          <w:p>
            <w:pPr>
              <w:pStyle w:val="TableContents"/>
              <w:bidi w:val="0"/>
              <w:spacing w:before="0" w:after="1"/>
              <w:ind w:left="0" w:right="0" w:hanging="0"/>
              <w:jc w:val="left"/>
              <w:rPr/>
            </w:pPr>
            <w:r>
              <w:rPr/>
              <w:t>  ​ ​ ​</w:t>
            </w:r>
          </w:p>
        </w:tc>
      </w:tr>
      <w:tr>
        <w:trPr/>
        <w:tc>
          <w:tcPr>
            <w:tcW w:w="1453"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Revenues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144,014</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143,304</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0.5</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223,197</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232,854</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5" w:type="dxa"/>
            <w:tcBorders/>
            <w:shd w:fill="CCEEFF" w:val="clear"/>
            <w:vAlign w:val="center"/>
          </w:tcPr>
          <w:p>
            <w:pPr>
              <w:pStyle w:val="TableContents"/>
              <w:bidi w:val="0"/>
              <w:spacing w:before="0" w:after="1"/>
              <w:ind w:left="0" w:right="0" w:hanging="0"/>
              <w:jc w:val="left"/>
              <w:rPr/>
            </w:pPr>
            <w:r>
              <w:rPr/>
              <w:t>​</w:t>
            </w:r>
          </w:p>
        </w:tc>
      </w:tr>
      <w:tr>
        <w:trPr/>
        <w:tc>
          <w:tcPr>
            <w:tcW w:w="145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5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(101,563)</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 </w:t>
            </w:r>
          </w:p>
        </w:tc>
        <w:tc>
          <w:tcPr>
            <w:tcW w:w="85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(110,376)</w:t>
            </w:r>
          </w:p>
        </w:tc>
        <w:tc>
          <w:tcPr>
            <w:tcW w:w="34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5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(166,672)</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 </w:t>
            </w:r>
          </w:p>
        </w:tc>
        <w:tc>
          <w:tcPr>
            <w:tcW w:w="85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(180,146)</w:t>
            </w:r>
          </w:p>
        </w:tc>
        <w:tc>
          <w:tcPr>
            <w:tcW w:w="34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5" w:type="dxa"/>
            <w:tcBorders/>
            <w:vAlign w:val="center"/>
          </w:tcPr>
          <w:p>
            <w:pPr>
              <w:pStyle w:val="TableContents"/>
              <w:bidi w:val="0"/>
              <w:spacing w:before="0" w:after="1"/>
              <w:ind w:left="0" w:right="0" w:hanging="0"/>
              <w:jc w:val="left"/>
              <w:rPr/>
            </w:pPr>
            <w:r>
              <w:rPr/>
              <w:t>​</w:t>
            </w:r>
          </w:p>
        </w:tc>
      </w:tr>
      <w:tr>
        <w:trPr/>
        <w:tc>
          <w:tcPr>
            <w:tcW w:w="145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Preopening costs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5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5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w:t>
            </w:r>
          </w:p>
        </w:tc>
        <w:tc>
          <w:tcPr>
            <w:tcW w:w="346" w:type="dxa"/>
            <w:tcBorders/>
            <w:shd w:fill="CCEEFF" w:val="clear"/>
            <w:vAlign w:val="center"/>
          </w:tcPr>
          <w:p>
            <w:pPr>
              <w:pStyle w:val="TableContents"/>
              <w:bidi w:val="0"/>
              <w:spacing w:before="0" w:after="1"/>
              <w:ind w:left="0" w:right="0" w:hanging="0"/>
              <w:jc w:val="left"/>
              <w:rPr/>
            </w:pPr>
            <w:r>
              <w:rPr/>
              <w:t>​</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346.9</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5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5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(185)</w:t>
            </w:r>
          </w:p>
        </w:tc>
        <w:tc>
          <w:tcPr>
            <w:tcW w:w="346" w:type="dxa"/>
            <w:tcBorders/>
            <w:shd w:fill="CCEEFF" w:val="clear"/>
            <w:vAlign w:val="center"/>
          </w:tcPr>
          <w:p>
            <w:pPr>
              <w:pStyle w:val="TableContents"/>
              <w:bidi w:val="0"/>
              <w:spacing w:before="0" w:after="1"/>
              <w:ind w:left="0" w:right="0" w:hanging="0"/>
              <w:jc w:val="left"/>
              <w:rPr/>
            </w:pPr>
            <w:r>
              <w:rPr/>
              <w:t>​</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345.9</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5" w:type="dxa"/>
            <w:tcBorders/>
            <w:shd w:fill="CCEEFF" w:val="clear"/>
            <w:vAlign w:val="center"/>
          </w:tcPr>
          <w:p>
            <w:pPr>
              <w:pStyle w:val="TableContents"/>
              <w:bidi w:val="0"/>
              <w:spacing w:before="0" w:after="1"/>
              <w:ind w:left="0" w:right="0" w:hanging="0"/>
              <w:jc w:val="left"/>
              <w:rPr/>
            </w:pPr>
            <w:r>
              <w:rPr/>
              <w:t>​</w:t>
            </w:r>
          </w:p>
        </w:tc>
      </w:tr>
      <w:tr>
        <w:trPr/>
        <w:tc>
          <w:tcPr>
            <w:tcW w:w="145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5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(9,609)</w:t>
            </w:r>
          </w:p>
        </w:tc>
        <w:tc>
          <w:tcPr>
            <w:tcW w:w="34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5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(9,335)</w:t>
            </w:r>
          </w:p>
        </w:tc>
        <w:tc>
          <w:tcPr>
            <w:tcW w:w="34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5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(19,043)</w:t>
            </w:r>
          </w:p>
        </w:tc>
        <w:tc>
          <w:tcPr>
            <w:tcW w:w="34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5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(18,712)</w:t>
            </w:r>
          </w:p>
        </w:tc>
        <w:tc>
          <w:tcPr>
            <w:tcW w:w="34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5" w:type="dxa"/>
            <w:tcBorders/>
            <w:vAlign w:val="center"/>
          </w:tcPr>
          <w:p>
            <w:pPr>
              <w:pStyle w:val="TableContents"/>
              <w:bidi w:val="0"/>
              <w:spacing w:before="0" w:after="1"/>
              <w:ind w:left="0" w:right="0" w:hanging="0"/>
              <w:jc w:val="left"/>
              <w:rPr/>
            </w:pPr>
            <w:r>
              <w:rPr/>
              <w:t>​</w:t>
            </w:r>
          </w:p>
        </w:tc>
      </w:tr>
      <w:tr>
        <w:trPr/>
        <w:tc>
          <w:tcPr>
            <w:tcW w:w="145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32,404</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23,495</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37.9</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36,657</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33,811</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5"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Revenues increased slightly in our Entertainment segment in the three months ended June 30, 2026, as compared to the 2025 period, as increased revenue from our 2026 management of the Ascend Amphitheater was partially offset by a decrease in revenue from Southern Entertainment as the result of the 2026 decision to discontinue a less profitable festival that took place in 2025.</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Revenues decreased in our Entertainment segment in the six months ended June 30, 2026, as compared to the 2025 period, primarily due to the prior year period including an increase in produced content related to the Grand Ole Opry’s 100-year celebration, lower revenues at the Grand Ole Opry and Ryman Auditorium related to Winter Storm Fern, which impacted Nashville, Tennessee in January 2026, and the 2026 decision to discontinue the less profitable Southern Entertainment festival noted above.</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Entertainment segment operating expenses decreased in the three months ended June 30, 2026, as compared to the 2025 period, primarily related to a decrease in expenses associated with the discontinuance of the less profitable Southern Entertainment festival noted above, partially offset by variable expenses associated with our 2026 management of the Ascend Amphitheater.</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Entertainment segment operating expenses decreased in the six months ended June 30, 2026, as compared to the 2025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period, primarily related to a decrease in expenses associated with the discontinuance of the less profitable Southern Entertainment festival noted above and less produced content related to the Grand Ole Opry’s 100-year celebration in 2025, partially offset by variable expenses associated with our 2026 management of the Ascend Amphitheater.</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Depreciation and amortization increased slightly in the three and six months ended June 30, 2026, as compared to the 2025 period.</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Corporate and Other Segment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i/>
          <w:sz w:val="20"/>
        </w:rPr>
        <w:t xml:space="preserve">Total Segment Results. </w:t>
      </w:r>
      <w:r>
        <w:rPr>
          <w:rFonts w:ascii="Times New Roman;Times;serif" w:hAnsi="Times New Roman;Times;serif"/>
          <w:sz w:val="20"/>
        </w:rPr>
        <w:t>The following presents the financial results of our Corporate and Other segment for the three and six months ended June 30, 2026 and 2025 (in thousands, except percentages):</w:t>
      </w:r>
    </w:p>
    <w:tbl>
      <w:tblPr>
        <w:tblW w:w="10205" w:type="dxa"/>
        <w:jc w:val="left"/>
        <w:tblInd w:w="0" w:type="dxa"/>
        <w:tblLayout w:type="fixed"/>
        <w:tblCellMar>
          <w:top w:w="0" w:type="dxa"/>
          <w:left w:w="0" w:type="dxa"/>
          <w:bottom w:w="0" w:type="dxa"/>
          <w:right w:w="0" w:type="dxa"/>
        </w:tblCellMar>
      </w:tblPr>
      <w:tblGrid>
        <w:gridCol w:w="2109"/>
        <w:gridCol w:w="346"/>
        <w:gridCol w:w="211"/>
        <w:gridCol w:w="775"/>
        <w:gridCol w:w="346"/>
        <w:gridCol w:w="211"/>
        <w:gridCol w:w="775"/>
        <w:gridCol w:w="346"/>
        <w:gridCol w:w="661"/>
        <w:gridCol w:w="361"/>
        <w:gridCol w:w="211"/>
        <w:gridCol w:w="775"/>
        <w:gridCol w:w="346"/>
        <w:gridCol w:w="211"/>
        <w:gridCol w:w="775"/>
        <w:gridCol w:w="346"/>
        <w:gridCol w:w="661"/>
        <w:gridCol w:w="346"/>
        <w:gridCol w:w="393"/>
      </w:tblGrid>
      <w:tr>
        <w:trPr/>
        <w:tc>
          <w:tcPr>
            <w:tcW w:w="2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5">
                      <wp:simplePos x="0" y="0"/>
                      <wp:positionH relativeFrom="character">
                        <wp:align>left</wp:align>
                      </wp:positionH>
                      <wp:positionV relativeFrom="line">
                        <wp:posOffset>635</wp:posOffset>
                      </wp:positionV>
                      <wp:extent cx="1339215" cy="175260"/>
                      <wp:effectExtent l="0" t="0" r="0" b="0"/>
                      <wp:wrapNone/>
                      <wp:docPr id="524" name="Frame524"/>
                      <a:graphic xmlns:a="http://schemas.openxmlformats.org/drawingml/2006/main">
                        <a:graphicData uri="http://schemas.microsoft.com/office/word/2010/wordprocessingShape">
                          <wps:wsp>
                            <wps:cNvSpPr txBox="1"/>
                            <wps:spPr>
                              <a:xfrm>
                                <a:off x="0" y="0"/>
                                <a:ext cx="133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6">
                      <wp:simplePos x="0" y="0"/>
                      <wp:positionH relativeFrom="character">
                        <wp:align>left</wp:align>
                      </wp:positionH>
                      <wp:positionV relativeFrom="line">
                        <wp:posOffset>635</wp:posOffset>
                      </wp:positionV>
                      <wp:extent cx="219710" cy="175260"/>
                      <wp:effectExtent l="0" t="0" r="0" b="0"/>
                      <wp:wrapNone/>
                      <wp:docPr id="525" name="Frame5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7">
                      <wp:simplePos x="0" y="0"/>
                      <wp:positionH relativeFrom="character">
                        <wp:align>left</wp:align>
                      </wp:positionH>
                      <wp:positionV relativeFrom="line">
                        <wp:posOffset>635</wp:posOffset>
                      </wp:positionV>
                      <wp:extent cx="133985" cy="175260"/>
                      <wp:effectExtent l="0" t="0" r="0" b="0"/>
                      <wp:wrapNone/>
                      <wp:docPr id="526" name="Frame5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8">
                      <wp:simplePos x="0" y="0"/>
                      <wp:positionH relativeFrom="character">
                        <wp:align>left</wp:align>
                      </wp:positionH>
                      <wp:positionV relativeFrom="line">
                        <wp:posOffset>635</wp:posOffset>
                      </wp:positionV>
                      <wp:extent cx="492125" cy="175260"/>
                      <wp:effectExtent l="0" t="0" r="0" b="0"/>
                      <wp:wrapNone/>
                      <wp:docPr id="527" name="Frame527"/>
                      <a:graphic xmlns:a="http://schemas.openxmlformats.org/drawingml/2006/main">
                        <a:graphicData uri="http://schemas.microsoft.com/office/word/2010/wordprocessingShape">
                          <wps:wsp>
                            <wps:cNvSpPr txBox="1"/>
                            <wps:spPr>
                              <a:xfrm>
                                <a:off x="0" y="0"/>
                                <a:ext cx="4921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9">
                      <wp:simplePos x="0" y="0"/>
                      <wp:positionH relativeFrom="character">
                        <wp:align>left</wp:align>
                      </wp:positionH>
                      <wp:positionV relativeFrom="line">
                        <wp:posOffset>635</wp:posOffset>
                      </wp:positionV>
                      <wp:extent cx="219710" cy="175260"/>
                      <wp:effectExtent l="0" t="0" r="0" b="0"/>
                      <wp:wrapNone/>
                      <wp:docPr id="528" name="Frame5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0">
                      <wp:simplePos x="0" y="0"/>
                      <wp:positionH relativeFrom="character">
                        <wp:align>left</wp:align>
                      </wp:positionH>
                      <wp:positionV relativeFrom="line">
                        <wp:posOffset>635</wp:posOffset>
                      </wp:positionV>
                      <wp:extent cx="133985" cy="175260"/>
                      <wp:effectExtent l="0" t="0" r="0" b="0"/>
                      <wp:wrapNone/>
                      <wp:docPr id="529" name="Frame52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1">
                      <wp:simplePos x="0" y="0"/>
                      <wp:positionH relativeFrom="character">
                        <wp:align>left</wp:align>
                      </wp:positionH>
                      <wp:positionV relativeFrom="line">
                        <wp:posOffset>635</wp:posOffset>
                      </wp:positionV>
                      <wp:extent cx="492125" cy="175260"/>
                      <wp:effectExtent l="0" t="0" r="0" b="0"/>
                      <wp:wrapNone/>
                      <wp:docPr id="530" name="Frame530"/>
                      <a:graphic xmlns:a="http://schemas.openxmlformats.org/drawingml/2006/main">
                        <a:graphicData uri="http://schemas.microsoft.com/office/word/2010/wordprocessingShape">
                          <wps:wsp>
                            <wps:cNvSpPr txBox="1"/>
                            <wps:spPr>
                              <a:xfrm>
                                <a:off x="0" y="0"/>
                                <a:ext cx="4921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2">
                      <wp:simplePos x="0" y="0"/>
                      <wp:positionH relativeFrom="character">
                        <wp:align>left</wp:align>
                      </wp:positionH>
                      <wp:positionV relativeFrom="line">
                        <wp:posOffset>635</wp:posOffset>
                      </wp:positionV>
                      <wp:extent cx="219710" cy="175260"/>
                      <wp:effectExtent l="0" t="0" r="0" b="0"/>
                      <wp:wrapNone/>
                      <wp:docPr id="531" name="Frame5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3">
                      <wp:simplePos x="0" y="0"/>
                      <wp:positionH relativeFrom="character">
                        <wp:align>left</wp:align>
                      </wp:positionH>
                      <wp:positionV relativeFrom="line">
                        <wp:posOffset>635</wp:posOffset>
                      </wp:positionV>
                      <wp:extent cx="419735" cy="175260"/>
                      <wp:effectExtent l="0" t="0" r="0" b="0"/>
                      <wp:wrapNone/>
                      <wp:docPr id="532" name="Frame532"/>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4">
                      <wp:simplePos x="0" y="0"/>
                      <wp:positionH relativeFrom="character">
                        <wp:align>left</wp:align>
                      </wp:positionH>
                      <wp:positionV relativeFrom="line">
                        <wp:posOffset>635</wp:posOffset>
                      </wp:positionV>
                      <wp:extent cx="229235" cy="175260"/>
                      <wp:effectExtent l="0" t="0" r="0" b="0"/>
                      <wp:wrapNone/>
                      <wp:docPr id="533" name="Frame533"/>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5">
                      <wp:simplePos x="0" y="0"/>
                      <wp:positionH relativeFrom="character">
                        <wp:align>left</wp:align>
                      </wp:positionH>
                      <wp:positionV relativeFrom="line">
                        <wp:posOffset>635</wp:posOffset>
                      </wp:positionV>
                      <wp:extent cx="133985" cy="175260"/>
                      <wp:effectExtent l="0" t="0" r="0" b="0"/>
                      <wp:wrapNone/>
                      <wp:docPr id="534" name="Frame5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6">
                      <wp:simplePos x="0" y="0"/>
                      <wp:positionH relativeFrom="character">
                        <wp:align>left</wp:align>
                      </wp:positionH>
                      <wp:positionV relativeFrom="line">
                        <wp:posOffset>635</wp:posOffset>
                      </wp:positionV>
                      <wp:extent cx="492125" cy="175260"/>
                      <wp:effectExtent l="0" t="0" r="0" b="0"/>
                      <wp:wrapNone/>
                      <wp:docPr id="535" name="Frame535"/>
                      <a:graphic xmlns:a="http://schemas.openxmlformats.org/drawingml/2006/main">
                        <a:graphicData uri="http://schemas.microsoft.com/office/word/2010/wordprocessingShape">
                          <wps:wsp>
                            <wps:cNvSpPr txBox="1"/>
                            <wps:spPr>
                              <a:xfrm>
                                <a:off x="0" y="0"/>
                                <a:ext cx="4921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7">
                      <wp:simplePos x="0" y="0"/>
                      <wp:positionH relativeFrom="character">
                        <wp:align>left</wp:align>
                      </wp:positionH>
                      <wp:positionV relativeFrom="line">
                        <wp:posOffset>635</wp:posOffset>
                      </wp:positionV>
                      <wp:extent cx="219710" cy="175260"/>
                      <wp:effectExtent l="0" t="0" r="0" b="0"/>
                      <wp:wrapNone/>
                      <wp:docPr id="536" name="Frame5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8">
                      <wp:simplePos x="0" y="0"/>
                      <wp:positionH relativeFrom="character">
                        <wp:align>left</wp:align>
                      </wp:positionH>
                      <wp:positionV relativeFrom="line">
                        <wp:posOffset>635</wp:posOffset>
                      </wp:positionV>
                      <wp:extent cx="133985" cy="175260"/>
                      <wp:effectExtent l="0" t="0" r="0" b="0"/>
                      <wp:wrapNone/>
                      <wp:docPr id="537" name="Frame53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9">
                      <wp:simplePos x="0" y="0"/>
                      <wp:positionH relativeFrom="character">
                        <wp:align>left</wp:align>
                      </wp:positionH>
                      <wp:positionV relativeFrom="line">
                        <wp:posOffset>635</wp:posOffset>
                      </wp:positionV>
                      <wp:extent cx="492125" cy="175260"/>
                      <wp:effectExtent l="0" t="0" r="0" b="0"/>
                      <wp:wrapNone/>
                      <wp:docPr id="538" name="Frame538"/>
                      <a:graphic xmlns:a="http://schemas.openxmlformats.org/drawingml/2006/main">
                        <a:graphicData uri="http://schemas.microsoft.com/office/word/2010/wordprocessingShape">
                          <wps:wsp>
                            <wps:cNvSpPr txBox="1"/>
                            <wps:spPr>
                              <a:xfrm>
                                <a:off x="0" y="0"/>
                                <a:ext cx="4921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0">
                      <wp:simplePos x="0" y="0"/>
                      <wp:positionH relativeFrom="character">
                        <wp:align>left</wp:align>
                      </wp:positionH>
                      <wp:positionV relativeFrom="line">
                        <wp:posOffset>635</wp:posOffset>
                      </wp:positionV>
                      <wp:extent cx="219710" cy="175260"/>
                      <wp:effectExtent l="0" t="0" r="0" b="0"/>
                      <wp:wrapNone/>
                      <wp:docPr id="539" name="Frame5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1">
                      <wp:simplePos x="0" y="0"/>
                      <wp:positionH relativeFrom="character">
                        <wp:align>left</wp:align>
                      </wp:positionH>
                      <wp:positionV relativeFrom="line">
                        <wp:posOffset>635</wp:posOffset>
                      </wp:positionV>
                      <wp:extent cx="419735" cy="175260"/>
                      <wp:effectExtent l="0" t="0" r="0" b="0"/>
                      <wp:wrapNone/>
                      <wp:docPr id="540" name="Frame540"/>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2">
                      <wp:simplePos x="0" y="0"/>
                      <wp:positionH relativeFrom="character">
                        <wp:align>left</wp:align>
                      </wp:positionH>
                      <wp:positionV relativeFrom="line">
                        <wp:posOffset>635</wp:posOffset>
                      </wp:positionV>
                      <wp:extent cx="219710" cy="175260"/>
                      <wp:effectExtent l="0" t="0" r="0" b="0"/>
                      <wp:wrapNone/>
                      <wp:docPr id="541" name="Frame5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3">
                      <wp:simplePos x="0" y="0"/>
                      <wp:positionH relativeFrom="character">
                        <wp:align>left</wp:align>
                      </wp:positionH>
                      <wp:positionV relativeFrom="line">
                        <wp:posOffset>635</wp:posOffset>
                      </wp:positionV>
                      <wp:extent cx="249555" cy="175260"/>
                      <wp:effectExtent l="0" t="0" r="0" b="0"/>
                      <wp:wrapNone/>
                      <wp:docPr id="542" name="Frame542"/>
                      <a:graphic xmlns:a="http://schemas.openxmlformats.org/drawingml/2006/main">
                        <a:graphicData uri="http://schemas.microsoft.com/office/word/2010/wordprocessingShape">
                          <wps:wsp>
                            <wps:cNvSpPr txBox="1"/>
                            <wps:spPr>
                              <a:xfrm>
                                <a:off x="0" y="0"/>
                                <a:ext cx="2495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0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325" w:type="dxa"/>
            <w:gridSpan w:val="7"/>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61" w:type="dxa"/>
            <w:tcBorders/>
            <w:vAlign w:val="center"/>
          </w:tcPr>
          <w:p>
            <w:pPr>
              <w:pStyle w:val="TableContents"/>
              <w:bidi w:val="0"/>
              <w:spacing w:before="0" w:after="1"/>
              <w:ind w:left="0" w:right="0" w:hanging="0"/>
              <w:jc w:val="left"/>
              <w:rPr/>
            </w:pPr>
            <w:r>
              <w:rPr/>
              <w:t>​</w:t>
            </w:r>
          </w:p>
        </w:tc>
        <w:tc>
          <w:tcPr>
            <w:tcW w:w="3325" w:type="dxa"/>
            <w:gridSpan w:val="7"/>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46" w:type="dxa"/>
            <w:tcBorders/>
            <w:vAlign w:val="center"/>
          </w:tcPr>
          <w:p>
            <w:pPr>
              <w:pStyle w:val="TableContents"/>
              <w:bidi w:val="0"/>
              <w:spacing w:before="0" w:after="1"/>
              <w:ind w:left="0" w:right="0" w:hanging="0"/>
              <w:jc w:val="left"/>
              <w:rPr/>
            </w:pPr>
            <w:r>
              <w:rPr/>
              <w:t>​</w:t>
            </w:r>
          </w:p>
        </w:tc>
        <w:tc>
          <w:tcPr>
            <w:tcW w:w="393" w:type="dxa"/>
            <w:tcBorders/>
            <w:vAlign w:val="center"/>
          </w:tcPr>
          <w:p>
            <w:pPr>
              <w:pStyle w:val="TableContents"/>
              <w:bidi w:val="0"/>
              <w:spacing w:before="0" w:after="1"/>
              <w:ind w:left="0" w:right="0" w:hanging="0"/>
              <w:jc w:val="left"/>
              <w:rPr/>
            </w:pPr>
            <w:r>
              <w:rPr/>
              <w:t>​</w:t>
            </w:r>
          </w:p>
        </w:tc>
      </w:tr>
      <w:tr>
        <w:trPr/>
        <w:tc>
          <w:tcPr>
            <w:tcW w:w="210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325"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61" w:type="dxa"/>
            <w:tcBorders/>
            <w:vAlign w:val="center"/>
          </w:tcPr>
          <w:p>
            <w:pPr>
              <w:pStyle w:val="TableContents"/>
              <w:bidi w:val="0"/>
              <w:spacing w:before="0" w:after="1"/>
              <w:ind w:left="0" w:right="0" w:hanging="0"/>
              <w:jc w:val="left"/>
              <w:rPr/>
            </w:pPr>
            <w:r>
              <w:rPr/>
              <w:t>​</w:t>
            </w:r>
          </w:p>
        </w:tc>
        <w:tc>
          <w:tcPr>
            <w:tcW w:w="3325"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1"/>
              <w:ind w:left="0" w:right="0" w:hanging="0"/>
              <w:jc w:val="left"/>
              <w:rPr/>
            </w:pPr>
            <w:r>
              <w:rPr/>
              <w:t>​</w:t>
            </w:r>
          </w:p>
        </w:tc>
        <w:tc>
          <w:tcPr>
            <w:tcW w:w="393" w:type="dxa"/>
            <w:tcBorders/>
            <w:vAlign w:val="center"/>
          </w:tcPr>
          <w:p>
            <w:pPr>
              <w:pStyle w:val="TableContents"/>
              <w:bidi w:val="0"/>
              <w:spacing w:before="0" w:after="1"/>
              <w:ind w:left="0" w:right="0" w:hanging="0"/>
              <w:jc w:val="left"/>
              <w:rPr/>
            </w:pPr>
            <w:r>
              <w:rPr/>
              <w:t>​</w:t>
            </w:r>
          </w:p>
        </w:tc>
      </w:tr>
      <w:tr>
        <w:trPr/>
        <w:tc>
          <w:tcPr>
            <w:tcW w:w="210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775"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75"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66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775"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75"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66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1"/>
              <w:ind w:left="0" w:right="0" w:hanging="0"/>
              <w:jc w:val="left"/>
              <w:rPr/>
            </w:pPr>
            <w:r>
              <w:rPr/>
              <w:t>​</w:t>
            </w:r>
          </w:p>
        </w:tc>
        <w:tc>
          <w:tcPr>
            <w:tcW w:w="393" w:type="dxa"/>
            <w:tcBorders/>
            <w:vAlign w:val="center"/>
          </w:tcPr>
          <w:p>
            <w:pPr>
              <w:pStyle w:val="TableContents"/>
              <w:bidi w:val="0"/>
              <w:spacing w:before="0" w:after="1"/>
              <w:ind w:left="0" w:right="0" w:hanging="0"/>
              <w:jc w:val="left"/>
              <w:rPr/>
            </w:pPr>
            <w:r>
              <w:rPr/>
              <w:t>​</w:t>
            </w:r>
          </w:p>
        </w:tc>
      </w:tr>
      <w:tr>
        <w:trPr/>
        <w:tc>
          <w:tcPr>
            <w:tcW w:w="210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8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98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61" w:type="dxa"/>
            <w:tcBorders/>
            <w:vAlign w:val="center"/>
          </w:tcPr>
          <w:p>
            <w:pPr>
              <w:pStyle w:val="TableContents"/>
              <w:bidi w:val="0"/>
              <w:spacing w:before="0" w:after="1"/>
              <w:ind w:left="0" w:right="0" w:hanging="0"/>
              <w:jc w:val="left"/>
              <w:rPr/>
            </w:pPr>
            <w:r>
              <w:rPr/>
              <w:t>  ​ ​ ​</w:t>
            </w:r>
          </w:p>
        </w:tc>
        <w:tc>
          <w:tcPr>
            <w:tcW w:w="98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98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46" w:type="dxa"/>
            <w:tcBorders/>
            <w:vAlign w:val="center"/>
          </w:tcPr>
          <w:p>
            <w:pPr>
              <w:pStyle w:val="TableContents"/>
              <w:bidi w:val="0"/>
              <w:spacing w:before="0" w:after="1"/>
              <w:ind w:left="0" w:right="0" w:hanging="0"/>
              <w:jc w:val="left"/>
              <w:rPr/>
            </w:pPr>
            <w:r>
              <w:rPr/>
              <w:t>  ​ ​ ​</w:t>
            </w:r>
          </w:p>
        </w:tc>
        <w:tc>
          <w:tcPr>
            <w:tcW w:w="393" w:type="dxa"/>
            <w:tcBorders/>
            <w:vAlign w:val="center"/>
          </w:tcPr>
          <w:p>
            <w:pPr>
              <w:pStyle w:val="TableContents"/>
              <w:bidi w:val="0"/>
              <w:spacing w:before="0" w:after="1"/>
              <w:ind w:left="0" w:right="0" w:hanging="0"/>
              <w:jc w:val="left"/>
              <w:rPr/>
            </w:pPr>
            <w:r>
              <w:rPr/>
              <w:t>  ​ ​ ​</w:t>
            </w:r>
          </w:p>
        </w:tc>
      </w:tr>
      <w:tr>
        <w:trPr/>
        <w:tc>
          <w:tcPr>
            <w:tcW w:w="2109"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Operating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11,245</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10,759</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22,530</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21,529</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3" w:type="dxa"/>
            <w:tcBorders/>
            <w:shd w:fill="CCEEFF" w:val="clear"/>
            <w:vAlign w:val="center"/>
          </w:tcPr>
          <w:p>
            <w:pPr>
              <w:pStyle w:val="TableContents"/>
              <w:bidi w:val="0"/>
              <w:spacing w:before="0" w:after="1"/>
              <w:ind w:left="0" w:right="0" w:hanging="0"/>
              <w:jc w:val="left"/>
              <w:rPr/>
            </w:pPr>
            <w:r>
              <w:rPr/>
              <w:t>​</w:t>
            </w:r>
          </w:p>
        </w:tc>
      </w:tr>
      <w:tr>
        <w:trPr/>
        <w:tc>
          <w:tcPr>
            <w:tcW w:w="210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7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257</w:t>
            </w:r>
          </w:p>
        </w:tc>
        <w:tc>
          <w:tcPr>
            <w:tcW w:w="34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7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231</w:t>
            </w:r>
          </w:p>
        </w:tc>
        <w:tc>
          <w:tcPr>
            <w:tcW w:w="34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7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516</w:t>
            </w:r>
          </w:p>
        </w:tc>
        <w:tc>
          <w:tcPr>
            <w:tcW w:w="34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7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465</w:t>
            </w:r>
          </w:p>
        </w:tc>
        <w:tc>
          <w:tcPr>
            <w:tcW w:w="34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3" w:type="dxa"/>
            <w:tcBorders/>
            <w:vAlign w:val="center"/>
          </w:tcPr>
          <w:p>
            <w:pPr>
              <w:pStyle w:val="TableContents"/>
              <w:bidi w:val="0"/>
              <w:spacing w:before="0" w:after="1"/>
              <w:ind w:left="0" w:right="0" w:hanging="0"/>
              <w:jc w:val="left"/>
              <w:rPr/>
            </w:pPr>
            <w:r>
              <w:rPr/>
              <w:t>​</w:t>
            </w:r>
          </w:p>
        </w:tc>
      </w:tr>
      <w:tr>
        <w:trPr/>
        <w:tc>
          <w:tcPr>
            <w:tcW w:w="210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loss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(11,502)</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(10,990)</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(23,046)</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(21,994)</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3"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Corporate and Other operating expenses consist primarily of costs associated with senior management salaries and benefits, legal, human resources, accounting, pension, information technology, consulting and other administrative costs. Corporate and Other segment operating expenses increased in the three and six months ended June 30, 2026, as compared to the 2025 periods, primarily as a result of an increase in employment expenses.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Operating Results – Preopening Costs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Preopening costs during the three and six months ended June 30, 2026 include costs associated with Category 10 Las Vegas, which is expected to open in late 2026.</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Non-Operating Results Affecting Net Income</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 following table summarizes the other factors which affected our net income for the three and six months ended June 30, 2026 and 2025 (in thousands, except percentages):</w:t>
      </w:r>
    </w:p>
    <w:tbl>
      <w:tblPr>
        <w:tblW w:w="10205" w:type="dxa"/>
        <w:jc w:val="left"/>
        <w:tblInd w:w="0" w:type="dxa"/>
        <w:tblLayout w:type="fixed"/>
        <w:tblCellMar>
          <w:top w:w="0" w:type="dxa"/>
          <w:left w:w="0" w:type="dxa"/>
          <w:bottom w:w="0" w:type="dxa"/>
          <w:right w:w="0" w:type="dxa"/>
        </w:tblCellMar>
      </w:tblPr>
      <w:tblGrid>
        <w:gridCol w:w="1602"/>
        <w:gridCol w:w="346"/>
        <w:gridCol w:w="211"/>
        <w:gridCol w:w="740"/>
        <w:gridCol w:w="346"/>
        <w:gridCol w:w="211"/>
        <w:gridCol w:w="740"/>
        <w:gridCol w:w="346"/>
        <w:gridCol w:w="706"/>
        <w:gridCol w:w="361"/>
        <w:gridCol w:w="346"/>
        <w:gridCol w:w="211"/>
        <w:gridCol w:w="845"/>
        <w:gridCol w:w="346"/>
        <w:gridCol w:w="211"/>
        <w:gridCol w:w="845"/>
        <w:gridCol w:w="346"/>
        <w:gridCol w:w="706"/>
        <w:gridCol w:w="346"/>
        <w:gridCol w:w="394"/>
      </w:tblGrid>
      <w:tr>
        <w:trPr/>
        <w:tc>
          <w:tcPr>
            <w:tcW w:w="16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4">
                      <wp:simplePos x="0" y="0"/>
                      <wp:positionH relativeFrom="character">
                        <wp:align>left</wp:align>
                      </wp:positionH>
                      <wp:positionV relativeFrom="line">
                        <wp:posOffset>635</wp:posOffset>
                      </wp:positionV>
                      <wp:extent cx="1017270" cy="175260"/>
                      <wp:effectExtent l="0" t="0" r="0" b="0"/>
                      <wp:wrapNone/>
                      <wp:docPr id="543" name="Frame543"/>
                      <a:graphic xmlns:a="http://schemas.openxmlformats.org/drawingml/2006/main">
                        <a:graphicData uri="http://schemas.microsoft.com/office/word/2010/wordprocessingShape">
                          <wps:wsp>
                            <wps:cNvSpPr txBox="1"/>
                            <wps:spPr>
                              <a:xfrm>
                                <a:off x="0" y="0"/>
                                <a:ext cx="10172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5">
                      <wp:simplePos x="0" y="0"/>
                      <wp:positionH relativeFrom="character">
                        <wp:align>left</wp:align>
                      </wp:positionH>
                      <wp:positionV relativeFrom="line">
                        <wp:posOffset>635</wp:posOffset>
                      </wp:positionV>
                      <wp:extent cx="219710" cy="175260"/>
                      <wp:effectExtent l="0" t="0" r="0" b="0"/>
                      <wp:wrapNone/>
                      <wp:docPr id="544" name="Frame5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6">
                      <wp:simplePos x="0" y="0"/>
                      <wp:positionH relativeFrom="character">
                        <wp:align>left</wp:align>
                      </wp:positionH>
                      <wp:positionV relativeFrom="line">
                        <wp:posOffset>635</wp:posOffset>
                      </wp:positionV>
                      <wp:extent cx="133985" cy="175260"/>
                      <wp:effectExtent l="0" t="0" r="0" b="0"/>
                      <wp:wrapNone/>
                      <wp:docPr id="545" name="Frame54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7">
                      <wp:simplePos x="0" y="0"/>
                      <wp:positionH relativeFrom="character">
                        <wp:align>left</wp:align>
                      </wp:positionH>
                      <wp:positionV relativeFrom="line">
                        <wp:posOffset>635</wp:posOffset>
                      </wp:positionV>
                      <wp:extent cx="469900" cy="175260"/>
                      <wp:effectExtent l="0" t="0" r="0" b="0"/>
                      <wp:wrapNone/>
                      <wp:docPr id="546" name="Frame546"/>
                      <a:graphic xmlns:a="http://schemas.openxmlformats.org/drawingml/2006/main">
                        <a:graphicData uri="http://schemas.microsoft.com/office/word/2010/wordprocessingShape">
                          <wps:wsp>
                            <wps:cNvSpPr txBox="1"/>
                            <wps:spPr>
                              <a:xfrm>
                                <a:off x="0" y="0"/>
                                <a:ext cx="4699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8">
                      <wp:simplePos x="0" y="0"/>
                      <wp:positionH relativeFrom="character">
                        <wp:align>left</wp:align>
                      </wp:positionH>
                      <wp:positionV relativeFrom="line">
                        <wp:posOffset>635</wp:posOffset>
                      </wp:positionV>
                      <wp:extent cx="219710" cy="175260"/>
                      <wp:effectExtent l="0" t="0" r="0" b="0"/>
                      <wp:wrapNone/>
                      <wp:docPr id="547" name="Frame5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9">
                      <wp:simplePos x="0" y="0"/>
                      <wp:positionH relativeFrom="character">
                        <wp:align>left</wp:align>
                      </wp:positionH>
                      <wp:positionV relativeFrom="line">
                        <wp:posOffset>635</wp:posOffset>
                      </wp:positionV>
                      <wp:extent cx="133985" cy="175260"/>
                      <wp:effectExtent l="0" t="0" r="0" b="0"/>
                      <wp:wrapNone/>
                      <wp:docPr id="548" name="Frame54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0">
                      <wp:simplePos x="0" y="0"/>
                      <wp:positionH relativeFrom="character">
                        <wp:align>left</wp:align>
                      </wp:positionH>
                      <wp:positionV relativeFrom="line">
                        <wp:posOffset>635</wp:posOffset>
                      </wp:positionV>
                      <wp:extent cx="469900" cy="175260"/>
                      <wp:effectExtent l="0" t="0" r="0" b="0"/>
                      <wp:wrapNone/>
                      <wp:docPr id="549" name="Frame549"/>
                      <a:graphic xmlns:a="http://schemas.openxmlformats.org/drawingml/2006/main">
                        <a:graphicData uri="http://schemas.microsoft.com/office/word/2010/wordprocessingShape">
                          <wps:wsp>
                            <wps:cNvSpPr txBox="1"/>
                            <wps:spPr>
                              <a:xfrm>
                                <a:off x="0" y="0"/>
                                <a:ext cx="4699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1">
                      <wp:simplePos x="0" y="0"/>
                      <wp:positionH relativeFrom="character">
                        <wp:align>left</wp:align>
                      </wp:positionH>
                      <wp:positionV relativeFrom="line">
                        <wp:posOffset>635</wp:posOffset>
                      </wp:positionV>
                      <wp:extent cx="219710" cy="175260"/>
                      <wp:effectExtent l="0" t="0" r="0" b="0"/>
                      <wp:wrapNone/>
                      <wp:docPr id="550" name="Frame5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2">
                      <wp:simplePos x="0" y="0"/>
                      <wp:positionH relativeFrom="character">
                        <wp:align>left</wp:align>
                      </wp:positionH>
                      <wp:positionV relativeFrom="line">
                        <wp:posOffset>635</wp:posOffset>
                      </wp:positionV>
                      <wp:extent cx="448310" cy="175260"/>
                      <wp:effectExtent l="0" t="0" r="0" b="0"/>
                      <wp:wrapNone/>
                      <wp:docPr id="551" name="Frame551"/>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3">
                      <wp:simplePos x="0" y="0"/>
                      <wp:positionH relativeFrom="character">
                        <wp:align>left</wp:align>
                      </wp:positionH>
                      <wp:positionV relativeFrom="line">
                        <wp:posOffset>635</wp:posOffset>
                      </wp:positionV>
                      <wp:extent cx="229235" cy="175260"/>
                      <wp:effectExtent l="0" t="0" r="0" b="0"/>
                      <wp:wrapNone/>
                      <wp:docPr id="552" name="Frame552"/>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4">
                      <wp:simplePos x="0" y="0"/>
                      <wp:positionH relativeFrom="character">
                        <wp:align>left</wp:align>
                      </wp:positionH>
                      <wp:positionV relativeFrom="line">
                        <wp:posOffset>635</wp:posOffset>
                      </wp:positionV>
                      <wp:extent cx="219710" cy="175260"/>
                      <wp:effectExtent l="0" t="0" r="0" b="0"/>
                      <wp:wrapNone/>
                      <wp:docPr id="553" name="Frame5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5">
                      <wp:simplePos x="0" y="0"/>
                      <wp:positionH relativeFrom="character">
                        <wp:align>left</wp:align>
                      </wp:positionH>
                      <wp:positionV relativeFrom="line">
                        <wp:posOffset>635</wp:posOffset>
                      </wp:positionV>
                      <wp:extent cx="133985" cy="175260"/>
                      <wp:effectExtent l="0" t="0" r="0" b="0"/>
                      <wp:wrapNone/>
                      <wp:docPr id="554" name="Frame55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6">
                      <wp:simplePos x="0" y="0"/>
                      <wp:positionH relativeFrom="character">
                        <wp:align>left</wp:align>
                      </wp:positionH>
                      <wp:positionV relativeFrom="line">
                        <wp:posOffset>635</wp:posOffset>
                      </wp:positionV>
                      <wp:extent cx="536575" cy="175260"/>
                      <wp:effectExtent l="0" t="0" r="0" b="0"/>
                      <wp:wrapNone/>
                      <wp:docPr id="555" name="Frame555"/>
                      <a:graphic xmlns:a="http://schemas.openxmlformats.org/drawingml/2006/main">
                        <a:graphicData uri="http://schemas.microsoft.com/office/word/2010/wordprocessingShape">
                          <wps:wsp>
                            <wps:cNvSpPr txBox="1"/>
                            <wps:spPr>
                              <a:xfrm>
                                <a:off x="0" y="0"/>
                                <a:ext cx="5365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7">
                      <wp:simplePos x="0" y="0"/>
                      <wp:positionH relativeFrom="character">
                        <wp:align>left</wp:align>
                      </wp:positionH>
                      <wp:positionV relativeFrom="line">
                        <wp:posOffset>635</wp:posOffset>
                      </wp:positionV>
                      <wp:extent cx="219710" cy="175260"/>
                      <wp:effectExtent l="0" t="0" r="0" b="0"/>
                      <wp:wrapNone/>
                      <wp:docPr id="556" name="Frame5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8">
                      <wp:simplePos x="0" y="0"/>
                      <wp:positionH relativeFrom="character">
                        <wp:align>left</wp:align>
                      </wp:positionH>
                      <wp:positionV relativeFrom="line">
                        <wp:posOffset>635</wp:posOffset>
                      </wp:positionV>
                      <wp:extent cx="133985" cy="175260"/>
                      <wp:effectExtent l="0" t="0" r="0" b="0"/>
                      <wp:wrapNone/>
                      <wp:docPr id="557" name="Frame55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9">
                      <wp:simplePos x="0" y="0"/>
                      <wp:positionH relativeFrom="character">
                        <wp:align>left</wp:align>
                      </wp:positionH>
                      <wp:positionV relativeFrom="line">
                        <wp:posOffset>635</wp:posOffset>
                      </wp:positionV>
                      <wp:extent cx="536575" cy="175260"/>
                      <wp:effectExtent l="0" t="0" r="0" b="0"/>
                      <wp:wrapNone/>
                      <wp:docPr id="558" name="Frame558"/>
                      <a:graphic xmlns:a="http://schemas.openxmlformats.org/drawingml/2006/main">
                        <a:graphicData uri="http://schemas.microsoft.com/office/word/2010/wordprocessingShape">
                          <wps:wsp>
                            <wps:cNvSpPr txBox="1"/>
                            <wps:spPr>
                              <a:xfrm>
                                <a:off x="0" y="0"/>
                                <a:ext cx="5365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0">
                      <wp:simplePos x="0" y="0"/>
                      <wp:positionH relativeFrom="character">
                        <wp:align>left</wp:align>
                      </wp:positionH>
                      <wp:positionV relativeFrom="line">
                        <wp:posOffset>635</wp:posOffset>
                      </wp:positionV>
                      <wp:extent cx="219710" cy="175260"/>
                      <wp:effectExtent l="0" t="0" r="0" b="0"/>
                      <wp:wrapNone/>
                      <wp:docPr id="559" name="Frame5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1">
                      <wp:simplePos x="0" y="0"/>
                      <wp:positionH relativeFrom="character">
                        <wp:align>left</wp:align>
                      </wp:positionH>
                      <wp:positionV relativeFrom="line">
                        <wp:posOffset>635</wp:posOffset>
                      </wp:positionV>
                      <wp:extent cx="448310" cy="175260"/>
                      <wp:effectExtent l="0" t="0" r="0" b="0"/>
                      <wp:wrapNone/>
                      <wp:docPr id="560" name="Frame560"/>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2">
                      <wp:simplePos x="0" y="0"/>
                      <wp:positionH relativeFrom="character">
                        <wp:align>left</wp:align>
                      </wp:positionH>
                      <wp:positionV relativeFrom="line">
                        <wp:posOffset>635</wp:posOffset>
                      </wp:positionV>
                      <wp:extent cx="219710" cy="175260"/>
                      <wp:effectExtent l="0" t="0" r="0" b="0"/>
                      <wp:wrapNone/>
                      <wp:docPr id="561" name="Frame5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3">
                      <wp:simplePos x="0" y="0"/>
                      <wp:positionH relativeFrom="character">
                        <wp:align>left</wp:align>
                      </wp:positionH>
                      <wp:positionV relativeFrom="line">
                        <wp:posOffset>635</wp:posOffset>
                      </wp:positionV>
                      <wp:extent cx="250190" cy="175260"/>
                      <wp:effectExtent l="0" t="0" r="0" b="0"/>
                      <wp:wrapNone/>
                      <wp:docPr id="562" name="Frame562"/>
                      <a:graphic xmlns:a="http://schemas.openxmlformats.org/drawingml/2006/main">
                        <a:graphicData uri="http://schemas.microsoft.com/office/word/2010/wordprocessingShape">
                          <wps:wsp>
                            <wps:cNvSpPr txBox="1"/>
                            <wps:spPr>
                              <a:xfrm>
                                <a:off x="0" y="0"/>
                                <a:ext cx="2501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60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300" w:type="dxa"/>
            <w:gridSpan w:val="7"/>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510" w:type="dxa"/>
            <w:gridSpan w:val="7"/>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46" w:type="dxa"/>
            <w:tcBorders/>
            <w:vAlign w:val="center"/>
          </w:tcPr>
          <w:p>
            <w:pPr>
              <w:pStyle w:val="TableContents"/>
              <w:bidi w:val="0"/>
              <w:spacing w:before="0" w:after="1"/>
              <w:ind w:left="0" w:right="0" w:hanging="0"/>
              <w:jc w:val="left"/>
              <w:rPr/>
            </w:pPr>
            <w:r>
              <w:rPr/>
              <w:t>​</w:t>
            </w:r>
          </w:p>
        </w:tc>
        <w:tc>
          <w:tcPr>
            <w:tcW w:w="394" w:type="dxa"/>
            <w:tcBorders/>
            <w:vAlign w:val="center"/>
          </w:tcPr>
          <w:p>
            <w:pPr>
              <w:pStyle w:val="TableContents"/>
              <w:bidi w:val="0"/>
              <w:spacing w:before="0" w:after="1"/>
              <w:ind w:left="0" w:right="0" w:hanging="0"/>
              <w:jc w:val="left"/>
              <w:rPr/>
            </w:pPr>
            <w:r>
              <w:rPr/>
              <w:t>​</w:t>
            </w:r>
          </w:p>
        </w:tc>
      </w:tr>
      <w:tr>
        <w:trPr/>
        <w:tc>
          <w:tcPr>
            <w:tcW w:w="160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300"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510"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1"/>
              <w:ind w:left="0" w:right="0" w:hanging="0"/>
              <w:jc w:val="left"/>
              <w:rPr/>
            </w:pPr>
            <w:r>
              <w:rPr/>
              <w:t>​</w:t>
            </w:r>
          </w:p>
        </w:tc>
        <w:tc>
          <w:tcPr>
            <w:tcW w:w="394" w:type="dxa"/>
            <w:tcBorders/>
            <w:vAlign w:val="center"/>
          </w:tcPr>
          <w:p>
            <w:pPr>
              <w:pStyle w:val="TableContents"/>
              <w:bidi w:val="0"/>
              <w:spacing w:before="0" w:after="1"/>
              <w:ind w:left="0" w:right="0" w:hanging="0"/>
              <w:jc w:val="left"/>
              <w:rPr/>
            </w:pPr>
            <w:r>
              <w:rPr/>
              <w:t>​</w:t>
            </w:r>
          </w:p>
        </w:tc>
      </w:tr>
      <w:tr>
        <w:trPr/>
        <w:tc>
          <w:tcPr>
            <w:tcW w:w="160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740"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40"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70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845"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845"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70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1"/>
              <w:ind w:left="0" w:right="0" w:hanging="0"/>
              <w:jc w:val="left"/>
              <w:rPr/>
            </w:pPr>
            <w:r>
              <w:rPr/>
              <w:t>​</w:t>
            </w:r>
          </w:p>
        </w:tc>
        <w:tc>
          <w:tcPr>
            <w:tcW w:w="394" w:type="dxa"/>
            <w:tcBorders/>
            <w:vAlign w:val="center"/>
          </w:tcPr>
          <w:p>
            <w:pPr>
              <w:pStyle w:val="TableContents"/>
              <w:bidi w:val="0"/>
              <w:spacing w:before="0" w:after="1"/>
              <w:ind w:left="0" w:right="0" w:hanging="0"/>
              <w:jc w:val="left"/>
              <w:rPr/>
            </w:pPr>
            <w:r>
              <w:rPr/>
              <w:t>​</w:t>
            </w:r>
          </w:p>
        </w:tc>
      </w:tr>
      <w:tr>
        <w:trPr/>
        <w:tc>
          <w:tcPr>
            <w:tcW w:w="160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9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7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 </w:t>
            </w:r>
          </w:p>
        </w:tc>
        <w:tc>
          <w:tcPr>
            <w:tcW w:w="361" w:type="dxa"/>
            <w:tcBorders/>
            <w:vAlign w:val="center"/>
          </w:tcPr>
          <w:p>
            <w:pPr>
              <w:pStyle w:val="TableContents"/>
              <w:bidi w:val="0"/>
              <w:spacing w:before="0" w:after="1"/>
              <w:ind w:left="0" w:right="0" w:hanging="0"/>
              <w:jc w:val="left"/>
              <w:rPr/>
            </w:pPr>
            <w:r>
              <w:rPr/>
              <w:t>  ​ ​ ​</w:t>
            </w:r>
          </w:p>
        </w:tc>
        <w:tc>
          <w:tcPr>
            <w:tcW w:w="346" w:type="dxa"/>
            <w:tcBorders/>
            <w:vAlign w:val="center"/>
          </w:tcPr>
          <w:p>
            <w:pPr>
              <w:pStyle w:val="TableContents"/>
              <w:bidi w:val="0"/>
              <w:spacing w:before="0" w:after="1"/>
              <w:ind w:left="0" w:right="0" w:hanging="0"/>
              <w:jc w:val="left"/>
              <w:rPr/>
            </w:pPr>
            <w:r>
              <w:rPr/>
              <w:t>  ​ ​ ​</w:t>
            </w:r>
          </w:p>
        </w:tc>
        <w:tc>
          <w:tcPr>
            <w:tcW w:w="105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05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7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 </w:t>
            </w:r>
          </w:p>
        </w:tc>
        <w:tc>
          <w:tcPr>
            <w:tcW w:w="346" w:type="dxa"/>
            <w:tcBorders/>
            <w:vAlign w:val="center"/>
          </w:tcPr>
          <w:p>
            <w:pPr>
              <w:pStyle w:val="TableContents"/>
              <w:bidi w:val="0"/>
              <w:spacing w:before="0" w:after="1"/>
              <w:ind w:left="0" w:right="0" w:hanging="0"/>
              <w:jc w:val="left"/>
              <w:rPr/>
            </w:pPr>
            <w:r>
              <w:rPr/>
              <w:t>  ​ ​ ​</w:t>
            </w:r>
          </w:p>
        </w:tc>
        <w:tc>
          <w:tcPr>
            <w:tcW w:w="394" w:type="dxa"/>
            <w:tcBorders/>
            <w:vAlign w:val="center"/>
          </w:tcPr>
          <w:p>
            <w:pPr>
              <w:pStyle w:val="TableContents"/>
              <w:bidi w:val="0"/>
              <w:spacing w:before="0" w:after="1"/>
              <w:ind w:left="0" w:right="0" w:hanging="0"/>
              <w:jc w:val="left"/>
              <w:rPr/>
            </w:pPr>
            <w:r>
              <w:rPr/>
              <w:t>  ​ ​ ​</w:t>
            </w:r>
          </w:p>
        </w:tc>
      </w:tr>
      <w:tr>
        <w:trPr/>
        <w:tc>
          <w:tcPr>
            <w:tcW w:w="160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4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(63,875)</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4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(58,534)</w:t>
            </w:r>
          </w:p>
        </w:tc>
        <w:tc>
          <w:tcPr>
            <w:tcW w:w="346" w:type="dxa"/>
            <w:tcBorders/>
            <w:shd w:fill="CCEEFF" w:val="clear"/>
            <w:vAlign w:val="center"/>
          </w:tcPr>
          <w:p>
            <w:pPr>
              <w:pStyle w:val="TableContents"/>
              <w:bidi w:val="0"/>
              <w:spacing w:before="0" w:after="1"/>
              <w:ind w:left="0" w:right="0" w:hanging="0"/>
              <w:jc w:val="left"/>
              <w:rPr/>
            </w:pPr>
            <w:r>
              <w:rPr/>
              <w:t> </w:t>
            </w:r>
          </w:p>
        </w:tc>
        <w:tc>
          <w:tcPr>
            <w:tcW w:w="7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(127,994)</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(112,817)</w:t>
            </w:r>
          </w:p>
        </w:tc>
        <w:tc>
          <w:tcPr>
            <w:tcW w:w="346" w:type="dxa"/>
            <w:tcBorders/>
            <w:shd w:fill="CCEEFF" w:val="clear"/>
            <w:vAlign w:val="center"/>
          </w:tcPr>
          <w:p>
            <w:pPr>
              <w:pStyle w:val="TableContents"/>
              <w:bidi w:val="0"/>
              <w:spacing w:before="0" w:after="1"/>
              <w:ind w:left="0" w:right="0" w:hanging="0"/>
              <w:jc w:val="left"/>
              <w:rPr/>
            </w:pPr>
            <w:r>
              <w:rPr/>
              <w:t> </w:t>
            </w:r>
          </w:p>
        </w:tc>
        <w:tc>
          <w:tcPr>
            <w:tcW w:w="7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4" w:type="dxa"/>
            <w:tcBorders/>
            <w:shd w:fill="CCEEFF" w:val="clear"/>
            <w:vAlign w:val="center"/>
          </w:tcPr>
          <w:p>
            <w:pPr>
              <w:pStyle w:val="TableContents"/>
              <w:bidi w:val="0"/>
              <w:spacing w:before="0" w:after="1"/>
              <w:ind w:left="0" w:right="0" w:hanging="0"/>
              <w:jc w:val="left"/>
              <w:rPr/>
            </w:pPr>
            <w:r>
              <w:rPr/>
              <w:t>​</w:t>
            </w:r>
          </w:p>
        </w:tc>
      </w:tr>
      <w:tr>
        <w:trPr/>
        <w:tc>
          <w:tcPr>
            <w:tcW w:w="160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4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3,727</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 </w:t>
            </w:r>
          </w:p>
        </w:tc>
        <w:tc>
          <w:tcPr>
            <w:tcW w:w="74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5,583</w:t>
            </w:r>
          </w:p>
        </w:tc>
        <w:tc>
          <w:tcPr>
            <w:tcW w:w="346" w:type="dxa"/>
            <w:tcBorders/>
            <w:vAlign w:val="center"/>
          </w:tcPr>
          <w:p>
            <w:pPr>
              <w:pStyle w:val="TableContents"/>
              <w:bidi w:val="0"/>
              <w:spacing w:before="0" w:after="1"/>
              <w:ind w:left="0" w:right="0" w:hanging="0"/>
              <w:jc w:val="left"/>
              <w:rPr/>
            </w:pPr>
            <w:r>
              <w:rPr/>
              <w:t> </w:t>
            </w:r>
          </w:p>
        </w:tc>
        <w:tc>
          <w:tcPr>
            <w:tcW w:w="7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(33.2)</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8,913</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 </w:t>
            </w:r>
          </w:p>
        </w:tc>
        <w:tc>
          <w:tcPr>
            <w:tcW w:w="84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11,042</w:t>
            </w:r>
          </w:p>
        </w:tc>
        <w:tc>
          <w:tcPr>
            <w:tcW w:w="346" w:type="dxa"/>
            <w:tcBorders/>
            <w:vAlign w:val="center"/>
          </w:tcPr>
          <w:p>
            <w:pPr>
              <w:pStyle w:val="TableContents"/>
              <w:bidi w:val="0"/>
              <w:spacing w:before="0" w:after="1"/>
              <w:ind w:left="0" w:right="0" w:hanging="0"/>
              <w:jc w:val="left"/>
              <w:rPr/>
            </w:pPr>
            <w:r>
              <w:rPr/>
              <w:t> </w:t>
            </w:r>
          </w:p>
        </w:tc>
        <w:tc>
          <w:tcPr>
            <w:tcW w:w="7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(19.3)</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4" w:type="dxa"/>
            <w:tcBorders/>
            <w:vAlign w:val="center"/>
          </w:tcPr>
          <w:p>
            <w:pPr>
              <w:pStyle w:val="TableContents"/>
              <w:bidi w:val="0"/>
              <w:spacing w:before="0" w:after="1"/>
              <w:ind w:left="0" w:right="0" w:hanging="0"/>
              <w:jc w:val="left"/>
              <w:rPr/>
            </w:pPr>
            <w:r>
              <w:rPr/>
              <w:t>​</w:t>
            </w:r>
          </w:p>
        </w:tc>
      </w:tr>
      <w:tr>
        <w:trPr/>
        <w:tc>
          <w:tcPr>
            <w:tcW w:w="160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on extinguishment of debt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4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4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(2,542)</w:t>
            </w:r>
          </w:p>
        </w:tc>
        <w:tc>
          <w:tcPr>
            <w:tcW w:w="346" w:type="dxa"/>
            <w:tcBorders/>
            <w:shd w:fill="CCEEFF" w:val="clear"/>
            <w:vAlign w:val="center"/>
          </w:tcPr>
          <w:p>
            <w:pPr>
              <w:pStyle w:val="TableContents"/>
              <w:bidi w:val="0"/>
              <w:spacing w:before="0" w:after="1"/>
              <w:ind w:left="0" w:right="0" w:hanging="0"/>
              <w:jc w:val="left"/>
              <w:rPr/>
            </w:pPr>
            <w:r>
              <w:rPr/>
              <w:t>​</w:t>
            </w:r>
          </w:p>
        </w:tc>
        <w:tc>
          <w:tcPr>
            <w:tcW w:w="7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(2,200)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(2,542)</w:t>
            </w:r>
          </w:p>
        </w:tc>
        <w:tc>
          <w:tcPr>
            <w:tcW w:w="346" w:type="dxa"/>
            <w:tcBorders/>
            <w:shd w:fill="CCEEFF" w:val="clear"/>
            <w:vAlign w:val="center"/>
          </w:tcPr>
          <w:p>
            <w:pPr>
              <w:pStyle w:val="TableContents"/>
              <w:bidi w:val="0"/>
              <w:spacing w:before="0" w:after="1"/>
              <w:ind w:left="0" w:right="0" w:hanging="0"/>
              <w:jc w:val="left"/>
              <w:rPr/>
            </w:pPr>
            <w:r>
              <w:rPr/>
              <w:t>​</w:t>
            </w:r>
          </w:p>
        </w:tc>
        <w:tc>
          <w:tcPr>
            <w:tcW w:w="7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4" w:type="dxa"/>
            <w:tcBorders/>
            <w:shd w:fill="CCEEFF" w:val="clear"/>
            <w:vAlign w:val="center"/>
          </w:tcPr>
          <w:p>
            <w:pPr>
              <w:pStyle w:val="TableContents"/>
              <w:bidi w:val="0"/>
              <w:spacing w:before="0" w:after="1"/>
              <w:ind w:left="0" w:right="0" w:hanging="0"/>
              <w:jc w:val="left"/>
              <w:rPr/>
            </w:pPr>
            <w:r>
              <w:rPr/>
              <w:t>​</w:t>
            </w:r>
          </w:p>
        </w:tc>
      </w:tr>
      <w:tr>
        <w:trPr/>
        <w:tc>
          <w:tcPr>
            <w:tcW w:w="160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(loss) from unconsolidated joint ventures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4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 </w:t>
            </w:r>
          </w:p>
        </w:tc>
        <w:tc>
          <w:tcPr>
            <w:tcW w:w="74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346" w:type="dxa"/>
            <w:tcBorders/>
            <w:vAlign w:val="center"/>
          </w:tcPr>
          <w:p>
            <w:pPr>
              <w:pStyle w:val="TableContents"/>
              <w:bidi w:val="0"/>
              <w:spacing w:before="0" w:after="1"/>
              <w:ind w:left="0" w:right="0" w:hanging="0"/>
              <w:jc w:val="left"/>
              <w:rPr/>
            </w:pPr>
            <w:r>
              <w:rPr/>
              <w:t> </w:t>
            </w:r>
          </w:p>
        </w:tc>
        <w:tc>
          <w:tcPr>
            <w:tcW w:w="7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130.8</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 </w:t>
            </w:r>
          </w:p>
        </w:tc>
        <w:tc>
          <w:tcPr>
            <w:tcW w:w="84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w:t>
            </w:r>
          </w:p>
        </w:tc>
        <w:tc>
          <w:tcPr>
            <w:tcW w:w="346" w:type="dxa"/>
            <w:tcBorders/>
            <w:vAlign w:val="center"/>
          </w:tcPr>
          <w:p>
            <w:pPr>
              <w:pStyle w:val="TableContents"/>
              <w:bidi w:val="0"/>
              <w:spacing w:before="0" w:after="1"/>
              <w:ind w:left="0" w:right="0" w:hanging="0"/>
              <w:jc w:val="left"/>
              <w:rPr/>
            </w:pPr>
            <w:r>
              <w:rPr/>
              <w:t> </w:t>
            </w:r>
          </w:p>
        </w:tc>
        <w:tc>
          <w:tcPr>
            <w:tcW w:w="7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113.8</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4" w:type="dxa"/>
            <w:tcBorders/>
            <w:vAlign w:val="center"/>
          </w:tcPr>
          <w:p>
            <w:pPr>
              <w:pStyle w:val="TableContents"/>
              <w:bidi w:val="0"/>
              <w:spacing w:before="0" w:after="1"/>
              <w:ind w:left="0" w:right="0" w:hanging="0"/>
              <w:jc w:val="left"/>
              <w:rPr/>
            </w:pPr>
            <w:r>
              <w:rPr/>
              <w:t>​</w:t>
            </w:r>
          </w:p>
        </w:tc>
      </w:tr>
      <w:tr>
        <w:trPr/>
        <w:tc>
          <w:tcPr>
            <w:tcW w:w="160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gains and (losses), net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4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(259)</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74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(196)</w:t>
            </w:r>
          </w:p>
        </w:tc>
        <w:tc>
          <w:tcPr>
            <w:tcW w:w="346" w:type="dxa"/>
            <w:tcBorders/>
            <w:shd w:fill="CCEEFF" w:val="clear"/>
            <w:vAlign w:val="center"/>
          </w:tcPr>
          <w:p>
            <w:pPr>
              <w:pStyle w:val="TableContents"/>
              <w:bidi w:val="0"/>
              <w:spacing w:before="0" w:after="1"/>
              <w:ind w:left="0" w:right="0" w:hanging="0"/>
              <w:jc w:val="left"/>
              <w:rPr/>
            </w:pPr>
            <w:r>
              <w:rPr/>
              <w:t> </w:t>
            </w:r>
          </w:p>
        </w:tc>
        <w:tc>
          <w:tcPr>
            <w:tcW w:w="7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(32.1)</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(621)</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84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(304)</w:t>
            </w:r>
          </w:p>
        </w:tc>
        <w:tc>
          <w:tcPr>
            <w:tcW w:w="346" w:type="dxa"/>
            <w:tcBorders/>
            <w:shd w:fill="CCEEFF" w:val="clear"/>
            <w:vAlign w:val="center"/>
          </w:tcPr>
          <w:p>
            <w:pPr>
              <w:pStyle w:val="TableContents"/>
              <w:bidi w:val="0"/>
              <w:spacing w:before="0" w:after="1"/>
              <w:ind w:left="0" w:right="0" w:hanging="0"/>
              <w:jc w:val="left"/>
              <w:rPr/>
            </w:pPr>
            <w:r>
              <w:rPr/>
              <w:t> </w:t>
            </w:r>
          </w:p>
        </w:tc>
        <w:tc>
          <w:tcPr>
            <w:tcW w:w="7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(104.3)</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4" w:type="dxa"/>
            <w:tcBorders/>
            <w:shd w:fill="CCEEFF" w:val="clear"/>
            <w:vAlign w:val="center"/>
          </w:tcPr>
          <w:p>
            <w:pPr>
              <w:pStyle w:val="TableContents"/>
              <w:bidi w:val="0"/>
              <w:spacing w:before="0" w:after="1"/>
              <w:ind w:left="0" w:right="0" w:hanging="0"/>
              <w:jc w:val="left"/>
              <w:rPr/>
            </w:pPr>
            <w:r>
              <w:rPr/>
              <w:t>​</w:t>
            </w:r>
          </w:p>
        </w:tc>
      </w:tr>
      <w:tr>
        <w:trPr/>
        <w:tc>
          <w:tcPr>
            <w:tcW w:w="160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4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(12,063)</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 </w:t>
            </w:r>
          </w:p>
        </w:tc>
        <w:tc>
          <w:tcPr>
            <w:tcW w:w="74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(7,848)</w:t>
            </w:r>
          </w:p>
        </w:tc>
        <w:tc>
          <w:tcPr>
            <w:tcW w:w="346" w:type="dxa"/>
            <w:tcBorders/>
            <w:vAlign w:val="center"/>
          </w:tcPr>
          <w:p>
            <w:pPr>
              <w:pStyle w:val="TableContents"/>
              <w:bidi w:val="0"/>
              <w:spacing w:before="0" w:after="1"/>
              <w:ind w:left="0" w:right="0" w:hanging="0"/>
              <w:jc w:val="left"/>
              <w:rPr/>
            </w:pPr>
            <w:r>
              <w:rPr/>
              <w:t> </w:t>
            </w:r>
          </w:p>
        </w:tc>
        <w:tc>
          <w:tcPr>
            <w:tcW w:w="7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(53.7)</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(18,962)</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 </w:t>
            </w:r>
          </w:p>
        </w:tc>
        <w:tc>
          <w:tcPr>
            <w:tcW w:w="84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(12,007)</w:t>
            </w:r>
          </w:p>
        </w:tc>
        <w:tc>
          <w:tcPr>
            <w:tcW w:w="346" w:type="dxa"/>
            <w:tcBorders/>
            <w:vAlign w:val="center"/>
          </w:tcPr>
          <w:p>
            <w:pPr>
              <w:pStyle w:val="TableContents"/>
              <w:bidi w:val="0"/>
              <w:spacing w:before="0" w:after="1"/>
              <w:ind w:left="0" w:right="0" w:hanging="0"/>
              <w:jc w:val="left"/>
              <w:rPr/>
            </w:pPr>
            <w:r>
              <w:rPr/>
              <w:t> </w:t>
            </w:r>
          </w:p>
        </w:tc>
        <w:tc>
          <w:tcPr>
            <w:tcW w:w="7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(57.9)</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4"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Interest Expense</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 following presents interest expense associated with our outstanding borrowings, including the impact of interest rate swaps, for the three and six months ended June 30, 2026 and 2025 (in thousands, except percentages):</w:t>
      </w:r>
    </w:p>
    <w:tbl>
      <w:tblPr>
        <w:tblW w:w="10205" w:type="dxa"/>
        <w:jc w:val="left"/>
        <w:tblInd w:w="0" w:type="dxa"/>
        <w:tblLayout w:type="fixed"/>
        <w:tblCellMar>
          <w:top w:w="0" w:type="dxa"/>
          <w:left w:w="0" w:type="dxa"/>
          <w:bottom w:w="0" w:type="dxa"/>
          <w:right w:w="0" w:type="dxa"/>
        </w:tblCellMar>
      </w:tblPr>
      <w:tblGrid>
        <w:gridCol w:w="1751"/>
        <w:gridCol w:w="346"/>
        <w:gridCol w:w="211"/>
        <w:gridCol w:w="682"/>
        <w:gridCol w:w="346"/>
        <w:gridCol w:w="211"/>
        <w:gridCol w:w="676"/>
        <w:gridCol w:w="346"/>
        <w:gridCol w:w="808"/>
        <w:gridCol w:w="361"/>
        <w:gridCol w:w="346"/>
        <w:gridCol w:w="211"/>
        <w:gridCol w:w="781"/>
        <w:gridCol w:w="346"/>
        <w:gridCol w:w="211"/>
        <w:gridCol w:w="781"/>
        <w:gridCol w:w="346"/>
        <w:gridCol w:w="706"/>
        <w:gridCol w:w="346"/>
        <w:gridCol w:w="393"/>
      </w:tblGrid>
      <w:tr>
        <w:trPr/>
        <w:tc>
          <w:tcPr>
            <w:tcW w:w="1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4">
                      <wp:simplePos x="0" y="0"/>
                      <wp:positionH relativeFrom="character">
                        <wp:align>left</wp:align>
                      </wp:positionH>
                      <wp:positionV relativeFrom="line">
                        <wp:posOffset>635</wp:posOffset>
                      </wp:positionV>
                      <wp:extent cx="1111885" cy="175260"/>
                      <wp:effectExtent l="0" t="0" r="0" b="0"/>
                      <wp:wrapNone/>
                      <wp:docPr id="563" name="Frame563"/>
                      <a:graphic xmlns:a="http://schemas.openxmlformats.org/drawingml/2006/main">
                        <a:graphicData uri="http://schemas.microsoft.com/office/word/2010/wordprocessingShape">
                          <wps:wsp>
                            <wps:cNvSpPr txBox="1"/>
                            <wps:spPr>
                              <a:xfrm>
                                <a:off x="0" y="0"/>
                                <a:ext cx="1111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5">
                      <wp:simplePos x="0" y="0"/>
                      <wp:positionH relativeFrom="character">
                        <wp:align>left</wp:align>
                      </wp:positionH>
                      <wp:positionV relativeFrom="line">
                        <wp:posOffset>635</wp:posOffset>
                      </wp:positionV>
                      <wp:extent cx="219710" cy="175260"/>
                      <wp:effectExtent l="0" t="0" r="0" b="0"/>
                      <wp:wrapNone/>
                      <wp:docPr id="564" name="Frame5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6">
                      <wp:simplePos x="0" y="0"/>
                      <wp:positionH relativeFrom="character">
                        <wp:align>left</wp:align>
                      </wp:positionH>
                      <wp:positionV relativeFrom="line">
                        <wp:posOffset>635</wp:posOffset>
                      </wp:positionV>
                      <wp:extent cx="133985" cy="175260"/>
                      <wp:effectExtent l="0" t="0" r="0" b="0"/>
                      <wp:wrapNone/>
                      <wp:docPr id="565" name="Frame56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7">
                      <wp:simplePos x="0" y="0"/>
                      <wp:positionH relativeFrom="character">
                        <wp:align>left</wp:align>
                      </wp:positionH>
                      <wp:positionV relativeFrom="line">
                        <wp:posOffset>635</wp:posOffset>
                      </wp:positionV>
                      <wp:extent cx="433070" cy="175260"/>
                      <wp:effectExtent l="0" t="0" r="0" b="0"/>
                      <wp:wrapNone/>
                      <wp:docPr id="566" name="Frame566"/>
                      <a:graphic xmlns:a="http://schemas.openxmlformats.org/drawingml/2006/main">
                        <a:graphicData uri="http://schemas.microsoft.com/office/word/2010/wordprocessingShape">
                          <wps:wsp>
                            <wps:cNvSpPr txBox="1"/>
                            <wps:spPr>
                              <a:xfrm>
                                <a:off x="0" y="0"/>
                                <a:ext cx="4330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8">
                      <wp:simplePos x="0" y="0"/>
                      <wp:positionH relativeFrom="character">
                        <wp:align>left</wp:align>
                      </wp:positionH>
                      <wp:positionV relativeFrom="line">
                        <wp:posOffset>635</wp:posOffset>
                      </wp:positionV>
                      <wp:extent cx="219710" cy="175260"/>
                      <wp:effectExtent l="0" t="0" r="0" b="0"/>
                      <wp:wrapNone/>
                      <wp:docPr id="567" name="Frame5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9">
                      <wp:simplePos x="0" y="0"/>
                      <wp:positionH relativeFrom="character">
                        <wp:align>left</wp:align>
                      </wp:positionH>
                      <wp:positionV relativeFrom="line">
                        <wp:posOffset>635</wp:posOffset>
                      </wp:positionV>
                      <wp:extent cx="133985" cy="175260"/>
                      <wp:effectExtent l="0" t="0" r="0" b="0"/>
                      <wp:wrapNone/>
                      <wp:docPr id="568" name="Frame56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0">
                      <wp:simplePos x="0" y="0"/>
                      <wp:positionH relativeFrom="character">
                        <wp:align>left</wp:align>
                      </wp:positionH>
                      <wp:positionV relativeFrom="line">
                        <wp:posOffset>635</wp:posOffset>
                      </wp:positionV>
                      <wp:extent cx="429260" cy="175260"/>
                      <wp:effectExtent l="0" t="0" r="0" b="0"/>
                      <wp:wrapNone/>
                      <wp:docPr id="569" name="Frame56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1">
                      <wp:simplePos x="0" y="0"/>
                      <wp:positionH relativeFrom="character">
                        <wp:align>left</wp:align>
                      </wp:positionH>
                      <wp:positionV relativeFrom="line">
                        <wp:posOffset>635</wp:posOffset>
                      </wp:positionV>
                      <wp:extent cx="219710" cy="175260"/>
                      <wp:effectExtent l="0" t="0" r="0" b="0"/>
                      <wp:wrapNone/>
                      <wp:docPr id="570" name="Frame5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2">
                      <wp:simplePos x="0" y="0"/>
                      <wp:positionH relativeFrom="character">
                        <wp:align>left</wp:align>
                      </wp:positionH>
                      <wp:positionV relativeFrom="line">
                        <wp:posOffset>635</wp:posOffset>
                      </wp:positionV>
                      <wp:extent cx="513080" cy="175260"/>
                      <wp:effectExtent l="0" t="0" r="0" b="0"/>
                      <wp:wrapNone/>
                      <wp:docPr id="571" name="Frame571"/>
                      <a:graphic xmlns:a="http://schemas.openxmlformats.org/drawingml/2006/main">
                        <a:graphicData uri="http://schemas.microsoft.com/office/word/2010/wordprocessingShape">
                          <wps:wsp>
                            <wps:cNvSpPr txBox="1"/>
                            <wps:spPr>
                              <a:xfrm>
                                <a:off x="0" y="0"/>
                                <a:ext cx="5130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3">
                      <wp:simplePos x="0" y="0"/>
                      <wp:positionH relativeFrom="character">
                        <wp:align>left</wp:align>
                      </wp:positionH>
                      <wp:positionV relativeFrom="line">
                        <wp:posOffset>635</wp:posOffset>
                      </wp:positionV>
                      <wp:extent cx="229235" cy="175260"/>
                      <wp:effectExtent l="0" t="0" r="0" b="0"/>
                      <wp:wrapNone/>
                      <wp:docPr id="572" name="Frame572"/>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4">
                      <wp:simplePos x="0" y="0"/>
                      <wp:positionH relativeFrom="character">
                        <wp:align>left</wp:align>
                      </wp:positionH>
                      <wp:positionV relativeFrom="line">
                        <wp:posOffset>635</wp:posOffset>
                      </wp:positionV>
                      <wp:extent cx="219710" cy="175260"/>
                      <wp:effectExtent l="0" t="0" r="0" b="0"/>
                      <wp:wrapNone/>
                      <wp:docPr id="573" name="Frame5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5">
                      <wp:simplePos x="0" y="0"/>
                      <wp:positionH relativeFrom="character">
                        <wp:align>left</wp:align>
                      </wp:positionH>
                      <wp:positionV relativeFrom="line">
                        <wp:posOffset>635</wp:posOffset>
                      </wp:positionV>
                      <wp:extent cx="133985" cy="175260"/>
                      <wp:effectExtent l="0" t="0" r="0" b="0"/>
                      <wp:wrapNone/>
                      <wp:docPr id="574" name="Frame57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6">
                      <wp:simplePos x="0" y="0"/>
                      <wp:positionH relativeFrom="character">
                        <wp:align>left</wp:align>
                      </wp:positionH>
                      <wp:positionV relativeFrom="line">
                        <wp:posOffset>635</wp:posOffset>
                      </wp:positionV>
                      <wp:extent cx="495935" cy="175260"/>
                      <wp:effectExtent l="0" t="0" r="0" b="0"/>
                      <wp:wrapNone/>
                      <wp:docPr id="575" name="Frame57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7">
                      <wp:simplePos x="0" y="0"/>
                      <wp:positionH relativeFrom="character">
                        <wp:align>left</wp:align>
                      </wp:positionH>
                      <wp:positionV relativeFrom="line">
                        <wp:posOffset>635</wp:posOffset>
                      </wp:positionV>
                      <wp:extent cx="219710" cy="175260"/>
                      <wp:effectExtent l="0" t="0" r="0" b="0"/>
                      <wp:wrapNone/>
                      <wp:docPr id="576" name="Frame5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8">
                      <wp:simplePos x="0" y="0"/>
                      <wp:positionH relativeFrom="character">
                        <wp:align>left</wp:align>
                      </wp:positionH>
                      <wp:positionV relativeFrom="line">
                        <wp:posOffset>635</wp:posOffset>
                      </wp:positionV>
                      <wp:extent cx="133985" cy="175260"/>
                      <wp:effectExtent l="0" t="0" r="0" b="0"/>
                      <wp:wrapNone/>
                      <wp:docPr id="577" name="Frame57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9">
                      <wp:simplePos x="0" y="0"/>
                      <wp:positionH relativeFrom="character">
                        <wp:align>left</wp:align>
                      </wp:positionH>
                      <wp:positionV relativeFrom="line">
                        <wp:posOffset>635</wp:posOffset>
                      </wp:positionV>
                      <wp:extent cx="495935" cy="175260"/>
                      <wp:effectExtent l="0" t="0" r="0" b="0"/>
                      <wp:wrapNone/>
                      <wp:docPr id="578" name="Frame57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0">
                      <wp:simplePos x="0" y="0"/>
                      <wp:positionH relativeFrom="character">
                        <wp:align>left</wp:align>
                      </wp:positionH>
                      <wp:positionV relativeFrom="line">
                        <wp:posOffset>635</wp:posOffset>
                      </wp:positionV>
                      <wp:extent cx="219710" cy="175260"/>
                      <wp:effectExtent l="0" t="0" r="0" b="0"/>
                      <wp:wrapNone/>
                      <wp:docPr id="579" name="Frame5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1">
                      <wp:simplePos x="0" y="0"/>
                      <wp:positionH relativeFrom="character">
                        <wp:align>left</wp:align>
                      </wp:positionH>
                      <wp:positionV relativeFrom="line">
                        <wp:posOffset>635</wp:posOffset>
                      </wp:positionV>
                      <wp:extent cx="448310" cy="175260"/>
                      <wp:effectExtent l="0" t="0" r="0" b="0"/>
                      <wp:wrapNone/>
                      <wp:docPr id="580" name="Frame580"/>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2">
                      <wp:simplePos x="0" y="0"/>
                      <wp:positionH relativeFrom="character">
                        <wp:align>left</wp:align>
                      </wp:positionH>
                      <wp:positionV relativeFrom="line">
                        <wp:posOffset>635</wp:posOffset>
                      </wp:positionV>
                      <wp:extent cx="219710" cy="175260"/>
                      <wp:effectExtent l="0" t="0" r="0" b="0"/>
                      <wp:wrapNone/>
                      <wp:docPr id="581" name="Frame5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3">
                      <wp:simplePos x="0" y="0"/>
                      <wp:positionH relativeFrom="character">
                        <wp:align>left</wp:align>
                      </wp:positionH>
                      <wp:positionV relativeFrom="line">
                        <wp:posOffset>635</wp:posOffset>
                      </wp:positionV>
                      <wp:extent cx="249555" cy="175260"/>
                      <wp:effectExtent l="0" t="0" r="0" b="0"/>
                      <wp:wrapNone/>
                      <wp:docPr id="582" name="Frame582"/>
                      <a:graphic xmlns:a="http://schemas.openxmlformats.org/drawingml/2006/main">
                        <a:graphicData uri="http://schemas.microsoft.com/office/word/2010/wordprocessingShape">
                          <wps:wsp>
                            <wps:cNvSpPr txBox="1"/>
                            <wps:spPr>
                              <a:xfrm>
                                <a:off x="0" y="0"/>
                                <a:ext cx="2495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7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280" w:type="dxa"/>
            <w:gridSpan w:val="7"/>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382" w:type="dxa"/>
            <w:gridSpan w:val="7"/>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46" w:type="dxa"/>
            <w:tcBorders/>
            <w:vAlign w:val="center"/>
          </w:tcPr>
          <w:p>
            <w:pPr>
              <w:pStyle w:val="TableContents"/>
              <w:bidi w:val="0"/>
              <w:spacing w:before="0" w:after="1"/>
              <w:ind w:left="0" w:right="0" w:hanging="0"/>
              <w:jc w:val="left"/>
              <w:rPr/>
            </w:pPr>
            <w:r>
              <w:rPr/>
              <w:t>​</w:t>
            </w:r>
          </w:p>
        </w:tc>
        <w:tc>
          <w:tcPr>
            <w:tcW w:w="393" w:type="dxa"/>
            <w:tcBorders/>
            <w:vAlign w:val="center"/>
          </w:tcPr>
          <w:p>
            <w:pPr>
              <w:pStyle w:val="TableContents"/>
              <w:bidi w:val="0"/>
              <w:spacing w:before="0" w:after="1"/>
              <w:ind w:left="0" w:right="0" w:hanging="0"/>
              <w:jc w:val="left"/>
              <w:rPr/>
            </w:pPr>
            <w:r>
              <w:rPr/>
              <w:t>​</w:t>
            </w:r>
          </w:p>
        </w:tc>
      </w:tr>
      <w:tr>
        <w:trPr/>
        <w:tc>
          <w:tcPr>
            <w:tcW w:w="17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280"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382"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1"/>
              <w:ind w:left="0" w:right="0" w:hanging="0"/>
              <w:jc w:val="left"/>
              <w:rPr/>
            </w:pPr>
            <w:r>
              <w:rPr/>
              <w:t>​</w:t>
            </w:r>
          </w:p>
        </w:tc>
        <w:tc>
          <w:tcPr>
            <w:tcW w:w="393" w:type="dxa"/>
            <w:tcBorders/>
            <w:vAlign w:val="center"/>
          </w:tcPr>
          <w:p>
            <w:pPr>
              <w:pStyle w:val="TableContents"/>
              <w:bidi w:val="0"/>
              <w:spacing w:before="0" w:after="1"/>
              <w:ind w:left="0" w:right="0" w:hanging="0"/>
              <w:jc w:val="left"/>
              <w:rPr/>
            </w:pPr>
            <w:r>
              <w:rPr/>
              <w:t>​</w:t>
            </w:r>
          </w:p>
        </w:tc>
      </w:tr>
      <w:tr>
        <w:trPr/>
        <w:tc>
          <w:tcPr>
            <w:tcW w:w="17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682"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808"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70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1"/>
              <w:ind w:left="0" w:right="0" w:hanging="0"/>
              <w:jc w:val="left"/>
              <w:rPr/>
            </w:pPr>
            <w:r>
              <w:rPr/>
              <w:t>​</w:t>
            </w:r>
          </w:p>
        </w:tc>
        <w:tc>
          <w:tcPr>
            <w:tcW w:w="393" w:type="dxa"/>
            <w:tcBorders/>
            <w:vAlign w:val="center"/>
          </w:tcPr>
          <w:p>
            <w:pPr>
              <w:pStyle w:val="TableContents"/>
              <w:bidi w:val="0"/>
              <w:spacing w:before="0" w:after="1"/>
              <w:ind w:left="0" w:right="0" w:hanging="0"/>
              <w:jc w:val="left"/>
              <w:rPr/>
            </w:pPr>
            <w:r>
              <w:rPr/>
              <w:t>​</w:t>
            </w:r>
          </w:p>
        </w:tc>
      </w:tr>
      <w:tr>
        <w:trPr/>
        <w:tc>
          <w:tcPr>
            <w:tcW w:w="17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89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80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 </w:t>
            </w:r>
          </w:p>
        </w:tc>
        <w:tc>
          <w:tcPr>
            <w:tcW w:w="361" w:type="dxa"/>
            <w:tcBorders/>
            <w:vAlign w:val="center"/>
          </w:tcPr>
          <w:p>
            <w:pPr>
              <w:pStyle w:val="TableContents"/>
              <w:bidi w:val="0"/>
              <w:spacing w:before="0" w:after="1"/>
              <w:ind w:left="0" w:right="0" w:hanging="0"/>
              <w:jc w:val="left"/>
              <w:rPr/>
            </w:pPr>
            <w:r>
              <w:rPr/>
              <w:t>  ​ ​ ​</w:t>
            </w:r>
          </w:p>
        </w:tc>
        <w:tc>
          <w:tcPr>
            <w:tcW w:w="346" w:type="dxa"/>
            <w:tcBorders/>
            <w:vAlign w:val="center"/>
          </w:tcPr>
          <w:p>
            <w:pPr>
              <w:pStyle w:val="TableContents"/>
              <w:bidi w:val="0"/>
              <w:spacing w:before="0" w:after="1"/>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7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 </w:t>
            </w:r>
          </w:p>
        </w:tc>
        <w:tc>
          <w:tcPr>
            <w:tcW w:w="346" w:type="dxa"/>
            <w:tcBorders/>
            <w:vAlign w:val="center"/>
          </w:tcPr>
          <w:p>
            <w:pPr>
              <w:pStyle w:val="TableContents"/>
              <w:bidi w:val="0"/>
              <w:spacing w:before="0" w:after="1"/>
              <w:ind w:left="0" w:right="0" w:hanging="0"/>
              <w:jc w:val="left"/>
              <w:rPr/>
            </w:pPr>
            <w:r>
              <w:rPr/>
              <w:t>  ​ ​ ​</w:t>
            </w:r>
          </w:p>
        </w:tc>
        <w:tc>
          <w:tcPr>
            <w:tcW w:w="393" w:type="dxa"/>
            <w:tcBorders/>
            <w:vAlign w:val="center"/>
          </w:tcPr>
          <w:p>
            <w:pPr>
              <w:pStyle w:val="TableContents"/>
              <w:bidi w:val="0"/>
              <w:spacing w:before="0" w:after="1"/>
              <w:ind w:left="0" w:right="0" w:hanging="0"/>
              <w:jc w:val="left"/>
              <w:rPr/>
            </w:pPr>
            <w:r>
              <w:rPr/>
              <w:t>  ​ ​ ​</w:t>
            </w:r>
          </w:p>
        </w:tc>
      </w:tr>
      <w:tr>
        <w:trPr/>
        <w:tc>
          <w:tcPr>
            <w:tcW w:w="17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RHP Revolving Credit Facility</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1,174</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1,049</w:t>
            </w:r>
          </w:p>
        </w:tc>
        <w:tc>
          <w:tcPr>
            <w:tcW w:w="346" w:type="dxa"/>
            <w:tcBorders/>
            <w:shd w:fill="CCEEFF" w:val="clear"/>
            <w:vAlign w:val="center"/>
          </w:tcPr>
          <w:p>
            <w:pPr>
              <w:pStyle w:val="TableContents"/>
              <w:bidi w:val="0"/>
              <w:spacing w:before="0" w:after="1"/>
              <w:ind w:left="0" w:right="0" w:hanging="0"/>
              <w:jc w:val="left"/>
              <w:rPr/>
            </w:pPr>
            <w:r>
              <w:rPr/>
              <w:t> </w:t>
            </w:r>
          </w:p>
        </w:tc>
        <w:tc>
          <w:tcPr>
            <w:tcW w:w="80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2,311</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2,068</w:t>
            </w:r>
          </w:p>
        </w:tc>
        <w:tc>
          <w:tcPr>
            <w:tcW w:w="346" w:type="dxa"/>
            <w:tcBorders/>
            <w:shd w:fill="CCEEFF" w:val="clear"/>
            <w:vAlign w:val="center"/>
          </w:tcPr>
          <w:p>
            <w:pPr>
              <w:pStyle w:val="TableContents"/>
              <w:bidi w:val="0"/>
              <w:spacing w:before="0" w:after="1"/>
              <w:ind w:left="0" w:right="0" w:hanging="0"/>
              <w:jc w:val="left"/>
              <w:rPr/>
            </w:pPr>
            <w:r>
              <w:rPr/>
              <w:t> </w:t>
            </w:r>
          </w:p>
        </w:tc>
        <w:tc>
          <w:tcPr>
            <w:tcW w:w="7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3" w:type="dxa"/>
            <w:tcBorders/>
            <w:shd w:fill="CCEEFF" w:val="clear"/>
            <w:vAlign w:val="center"/>
          </w:tcPr>
          <w:p>
            <w:pPr>
              <w:pStyle w:val="TableContents"/>
              <w:bidi w:val="0"/>
              <w:spacing w:before="0" w:after="1"/>
              <w:ind w:left="0" w:right="0" w:hanging="0"/>
              <w:jc w:val="left"/>
              <w:rPr/>
            </w:pPr>
            <w:r>
              <w:rPr/>
              <w:t>​</w:t>
            </w:r>
          </w:p>
        </w:tc>
      </w:tr>
      <w:tr>
        <w:trPr/>
        <w:tc>
          <w:tcPr>
            <w:tcW w:w="17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RHP Term Loan B</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8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4,298</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5,004</w:t>
            </w:r>
          </w:p>
        </w:tc>
        <w:tc>
          <w:tcPr>
            <w:tcW w:w="346" w:type="dxa"/>
            <w:tcBorders/>
            <w:vAlign w:val="center"/>
          </w:tcPr>
          <w:p>
            <w:pPr>
              <w:pStyle w:val="TableContents"/>
              <w:bidi w:val="0"/>
              <w:spacing w:before="0" w:after="1"/>
              <w:ind w:left="0" w:right="0" w:hanging="0"/>
              <w:jc w:val="left"/>
              <w:rPr/>
            </w:pPr>
            <w:r>
              <w:rPr/>
              <w:t> </w:t>
            </w:r>
          </w:p>
        </w:tc>
        <w:tc>
          <w:tcPr>
            <w:tcW w:w="80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8,580</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9,964</w:t>
            </w:r>
          </w:p>
        </w:tc>
        <w:tc>
          <w:tcPr>
            <w:tcW w:w="346" w:type="dxa"/>
            <w:tcBorders/>
            <w:vAlign w:val="center"/>
          </w:tcPr>
          <w:p>
            <w:pPr>
              <w:pStyle w:val="TableContents"/>
              <w:bidi w:val="0"/>
              <w:spacing w:before="0" w:after="1"/>
              <w:ind w:left="0" w:right="0" w:hanging="0"/>
              <w:jc w:val="left"/>
              <w:rPr/>
            </w:pPr>
            <w:r>
              <w:rPr/>
              <w:t> </w:t>
            </w:r>
          </w:p>
        </w:tc>
        <w:tc>
          <w:tcPr>
            <w:tcW w:w="7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3" w:type="dxa"/>
            <w:tcBorders/>
            <w:vAlign w:val="center"/>
          </w:tcPr>
          <w:p>
            <w:pPr>
              <w:pStyle w:val="TableContents"/>
              <w:bidi w:val="0"/>
              <w:spacing w:before="0" w:after="1"/>
              <w:ind w:left="0" w:right="0" w:hanging="0"/>
              <w:jc w:val="left"/>
              <w:rPr/>
            </w:pPr>
            <w:r>
              <w:rPr/>
              <w:t>​</w:t>
            </w:r>
          </w:p>
        </w:tc>
      </w:tr>
      <w:tr>
        <w:trPr/>
        <w:tc>
          <w:tcPr>
            <w:tcW w:w="17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RHP Senior Notes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8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52,146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43,096</w:t>
            </w:r>
          </w:p>
        </w:tc>
        <w:tc>
          <w:tcPr>
            <w:tcW w:w="346" w:type="dxa"/>
            <w:tcBorders/>
            <w:shd w:fill="CCEEFF" w:val="clear"/>
            <w:vAlign w:val="center"/>
          </w:tcPr>
          <w:p>
            <w:pPr>
              <w:pStyle w:val="TableContents"/>
              <w:bidi w:val="0"/>
              <w:spacing w:before="0" w:after="1"/>
              <w:ind w:left="0" w:right="0" w:hanging="0"/>
              <w:jc w:val="left"/>
              <w:rPr/>
            </w:pPr>
            <w:r>
              <w:rPr/>
              <w:t>​</w:t>
            </w:r>
          </w:p>
        </w:tc>
        <w:tc>
          <w:tcPr>
            <w:tcW w:w="80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104,510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83,042</w:t>
            </w:r>
          </w:p>
        </w:tc>
        <w:tc>
          <w:tcPr>
            <w:tcW w:w="346" w:type="dxa"/>
            <w:tcBorders/>
            <w:shd w:fill="CCEEFF" w:val="clear"/>
            <w:vAlign w:val="center"/>
          </w:tcPr>
          <w:p>
            <w:pPr>
              <w:pStyle w:val="TableContents"/>
              <w:bidi w:val="0"/>
              <w:spacing w:before="0" w:after="1"/>
              <w:ind w:left="0" w:right="0" w:hanging="0"/>
              <w:jc w:val="left"/>
              <w:rPr/>
            </w:pPr>
            <w:r>
              <w:rPr/>
              <w:t>​</w:t>
            </w:r>
          </w:p>
        </w:tc>
        <w:tc>
          <w:tcPr>
            <w:tcW w:w="7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25.9</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3" w:type="dxa"/>
            <w:tcBorders/>
            <w:shd w:fill="CCEEFF" w:val="clear"/>
            <w:vAlign w:val="center"/>
          </w:tcPr>
          <w:p>
            <w:pPr>
              <w:pStyle w:val="TableContents"/>
              <w:bidi w:val="0"/>
              <w:spacing w:before="0" w:after="1"/>
              <w:ind w:left="0" w:right="0" w:hanging="0"/>
              <w:jc w:val="left"/>
              <w:rPr/>
            </w:pPr>
            <w:r>
              <w:rPr/>
              <w:t>​</w:t>
            </w:r>
          </w:p>
        </w:tc>
      </w:tr>
      <w:tr>
        <w:trPr/>
        <w:tc>
          <w:tcPr>
            <w:tcW w:w="17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OEG Revolver</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8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172</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359</w:t>
            </w:r>
          </w:p>
        </w:tc>
        <w:tc>
          <w:tcPr>
            <w:tcW w:w="346" w:type="dxa"/>
            <w:tcBorders/>
            <w:vAlign w:val="center"/>
          </w:tcPr>
          <w:p>
            <w:pPr>
              <w:pStyle w:val="TableContents"/>
              <w:bidi w:val="0"/>
              <w:spacing w:before="0" w:after="1"/>
              <w:ind w:left="0" w:right="0" w:hanging="0"/>
              <w:jc w:val="left"/>
              <w:rPr/>
            </w:pPr>
            <w:r>
              <w:rPr/>
              <w:t> </w:t>
            </w:r>
          </w:p>
        </w:tc>
        <w:tc>
          <w:tcPr>
            <w:tcW w:w="80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(52.1)</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342</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901</w:t>
            </w:r>
          </w:p>
        </w:tc>
        <w:tc>
          <w:tcPr>
            <w:tcW w:w="346" w:type="dxa"/>
            <w:tcBorders/>
            <w:vAlign w:val="center"/>
          </w:tcPr>
          <w:p>
            <w:pPr>
              <w:pStyle w:val="TableContents"/>
              <w:bidi w:val="0"/>
              <w:spacing w:before="0" w:after="1"/>
              <w:ind w:left="0" w:right="0" w:hanging="0"/>
              <w:jc w:val="left"/>
              <w:rPr/>
            </w:pPr>
            <w:r>
              <w:rPr/>
              <w:t> </w:t>
            </w:r>
          </w:p>
        </w:tc>
        <w:tc>
          <w:tcPr>
            <w:tcW w:w="7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(62.0)</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3" w:type="dxa"/>
            <w:tcBorders/>
            <w:vAlign w:val="center"/>
          </w:tcPr>
          <w:p>
            <w:pPr>
              <w:pStyle w:val="TableContents"/>
              <w:bidi w:val="0"/>
              <w:spacing w:before="0" w:after="1"/>
              <w:ind w:left="0" w:right="0" w:hanging="0"/>
              <w:jc w:val="left"/>
              <w:rPr/>
            </w:pPr>
            <w:r>
              <w:rPr/>
              <w:t>​</w:t>
            </w:r>
          </w:p>
        </w:tc>
      </w:tr>
      <w:tr>
        <w:trPr/>
        <w:tc>
          <w:tcPr>
            <w:tcW w:w="17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OEG Term Loan</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8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8,237</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8,484</w:t>
            </w:r>
          </w:p>
        </w:tc>
        <w:tc>
          <w:tcPr>
            <w:tcW w:w="346" w:type="dxa"/>
            <w:tcBorders/>
            <w:shd w:fill="CCEEFF" w:val="clear"/>
            <w:vAlign w:val="center"/>
          </w:tcPr>
          <w:p>
            <w:pPr>
              <w:pStyle w:val="TableContents"/>
              <w:bidi w:val="0"/>
              <w:spacing w:before="0" w:after="1"/>
              <w:ind w:left="0" w:right="0" w:hanging="0"/>
              <w:jc w:val="left"/>
              <w:rPr/>
            </w:pPr>
            <w:r>
              <w:rPr/>
              <w:t> </w:t>
            </w:r>
          </w:p>
        </w:tc>
        <w:tc>
          <w:tcPr>
            <w:tcW w:w="80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16,420</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15,014</w:t>
            </w:r>
          </w:p>
        </w:tc>
        <w:tc>
          <w:tcPr>
            <w:tcW w:w="346" w:type="dxa"/>
            <w:tcBorders/>
            <w:shd w:fill="CCEEFF" w:val="clear"/>
            <w:vAlign w:val="center"/>
          </w:tcPr>
          <w:p>
            <w:pPr>
              <w:pStyle w:val="TableContents"/>
              <w:bidi w:val="0"/>
              <w:spacing w:before="0" w:after="1"/>
              <w:ind w:left="0" w:right="0" w:hanging="0"/>
              <w:jc w:val="left"/>
              <w:rPr/>
            </w:pPr>
            <w:r>
              <w:rPr/>
              <w:t> </w:t>
            </w:r>
          </w:p>
        </w:tc>
        <w:tc>
          <w:tcPr>
            <w:tcW w:w="7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3" w:type="dxa"/>
            <w:tcBorders/>
            <w:shd w:fill="CCEEFF" w:val="clear"/>
            <w:vAlign w:val="center"/>
          </w:tcPr>
          <w:p>
            <w:pPr>
              <w:pStyle w:val="TableContents"/>
              <w:bidi w:val="0"/>
              <w:spacing w:before="0" w:after="1"/>
              <w:ind w:left="0" w:right="0" w:hanging="0"/>
              <w:jc w:val="left"/>
              <w:rPr/>
            </w:pPr>
            <w:r>
              <w:rPr/>
              <w:t>​</w:t>
            </w:r>
          </w:p>
        </w:tc>
      </w:tr>
      <w:tr>
        <w:trPr/>
        <w:tc>
          <w:tcPr>
            <w:tcW w:w="17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Block 21 CMBS Loan</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8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617</w:t>
            </w:r>
          </w:p>
        </w:tc>
        <w:tc>
          <w:tcPr>
            <w:tcW w:w="346" w:type="dxa"/>
            <w:tcBorders/>
            <w:vAlign w:val="center"/>
          </w:tcPr>
          <w:p>
            <w:pPr>
              <w:pStyle w:val="TableContents"/>
              <w:bidi w:val="0"/>
              <w:spacing w:before="0" w:after="1"/>
              <w:ind w:left="0" w:right="0" w:hanging="0"/>
              <w:jc w:val="left"/>
              <w:rPr/>
            </w:pPr>
            <w:r>
              <w:rPr/>
              <w:t>​</w:t>
            </w:r>
          </w:p>
        </w:tc>
        <w:tc>
          <w:tcPr>
            <w:tcW w:w="80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2,683</w:t>
            </w:r>
          </w:p>
        </w:tc>
        <w:tc>
          <w:tcPr>
            <w:tcW w:w="346" w:type="dxa"/>
            <w:tcBorders/>
            <w:vAlign w:val="center"/>
          </w:tcPr>
          <w:p>
            <w:pPr>
              <w:pStyle w:val="TableContents"/>
              <w:bidi w:val="0"/>
              <w:spacing w:before="0" w:after="1"/>
              <w:ind w:left="0" w:right="0" w:hanging="0"/>
              <w:jc w:val="left"/>
              <w:rPr/>
            </w:pPr>
            <w:r>
              <w:rPr/>
              <w:t>​</w:t>
            </w:r>
          </w:p>
        </w:tc>
        <w:tc>
          <w:tcPr>
            <w:tcW w:w="7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3" w:type="dxa"/>
            <w:tcBorders/>
            <w:vAlign w:val="center"/>
          </w:tcPr>
          <w:p>
            <w:pPr>
              <w:pStyle w:val="TableContents"/>
              <w:bidi w:val="0"/>
              <w:spacing w:before="0" w:after="1"/>
              <w:ind w:left="0" w:right="0" w:hanging="0"/>
              <w:jc w:val="left"/>
              <w:rPr/>
            </w:pPr>
            <w:r>
              <w:rPr/>
              <w:t>​</w:t>
            </w:r>
          </w:p>
        </w:tc>
      </w:tr>
      <w:tr>
        <w:trPr/>
        <w:tc>
          <w:tcPr>
            <w:tcW w:w="17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8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(2,152)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w:t>
            </w:r>
          </w:p>
        </w:tc>
        <w:tc>
          <w:tcPr>
            <w:tcW w:w="346" w:type="dxa"/>
            <w:tcBorders/>
            <w:shd w:fill="CCEEFF" w:val="clear"/>
            <w:vAlign w:val="center"/>
          </w:tcPr>
          <w:p>
            <w:pPr>
              <w:pStyle w:val="TableContents"/>
              <w:bidi w:val="0"/>
              <w:spacing w:before="0" w:after="1"/>
              <w:ind w:left="0" w:right="0" w:hanging="0"/>
              <w:jc w:val="left"/>
              <w:rPr/>
            </w:pPr>
            <w:r>
              <w:rPr/>
              <w:t>​</w:t>
            </w:r>
          </w:p>
        </w:tc>
        <w:tc>
          <w:tcPr>
            <w:tcW w:w="80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(2,769.3)</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(4,169)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(855)</w:t>
            </w:r>
          </w:p>
        </w:tc>
        <w:tc>
          <w:tcPr>
            <w:tcW w:w="346" w:type="dxa"/>
            <w:tcBorders/>
            <w:shd w:fill="CCEEFF" w:val="clear"/>
            <w:vAlign w:val="center"/>
          </w:tcPr>
          <w:p>
            <w:pPr>
              <w:pStyle w:val="TableContents"/>
              <w:bidi w:val="0"/>
              <w:spacing w:before="0" w:after="1"/>
              <w:ind w:left="0" w:right="0" w:hanging="0"/>
              <w:jc w:val="left"/>
              <w:rPr/>
            </w:pPr>
            <w:r>
              <w:rPr/>
              <w:t>​</w:t>
            </w:r>
          </w:p>
        </w:tc>
        <w:tc>
          <w:tcPr>
            <w:tcW w:w="7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(387.6)</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3" w:type="dxa"/>
            <w:tcBorders/>
            <w:shd w:fill="CCEEFF" w:val="clear"/>
            <w:vAlign w:val="center"/>
          </w:tcPr>
          <w:p>
            <w:pPr>
              <w:pStyle w:val="TableContents"/>
              <w:bidi w:val="0"/>
              <w:spacing w:before="0" w:after="1"/>
              <w:ind w:left="0" w:right="0" w:hanging="0"/>
              <w:jc w:val="left"/>
              <w:rPr/>
            </w:pPr>
            <w:r>
              <w:rPr/>
              <w:t>​</w:t>
            </w:r>
          </w:p>
        </w:tc>
      </w:tr>
      <w:tr>
        <w:trPr/>
        <w:tc>
          <w:tcPr>
            <w:tcW w:w="17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interest expense</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63,875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58,534</w:t>
            </w:r>
          </w:p>
        </w:tc>
        <w:tc>
          <w:tcPr>
            <w:tcW w:w="346" w:type="dxa"/>
            <w:tcBorders/>
            <w:vAlign w:val="center"/>
          </w:tcPr>
          <w:p>
            <w:pPr>
              <w:pStyle w:val="TableContents"/>
              <w:bidi w:val="0"/>
              <w:spacing w:before="0" w:after="1"/>
              <w:ind w:left="0" w:right="0" w:hanging="0"/>
              <w:jc w:val="left"/>
              <w:rPr/>
            </w:pPr>
            <w:r>
              <w:rPr/>
              <w:t>​</w:t>
            </w:r>
          </w:p>
        </w:tc>
        <w:tc>
          <w:tcPr>
            <w:tcW w:w="80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127,994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112,817</w:t>
            </w:r>
          </w:p>
        </w:tc>
        <w:tc>
          <w:tcPr>
            <w:tcW w:w="346" w:type="dxa"/>
            <w:tcBorders/>
            <w:vAlign w:val="center"/>
          </w:tcPr>
          <w:p>
            <w:pPr>
              <w:pStyle w:val="TableContents"/>
              <w:bidi w:val="0"/>
              <w:spacing w:before="0" w:after="1"/>
              <w:ind w:left="0" w:right="0" w:hanging="0"/>
              <w:jc w:val="left"/>
              <w:rPr/>
            </w:pPr>
            <w:r>
              <w:rPr/>
              <w:t>​</w:t>
            </w:r>
          </w:p>
        </w:tc>
        <w:tc>
          <w:tcPr>
            <w:tcW w:w="7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3" w:type="dxa"/>
            <w:tcBorders/>
            <w:vAlign w:val="center"/>
          </w:tcPr>
          <w:p>
            <w:pPr>
              <w:pStyle w:val="TableContents"/>
              <w:bidi w:val="0"/>
              <w:spacing w:before="0" w:after="1"/>
              <w:ind w:left="0" w:right="0" w:hanging="0"/>
              <w:jc w:val="left"/>
              <w:rPr/>
            </w:pPr>
            <w:r>
              <w:rPr/>
              <w:t>​</w:t>
            </w:r>
          </w:p>
        </w:tc>
      </w:tr>
    </w:tbl>
    <w:tbl>
      <w:tblPr>
        <w:tblW w:w="6426" w:type="dxa"/>
        <w:jc w:val="left"/>
        <w:tblInd w:w="0" w:type="dxa"/>
        <w:tblLayout w:type="fixed"/>
        <w:tblCellMar>
          <w:top w:w="28" w:type="dxa"/>
          <w:left w:w="28" w:type="dxa"/>
          <w:bottom w:w="28" w:type="dxa"/>
          <w:right w:w="28" w:type="dxa"/>
        </w:tblCellMar>
      </w:tblPr>
      <w:tblGrid>
        <w:gridCol w:w="124"/>
        <w:gridCol w:w="331"/>
        <w:gridCol w:w="5971"/>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59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includes capitalized interest, as well as other miscellaneous items.</w:t>
            </w:r>
          </w:p>
        </w:tc>
      </w:tr>
    </w:tbl>
    <w:p>
      <w:pPr>
        <w:pStyle w:val="TextBody"/>
        <w:bidi w:val="0"/>
        <w:spacing w:before="0" w:after="24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Our weighted average interest rate on our borrowings, excluding capitalized interest, but including the impact of interest rate swaps, was 6.6% and 6.5% for the three months ended June 30, 2026 and 2025, respectively, and 6.5% for each of the six months ended June 30, 2026 and 2025, respectively.</w:t>
      </w:r>
    </w:p>
    <w:p>
      <w:pPr>
        <w:pStyle w:val="TextBody"/>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Interest Income</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Interest income for the three and six months ended June 30, 2026 and 2025 primarily includes amounts earned on our cash balances, as well as the bonds that were received in connection with the development of Gaylord National, which we hold as notes receivable. See Note 6, “Notes Receivable,” to the accompanying condensed consolidated financial statements included herein for additional discussion of interest income on these bonds.</w:t>
      </w:r>
    </w:p>
    <w:p>
      <w:pPr>
        <w:pStyle w:val="TextBody"/>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Loss on Extinguishment of Debt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As a result of the March 2026 redemption of our previous outstanding $700.0 million 4.75% senior notes due 2027, we recognized a loss on extinguishment of debt of $2.2 million in the six months ended June 30, 2026.</w:t>
      </w:r>
    </w:p>
    <w:p>
      <w:pPr>
        <w:pStyle w:val="TextBody"/>
        <w:bidi w:val="0"/>
        <w:spacing w:before="0" w:after="20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As a result of the April 2025 incremental borrowings under the OEG credit agreement and the defeasance of the Block 21 CMBS loan, we recognized a loss on extinguishment of debt of $2.5 million in the three and six months ended June 30, 2025.</w:t>
      </w:r>
    </w:p>
    <w:p>
      <w:pPr>
        <w:pStyle w:val="TextBody"/>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Other Gains and (Losses), net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Other gains and (losses), net for the three and six months ended June 30, 2026 and 2025 includes miscellaneous items.</w:t>
      </w:r>
    </w:p>
    <w:p>
      <w:pPr>
        <w:pStyle w:val="TextBody"/>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Provision for Income Taxes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As a REIT, we generally are not subject to federal corporate income taxes on ordinary taxable income and capital gains income from real estate investments that we distribute to our stockholders. We are required to pay federal and state corporate income taxes on earnings of our TRSs.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For the three months ended June 30, 2026 and 2025, we recorded an income tax provision of $12.1 million and $7.8 million, respectively, and for the six months ended June 30, 2026 and 2025, we recorded an income tax provision of $19.0 million and $12.0 million, respectively, related to our TRSs. The change in the income tax provision for the 2026 periods, as compared to the 2025 periods, relates to changes in income at our TRSs.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Non-GAAP Financial Measures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present the following non-GAAP financial measures that we believe are useful to investors as key measures of our operating performance:</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EBITDAre, Adjusted EBITDAre and Adjusted EBITDAre, Excluding Noncontrolling Interest Definition</w:t>
      </w:r>
    </w:p>
    <w:p>
      <w:pPr>
        <w:pStyle w:val="TextBody"/>
        <w:bidi w:val="0"/>
        <w:spacing w:before="0" w:after="0"/>
        <w:ind w:left="0" w:right="0" w:hanging="0"/>
        <w:jc w:val="left"/>
        <w:rPr/>
      </w:pPr>
      <w:r>
        <w:rPr/>
        <w:t> </w:t>
      </w:r>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calculate EBITDA</w:t>
      </w:r>
      <w:r>
        <w:rPr>
          <w:rFonts w:ascii="Times New Roman;Times;serif" w:hAnsi="Times New Roman;Times;serif"/>
          <w:i/>
          <w:sz w:val="20"/>
        </w:rPr>
        <w:t>re, </w:t>
      </w:r>
      <w:r>
        <w:rPr>
          <w:rFonts w:ascii="Times New Roman;Times;serif" w:hAnsi="Times New Roman;Times;serif"/>
          <w:sz w:val="20"/>
        </w:rPr>
        <w:t>which is defined by the National Association of Real Estate Investment Trusts (“NAREIT”) in its September 2017 white paper as net income (calculated in accordance with GAAP) plus interest expense, income tax expense, depreciation and amortization, gains or losses on the disposition of depreciated property (including gains or losses on change in control), impairment write-downs of depreciated property and of investments in unconsolidated affiliates caused by a decrease in the value of depreciated property of the affiliate, and adjustments to reflect the entity’s share of EBITDA</w:t>
      </w:r>
      <w:r>
        <w:rPr>
          <w:rFonts w:ascii="Times New Roman;Times;serif" w:hAnsi="Times New Roman;Times;serif"/>
          <w:i/>
          <w:sz w:val="20"/>
        </w:rPr>
        <w:t>re</w:t>
      </w:r>
      <w:r>
        <w:rPr>
          <w:rFonts w:ascii="Times New Roman;Times;serif" w:hAnsi="Times New Roman;Times;serif"/>
          <w:sz w:val="20"/>
        </w:rPr>
        <w:t> of unconsolidated affiliates.</w:t>
      </w:r>
    </w:p>
    <w:p>
      <w:pPr>
        <w:pStyle w:val="TextBody"/>
        <w:shd w:fill="FFFFFF" w:val="clear"/>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Adjusted EBITDA</w:t>
      </w:r>
      <w:r>
        <w:rPr>
          <w:rFonts w:ascii="Times New Roman;Times;serif" w:hAnsi="Times New Roman;Times;serif"/>
          <w:i/>
          <w:sz w:val="20"/>
        </w:rPr>
        <w:t>re</w:t>
      </w:r>
      <w:r>
        <w:rPr>
          <w:rFonts w:ascii="Times New Roman;Times;serif" w:hAnsi="Times New Roman;Times;serif"/>
          <w:sz w:val="20"/>
        </w:rPr>
        <w:t> is then calculated as EBITDA</w:t>
      </w:r>
      <w:r>
        <w:rPr>
          <w:rFonts w:ascii="Times New Roman;Times;serif" w:hAnsi="Times New Roman;Times;serif"/>
          <w:i/>
          <w:sz w:val="20"/>
        </w:rPr>
        <w:t>re, </w:t>
      </w:r>
      <w:r>
        <w:rPr>
          <w:rFonts w:ascii="Times New Roman;Times;serif" w:hAnsi="Times New Roman;Times;serif"/>
          <w:sz w:val="20"/>
        </w:rPr>
        <w:t>plus to the extent the following adjustments occurred during the periods presented:</w:t>
      </w:r>
    </w:p>
    <w:tbl>
      <w:tblPr>
        <w:tblW w:w="1971" w:type="dxa"/>
        <w:jc w:val="left"/>
        <w:tblInd w:w="0" w:type="dxa"/>
        <w:tblLayout w:type="fixed"/>
        <w:tblCellMar>
          <w:top w:w="28" w:type="dxa"/>
          <w:left w:w="28" w:type="dxa"/>
          <w:bottom w:w="28" w:type="dxa"/>
          <w:right w:w="28" w:type="dxa"/>
        </w:tblCellMar>
      </w:tblPr>
      <w:tblGrid>
        <w:gridCol w:w="124"/>
        <w:gridCol w:w="256"/>
        <w:gridCol w:w="15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5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preopening costs;</w:t>
            </w:r>
          </w:p>
        </w:tc>
      </w:tr>
    </w:tbl>
    <w:tbl>
      <w:tblPr>
        <w:tblW w:w="2481" w:type="dxa"/>
        <w:jc w:val="left"/>
        <w:tblInd w:w="0" w:type="dxa"/>
        <w:tblLayout w:type="fixed"/>
        <w:tblCellMar>
          <w:top w:w="28" w:type="dxa"/>
          <w:left w:w="28" w:type="dxa"/>
          <w:bottom w:w="28" w:type="dxa"/>
          <w:right w:w="28" w:type="dxa"/>
        </w:tblCellMar>
      </w:tblPr>
      <w:tblGrid>
        <w:gridCol w:w="124"/>
        <w:gridCol w:w="256"/>
        <w:gridCol w:w="21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1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non-cash lease expense;</w:t>
            </w:r>
          </w:p>
        </w:tc>
      </w:tr>
    </w:tbl>
    <w:tbl>
      <w:tblPr>
        <w:tblW w:w="3531" w:type="dxa"/>
        <w:jc w:val="left"/>
        <w:tblInd w:w="0" w:type="dxa"/>
        <w:tblLayout w:type="fixed"/>
        <w:tblCellMar>
          <w:top w:w="28" w:type="dxa"/>
          <w:left w:w="28" w:type="dxa"/>
          <w:bottom w:w="28" w:type="dxa"/>
          <w:right w:w="28" w:type="dxa"/>
        </w:tblCellMar>
      </w:tblPr>
      <w:tblGrid>
        <w:gridCol w:w="124"/>
        <w:gridCol w:w="256"/>
        <w:gridCol w:w="31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1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equity-based compensation expense;</w:t>
            </w:r>
          </w:p>
        </w:tc>
      </w:tr>
    </w:tbl>
    <w:tbl>
      <w:tblPr>
        <w:tblW w:w="5991" w:type="dxa"/>
        <w:jc w:val="left"/>
        <w:tblInd w:w="0" w:type="dxa"/>
        <w:tblLayout w:type="fixed"/>
        <w:tblCellMar>
          <w:top w:w="28" w:type="dxa"/>
          <w:left w:w="28" w:type="dxa"/>
          <w:bottom w:w="28" w:type="dxa"/>
          <w:right w:w="28" w:type="dxa"/>
        </w:tblCellMar>
      </w:tblPr>
      <w:tblGrid>
        <w:gridCol w:w="124"/>
        <w:gridCol w:w="256"/>
        <w:gridCol w:w="56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6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charges that do not meet the NAREIT definition above;</w:t>
            </w:r>
          </w:p>
        </w:tc>
      </w:tr>
    </w:tbl>
    <w:tbl>
      <w:tblPr>
        <w:tblW w:w="4026" w:type="dxa"/>
        <w:jc w:val="left"/>
        <w:tblInd w:w="0" w:type="dxa"/>
        <w:tblLayout w:type="fixed"/>
        <w:tblCellMar>
          <w:top w:w="28" w:type="dxa"/>
          <w:left w:w="28" w:type="dxa"/>
          <w:bottom w:w="28" w:type="dxa"/>
          <w:right w:w="28" w:type="dxa"/>
        </w:tblCellMar>
      </w:tblPr>
      <w:tblGrid>
        <w:gridCol w:w="124"/>
        <w:gridCol w:w="256"/>
        <w:gridCol w:w="36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credit losses on held-to-maturity securities;</w:t>
            </w:r>
          </w:p>
        </w:tc>
      </w:tr>
    </w:tbl>
    <w:tbl>
      <w:tblPr>
        <w:tblW w:w="3186" w:type="dxa"/>
        <w:jc w:val="left"/>
        <w:tblInd w:w="0" w:type="dxa"/>
        <w:tblLayout w:type="fixed"/>
        <w:tblCellMar>
          <w:top w:w="28" w:type="dxa"/>
          <w:left w:w="28" w:type="dxa"/>
          <w:bottom w:w="28" w:type="dxa"/>
          <w:right w:w="28" w:type="dxa"/>
        </w:tblCellMar>
      </w:tblPr>
      <w:tblGrid>
        <w:gridCol w:w="124"/>
        <w:gridCol w:w="256"/>
        <w:gridCol w:w="28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8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 costs of acquisitions;</w:t>
            </w:r>
          </w:p>
        </w:tc>
      </w:tr>
    </w:tbl>
    <w:tbl>
      <w:tblPr>
        <w:tblW w:w="2631" w:type="dxa"/>
        <w:jc w:val="left"/>
        <w:tblInd w:w="0" w:type="dxa"/>
        <w:tblLayout w:type="fixed"/>
        <w:tblCellMar>
          <w:top w:w="28" w:type="dxa"/>
          <w:left w:w="28" w:type="dxa"/>
          <w:bottom w:w="28" w:type="dxa"/>
          <w:right w:w="28" w:type="dxa"/>
        </w:tblCellMar>
      </w:tblPr>
      <w:tblGrid>
        <w:gridCol w:w="124"/>
        <w:gridCol w:w="256"/>
        <w:gridCol w:w="22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2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 on bonds;</w:t>
            </w:r>
          </w:p>
        </w:tc>
      </w:tr>
    </w:tbl>
    <w:tbl>
      <w:tblPr>
        <w:tblW w:w="3096" w:type="dxa"/>
        <w:jc w:val="left"/>
        <w:tblInd w:w="0" w:type="dxa"/>
        <w:tblLayout w:type="fixed"/>
        <w:tblCellMar>
          <w:top w:w="28" w:type="dxa"/>
          <w:left w:w="28" w:type="dxa"/>
          <w:bottom w:w="28" w:type="dxa"/>
          <w:right w:w="28" w:type="dxa"/>
        </w:tblCellMar>
      </w:tblPr>
      <w:tblGrid>
        <w:gridCol w:w="124"/>
        <w:gridCol w:w="256"/>
        <w:gridCol w:w="27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7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extinguishment of debt;</w:t>
            </w:r>
          </w:p>
        </w:tc>
      </w:tr>
    </w:tbl>
    <w:tbl>
      <w:tblPr>
        <w:tblW w:w="2781" w:type="dxa"/>
        <w:jc w:val="left"/>
        <w:tblInd w:w="0" w:type="dxa"/>
        <w:tblLayout w:type="fixed"/>
        <w:tblCellMar>
          <w:top w:w="28" w:type="dxa"/>
          <w:left w:w="28" w:type="dxa"/>
          <w:bottom w:w="28" w:type="dxa"/>
          <w:right w:w="28" w:type="dxa"/>
        </w:tblCellMar>
      </w:tblPr>
      <w:tblGrid>
        <w:gridCol w:w="124"/>
        <w:gridCol w:w="256"/>
        <w:gridCol w:w="24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4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pension settlement charges;</w:t>
            </w:r>
          </w:p>
        </w:tc>
      </w:tr>
    </w:tbl>
    <w:tbl>
      <w:tblPr>
        <w:tblW w:w="6156" w:type="dxa"/>
        <w:jc w:val="left"/>
        <w:tblInd w:w="0" w:type="dxa"/>
        <w:tblLayout w:type="fixed"/>
        <w:tblCellMar>
          <w:top w:w="28" w:type="dxa"/>
          <w:left w:w="28" w:type="dxa"/>
          <w:bottom w:w="28" w:type="dxa"/>
          <w:right w:w="28" w:type="dxa"/>
        </w:tblCellMar>
      </w:tblPr>
      <w:tblGrid>
        <w:gridCol w:w="124"/>
        <w:gridCol w:w="256"/>
        <w:gridCol w:w="57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76"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pro rata Adjusted EBITDA</w:t>
            </w:r>
            <w:r>
              <w:rPr>
                <w:rFonts w:ascii="Times New Roman;Times;serif" w:hAnsi="Times New Roman;Times;serif"/>
                <w:b w:val="false"/>
                <w:i/>
                <w:sz w:val="20"/>
              </w:rPr>
              <w:t>re</w:t>
            </w:r>
            <w:r>
              <w:rPr>
                <w:caps w:val="false"/>
                <w:smallCaps w:val="false"/>
              </w:rPr>
              <w:t xml:space="preserve"> </w:t>
            </w:r>
            <w:r>
              <w:rPr>
                <w:rFonts w:ascii="Times New Roman;Times;serif" w:hAnsi="Times New Roman;Times;serif"/>
                <w:b w:val="false"/>
                <w:i w:val="false"/>
                <w:caps w:val="false"/>
                <w:smallCaps w:val="false"/>
                <w:sz w:val="20"/>
              </w:rPr>
              <w:t>from unconsolidated joint ventures; and</w:t>
            </w:r>
          </w:p>
        </w:tc>
      </w:tr>
    </w:tbl>
    <w:tbl>
      <w:tblPr>
        <w:tblW w:w="4461" w:type="dxa"/>
        <w:jc w:val="left"/>
        <w:tblInd w:w="0" w:type="dxa"/>
        <w:tblLayout w:type="fixed"/>
        <w:tblCellMar>
          <w:top w:w="28" w:type="dxa"/>
          <w:left w:w="28" w:type="dxa"/>
          <w:bottom w:w="28" w:type="dxa"/>
          <w:right w:w="28" w:type="dxa"/>
        </w:tblCellMar>
      </w:tblPr>
      <w:tblGrid>
        <w:gridCol w:w="124"/>
        <w:gridCol w:w="256"/>
        <w:gridCol w:w="40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adjustments we have identified herein.</w:t>
            </w:r>
          </w:p>
        </w:tc>
      </w:tr>
    </w:tbl>
    <w:p>
      <w:pPr>
        <w:pStyle w:val="TextBody"/>
        <w:bidi w:val="0"/>
        <w:spacing w:before="0" w:after="0"/>
        <w:ind w:left="0" w:right="0" w:hanging="0"/>
        <w:jc w:val="left"/>
        <w:rPr/>
      </w:pPr>
      <w:r>
        <w:rPr/>
        <w:t>​</w:t>
      </w:r>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then exclude the pro rata share of Adjusted EBITDA</w:t>
      </w:r>
      <w:r>
        <w:rPr>
          <w:rFonts w:ascii="Times New Roman;Times;serif" w:hAnsi="Times New Roman;Times;serif"/>
          <w:i/>
          <w:sz w:val="20"/>
        </w:rPr>
        <w:t>re</w:t>
      </w:r>
      <w:r>
        <w:rPr>
          <w:rFonts w:ascii="Times New Roman;Times;serif" w:hAnsi="Times New Roman;Times;serif"/>
          <w:sz w:val="20"/>
        </w:rPr>
        <w:t> related to noncontrolling interests to calculate Adjusted EBITDA</w:t>
      </w:r>
      <w:r>
        <w:rPr>
          <w:rFonts w:ascii="Times New Roman;Times;serif" w:hAnsi="Times New Roman;Times;serif"/>
          <w:i/>
          <w:sz w:val="20"/>
        </w:rPr>
        <w:t>re</w:t>
      </w:r>
      <w:r>
        <w:rPr>
          <w:rFonts w:ascii="Times New Roman;Times;serif" w:hAnsi="Times New Roman;Times;serif"/>
          <w:sz w:val="20"/>
        </w:rPr>
        <w:t>, Excluding Noncontrolling Interest.</w:t>
      </w:r>
    </w:p>
    <w:p>
      <w:pPr>
        <w:pStyle w:val="TextBody"/>
        <w:shd w:fill="FFFFFF" w:val="clear"/>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use EBITDA</w:t>
      </w:r>
      <w:r>
        <w:rPr>
          <w:rFonts w:ascii="Times New Roman;Times;serif" w:hAnsi="Times New Roman;Times;serif"/>
          <w:i/>
          <w:sz w:val="20"/>
        </w:rPr>
        <w:t>re</w:t>
      </w:r>
      <w:r>
        <w:rPr>
          <w:rFonts w:ascii="Times New Roman;Times;serif" w:hAnsi="Times New Roman;Times;serif"/>
          <w:sz w:val="20"/>
        </w:rPr>
        <w:t>, Adjusted EBITDA</w:t>
      </w:r>
      <w:r>
        <w:rPr>
          <w:rFonts w:ascii="Times New Roman;Times;serif" w:hAnsi="Times New Roman;Times;serif"/>
          <w:i/>
          <w:sz w:val="20"/>
        </w:rPr>
        <w:t>re</w:t>
      </w:r>
      <w:r>
        <w:rPr>
          <w:rFonts w:ascii="Times New Roman;Times;serif" w:hAnsi="Times New Roman;Times;serif"/>
          <w:sz w:val="20"/>
        </w:rPr>
        <w:t> and Adjusted EBITDA</w:t>
      </w:r>
      <w:r>
        <w:rPr>
          <w:rFonts w:ascii="Times New Roman;Times;serif" w:hAnsi="Times New Roman;Times;serif"/>
          <w:i/>
          <w:sz w:val="20"/>
        </w:rPr>
        <w:t>re</w:t>
      </w:r>
      <w:r>
        <w:rPr>
          <w:rFonts w:ascii="Times New Roman;Times;serif" w:hAnsi="Times New Roman;Times;serif"/>
          <w:sz w:val="20"/>
        </w:rPr>
        <w:t>, Excluding Noncontrolling Interest to evaluate our operating performance. We believe that the presentation of these non-GAAP financial measures provides useful information to investors regarding our operating performance and debt leverage metrics, and that the presentation of these non-GAAP financial measures, when combined with the primary GAAP presentation of net income, is beneficial to an investor’s complete understanding of our operating performance. We make additional adjustments to EBITDA</w:t>
      </w:r>
      <w:r>
        <w:rPr>
          <w:rFonts w:ascii="Times New Roman;Times;serif" w:hAnsi="Times New Roman;Times;serif"/>
          <w:i/>
          <w:sz w:val="20"/>
        </w:rPr>
        <w:t>re</w:t>
      </w:r>
      <w:r>
        <w:rPr>
          <w:rFonts w:ascii="Times New Roman;Times;serif" w:hAnsi="Times New Roman;Times;serif"/>
          <w:sz w:val="20"/>
        </w:rPr>
        <w:t> when evaluating our performance because we believe that presenting Adjusted EBITDA</w:t>
      </w:r>
      <w:r>
        <w:rPr>
          <w:rFonts w:ascii="Times New Roman;Times;serif" w:hAnsi="Times New Roman;Times;serif"/>
          <w:i/>
          <w:sz w:val="20"/>
        </w:rPr>
        <w:t>re</w:t>
      </w:r>
      <w:r>
        <w:rPr>
          <w:rFonts w:ascii="Times New Roman;Times;serif" w:hAnsi="Times New Roman;Times;serif"/>
          <w:sz w:val="20"/>
        </w:rPr>
        <w:t> and Adjusted EBITDA</w:t>
      </w:r>
      <w:r>
        <w:rPr>
          <w:rFonts w:ascii="Times New Roman;Times;serif" w:hAnsi="Times New Roman;Times;serif"/>
          <w:i/>
          <w:sz w:val="20"/>
        </w:rPr>
        <w:t>re</w:t>
      </w:r>
      <w:r>
        <w:rPr>
          <w:rFonts w:ascii="Times New Roman;Times;serif" w:hAnsi="Times New Roman;Times;serif"/>
          <w:sz w:val="20"/>
        </w:rPr>
        <w:t>, Excluding Noncontrolling Interest provides useful information to investors regarding our operating performance and debt leverage metrics.</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FFO, Adjusted FFO, and Adjusted FFO Available to Common Stockholders and Unit Holders Definition</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calculate FFO</w:t>
      </w:r>
      <w:r>
        <w:rPr>
          <w:rFonts w:ascii="Times New Roman;Times;serif" w:hAnsi="Times New Roman;Times;serif"/>
          <w:i/>
          <w:sz w:val="20"/>
        </w:rPr>
        <w:t>, </w:t>
      </w:r>
      <w:r>
        <w:rPr>
          <w:rFonts w:ascii="Times New Roman;Times;serif" w:hAnsi="Times New Roman;Times;serif"/>
          <w:sz w:val="20"/>
        </w:rPr>
        <w:t>which definition is clarified by NAREIT in its December 2018 white paper as net income (calculated in accordance with GAAP) excluding depreciation and amortization (excluding amortization of deferred financing costs and debt discounts), gains and losses from the sale of certain real estate assets, gains and losses from a change in control, impairment write-downs of certain real estate assets and investments in entities when the impairment is directly attributable to decreases in the value of depreciated real estate held by the entity, income (loss) from consolidated joint ventures attributable to noncontrolling interest, and pro rata adjustments from unconsolidated joint ventures.</w:t>
      </w:r>
    </w:p>
    <w:p>
      <w:pPr>
        <w:pStyle w:val="TextBody"/>
        <w:shd w:fill="FFFFFF" w:val="clear"/>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 calculate Adjusted FFO available to common stockholders and unit holders, we then exclude, to the extent the following adjustments occurred during the periods presented:</w:t>
      </w:r>
    </w:p>
    <w:p>
      <w:pPr>
        <w:pStyle w:val="TextBody"/>
        <w:shd w:fill="FFFFFF" w:val="clear"/>
        <w:bidi w:val="0"/>
        <w:spacing w:before="0" w:after="0"/>
        <w:ind w:left="0" w:right="0" w:hanging="0"/>
        <w:jc w:val="left"/>
        <w:rPr/>
      </w:pPr>
      <w:r>
        <w:rPr/>
        <w:t>​</w:t>
      </w:r>
    </w:p>
    <w:tbl>
      <w:tblPr>
        <w:tblW w:w="3051" w:type="dxa"/>
        <w:jc w:val="left"/>
        <w:tblInd w:w="0" w:type="dxa"/>
        <w:shd w:fill="FFFFFF" w:val="clear"/>
        <w:tblLayout w:type="fixed"/>
        <w:tblCellMar>
          <w:top w:w="28" w:type="dxa"/>
          <w:left w:w="28" w:type="dxa"/>
          <w:bottom w:w="28" w:type="dxa"/>
          <w:right w:w="28" w:type="dxa"/>
        </w:tblCellMar>
      </w:tblPr>
      <w:tblGrid>
        <w:gridCol w:w="124"/>
        <w:gridCol w:w="256"/>
        <w:gridCol w:w="2671"/>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right-of-use asset amortization;</w:t>
            </w:r>
          </w:p>
        </w:tc>
      </w:tr>
    </w:tbl>
    <w:tbl>
      <w:tblPr>
        <w:tblW w:w="5991" w:type="dxa"/>
        <w:jc w:val="left"/>
        <w:tblInd w:w="0" w:type="dxa"/>
        <w:shd w:fill="FFFFFF" w:val="clear"/>
        <w:tblLayout w:type="fixed"/>
        <w:tblCellMar>
          <w:top w:w="28" w:type="dxa"/>
          <w:left w:w="28" w:type="dxa"/>
          <w:bottom w:w="28" w:type="dxa"/>
          <w:right w:w="28" w:type="dxa"/>
        </w:tblCellMar>
      </w:tblPr>
      <w:tblGrid>
        <w:gridCol w:w="124"/>
        <w:gridCol w:w="256"/>
        <w:gridCol w:w="5611"/>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5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charges that do not meet the NAREIT definition above;</w:t>
            </w:r>
          </w:p>
        </w:tc>
      </w:tr>
    </w:tbl>
    <w:tbl>
      <w:tblPr>
        <w:tblW w:w="3546" w:type="dxa"/>
        <w:jc w:val="left"/>
        <w:tblInd w:w="0" w:type="dxa"/>
        <w:shd w:fill="FFFFFF" w:val="clear"/>
        <w:tblLayout w:type="fixed"/>
        <w:tblCellMar>
          <w:top w:w="28" w:type="dxa"/>
          <w:left w:w="28" w:type="dxa"/>
          <w:bottom w:w="28" w:type="dxa"/>
          <w:right w:w="28" w:type="dxa"/>
        </w:tblCellMar>
      </w:tblPr>
      <w:tblGrid>
        <w:gridCol w:w="124"/>
        <w:gridCol w:w="256"/>
        <w:gridCol w:w="3166"/>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write-offs of deferred financing costs;</w:t>
            </w:r>
          </w:p>
        </w:tc>
      </w:tr>
    </w:tbl>
    <w:tbl>
      <w:tblPr>
        <w:tblW w:w="7731" w:type="dxa"/>
        <w:jc w:val="left"/>
        <w:tblInd w:w="0" w:type="dxa"/>
        <w:shd w:fill="FFFFFF" w:val="clear"/>
        <w:tblLayout w:type="fixed"/>
        <w:tblCellMar>
          <w:top w:w="28" w:type="dxa"/>
          <w:left w:w="28" w:type="dxa"/>
          <w:bottom w:w="28" w:type="dxa"/>
          <w:right w:w="28" w:type="dxa"/>
        </w:tblCellMar>
      </w:tblPr>
      <w:tblGrid>
        <w:gridCol w:w="124"/>
        <w:gridCol w:w="256"/>
        <w:gridCol w:w="7351"/>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7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of debt discounts or premiums and amortization of deferred financing costs;</w:t>
            </w:r>
          </w:p>
        </w:tc>
      </w:tr>
    </w:tbl>
    <w:tbl>
      <w:tblPr>
        <w:tblW w:w="3096" w:type="dxa"/>
        <w:jc w:val="left"/>
        <w:tblInd w:w="0" w:type="dxa"/>
        <w:shd w:fill="FFFFFF" w:val="clear"/>
        <w:tblLayout w:type="fixed"/>
        <w:tblCellMar>
          <w:top w:w="28" w:type="dxa"/>
          <w:left w:w="28" w:type="dxa"/>
          <w:bottom w:w="28" w:type="dxa"/>
          <w:right w:w="28" w:type="dxa"/>
        </w:tblCellMar>
      </w:tblPr>
      <w:tblGrid>
        <w:gridCol w:w="124"/>
        <w:gridCol w:w="256"/>
        <w:gridCol w:w="2716"/>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extinguishment of debt;</w:t>
            </w:r>
          </w:p>
        </w:tc>
      </w:tr>
    </w:tbl>
    <w:tbl>
      <w:tblPr>
        <w:tblW w:w="2481" w:type="dxa"/>
        <w:jc w:val="left"/>
        <w:tblInd w:w="0" w:type="dxa"/>
        <w:shd w:fill="FFFFFF" w:val="clear"/>
        <w:tblLayout w:type="fixed"/>
        <w:tblCellMar>
          <w:top w:w="28" w:type="dxa"/>
          <w:left w:w="28" w:type="dxa"/>
          <w:bottom w:w="28" w:type="dxa"/>
          <w:right w:w="28" w:type="dxa"/>
        </w:tblCellMar>
      </w:tblPr>
      <w:tblGrid>
        <w:gridCol w:w="124"/>
        <w:gridCol w:w="256"/>
        <w:gridCol w:w="2101"/>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non-cash lease expense;</w:t>
            </w:r>
          </w:p>
        </w:tc>
      </w:tr>
    </w:tbl>
    <w:tbl>
      <w:tblPr>
        <w:tblW w:w="3861" w:type="dxa"/>
        <w:jc w:val="left"/>
        <w:tblInd w:w="0" w:type="dxa"/>
        <w:shd w:fill="FFFFFF" w:val="clear"/>
        <w:tblLayout w:type="fixed"/>
        <w:tblCellMar>
          <w:top w:w="28" w:type="dxa"/>
          <w:left w:w="28" w:type="dxa"/>
          <w:bottom w:w="28" w:type="dxa"/>
          <w:right w:w="28" w:type="dxa"/>
        </w:tblCellMar>
      </w:tblPr>
      <w:tblGrid>
        <w:gridCol w:w="124"/>
        <w:gridCol w:w="256"/>
        <w:gridCol w:w="3481"/>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credit loss on held-to-maturity securities;</w:t>
            </w:r>
          </w:p>
        </w:tc>
      </w:tr>
    </w:tbl>
    <w:tbl>
      <w:tblPr>
        <w:tblW w:w="2781" w:type="dxa"/>
        <w:jc w:val="left"/>
        <w:tblInd w:w="0" w:type="dxa"/>
        <w:shd w:fill="FFFFFF" w:val="clear"/>
        <w:tblLayout w:type="fixed"/>
        <w:tblCellMar>
          <w:top w:w="28" w:type="dxa"/>
          <w:left w:w="28" w:type="dxa"/>
          <w:bottom w:w="28" w:type="dxa"/>
          <w:right w:w="28" w:type="dxa"/>
        </w:tblCellMar>
      </w:tblPr>
      <w:tblGrid>
        <w:gridCol w:w="124"/>
        <w:gridCol w:w="256"/>
        <w:gridCol w:w="2401"/>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pension settlement charges;</w:t>
            </w:r>
          </w:p>
        </w:tc>
      </w:tr>
    </w:tbl>
    <w:tbl>
      <w:tblPr>
        <w:tblW w:w="6006" w:type="dxa"/>
        <w:jc w:val="left"/>
        <w:tblInd w:w="0" w:type="dxa"/>
        <w:shd w:fill="FFFFFF" w:val="clear"/>
        <w:tblLayout w:type="fixed"/>
        <w:tblCellMar>
          <w:top w:w="28" w:type="dxa"/>
          <w:left w:w="28" w:type="dxa"/>
          <w:bottom w:w="28" w:type="dxa"/>
          <w:right w:w="28" w:type="dxa"/>
        </w:tblCellMar>
      </w:tblPr>
      <w:tblGrid>
        <w:gridCol w:w="124"/>
        <w:gridCol w:w="256"/>
        <w:gridCol w:w="5626"/>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5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pro rata adjustments from unconsolidated joint ventures;</w:t>
            </w:r>
          </w:p>
        </w:tc>
      </w:tr>
    </w:tbl>
    <w:tbl>
      <w:tblPr>
        <w:tblW w:w="2901" w:type="dxa"/>
        <w:jc w:val="left"/>
        <w:tblInd w:w="0" w:type="dxa"/>
        <w:shd w:fill="FFFFFF" w:val="clear"/>
        <w:tblLayout w:type="fixed"/>
        <w:tblCellMar>
          <w:top w:w="28" w:type="dxa"/>
          <w:left w:w="28" w:type="dxa"/>
          <w:bottom w:w="28" w:type="dxa"/>
          <w:right w:w="28" w:type="dxa"/>
        </w:tblCellMar>
      </w:tblPr>
      <w:tblGrid>
        <w:gridCol w:w="124"/>
        <w:gridCol w:w="256"/>
        <w:gridCol w:w="2521"/>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(gains) losses on other assets;</w:t>
            </w:r>
          </w:p>
        </w:tc>
      </w:tr>
    </w:tbl>
    <w:tbl>
      <w:tblPr>
        <w:tblW w:w="3186" w:type="dxa"/>
        <w:jc w:val="left"/>
        <w:tblInd w:w="0" w:type="dxa"/>
        <w:shd w:fill="FFFFFF" w:val="clear"/>
        <w:tblLayout w:type="fixed"/>
        <w:tblCellMar>
          <w:top w:w="28" w:type="dxa"/>
          <w:left w:w="28" w:type="dxa"/>
          <w:bottom w:w="28" w:type="dxa"/>
          <w:right w:w="28" w:type="dxa"/>
        </w:tblCellMar>
      </w:tblPr>
      <w:tblGrid>
        <w:gridCol w:w="124"/>
        <w:gridCol w:w="256"/>
        <w:gridCol w:w="2806"/>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 costs of acquisitions;</w:t>
            </w:r>
          </w:p>
        </w:tc>
      </w:tr>
    </w:tbl>
    <w:tbl>
      <w:tblPr>
        <w:tblW w:w="3981" w:type="dxa"/>
        <w:jc w:val="left"/>
        <w:tblInd w:w="0" w:type="dxa"/>
        <w:shd w:fill="FFFFFF" w:val="clear"/>
        <w:tblLayout w:type="fixed"/>
        <w:tblCellMar>
          <w:top w:w="28" w:type="dxa"/>
          <w:left w:w="28" w:type="dxa"/>
          <w:bottom w:w="28" w:type="dxa"/>
          <w:right w:w="28" w:type="dxa"/>
        </w:tblCellMar>
      </w:tblPr>
      <w:tblGrid>
        <w:gridCol w:w="124"/>
        <w:gridCol w:w="256"/>
        <w:gridCol w:w="3601"/>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income tax expense (benefit); and</w:t>
            </w:r>
          </w:p>
        </w:tc>
      </w:tr>
    </w:tbl>
    <w:tbl>
      <w:tblPr>
        <w:tblW w:w="4461" w:type="dxa"/>
        <w:jc w:val="left"/>
        <w:tblInd w:w="0" w:type="dxa"/>
        <w:shd w:fill="FFFFFF" w:val="clear"/>
        <w:tblLayout w:type="fixed"/>
        <w:tblCellMar>
          <w:top w:w="28" w:type="dxa"/>
          <w:left w:w="28" w:type="dxa"/>
          <w:bottom w:w="28" w:type="dxa"/>
          <w:right w:w="28" w:type="dxa"/>
        </w:tblCellMar>
      </w:tblPr>
      <w:tblGrid>
        <w:gridCol w:w="124"/>
        <w:gridCol w:w="256"/>
        <w:gridCol w:w="4081"/>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adjustments we have identified herein.</w:t>
            </w:r>
          </w:p>
        </w:tc>
      </w:tr>
    </w:tbl>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FFO available to common stockholders and unit holders and Adjusted FFO available to common stockholders and unit holders exclude the ownership portion of the joint ventures not controlled or owned by the Company.</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believe that the presentation of these non-GAAP financial measures provides useful information to investors regarding the performance of our ongoing operations because each presents a measure of our operations without regard to specified non-cash items such as real estate depreciation and amortization, gain or loss on sale of assets and certain other items, which we believe are not indicative of the performance of our underlying hotel properties. We believe that these items are more representative of our asset base than our ongoing operations. We also use these non-GAAP financial measures as measures in determining our results after considering the impact of our capital structure.</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caution investors that non-GAAP financial measures we present may not be comparable to similar measures disclosed by other companies, because not all companies calculate these non-GAAP measures in the same manner. The non-GAAP financial measures we present should not be considered as alternative measures of our net income, operating performance, cash flow or liquidity. These non-GAAP financial measures may include funds that may not be available for our discretionary use due to functional requirements to conserve funds for capital expenditures and property acquisitions and other commitments and uncertainties. Although we believe that these non-GAAP financial measures can enhance an investor’s understanding of our results of operations, these non-GAAP financial measures, when viewed individually, are not necessarily better indicators of any trend as compared to GAAP measures such as net income, operating income, or cash flow from operations.</w:t>
      </w:r>
    </w:p>
    <w:p>
      <w:pPr>
        <w:pStyle w:val="TextBody"/>
        <w:shd w:fill="FFFFFF" w:val="clear"/>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is a reconciliation of our consolidated GAAP net income to EBITDA</w:t>
      </w:r>
      <w:r>
        <w:rPr>
          <w:rFonts w:ascii="Times New Roman;Times;serif" w:hAnsi="Times New Roman;Times;serif"/>
          <w:i/>
          <w:sz w:val="20"/>
        </w:rPr>
        <w:t>re</w:t>
      </w:r>
      <w:r>
        <w:rPr>
          <w:rFonts w:ascii="Times New Roman;Times;serif" w:hAnsi="Times New Roman;Times;serif"/>
          <w:sz w:val="20"/>
        </w:rPr>
        <w:t>, Adjusted EBITDA</w:t>
      </w:r>
      <w:r>
        <w:rPr>
          <w:rFonts w:ascii="Times New Roman;Times;serif" w:hAnsi="Times New Roman;Times;serif"/>
          <w:i/>
          <w:sz w:val="20"/>
        </w:rPr>
        <w:t>re</w:t>
      </w:r>
      <w:r>
        <w:rPr>
          <w:rFonts w:ascii="Times New Roman;Times;serif" w:hAnsi="Times New Roman;Times;serif"/>
          <w:sz w:val="20"/>
        </w:rPr>
        <w:t>, and Adjusted EBITDA</w:t>
      </w:r>
      <w:r>
        <w:rPr>
          <w:rFonts w:ascii="Times New Roman;Times;serif" w:hAnsi="Times New Roman;Times;serif"/>
          <w:i/>
          <w:sz w:val="20"/>
        </w:rPr>
        <w:t>re</w:t>
      </w:r>
      <w:r>
        <w:rPr>
          <w:rFonts w:ascii="Times New Roman;Times;serif" w:hAnsi="Times New Roman;Times;serif"/>
          <w:sz w:val="20"/>
        </w:rPr>
        <w:t>, Excluding Noncontrolling Interest for the three and six months ended June 30, 2026 and 2025 (in thousands):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5115"/>
        <w:gridCol w:w="109"/>
        <w:gridCol w:w="211"/>
        <w:gridCol w:w="795"/>
        <w:gridCol w:w="346"/>
        <w:gridCol w:w="211"/>
        <w:gridCol w:w="795"/>
        <w:gridCol w:w="109"/>
        <w:gridCol w:w="211"/>
        <w:gridCol w:w="795"/>
        <w:gridCol w:w="346"/>
        <w:gridCol w:w="211"/>
        <w:gridCol w:w="795"/>
        <w:gridCol w:w="156"/>
      </w:tblGrid>
      <w:tr>
        <w:trPr/>
        <w:tc>
          <w:tcPr>
            <w:tcW w:w="51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4">
                      <wp:simplePos x="0" y="0"/>
                      <wp:positionH relativeFrom="character">
                        <wp:align>left</wp:align>
                      </wp:positionH>
                      <wp:positionV relativeFrom="line">
                        <wp:posOffset>635</wp:posOffset>
                      </wp:positionV>
                      <wp:extent cx="3248025" cy="175260"/>
                      <wp:effectExtent l="0" t="0" r="0" b="0"/>
                      <wp:wrapNone/>
                      <wp:docPr id="583" name="Frame583"/>
                      <a:graphic xmlns:a="http://schemas.openxmlformats.org/drawingml/2006/main">
                        <a:graphicData uri="http://schemas.microsoft.com/office/word/2010/wordprocessingShape">
                          <wps:wsp>
                            <wps:cNvSpPr txBox="1"/>
                            <wps:spPr>
                              <a:xfrm>
                                <a:off x="0" y="0"/>
                                <a:ext cx="32480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5">
                      <wp:simplePos x="0" y="0"/>
                      <wp:positionH relativeFrom="character">
                        <wp:align>left</wp:align>
                      </wp:positionH>
                      <wp:positionV relativeFrom="line">
                        <wp:posOffset>635</wp:posOffset>
                      </wp:positionV>
                      <wp:extent cx="69215" cy="175260"/>
                      <wp:effectExtent l="0" t="0" r="0" b="0"/>
                      <wp:wrapNone/>
                      <wp:docPr id="584" name="Frame58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6">
                      <wp:simplePos x="0" y="0"/>
                      <wp:positionH relativeFrom="character">
                        <wp:align>left</wp:align>
                      </wp:positionH>
                      <wp:positionV relativeFrom="line">
                        <wp:posOffset>635</wp:posOffset>
                      </wp:positionV>
                      <wp:extent cx="133985" cy="175260"/>
                      <wp:effectExtent l="0" t="0" r="0" b="0"/>
                      <wp:wrapNone/>
                      <wp:docPr id="585" name="Frame58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7">
                      <wp:simplePos x="0" y="0"/>
                      <wp:positionH relativeFrom="character">
                        <wp:align>left</wp:align>
                      </wp:positionH>
                      <wp:positionV relativeFrom="line">
                        <wp:posOffset>635</wp:posOffset>
                      </wp:positionV>
                      <wp:extent cx="504825" cy="175260"/>
                      <wp:effectExtent l="0" t="0" r="0" b="0"/>
                      <wp:wrapNone/>
                      <wp:docPr id="586" name="Frame586"/>
                      <a:graphic xmlns:a="http://schemas.openxmlformats.org/drawingml/2006/main">
                        <a:graphicData uri="http://schemas.microsoft.com/office/word/2010/wordprocessingShape">
                          <wps:wsp>
                            <wps:cNvSpPr txBox="1"/>
                            <wps:spPr>
                              <a:xfrm>
                                <a:off x="0" y="0"/>
                                <a:ext cx="504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8">
                      <wp:simplePos x="0" y="0"/>
                      <wp:positionH relativeFrom="character">
                        <wp:align>left</wp:align>
                      </wp:positionH>
                      <wp:positionV relativeFrom="line">
                        <wp:posOffset>635</wp:posOffset>
                      </wp:positionV>
                      <wp:extent cx="219710" cy="175260"/>
                      <wp:effectExtent l="0" t="0" r="0" b="0"/>
                      <wp:wrapNone/>
                      <wp:docPr id="587" name="Frame5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9">
                      <wp:simplePos x="0" y="0"/>
                      <wp:positionH relativeFrom="character">
                        <wp:align>left</wp:align>
                      </wp:positionH>
                      <wp:positionV relativeFrom="line">
                        <wp:posOffset>635</wp:posOffset>
                      </wp:positionV>
                      <wp:extent cx="133985" cy="175260"/>
                      <wp:effectExtent l="0" t="0" r="0" b="0"/>
                      <wp:wrapNone/>
                      <wp:docPr id="588" name="Frame58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0">
                      <wp:simplePos x="0" y="0"/>
                      <wp:positionH relativeFrom="character">
                        <wp:align>left</wp:align>
                      </wp:positionH>
                      <wp:positionV relativeFrom="line">
                        <wp:posOffset>635</wp:posOffset>
                      </wp:positionV>
                      <wp:extent cx="504825" cy="175260"/>
                      <wp:effectExtent l="0" t="0" r="0" b="0"/>
                      <wp:wrapNone/>
                      <wp:docPr id="589" name="Frame589"/>
                      <a:graphic xmlns:a="http://schemas.openxmlformats.org/drawingml/2006/main">
                        <a:graphicData uri="http://schemas.microsoft.com/office/word/2010/wordprocessingShape">
                          <wps:wsp>
                            <wps:cNvSpPr txBox="1"/>
                            <wps:spPr>
                              <a:xfrm>
                                <a:off x="0" y="0"/>
                                <a:ext cx="504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1">
                      <wp:simplePos x="0" y="0"/>
                      <wp:positionH relativeFrom="character">
                        <wp:align>left</wp:align>
                      </wp:positionH>
                      <wp:positionV relativeFrom="line">
                        <wp:posOffset>635</wp:posOffset>
                      </wp:positionV>
                      <wp:extent cx="69215" cy="175260"/>
                      <wp:effectExtent l="0" t="0" r="0" b="0"/>
                      <wp:wrapNone/>
                      <wp:docPr id="590" name="Frame59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2">
                      <wp:simplePos x="0" y="0"/>
                      <wp:positionH relativeFrom="character">
                        <wp:align>left</wp:align>
                      </wp:positionH>
                      <wp:positionV relativeFrom="line">
                        <wp:posOffset>635</wp:posOffset>
                      </wp:positionV>
                      <wp:extent cx="133985" cy="175260"/>
                      <wp:effectExtent l="0" t="0" r="0" b="0"/>
                      <wp:wrapNone/>
                      <wp:docPr id="591" name="Frame59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3">
                      <wp:simplePos x="0" y="0"/>
                      <wp:positionH relativeFrom="character">
                        <wp:align>left</wp:align>
                      </wp:positionH>
                      <wp:positionV relativeFrom="line">
                        <wp:posOffset>635</wp:posOffset>
                      </wp:positionV>
                      <wp:extent cx="504825" cy="175260"/>
                      <wp:effectExtent l="0" t="0" r="0" b="0"/>
                      <wp:wrapNone/>
                      <wp:docPr id="592" name="Frame592"/>
                      <a:graphic xmlns:a="http://schemas.openxmlformats.org/drawingml/2006/main">
                        <a:graphicData uri="http://schemas.microsoft.com/office/word/2010/wordprocessingShape">
                          <wps:wsp>
                            <wps:cNvSpPr txBox="1"/>
                            <wps:spPr>
                              <a:xfrm>
                                <a:off x="0" y="0"/>
                                <a:ext cx="504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4">
                      <wp:simplePos x="0" y="0"/>
                      <wp:positionH relativeFrom="character">
                        <wp:align>left</wp:align>
                      </wp:positionH>
                      <wp:positionV relativeFrom="line">
                        <wp:posOffset>635</wp:posOffset>
                      </wp:positionV>
                      <wp:extent cx="219710" cy="175260"/>
                      <wp:effectExtent l="0" t="0" r="0" b="0"/>
                      <wp:wrapNone/>
                      <wp:docPr id="593" name="Frame5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5">
                      <wp:simplePos x="0" y="0"/>
                      <wp:positionH relativeFrom="character">
                        <wp:align>left</wp:align>
                      </wp:positionH>
                      <wp:positionV relativeFrom="line">
                        <wp:posOffset>635</wp:posOffset>
                      </wp:positionV>
                      <wp:extent cx="133985" cy="175260"/>
                      <wp:effectExtent l="0" t="0" r="0" b="0"/>
                      <wp:wrapNone/>
                      <wp:docPr id="594" name="Frame59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6">
                      <wp:simplePos x="0" y="0"/>
                      <wp:positionH relativeFrom="character">
                        <wp:align>left</wp:align>
                      </wp:positionH>
                      <wp:positionV relativeFrom="line">
                        <wp:posOffset>635</wp:posOffset>
                      </wp:positionV>
                      <wp:extent cx="504825" cy="175260"/>
                      <wp:effectExtent l="0" t="0" r="0" b="0"/>
                      <wp:wrapNone/>
                      <wp:docPr id="595" name="Frame595"/>
                      <a:graphic xmlns:a="http://schemas.openxmlformats.org/drawingml/2006/main">
                        <a:graphicData uri="http://schemas.microsoft.com/office/word/2010/wordprocessingShape">
                          <wps:wsp>
                            <wps:cNvSpPr txBox="1"/>
                            <wps:spPr>
                              <a:xfrm>
                                <a:off x="0" y="0"/>
                                <a:ext cx="504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7">
                      <wp:simplePos x="0" y="0"/>
                      <wp:positionH relativeFrom="character">
                        <wp:align>left</wp:align>
                      </wp:positionH>
                      <wp:positionV relativeFrom="line">
                        <wp:posOffset>635</wp:posOffset>
                      </wp:positionV>
                      <wp:extent cx="99060" cy="175260"/>
                      <wp:effectExtent l="0" t="0" r="0" b="0"/>
                      <wp:wrapNone/>
                      <wp:docPr id="596" name="Frame596"/>
                      <a:graphic xmlns:a="http://schemas.openxmlformats.org/drawingml/2006/main">
                        <a:graphicData uri="http://schemas.microsoft.com/office/word/2010/wordprocessingShape">
                          <wps:wsp>
                            <wps:cNvSpPr txBox="1"/>
                            <wps:spPr>
                              <a:xfrm>
                                <a:off x="0" y="0"/>
                                <a:ext cx="99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11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58"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09" w:type="dxa"/>
            <w:tcBorders/>
            <w:vAlign w:val="center"/>
          </w:tcPr>
          <w:p>
            <w:pPr>
              <w:pStyle w:val="TableContents"/>
              <w:bidi w:val="0"/>
              <w:spacing w:before="0" w:after="0"/>
              <w:ind w:left="0" w:right="0" w:hanging="0"/>
              <w:jc w:val="left"/>
              <w:rPr/>
            </w:pPr>
            <w:r>
              <w:rPr/>
              <w:t>​</w:t>
            </w:r>
          </w:p>
        </w:tc>
        <w:tc>
          <w:tcPr>
            <w:tcW w:w="2358"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156" w:type="dxa"/>
            <w:tcBorders/>
            <w:vAlign w:val="center"/>
          </w:tcPr>
          <w:p>
            <w:pPr>
              <w:pStyle w:val="TableContents"/>
              <w:bidi w:val="0"/>
              <w:spacing w:before="0" w:after="0"/>
              <w:ind w:left="0" w:right="0" w:hanging="0"/>
              <w:jc w:val="left"/>
              <w:rPr/>
            </w:pPr>
            <w:r>
              <w:rPr/>
              <w:t>​</w:t>
            </w:r>
          </w:p>
        </w:tc>
      </w:tr>
      <w:tr>
        <w:trPr/>
        <w:tc>
          <w:tcPr>
            <w:tcW w:w="511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5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09" w:type="dxa"/>
            <w:tcBorders/>
            <w:vAlign w:val="center"/>
          </w:tcPr>
          <w:p>
            <w:pPr>
              <w:pStyle w:val="TableContents"/>
              <w:bidi w:val="0"/>
              <w:spacing w:before="0" w:after="0"/>
              <w:ind w:left="0" w:right="0" w:hanging="0"/>
              <w:jc w:val="left"/>
              <w:rPr/>
            </w:pPr>
            <w:r>
              <w:rPr/>
              <w:t>​</w:t>
            </w:r>
          </w:p>
        </w:tc>
        <w:tc>
          <w:tcPr>
            <w:tcW w:w="235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56" w:type="dxa"/>
            <w:tcBorders/>
            <w:vAlign w:val="center"/>
          </w:tcPr>
          <w:p>
            <w:pPr>
              <w:pStyle w:val="TableContents"/>
              <w:bidi w:val="0"/>
              <w:spacing w:before="0" w:after="0"/>
              <w:ind w:left="0" w:right="0" w:hanging="0"/>
              <w:jc w:val="left"/>
              <w:rPr/>
            </w:pPr>
            <w:r>
              <w:rPr/>
              <w:t>​</w:t>
            </w:r>
          </w:p>
        </w:tc>
      </w:tr>
      <w:tr>
        <w:trPr/>
        <w:tc>
          <w:tcPr>
            <w:tcW w:w="511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0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left"/>
              <w:rPr/>
            </w:pPr>
            <w:r>
              <w:rPr/>
              <w:t>​</w:t>
            </w:r>
          </w:p>
        </w:tc>
        <w:tc>
          <w:tcPr>
            <w:tcW w:w="10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0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56" w:type="dxa"/>
            <w:tcBorders/>
            <w:vAlign w:val="center"/>
          </w:tcPr>
          <w:p>
            <w:pPr>
              <w:pStyle w:val="TableContents"/>
              <w:bidi w:val="0"/>
              <w:spacing w:before="0" w:after="0"/>
              <w:ind w:left="0" w:right="0" w:hanging="0"/>
              <w:jc w:val="left"/>
              <w:rPr/>
            </w:pPr>
            <w:r>
              <w:rPr/>
              <w:t>​</w:t>
            </w:r>
          </w:p>
        </w:tc>
      </w:tr>
      <w:tr>
        <w:trPr/>
        <w:tc>
          <w:tcPr>
            <w:tcW w:w="5115"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Net income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95"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102,079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95"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75,875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95"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171,481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95"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138,889</w:t>
            </w:r>
          </w:p>
        </w:tc>
        <w:tc>
          <w:tcPr>
            <w:tcW w:w="156" w:type="dxa"/>
            <w:tcBorders/>
            <w:shd w:fill="CCEEFF" w:val="clear"/>
            <w:vAlign w:val="center"/>
          </w:tcPr>
          <w:p>
            <w:pPr>
              <w:pStyle w:val="TableContents"/>
              <w:bidi w:val="0"/>
              <w:spacing w:before="0" w:after="0"/>
              <w:ind w:left="0" w:right="0" w:hanging="0"/>
              <w:jc w:val="left"/>
              <w:rPr/>
            </w:pPr>
            <w:r>
              <w:rPr/>
              <w:t>​</w:t>
            </w:r>
          </w:p>
        </w:tc>
      </w:tr>
      <w:tr>
        <w:trPr/>
        <w:tc>
          <w:tcPr>
            <w:tcW w:w="511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Interest expense, net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5"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60,148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5"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52,951</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5"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119,081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5"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101,775</w:t>
            </w:r>
          </w:p>
        </w:tc>
        <w:tc>
          <w:tcPr>
            <w:tcW w:w="156" w:type="dxa"/>
            <w:tcBorders/>
            <w:vAlign w:val="center"/>
          </w:tcPr>
          <w:p>
            <w:pPr>
              <w:pStyle w:val="TableContents"/>
              <w:bidi w:val="0"/>
              <w:spacing w:before="0" w:after="0"/>
              <w:ind w:left="0" w:right="0" w:hanging="0"/>
              <w:jc w:val="left"/>
              <w:rPr/>
            </w:pPr>
            <w:r>
              <w:rPr/>
              <w:t>​</w:t>
            </w:r>
          </w:p>
        </w:tc>
      </w:tr>
      <w:tr>
        <w:trPr/>
        <w:tc>
          <w:tcPr>
            <w:tcW w:w="5115"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Provision for income taxes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5"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12,063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5"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7,848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5"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18,962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5"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12,007</w:t>
            </w:r>
          </w:p>
        </w:tc>
        <w:tc>
          <w:tcPr>
            <w:tcW w:w="156" w:type="dxa"/>
            <w:tcBorders/>
            <w:shd w:fill="CCEEFF" w:val="clear"/>
            <w:vAlign w:val="center"/>
          </w:tcPr>
          <w:p>
            <w:pPr>
              <w:pStyle w:val="TableContents"/>
              <w:bidi w:val="0"/>
              <w:spacing w:before="0" w:after="0"/>
              <w:ind w:left="0" w:right="0" w:hanging="0"/>
              <w:jc w:val="left"/>
              <w:rPr/>
            </w:pPr>
            <w:r>
              <w:rPr/>
              <w:t>​</w:t>
            </w:r>
          </w:p>
        </w:tc>
      </w:tr>
      <w:tr>
        <w:trPr/>
        <w:tc>
          <w:tcPr>
            <w:tcW w:w="511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Depreciation and amortization</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5"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77,084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5"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66,963</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5"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152,785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5"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130,680</w:t>
            </w:r>
          </w:p>
        </w:tc>
        <w:tc>
          <w:tcPr>
            <w:tcW w:w="156" w:type="dxa"/>
            <w:tcBorders/>
            <w:vAlign w:val="center"/>
          </w:tcPr>
          <w:p>
            <w:pPr>
              <w:pStyle w:val="TableContents"/>
              <w:bidi w:val="0"/>
              <w:spacing w:before="0" w:after="0"/>
              <w:ind w:left="0" w:right="0" w:hanging="0"/>
              <w:jc w:val="left"/>
              <w:rPr/>
            </w:pPr>
            <w:r>
              <w:rPr/>
              <w:t>​</w:t>
            </w:r>
          </w:p>
        </w:tc>
      </w:tr>
      <w:tr>
        <w:trPr/>
        <w:tc>
          <w:tcPr>
            <w:tcW w:w="511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9"/>
              </w:rPr>
              <w:t>Pro rata EBITDA</w:t>
            </w:r>
            <w:r>
              <w:rPr>
                <w:rFonts w:ascii="Times New Roman;Times;serif" w:hAnsi="Times New Roman;Times;serif"/>
                <w:i/>
                <w:sz w:val="19"/>
              </w:rPr>
              <w:t>re</w:t>
            </w:r>
            <w:r>
              <w:rPr>
                <w:rFonts w:ascii="Times New Roman;Times;serif" w:hAnsi="Times New Roman;Times;serif"/>
                <w:sz w:val="18"/>
              </w:rPr>
              <w:t xml:space="preserve"> </w:t>
            </w:r>
            <w:r>
              <w:rPr>
                <w:rFonts w:ascii="Times New Roman;Times;serif" w:hAnsi="Times New Roman;Times;serif"/>
                <w:sz w:val="19"/>
              </w:rPr>
              <w:t>from unconsolidated joint ventures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w:t>
            </w:r>
          </w:p>
        </w:tc>
        <w:tc>
          <w:tcPr>
            <w:tcW w:w="156" w:type="dxa"/>
            <w:tcBorders/>
            <w:shd w:fill="CCEEFF" w:val="clear"/>
            <w:vAlign w:val="center"/>
          </w:tcPr>
          <w:p>
            <w:pPr>
              <w:pStyle w:val="TableContents"/>
              <w:bidi w:val="0"/>
              <w:spacing w:before="0" w:after="0"/>
              <w:ind w:left="0" w:right="0" w:hanging="0"/>
              <w:jc w:val="left"/>
              <w:rPr/>
            </w:pPr>
            <w:r>
              <w:rPr/>
              <w:t>​</w:t>
            </w:r>
          </w:p>
        </w:tc>
      </w:tr>
      <w:tr>
        <w:trPr/>
        <w:tc>
          <w:tcPr>
            <w:tcW w:w="511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9"/>
              </w:rPr>
              <w:t>EBITDA</w:t>
            </w:r>
            <w:r>
              <w:rPr>
                <w:rFonts w:ascii="Times New Roman;Times;serif" w:hAnsi="Times New Roman;Times;serif"/>
                <w:i/>
                <w:sz w:val="19"/>
              </w:rPr>
              <w:t>re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5"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251,375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5"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203,638</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5"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462,311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5"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383,353</w:t>
            </w:r>
          </w:p>
        </w:tc>
        <w:tc>
          <w:tcPr>
            <w:tcW w:w="156" w:type="dxa"/>
            <w:tcBorders/>
            <w:vAlign w:val="center"/>
          </w:tcPr>
          <w:p>
            <w:pPr>
              <w:pStyle w:val="TableContents"/>
              <w:bidi w:val="0"/>
              <w:spacing w:before="0" w:after="0"/>
              <w:ind w:left="0" w:right="0" w:hanging="0"/>
              <w:jc w:val="left"/>
              <w:rPr/>
            </w:pPr>
            <w:r>
              <w:rPr/>
              <w:t>​</w:t>
            </w:r>
          </w:p>
        </w:tc>
      </w:tr>
      <w:tr>
        <w:trPr/>
        <w:tc>
          <w:tcPr>
            <w:tcW w:w="5115"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Preopening costs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5"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438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5"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5"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5"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185</w:t>
            </w:r>
          </w:p>
        </w:tc>
        <w:tc>
          <w:tcPr>
            <w:tcW w:w="156" w:type="dxa"/>
            <w:tcBorders/>
            <w:shd w:fill="CCEEFF" w:val="clear"/>
            <w:vAlign w:val="center"/>
          </w:tcPr>
          <w:p>
            <w:pPr>
              <w:pStyle w:val="TableContents"/>
              <w:bidi w:val="0"/>
              <w:spacing w:before="0" w:after="0"/>
              <w:ind w:left="0" w:right="0" w:hanging="0"/>
              <w:jc w:val="left"/>
              <w:rPr/>
            </w:pPr>
            <w:r>
              <w:rPr/>
              <w:t>​</w:t>
            </w:r>
          </w:p>
        </w:tc>
      </w:tr>
      <w:tr>
        <w:trPr/>
        <w:tc>
          <w:tcPr>
            <w:tcW w:w="511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Non-cash lease expense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5"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1,649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5"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945</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5"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2,592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5"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1,834</w:t>
            </w:r>
          </w:p>
        </w:tc>
        <w:tc>
          <w:tcPr>
            <w:tcW w:w="156" w:type="dxa"/>
            <w:tcBorders/>
            <w:vAlign w:val="center"/>
          </w:tcPr>
          <w:p>
            <w:pPr>
              <w:pStyle w:val="TableContents"/>
              <w:bidi w:val="0"/>
              <w:spacing w:before="0" w:after="0"/>
              <w:ind w:left="0" w:right="0" w:hanging="0"/>
              <w:jc w:val="left"/>
              <w:rPr/>
            </w:pPr>
            <w:r>
              <w:rPr/>
              <w:t>​</w:t>
            </w:r>
          </w:p>
        </w:tc>
      </w:tr>
      <w:tr>
        <w:trPr/>
        <w:tc>
          <w:tcPr>
            <w:tcW w:w="5115"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Equity-based compensation expense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5"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3,827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5"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3,495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5"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7,629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5"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7,117</w:t>
            </w:r>
          </w:p>
        </w:tc>
        <w:tc>
          <w:tcPr>
            <w:tcW w:w="156" w:type="dxa"/>
            <w:tcBorders/>
            <w:shd w:fill="CCEEFF" w:val="clear"/>
            <w:vAlign w:val="center"/>
          </w:tcPr>
          <w:p>
            <w:pPr>
              <w:pStyle w:val="TableContents"/>
              <w:bidi w:val="0"/>
              <w:spacing w:before="0" w:after="0"/>
              <w:ind w:left="0" w:right="0" w:hanging="0"/>
              <w:jc w:val="left"/>
              <w:rPr/>
            </w:pPr>
            <w:r>
              <w:rPr/>
              <w:t>​</w:t>
            </w:r>
          </w:p>
        </w:tc>
      </w:tr>
      <w:tr>
        <w:trPr/>
        <w:tc>
          <w:tcPr>
            <w:tcW w:w="511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Interest income on Gaylord National bonds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5"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1,026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5"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1,113</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5"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2,051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5"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2,227</w:t>
            </w:r>
          </w:p>
        </w:tc>
        <w:tc>
          <w:tcPr>
            <w:tcW w:w="156" w:type="dxa"/>
            <w:tcBorders/>
            <w:vAlign w:val="center"/>
          </w:tcPr>
          <w:p>
            <w:pPr>
              <w:pStyle w:val="TableContents"/>
              <w:bidi w:val="0"/>
              <w:spacing w:before="0" w:after="0"/>
              <w:ind w:left="0" w:right="0" w:hanging="0"/>
              <w:jc w:val="left"/>
              <w:rPr/>
            </w:pPr>
            <w:r>
              <w:rPr/>
              <w:t>​</w:t>
            </w:r>
          </w:p>
        </w:tc>
      </w:tr>
      <w:tr>
        <w:trPr/>
        <w:tc>
          <w:tcPr>
            <w:tcW w:w="5115"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Loss on extinguishment of debt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5"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2,542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5"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2,200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5"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2,542</w:t>
            </w:r>
          </w:p>
        </w:tc>
        <w:tc>
          <w:tcPr>
            <w:tcW w:w="156" w:type="dxa"/>
            <w:tcBorders/>
            <w:shd w:fill="CCEEFF" w:val="clear"/>
            <w:vAlign w:val="center"/>
          </w:tcPr>
          <w:p>
            <w:pPr>
              <w:pStyle w:val="TableContents"/>
              <w:bidi w:val="0"/>
              <w:spacing w:before="0" w:after="0"/>
              <w:ind w:left="0" w:right="0" w:hanging="0"/>
              <w:jc w:val="left"/>
              <w:rPr/>
            </w:pPr>
            <w:r>
              <w:rPr/>
              <w:t>​</w:t>
            </w:r>
          </w:p>
        </w:tc>
      </w:tr>
      <w:tr>
        <w:trPr/>
        <w:tc>
          <w:tcPr>
            <w:tcW w:w="511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Transaction costs of acquisitions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5"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25</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5"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100</w:t>
            </w:r>
          </w:p>
        </w:tc>
        <w:tc>
          <w:tcPr>
            <w:tcW w:w="156" w:type="dxa"/>
            <w:tcBorders/>
            <w:vAlign w:val="center"/>
          </w:tcPr>
          <w:p>
            <w:pPr>
              <w:pStyle w:val="TableContents"/>
              <w:bidi w:val="0"/>
              <w:spacing w:before="0" w:after="0"/>
              <w:ind w:left="0" w:right="0" w:hanging="0"/>
              <w:jc w:val="left"/>
              <w:rPr/>
            </w:pPr>
            <w:r>
              <w:rPr/>
              <w:t>​</w:t>
            </w:r>
          </w:p>
        </w:tc>
      </w:tr>
      <w:tr>
        <w:trPr/>
        <w:tc>
          <w:tcPr>
            <w:tcW w:w="511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9"/>
              </w:rPr>
              <w:t>Pro rata adjusted EBITDA</w:t>
            </w:r>
            <w:r>
              <w:rPr>
                <w:rFonts w:ascii="Times New Roman;Times;serif" w:hAnsi="Times New Roman;Times;serif"/>
                <w:i/>
                <w:sz w:val="19"/>
              </w:rPr>
              <w:t>re</w:t>
            </w:r>
            <w:r>
              <w:rPr>
                <w:rFonts w:ascii="Times New Roman;Times;serif" w:hAnsi="Times New Roman;Times;serif"/>
                <w:sz w:val="18"/>
              </w:rPr>
              <w:t xml:space="preserve"> </w:t>
            </w:r>
            <w:r>
              <w:rPr>
                <w:rFonts w:ascii="Times New Roman;Times;serif" w:hAnsi="Times New Roman;Times;serif"/>
                <w:sz w:val="19"/>
              </w:rPr>
              <w:t>from unconsolidated joint ventures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56" w:type="dxa"/>
            <w:tcBorders/>
            <w:shd w:fill="CCEEFF" w:val="clear"/>
            <w:vAlign w:val="center"/>
          </w:tcPr>
          <w:p>
            <w:pPr>
              <w:pStyle w:val="TableContents"/>
              <w:bidi w:val="0"/>
              <w:spacing w:before="0" w:after="0"/>
              <w:ind w:left="0" w:right="0" w:hanging="0"/>
              <w:jc w:val="left"/>
              <w:rPr/>
            </w:pPr>
            <w:r>
              <w:rPr/>
              <w:t>​</w:t>
            </w:r>
          </w:p>
        </w:tc>
      </w:tr>
      <w:tr>
        <w:trPr/>
        <w:tc>
          <w:tcPr>
            <w:tcW w:w="511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9"/>
              </w:rPr>
              <w:t>Adjusted EBITDA</w:t>
            </w:r>
            <w:r>
              <w:rPr>
                <w:rFonts w:ascii="Times New Roman;Times;serif" w:hAnsi="Times New Roman;Times;serif"/>
                <w:i/>
                <w:sz w:val="19"/>
              </w:rPr>
              <w:t>re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5"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258,311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5"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211,856</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5"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477,604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5"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397,358</w:t>
            </w:r>
          </w:p>
        </w:tc>
        <w:tc>
          <w:tcPr>
            <w:tcW w:w="156" w:type="dxa"/>
            <w:tcBorders/>
            <w:vAlign w:val="center"/>
          </w:tcPr>
          <w:p>
            <w:pPr>
              <w:pStyle w:val="TableContents"/>
              <w:bidi w:val="0"/>
              <w:spacing w:before="0" w:after="0"/>
              <w:ind w:left="0" w:right="0" w:hanging="0"/>
              <w:jc w:val="left"/>
              <w:rPr/>
            </w:pPr>
            <w:r>
              <w:rPr/>
              <w:t>​</w:t>
            </w:r>
          </w:p>
        </w:tc>
      </w:tr>
      <w:tr>
        <w:trPr/>
        <w:tc>
          <w:tcPr>
            <w:tcW w:w="511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9"/>
              </w:rPr>
              <w:t>Adjusted EBITDA</w:t>
            </w:r>
            <w:r>
              <w:rPr>
                <w:rFonts w:ascii="Times New Roman;Times;serif" w:hAnsi="Times New Roman;Times;serif"/>
                <w:i/>
                <w:sz w:val="19"/>
              </w:rPr>
              <w:t>re</w:t>
            </w:r>
            <w:r>
              <w:rPr>
                <w:rFonts w:ascii="Times New Roman;Times;serif" w:hAnsi="Times New Roman;Times;serif"/>
                <w:sz w:val="18"/>
              </w:rPr>
              <w:t xml:space="preserve"> </w:t>
            </w:r>
            <w:r>
              <w:rPr>
                <w:rFonts w:ascii="Times New Roman;Times;serif" w:hAnsi="Times New Roman;Times;serif"/>
                <w:sz w:val="19"/>
              </w:rPr>
              <w:t>of noncontrolling interest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(16,390)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(11,295)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(20,547)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(16,921)</w:t>
            </w:r>
          </w:p>
        </w:tc>
        <w:tc>
          <w:tcPr>
            <w:tcW w:w="156" w:type="dxa"/>
            <w:tcBorders/>
            <w:shd w:fill="CCEEFF" w:val="clear"/>
            <w:vAlign w:val="center"/>
          </w:tcPr>
          <w:p>
            <w:pPr>
              <w:pStyle w:val="TableContents"/>
              <w:bidi w:val="0"/>
              <w:spacing w:before="0" w:after="0"/>
              <w:ind w:left="0" w:right="0" w:hanging="0"/>
              <w:jc w:val="left"/>
              <w:rPr/>
            </w:pPr>
            <w:r>
              <w:rPr/>
              <w:t>​</w:t>
            </w:r>
          </w:p>
        </w:tc>
      </w:tr>
      <w:tr>
        <w:trPr/>
        <w:tc>
          <w:tcPr>
            <w:tcW w:w="511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9"/>
              </w:rPr>
              <w:t>Adjusted EBITDA</w:t>
            </w:r>
            <w:r>
              <w:rPr>
                <w:rFonts w:ascii="Times New Roman;Times;serif" w:hAnsi="Times New Roman;Times;serif"/>
                <w:i/>
                <w:sz w:val="19"/>
              </w:rPr>
              <w:t>re</w:t>
            </w:r>
            <w:r>
              <w:rPr>
                <w:rFonts w:ascii="Times New Roman;Times;serif" w:hAnsi="Times New Roman;Times;serif"/>
                <w:sz w:val="19"/>
              </w:rPr>
              <w:t>, excluding noncontrolling interest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9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241,921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9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200,561</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9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457,057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9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380,437</w:t>
            </w:r>
          </w:p>
        </w:tc>
        <w:tc>
          <w:tcPr>
            <w:tcW w:w="15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is a reconciliation of our consolidated GAAP net income available to common stockholders to FFO and Adjusted FFO for the three and six months ended June 30, 2026 and 2025 (in thousands):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5173"/>
        <w:gridCol w:w="109"/>
        <w:gridCol w:w="211"/>
        <w:gridCol w:w="781"/>
        <w:gridCol w:w="346"/>
        <w:gridCol w:w="211"/>
        <w:gridCol w:w="781"/>
        <w:gridCol w:w="109"/>
        <w:gridCol w:w="211"/>
        <w:gridCol w:w="781"/>
        <w:gridCol w:w="346"/>
        <w:gridCol w:w="211"/>
        <w:gridCol w:w="781"/>
        <w:gridCol w:w="154"/>
      </w:tblGrid>
      <w:tr>
        <w:trPr/>
        <w:tc>
          <w:tcPr>
            <w:tcW w:w="51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8">
                      <wp:simplePos x="0" y="0"/>
                      <wp:positionH relativeFrom="character">
                        <wp:align>left</wp:align>
                      </wp:positionH>
                      <wp:positionV relativeFrom="line">
                        <wp:posOffset>635</wp:posOffset>
                      </wp:positionV>
                      <wp:extent cx="3284855" cy="175260"/>
                      <wp:effectExtent l="0" t="0" r="0" b="0"/>
                      <wp:wrapNone/>
                      <wp:docPr id="597" name="Frame597"/>
                      <a:graphic xmlns:a="http://schemas.openxmlformats.org/drawingml/2006/main">
                        <a:graphicData uri="http://schemas.microsoft.com/office/word/2010/wordprocessingShape">
                          <wps:wsp>
                            <wps:cNvSpPr txBox="1"/>
                            <wps:spPr>
                              <a:xfrm>
                                <a:off x="0" y="0"/>
                                <a:ext cx="32848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9">
                      <wp:simplePos x="0" y="0"/>
                      <wp:positionH relativeFrom="character">
                        <wp:align>left</wp:align>
                      </wp:positionH>
                      <wp:positionV relativeFrom="line">
                        <wp:posOffset>635</wp:posOffset>
                      </wp:positionV>
                      <wp:extent cx="69215" cy="175260"/>
                      <wp:effectExtent l="0" t="0" r="0" b="0"/>
                      <wp:wrapNone/>
                      <wp:docPr id="598" name="Frame59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0">
                      <wp:simplePos x="0" y="0"/>
                      <wp:positionH relativeFrom="character">
                        <wp:align>left</wp:align>
                      </wp:positionH>
                      <wp:positionV relativeFrom="line">
                        <wp:posOffset>635</wp:posOffset>
                      </wp:positionV>
                      <wp:extent cx="133985" cy="175260"/>
                      <wp:effectExtent l="0" t="0" r="0" b="0"/>
                      <wp:wrapNone/>
                      <wp:docPr id="599" name="Frame59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1">
                      <wp:simplePos x="0" y="0"/>
                      <wp:positionH relativeFrom="character">
                        <wp:align>left</wp:align>
                      </wp:positionH>
                      <wp:positionV relativeFrom="line">
                        <wp:posOffset>635</wp:posOffset>
                      </wp:positionV>
                      <wp:extent cx="495935" cy="175260"/>
                      <wp:effectExtent l="0" t="0" r="0" b="0"/>
                      <wp:wrapNone/>
                      <wp:docPr id="600" name="Frame60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2">
                      <wp:simplePos x="0" y="0"/>
                      <wp:positionH relativeFrom="character">
                        <wp:align>left</wp:align>
                      </wp:positionH>
                      <wp:positionV relativeFrom="line">
                        <wp:posOffset>635</wp:posOffset>
                      </wp:positionV>
                      <wp:extent cx="219710" cy="175260"/>
                      <wp:effectExtent l="0" t="0" r="0" b="0"/>
                      <wp:wrapNone/>
                      <wp:docPr id="601" name="Frame6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3">
                      <wp:simplePos x="0" y="0"/>
                      <wp:positionH relativeFrom="character">
                        <wp:align>left</wp:align>
                      </wp:positionH>
                      <wp:positionV relativeFrom="line">
                        <wp:posOffset>635</wp:posOffset>
                      </wp:positionV>
                      <wp:extent cx="133985" cy="175260"/>
                      <wp:effectExtent l="0" t="0" r="0" b="0"/>
                      <wp:wrapNone/>
                      <wp:docPr id="602" name="Frame60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4">
                      <wp:simplePos x="0" y="0"/>
                      <wp:positionH relativeFrom="character">
                        <wp:align>left</wp:align>
                      </wp:positionH>
                      <wp:positionV relativeFrom="line">
                        <wp:posOffset>635</wp:posOffset>
                      </wp:positionV>
                      <wp:extent cx="495935" cy="175260"/>
                      <wp:effectExtent l="0" t="0" r="0" b="0"/>
                      <wp:wrapNone/>
                      <wp:docPr id="603" name="Frame60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5">
                      <wp:simplePos x="0" y="0"/>
                      <wp:positionH relativeFrom="character">
                        <wp:align>left</wp:align>
                      </wp:positionH>
                      <wp:positionV relativeFrom="line">
                        <wp:posOffset>635</wp:posOffset>
                      </wp:positionV>
                      <wp:extent cx="69215" cy="175260"/>
                      <wp:effectExtent l="0" t="0" r="0" b="0"/>
                      <wp:wrapNone/>
                      <wp:docPr id="604" name="Frame60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6">
                      <wp:simplePos x="0" y="0"/>
                      <wp:positionH relativeFrom="character">
                        <wp:align>left</wp:align>
                      </wp:positionH>
                      <wp:positionV relativeFrom="line">
                        <wp:posOffset>635</wp:posOffset>
                      </wp:positionV>
                      <wp:extent cx="133985" cy="175260"/>
                      <wp:effectExtent l="0" t="0" r="0" b="0"/>
                      <wp:wrapNone/>
                      <wp:docPr id="605" name="Frame60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7">
                      <wp:simplePos x="0" y="0"/>
                      <wp:positionH relativeFrom="character">
                        <wp:align>left</wp:align>
                      </wp:positionH>
                      <wp:positionV relativeFrom="line">
                        <wp:posOffset>635</wp:posOffset>
                      </wp:positionV>
                      <wp:extent cx="495935" cy="175260"/>
                      <wp:effectExtent l="0" t="0" r="0" b="0"/>
                      <wp:wrapNone/>
                      <wp:docPr id="606" name="Frame60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8">
                      <wp:simplePos x="0" y="0"/>
                      <wp:positionH relativeFrom="character">
                        <wp:align>left</wp:align>
                      </wp:positionH>
                      <wp:positionV relativeFrom="line">
                        <wp:posOffset>635</wp:posOffset>
                      </wp:positionV>
                      <wp:extent cx="219710" cy="175260"/>
                      <wp:effectExtent l="0" t="0" r="0" b="0"/>
                      <wp:wrapNone/>
                      <wp:docPr id="607" name="Frame6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9">
                      <wp:simplePos x="0" y="0"/>
                      <wp:positionH relativeFrom="character">
                        <wp:align>left</wp:align>
                      </wp:positionH>
                      <wp:positionV relativeFrom="line">
                        <wp:posOffset>635</wp:posOffset>
                      </wp:positionV>
                      <wp:extent cx="133985" cy="175260"/>
                      <wp:effectExtent l="0" t="0" r="0" b="0"/>
                      <wp:wrapNone/>
                      <wp:docPr id="608" name="Frame60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0">
                      <wp:simplePos x="0" y="0"/>
                      <wp:positionH relativeFrom="character">
                        <wp:align>left</wp:align>
                      </wp:positionH>
                      <wp:positionV relativeFrom="line">
                        <wp:posOffset>635</wp:posOffset>
                      </wp:positionV>
                      <wp:extent cx="495935" cy="175260"/>
                      <wp:effectExtent l="0" t="0" r="0" b="0"/>
                      <wp:wrapNone/>
                      <wp:docPr id="609" name="Frame60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1">
                      <wp:simplePos x="0" y="0"/>
                      <wp:positionH relativeFrom="character">
                        <wp:align>left</wp:align>
                      </wp:positionH>
                      <wp:positionV relativeFrom="line">
                        <wp:posOffset>635</wp:posOffset>
                      </wp:positionV>
                      <wp:extent cx="97790" cy="175260"/>
                      <wp:effectExtent l="0" t="0" r="0" b="0"/>
                      <wp:wrapNone/>
                      <wp:docPr id="610" name="Frame610"/>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17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3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09" w:type="dxa"/>
            <w:tcBorders/>
            <w:vAlign w:val="center"/>
          </w:tcPr>
          <w:p>
            <w:pPr>
              <w:pStyle w:val="TableContents"/>
              <w:bidi w:val="0"/>
              <w:spacing w:before="0" w:after="0"/>
              <w:ind w:left="0" w:right="0" w:hanging="0"/>
              <w:jc w:val="left"/>
              <w:rPr/>
            </w:pPr>
            <w:r>
              <w:rPr/>
              <w:t>​</w:t>
            </w:r>
          </w:p>
        </w:tc>
        <w:tc>
          <w:tcPr>
            <w:tcW w:w="233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154" w:type="dxa"/>
            <w:tcBorders/>
            <w:vAlign w:val="center"/>
          </w:tcPr>
          <w:p>
            <w:pPr>
              <w:pStyle w:val="TableContents"/>
              <w:bidi w:val="0"/>
              <w:spacing w:before="0" w:after="0"/>
              <w:ind w:left="0" w:right="0" w:hanging="0"/>
              <w:jc w:val="left"/>
              <w:rPr/>
            </w:pPr>
            <w:r>
              <w:rPr/>
              <w:t>​</w:t>
            </w:r>
          </w:p>
        </w:tc>
      </w:tr>
      <w:tr>
        <w:trPr/>
        <w:tc>
          <w:tcPr>
            <w:tcW w:w="517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09" w:type="dxa"/>
            <w:tcBorders/>
            <w:vAlign w:val="center"/>
          </w:tcPr>
          <w:p>
            <w:pPr>
              <w:pStyle w:val="TableContents"/>
              <w:bidi w:val="0"/>
              <w:spacing w:before="0" w:after="0"/>
              <w:ind w:left="0" w:right="0" w:hanging="0"/>
              <w:jc w:val="left"/>
              <w:rPr/>
            </w:pPr>
            <w:r>
              <w:rPr/>
              <w:t>​</w:t>
            </w:r>
          </w:p>
        </w:tc>
        <w:tc>
          <w:tcPr>
            <w:tcW w:w="23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54" w:type="dxa"/>
            <w:tcBorders/>
            <w:vAlign w:val="center"/>
          </w:tcPr>
          <w:p>
            <w:pPr>
              <w:pStyle w:val="TableContents"/>
              <w:bidi w:val="0"/>
              <w:spacing w:before="0" w:after="0"/>
              <w:ind w:left="0" w:right="0" w:hanging="0"/>
              <w:jc w:val="left"/>
              <w:rPr/>
            </w:pPr>
            <w:r>
              <w:rPr/>
              <w:t>​</w:t>
            </w:r>
          </w:p>
        </w:tc>
      </w:tr>
      <w:tr>
        <w:trPr/>
        <w:tc>
          <w:tcPr>
            <w:tcW w:w="517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54" w:type="dxa"/>
            <w:tcBorders/>
            <w:vAlign w:val="center"/>
          </w:tcPr>
          <w:p>
            <w:pPr>
              <w:pStyle w:val="TableContents"/>
              <w:bidi w:val="0"/>
              <w:spacing w:before="0" w:after="0"/>
              <w:ind w:left="0" w:right="0" w:hanging="0"/>
              <w:jc w:val="left"/>
              <w:rPr/>
            </w:pPr>
            <w:r>
              <w:rPr/>
              <w:t>​</w:t>
            </w:r>
          </w:p>
        </w:tc>
      </w:tr>
      <w:tr>
        <w:trPr/>
        <w:tc>
          <w:tcPr>
            <w:tcW w:w="51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available to common stockholders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92,750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71,753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163,225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134,714</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51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Noncontrolling interest in OP Units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1,532</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874</w:t>
            </w:r>
          </w:p>
        </w:tc>
        <w:tc>
          <w:tcPr>
            <w:tcW w:w="154" w:type="dxa"/>
            <w:tcBorders/>
            <w:vAlign w:val="center"/>
          </w:tcPr>
          <w:p>
            <w:pPr>
              <w:pStyle w:val="TableContents"/>
              <w:bidi w:val="0"/>
              <w:spacing w:before="0" w:after="0"/>
              <w:ind w:left="0" w:right="0" w:hanging="0"/>
              <w:jc w:val="left"/>
              <w:rPr/>
            </w:pPr>
            <w:r>
              <w:rPr/>
              <w:t>​</w:t>
            </w:r>
          </w:p>
        </w:tc>
      </w:tr>
      <w:tr>
        <w:trPr/>
        <w:tc>
          <w:tcPr>
            <w:tcW w:w="51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available to common stockholders and unit holders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93,331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73,285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164,247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135,588</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51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76,974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66,906</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152,554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130,582</w:t>
            </w:r>
          </w:p>
        </w:tc>
        <w:tc>
          <w:tcPr>
            <w:tcW w:w="154" w:type="dxa"/>
            <w:tcBorders/>
            <w:vAlign w:val="center"/>
          </w:tcPr>
          <w:p>
            <w:pPr>
              <w:pStyle w:val="TableContents"/>
              <w:bidi w:val="0"/>
              <w:spacing w:before="0" w:after="0"/>
              <w:ind w:left="0" w:right="0" w:hanging="0"/>
              <w:jc w:val="left"/>
              <w:rPr/>
            </w:pPr>
            <w:r>
              <w:rPr/>
              <w:t>​</w:t>
            </w:r>
          </w:p>
        </w:tc>
      </w:tr>
      <w:tr>
        <w:trPr/>
        <w:tc>
          <w:tcPr>
            <w:tcW w:w="51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Adjustments for noncontrolling interest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(6,123)</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51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FFO available to common stockholders and unit holders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167,229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137,145</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310,701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260,047</w:t>
            </w:r>
          </w:p>
        </w:tc>
        <w:tc>
          <w:tcPr>
            <w:tcW w:w="154" w:type="dxa"/>
            <w:tcBorders/>
            <w:vAlign w:val="center"/>
          </w:tcPr>
          <w:p>
            <w:pPr>
              <w:pStyle w:val="TableContents"/>
              <w:bidi w:val="0"/>
              <w:spacing w:before="0" w:after="0"/>
              <w:ind w:left="0" w:right="0" w:hanging="0"/>
              <w:jc w:val="left"/>
              <w:rPr/>
            </w:pPr>
            <w:r>
              <w:rPr/>
              <w:t>​</w:t>
            </w:r>
          </w:p>
        </w:tc>
      </w:tr>
      <w:tr>
        <w:trPr/>
        <w:tc>
          <w:tcPr>
            <w:tcW w:w="51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Right-of-use asset amortization</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51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Non-cash lease expense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945</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1,834</w:t>
            </w:r>
          </w:p>
        </w:tc>
        <w:tc>
          <w:tcPr>
            <w:tcW w:w="154" w:type="dxa"/>
            <w:tcBorders/>
            <w:vAlign w:val="center"/>
          </w:tcPr>
          <w:p>
            <w:pPr>
              <w:pStyle w:val="TableContents"/>
              <w:bidi w:val="0"/>
              <w:spacing w:before="0" w:after="0"/>
              <w:ind w:left="0" w:right="0" w:hanging="0"/>
              <w:jc w:val="left"/>
              <w:rPr/>
            </w:pPr>
            <w:r>
              <w:rPr/>
              <w:t>​</w:t>
            </w:r>
          </w:p>
        </w:tc>
      </w:tr>
      <w:tr>
        <w:trPr/>
        <w:tc>
          <w:tcPr>
            <w:tcW w:w="51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 rata adjustments from joint ventures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51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deferred financing costs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3,105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6,352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5,607</w:t>
            </w:r>
          </w:p>
        </w:tc>
        <w:tc>
          <w:tcPr>
            <w:tcW w:w="154" w:type="dxa"/>
            <w:tcBorders/>
            <w:vAlign w:val="center"/>
          </w:tcPr>
          <w:p>
            <w:pPr>
              <w:pStyle w:val="TableContents"/>
              <w:bidi w:val="0"/>
              <w:spacing w:before="0" w:after="0"/>
              <w:ind w:left="0" w:right="0" w:hanging="0"/>
              <w:jc w:val="left"/>
              <w:rPr/>
            </w:pPr>
            <w:r>
              <w:rPr/>
              <w:t>​</w:t>
            </w:r>
          </w:p>
        </w:tc>
      </w:tr>
      <w:tr>
        <w:trPr/>
        <w:tc>
          <w:tcPr>
            <w:tcW w:w="51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debt discounts and premiums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988</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51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extinguishment of debt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2,542</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2,542</w:t>
            </w:r>
          </w:p>
        </w:tc>
        <w:tc>
          <w:tcPr>
            <w:tcW w:w="154" w:type="dxa"/>
            <w:tcBorders/>
            <w:vAlign w:val="center"/>
          </w:tcPr>
          <w:p>
            <w:pPr>
              <w:pStyle w:val="TableContents"/>
              <w:bidi w:val="0"/>
              <w:spacing w:before="0" w:after="0"/>
              <w:ind w:left="0" w:right="0" w:hanging="0"/>
              <w:jc w:val="left"/>
              <w:rPr/>
            </w:pPr>
            <w:r>
              <w:rPr/>
              <w:t>​</w:t>
            </w:r>
          </w:p>
        </w:tc>
      </w:tr>
      <w:tr>
        <w:trPr/>
        <w:tc>
          <w:tcPr>
            <w:tcW w:w="51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Adjustments for noncontrolling interest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(2,018)</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51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Transaction costs of acquisitions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154" w:type="dxa"/>
            <w:tcBorders/>
            <w:vAlign w:val="center"/>
          </w:tcPr>
          <w:p>
            <w:pPr>
              <w:pStyle w:val="TableContents"/>
              <w:bidi w:val="0"/>
              <w:spacing w:before="0" w:after="0"/>
              <w:ind w:left="0" w:right="0" w:hanging="0"/>
              <w:jc w:val="left"/>
              <w:rPr/>
            </w:pPr>
            <w:r>
              <w:rPr/>
              <w:t>​</w:t>
            </w:r>
          </w:p>
        </w:tc>
      </w:tr>
      <w:tr>
        <w:trPr/>
        <w:tc>
          <w:tcPr>
            <w:tcW w:w="51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provision</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10,857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6,537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16,611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9,470</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51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FFO available to common stockholders and unit holders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181,399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148,845</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337,477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278,668</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Liquidity and Capital Resources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Cash Flows Provided By Operating Activities</w:t>
      </w:r>
      <w:r>
        <w:rPr>
          <w:rFonts w:ascii="Times New Roman;Times;serif" w:hAnsi="Times New Roman;Times;serif"/>
          <w:sz w:val="20"/>
        </w:rPr>
        <w:t xml:space="preserve">. Cash flow from operating activities is the principal source of cash used to fund our operating expenses, interest payments on debt, maintenance capital expenditures, and dividends to stockholders. During the six months ended June 30, 2026, our net cash flows provided by operating activities were $321.9 million, primarily reflecting our net income before depreciation expense, amortization expense and other non-cash charges of $354.9 million, partially offset by unfavorable changes in working capital of $32.9 million. The unfavorable changes in working capital primarily resulted from an increase in accounts receivable due to a seasonal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increase in group business at our hotel properties, a decrease in accrued liabilities primarily related to the payment of accrued property taxes and compensation, a decrease in advanced ticket purchases at Southern Entertainment due to 2026 festivals occurring in June 2026, and a decrease in advanced room deposits on future hotel stays due to the timing of receipts. The unfavorable changes in working capital are partially offset by an increase in general accounts payable due to the timing of payments.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During the six months ended June 30, 2025, our net cash flows provided by operating activities were $220.7 million, primarily reflecting our net income before depreciation expense, amortization expense and other non-cash charges of $291.8 million, partially offset by unfavorable changes in working capital of $71.1 million. The unfavorable changes in working capital primarily resulted from an increase in accounts receivable due to a seasonal increase in group business at our hotel properties and a decrease in accounts payable and accrued liabilities primarily related to the timing of general payables and the payment of accrued compensation and property taxes. These unfavorable changes in working capital were partially offset by an increase in advanced ticket purchases at our OEG venues.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i/>
          <w:sz w:val="20"/>
        </w:rPr>
        <w:t xml:space="preserve">Cash Flows Used In Investing Activities. </w:t>
      </w:r>
      <w:r>
        <w:rPr>
          <w:rFonts w:ascii="Times New Roman;Times;serif" w:hAnsi="Times New Roman;Times;serif"/>
          <w:sz w:val="20"/>
        </w:rPr>
        <w:t>During the six months ended June 30, 2026, our primary use of funds for investing activities was purchases of property and equipment, which totaled $241.2 million and consisted primarily of rooms renovations at Gaylord Texan and JW Marriott Hill Country; projects at Gaylord Opryland, including a meeting space expansion and the development of a sports bar, pavilion and event lawn; the construction of Category 10 Las Vegas; and ongoing maintenance capital expenditures for each of our existing properties.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During the six months ended June 30, 2025, our primary uses of funds for investing activities were the use of $862.0 million to purchase JW Marriott Desert Ridge and purchases of property and equipment, which totaled $182.2 million. Purchases of property and equipment consisted primarily of projects at Gaylord Opryland, including the meeting space expansion, the renovation of an existing ballroom and pre-function space, and the development of the sports bar, pavilion and event lawn; the preparation for the rooms renovation at Gaylord Texan; and ongoing maintenance capital expenditures for each of our existing properties.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i/>
          <w:sz w:val="20"/>
        </w:rPr>
        <w:t>Cash Flows Provided By (Used In) Financing Activities</w:t>
      </w:r>
      <w:r>
        <w:rPr>
          <w:rFonts w:ascii="Times New Roman;Times;serif" w:hAnsi="Times New Roman;Times;serif"/>
          <w:sz w:val="20"/>
        </w:rPr>
        <w:t>. Our cash flows from financing activities primarily reflect the incurrence and repayment of long-term debt and the payment of cash distributions. During the six months ended June 30, 2026, our net cash flows used in financing activities were $182.3 million, primarily reflecting the issuance of $700.0 million in senior notes and the redemption of $700.0 million in senior notes, the payment of $153.7 million in cash distributions, and the payment of $19.3 million in deferred financing costs.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During the six months ended June 30, 2025, our net cash flows provided by financing activities were $716.6 million, primarily reflecting the issuance of $625.0 million in senior notes and $275.5 million in net proceeds from the issuance of approximately 3.0 million shares of our common stock, partially offset by the payment of $139.7 million in cash distributions, the net repayment of $21.0 million under the OEG revolving credit facility, and the payment of $12.6 million in deferred financing costs.</w:t>
      </w:r>
    </w:p>
    <w:p>
      <w:pPr>
        <w:pStyle w:val="TextBody"/>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Liquidity</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At June 30, 2026, we had $366.1 million in unrestricted cash and $930.0 million available for borrowing in the aggregate under our revolving credit facility and the OEG revolving credit facility. During the six months ended June 30, 2026, we issued $700 million in new senior notes, redeemed $700 million in existing senior notes, incurred capital expenditures of $241.2 million and paid $153.7 million in cash distributions. These changes, partially offset by the cash flows provided by operations discussed above, were the primary factors in the decrease in our cash balance from December 31, 2025 to June 30, 2026.</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We anticipate investing in our operations during the remainder of 2026 by spending between approximately $160 million and $260 million in capital expenditures, which includes the meeting space expansion at Gaylord Opryland; rooms renovations at JW Marriott Hill Country and Gaylord Texan; the construction of Category 10 Las Vegas; </w:t>
      </w:r>
      <w:r>
        <w:rPr>
          <w:rFonts w:ascii="Times New Roman;Times;serif" w:hAnsi="Times New Roman;Times;serif"/>
          <w:sz w:val="20"/>
          <w:shd w:fill="FFFFFF" w:val="clear"/>
        </w:rPr>
        <w:t>and ongoing maintenance capital for each of our current facilities</w:t>
      </w:r>
      <w:r>
        <w:rPr>
          <w:rFonts w:ascii="Times New Roman;Times;serif" w:hAnsi="Times New Roman;Times;serif"/>
          <w:sz w:val="20"/>
        </w:rPr>
        <w:t xml:space="preserve">. At this time, the scope of our multiyear capital program remains unchanged; however, the discrete nature of the projects in the pipeline allows us to take a flexible approach to evolving macroeconomic conditions. Further, our dividend policy provides that we will make minimum dividends of 100% of REIT taxable income annually. Future dividends are subject to our board of directors’ future determinations as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to amount and timing. We currently have no debt maturities until July 2028. We believe we will be able to refinance our debt agreements prior to their maturities.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We believe that our cash on hand and cash flow from operations, together with amounts available for borrowing under each of our revolving credit facility and the OEG revolving credit facility, will be adequate to fund our general short-term commitments, as well as: (i) current operating expenses, (ii) interest expense on long-term debt obligations, (iii) financing lease and operating lease obligations, (iv) declared dividends and (v) the capital expenditures described above. Our ability to draw on our credit facility and the OEG revolving credit facility is subject to the satisfaction of provisions of the credit facility and the OEG revolving credit facility, as applicable.</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Our outstanding principal debt agreements are described below. At June 30, 2026, there were no defaults under the covenants related to our outstanding debt.</w:t>
      </w:r>
    </w:p>
    <w:p>
      <w:pPr>
        <w:pStyle w:val="TextBody"/>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Principal Debt Agreements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i/>
          <w:sz w:val="20"/>
        </w:rPr>
        <w:t>Credit Facility</w:t>
      </w:r>
      <w:r>
        <w:rPr>
          <w:rFonts w:ascii="Times New Roman;Times;serif" w:hAnsi="Times New Roman;Times;serif"/>
          <w:sz w:val="20"/>
        </w:rPr>
        <w:t>. On May 18, 2023, we entered into a Credit Agreement (as amended and modified from time to time, the “Credit Agreement”) among the Company, as a guarantor, the Operating Partnership, as borrower, certain other subsidiaries of the Company party thereto, as guarantors, certain subsidiaries of the Company party thereto, as pledgors, the lenders party thereto and Wells Fargo Bank, National Association, as administrative agent.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 Credit Agreement provides for a senior secured term loan B (the “Term Loan B”) (in the original principal amount of $500.0 million and as of June 30, 2026 with an outstanding principal amount equal to $288.4 million), and a revolving credit facility (the “Revolver”) in an aggregate principal amount available equal to $850.0 million as of June 30, 2026, as well as an accordion feature that will allow us to increase the facilities by an aggregate total of up to $475 million, which may be allocated between the Term Loan B and the Revolver at our option.</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Each of the Term Loan B and the Revolver is guaranteed by us, each of our subsidiaries that own the Gaylord Hotels properties, the JW Marriott properties and certain of our other subsidiaries. Each of the Term Loan B and the Revolver is secured by equity pledges of our subsidiaries that are the fee owners of Gaylord Opryland and Gaylord Texan, their respective direct and indirect parent entities, and the equity of Ryman Hotel Operations Holdco, LLC, a wholly owned indirect subsidiary of the Company. Assets and equity of OEG are not subject to the liens of the Credit Agreement.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In addition, the Credit Agreement contains certain covenants, which, among other things, limit the incurrence of additional indebtedness, investments, dividends, transactions with affiliates, asset sales, acquisitions, mergers and consolidations, liens and encumbrances and other matters customarily restricted in such agreements. Per the First Amendment to the Credit Agreement, the material financial covenants, ratios or tests contained in the Revolver are as follows:</w:t>
      </w:r>
    </w:p>
    <w:tbl>
      <w:tblPr>
        <w:tblW w:w="6771" w:type="dxa"/>
        <w:jc w:val="left"/>
        <w:tblInd w:w="0" w:type="dxa"/>
        <w:tblLayout w:type="fixed"/>
        <w:tblCellMar>
          <w:top w:w="28" w:type="dxa"/>
          <w:left w:w="28" w:type="dxa"/>
          <w:bottom w:w="28" w:type="dxa"/>
          <w:right w:w="28" w:type="dxa"/>
        </w:tblCellMar>
      </w:tblPr>
      <w:tblGrid>
        <w:gridCol w:w="124"/>
        <w:gridCol w:w="256"/>
        <w:gridCol w:w="63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must maintain a consolidated net leverage ratio of not greater than 7.25x.</w:t>
            </w:r>
          </w:p>
        </w:tc>
      </w:tr>
    </w:tbl>
    <w:tbl>
      <w:tblPr>
        <w:tblW w:w="7311" w:type="dxa"/>
        <w:jc w:val="left"/>
        <w:tblInd w:w="0" w:type="dxa"/>
        <w:tblLayout w:type="fixed"/>
        <w:tblCellMar>
          <w:top w:w="28" w:type="dxa"/>
          <w:left w:w="28" w:type="dxa"/>
          <w:bottom w:w="28" w:type="dxa"/>
          <w:right w:w="28" w:type="dxa"/>
        </w:tblCellMar>
      </w:tblPr>
      <w:tblGrid>
        <w:gridCol w:w="124"/>
        <w:gridCol w:w="256"/>
        <w:gridCol w:w="69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must maintain a consolidated fixed charge coverage ratio of not less than 1.50x.</w:t>
            </w:r>
          </w:p>
        </w:tc>
      </w:tr>
    </w:tbl>
    <w:tbl>
      <w:tblPr>
        <w:tblW w:w="7086" w:type="dxa"/>
        <w:jc w:val="left"/>
        <w:tblInd w:w="0" w:type="dxa"/>
        <w:tblLayout w:type="fixed"/>
        <w:tblCellMar>
          <w:top w:w="28" w:type="dxa"/>
          <w:left w:w="28" w:type="dxa"/>
          <w:bottom w:w="28" w:type="dxa"/>
          <w:right w:w="28" w:type="dxa"/>
        </w:tblCellMar>
      </w:tblPr>
      <w:tblGrid>
        <w:gridCol w:w="124"/>
        <w:gridCol w:w="256"/>
        <w:gridCol w:w="67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7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secured indebtedness must not exceed 45% of consolidated total asset value.</w:t>
            </w:r>
          </w:p>
        </w:tc>
      </w:tr>
    </w:tbl>
    <w:tbl>
      <w:tblPr>
        <w:tblW w:w="7806" w:type="dxa"/>
        <w:jc w:val="left"/>
        <w:tblInd w:w="0" w:type="dxa"/>
        <w:tblLayout w:type="fixed"/>
        <w:tblCellMar>
          <w:top w:w="28" w:type="dxa"/>
          <w:left w:w="28" w:type="dxa"/>
          <w:bottom w:w="28" w:type="dxa"/>
          <w:right w:w="28" w:type="dxa"/>
        </w:tblCellMar>
      </w:tblPr>
      <w:tblGrid>
        <w:gridCol w:w="124"/>
        <w:gridCol w:w="256"/>
        <w:gridCol w:w="74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4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secured recourse indebtedness must not exceed 10% of consolidated total asset value.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Unencumbered leverage ratio must not exceed 60% (with the ability to surge to 65% in connection with a material acquisition).</w:t>
            </w:r>
          </w:p>
        </w:tc>
      </w:tr>
    </w:tbl>
    <w:tbl>
      <w:tblPr>
        <w:tblW w:w="7446" w:type="dxa"/>
        <w:jc w:val="left"/>
        <w:tblInd w:w="0" w:type="dxa"/>
        <w:tblLayout w:type="fixed"/>
        <w:tblCellMar>
          <w:top w:w="28" w:type="dxa"/>
          <w:left w:w="28" w:type="dxa"/>
          <w:bottom w:w="28" w:type="dxa"/>
          <w:right w:w="28" w:type="dxa"/>
        </w:tblCellMar>
      </w:tblPr>
      <w:tblGrid>
        <w:gridCol w:w="124"/>
        <w:gridCol w:w="256"/>
        <w:gridCol w:w="70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Unencumbered adjusted NOI to unsecured interest expense ratio of not less than 2.0x.</w:t>
            </w:r>
          </w:p>
        </w:tc>
      </w:tr>
    </w:tbl>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If an event of default shall occur and be continuing under the Credit Agreement, the commitments under the Credit Agreement may be terminated and the principal amount outstanding under the Credit Agreement, together with all accrued unpaid interest and other amounts owing in respect thereof, may be declared immediately due and payable.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i/>
          <w:sz w:val="20"/>
        </w:rPr>
        <w:t>Revolving Credit Facility</w:t>
      </w:r>
      <w:r>
        <w:rPr>
          <w:rFonts w:ascii="Times New Roman;Times;serif" w:hAnsi="Times New Roman;Times;serif"/>
          <w:sz w:val="20"/>
        </w:rPr>
        <w:t>. The maturity date of the Revolver is January 28, 2030, with the option to extend the maturity date for a maximum of one additional year through either (i) a single 12-month extension option or (ii) two individual 6-month extensions. Borrowings under the Revolver bear interest at an annual rate equal to, at our option, either (i) Term SOFR plus the applicable margin ranging from 1.40% to 2.00%, (ii) Daily Simple SOFR plus the applicable margin ranging from 1.40% to 2.00% or (iii) a base rate as set forth in the Credit Agreement plus the applicable margin ranging from 0.40% to 1.00%, with each option dependent upon our consolidated net leverage ratio (as defined in the Credit Agreement). Principal is payable in full at maturity.</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For purposes of the Revolver, each of Term SOFR and Daily Simple SOFR are subject to a floor of 0.00%.</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At June 30, 2026, no amounts were outstanding under the Revolver, and there was $850.0 million of availability under the Revolver.</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i/>
          <w:sz w:val="20"/>
        </w:rPr>
        <w:t xml:space="preserve">Term Loan B. </w:t>
      </w:r>
      <w:r>
        <w:rPr>
          <w:rFonts w:ascii="Times New Roman;Times;serif" w:hAnsi="Times New Roman;Times;serif"/>
          <w:sz w:val="20"/>
        </w:rPr>
        <w:t>The Term Loan B has a maturity date of May 18, 2030. As of June 30, 2026, the applicable interest rate margin for borrowings under the Term Loan B is, at our option, either (i) 1.75% for SOFR Loans (as defined in the Credit Agreement) and 0.75% for base rate loans.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At June 30, 2026, the interest rate on the Term Loan B was Term SOFR plus 1.75%. The annual amortization under the Term Loan B is 1% of the refinanced $293.5 million outstanding principal amount, with the balance due at maturity. At June 30, 2026, $288.4 million in borrowings were outstanding under the Term Loan B.</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For purposes of the Term Loan B, each of Term SOFR and Daily Simple SOFR are subject to a floor of 0.00%.</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i/>
          <w:sz w:val="20"/>
        </w:rPr>
        <w:t xml:space="preserve">$1 Billion 6.50% Senior Notes. </w:t>
      </w:r>
      <w:r>
        <w:rPr>
          <w:rFonts w:ascii="Times New Roman;Times;serif" w:hAnsi="Times New Roman;Times;serif"/>
          <w:sz w:val="20"/>
        </w:rPr>
        <w:t>On March 28, 2024, the Operating Partnership and Finco (collectively, the “issuing subsidiaries”) completed the private placement of $1.0 billion in aggregate principal amount of 6.50% senior notes due 2032 (the “$1 Billion 6.50% Senior Notes”), which are guaranteed by the Company and its subsidiaries that guarantee the Credit Agreement. The $1 Billion 6.50% Senior Notes and guarantees were issued pursuant to an indenture by and among the issuing subsidiaries, the guarantors and U.S. Bank Trust Company, National Association, as trustee. The $1 Billion 6.50% Senior Notes have a maturity date of April 1, 2032 and bear interest at 6.50% per annum, payable semi-annually in cash in arrears on April 1 and October 1 each year. The $1 Billion 6.50% Senior Notes are general unsecured and unsubordinated obligations of the issuing subsidiaries and rank equal in right of payment with such subsidiaries’ existing and future senior unsecured indebtedness, including the $700 Million 5.75% Senior Notes, the $625 Million 6.50% Senior Notes, the $600 Million 4.50% Senior Notes and the $400 Million 7.25% Senior Notes, and senior in right of payment to future subordinated indebtedness, if any. The $1 Billion 6.50% Senior Notes are effectively subordinated to the issuing subsidiaries’ secured indebtedness to the extent of the value of the assets securing such indebtedness. The guarantees rank equally in right of payment with the applicable guarantor’s existing and future senior unsecured indebtedness and senior in right of payment to any future subordinated indebtedness of such guarantor. The $1 Billion 6.50% Senior Notes are effectively subordinated to any secured indebtedness of any guarantor to the extent of the value of the assets securing such indebtedness and structurally subordinated to all indebtedness and other obligations of the Operating Partnership’s subsidiaries that do not guarantee the $1 Billion 6.50% Senior Notes.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shd w:fill="FFFFFF" w:val="clear"/>
        </w:rPr>
        <w:t>The $</w:t>
      </w:r>
      <w:r>
        <w:rPr>
          <w:rFonts w:ascii="Times New Roman;Times;serif" w:hAnsi="Times New Roman;Times;serif"/>
          <w:sz w:val="20"/>
        </w:rPr>
        <w:t>1 B</w:t>
      </w:r>
      <w:r>
        <w:rPr>
          <w:rFonts w:ascii="Times New Roman;Times;serif" w:hAnsi="Times New Roman;Times;serif"/>
          <w:sz w:val="20"/>
          <w:shd w:fill="FFFFFF" w:val="clear"/>
        </w:rPr>
        <w:t>illion </w:t>
      </w:r>
      <w:r>
        <w:rPr>
          <w:rFonts w:ascii="Times New Roman;Times;serif" w:hAnsi="Times New Roman;Times;serif"/>
          <w:sz w:val="20"/>
        </w:rPr>
        <w:t>6.50</w:t>
      </w:r>
      <w:r>
        <w:rPr>
          <w:rFonts w:ascii="Times New Roman;Times;serif" w:hAnsi="Times New Roman;Times;serif"/>
          <w:sz w:val="20"/>
          <w:shd w:fill="FFFFFF" w:val="clear"/>
        </w:rPr>
        <w:t>% Senior Notes are redeemable before April 1, 2027, in whole or in part, at </w:t>
      </w:r>
      <w:r>
        <w:rPr>
          <w:rFonts w:ascii="Times New Roman;Times;serif" w:hAnsi="Times New Roman;Times;serif"/>
          <w:sz w:val="20"/>
        </w:rPr>
        <w:t>100.00</w:t>
      </w:r>
      <w:r>
        <w:rPr>
          <w:rFonts w:ascii="Times New Roman;Times;serif" w:hAnsi="Times New Roman;Times;serif"/>
          <w:sz w:val="20"/>
          <w:shd w:fill="FFFFFF" w:val="clear"/>
        </w:rPr>
        <w:t>%, plus accrued and unpaid interest thereon to, but not including, the redemption date, plus a make-whole premium. The $</w:t>
      </w:r>
      <w:r>
        <w:rPr>
          <w:rFonts w:ascii="Times New Roman;Times;serif" w:hAnsi="Times New Roman;Times;serif"/>
          <w:sz w:val="20"/>
        </w:rPr>
        <w:t>1 B</w:t>
      </w:r>
      <w:r>
        <w:rPr>
          <w:rFonts w:ascii="Times New Roman;Times;serif" w:hAnsi="Times New Roman;Times;serif"/>
          <w:sz w:val="20"/>
          <w:shd w:fill="FFFFFF" w:val="clear"/>
        </w:rPr>
        <w:t xml:space="preserve">illion </w:t>
      </w:r>
      <w:r>
        <w:rPr>
          <w:rFonts w:ascii="Times New Roman;Times;serif" w:hAnsi="Times New Roman;Times;serif"/>
          <w:sz w:val="20"/>
        </w:rPr>
        <w:t>6.50</w:t>
      </w:r>
      <w:r>
        <w:rPr>
          <w:rFonts w:ascii="Times New Roman;Times;serif" w:hAnsi="Times New Roman;Times;serif"/>
          <w:sz w:val="20"/>
          <w:shd w:fill="FFFFFF" w:val="clear"/>
        </w:rPr>
        <w:t xml:space="preserve">% Senior Notes will be redeemable, in whole or in part, at any time on or after April 1, 2027 at a redemption price expressed as a percentage of the principal amount thereof, which percentage is </w:t>
      </w:r>
      <w:r>
        <w:rPr>
          <w:rFonts w:ascii="Times New Roman;Times;serif" w:hAnsi="Times New Roman;Times;serif"/>
          <w:sz w:val="20"/>
        </w:rPr>
        <w:t>103.250</w:t>
      </w:r>
      <w:r>
        <w:rPr>
          <w:rFonts w:ascii="Times New Roman;Times;serif" w:hAnsi="Times New Roman;Times;serif"/>
          <w:sz w:val="20"/>
          <w:shd w:fill="FFFFFF" w:val="clear"/>
        </w:rPr>
        <w:t xml:space="preserve">%, </w:t>
      </w:r>
      <w:r>
        <w:rPr>
          <w:rFonts w:ascii="Times New Roman;Times;serif" w:hAnsi="Times New Roman;Times;serif"/>
          <w:sz w:val="20"/>
        </w:rPr>
        <w:t>101.625</w:t>
      </w:r>
      <w:r>
        <w:rPr>
          <w:rFonts w:ascii="Times New Roman;Times;serif" w:hAnsi="Times New Roman;Times;serif"/>
          <w:sz w:val="20"/>
          <w:shd w:fill="FFFFFF" w:val="clear"/>
        </w:rPr>
        <w:t xml:space="preserve">%, and </w:t>
      </w:r>
      <w:r>
        <w:rPr>
          <w:rFonts w:ascii="Times New Roman;Times;serif" w:hAnsi="Times New Roman;Times;serif"/>
          <w:sz w:val="20"/>
        </w:rPr>
        <w:t>100.000</w:t>
      </w:r>
      <w:r>
        <w:rPr>
          <w:rFonts w:ascii="Times New Roman;Times;serif" w:hAnsi="Times New Roman;Times;serif"/>
          <w:sz w:val="20"/>
          <w:shd w:fill="FFFFFF" w:val="clear"/>
        </w:rPr>
        <w:t>% beginning on April 1 of 2027, 2028, and 2029, respectively, plus accrued and unpaid interest thereon to, but not including, the redemption date.</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 xml:space="preserve">$700 Million 5.75% Senior Notes. </w:t>
      </w:r>
      <w:r>
        <w:rPr>
          <w:rFonts w:ascii="Times New Roman;Times;serif" w:hAnsi="Times New Roman;Times;serif"/>
          <w:sz w:val="20"/>
        </w:rPr>
        <w:t xml:space="preserve">On March 11, 2026, the Operating Partnership and Finco completed the private placement of $700.0 million in aggregate principal amount of senior notes due 2034 (the “$700 Million 5.75% Senior Notes”), which are guaranteed by the Company and its subsidiaries that guarantee the Credit Agreement. The $700 Million 5.75% Senior Notes and guarantees were issued pursuant to an indenture by and among the issuing subsidiaries and the guarantors and U.S. Bank Trust Company, National Association as trustee. The $700 Million 5.75% Senior Notes have a maturity date of March 15, 2034 and bear interest at 5.75% per annum, payable semi-annually in cash in arrears on March 15 and September 15 each year, beginning September 15, 2026. The $700 Million 5.75% Senior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Notes are general unsecured and unsubordinated obligations of the issuing subsidiaries and rank equal in right of payment with such subsidiaries’ existing and future senior unsecured indebtedness, including the $1 Billion 6.50% Senior Notes, the $625 Million 6.50% Senior Notes, the $600 Million 4.50% Senior Notes and the $400 Million 7.25% Senior Notes, and senior in right of payment to future subordinated indebtedness, if any. The $700 Million 5.75% Senior Notes are effectively subordinated to the issuing subsidiaries’ secured indebtedness to the extent of the value of the assets securing such indebtedness. The guarantees rank equally in right of payment with the applicable guarantor’s existing and future senior unsecured indebtedness and senior in right of payment to any future subordinated indebtedness of such guarantor. The $700 Million 5.75% Senior Notes are effectively subordinated to any secured indebtedness of any guarantor to the extent of the value of the assets securing such indebtedness and structurally subordinated to all indebtedness and other obligations of the Operating Partnership’s subsidiaries that do not guarantee the $700 Million 5.75% Senior Notes.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 net proceeds from the issuance of the $700 Million 5.75% Senior Notes totaled approximately $687 million, after deducting the initial purchasers’ discounts, commissions and offering expenses. We used these net proceeds, together with cash on hand, to redeem in full our former $700 million in aggregate principal amount of 4.75% senior notes due 2027.</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 $700 Million 5.75% Senior Notes are redeemable before March 15, 2029, in whole or in part, at 100% of the principal amount thereof plus accrued and unpaid interest thereon to, but not including, the redemption date plus a make-whole premium. The $700 Million 5.75% Senior Notes will be redeemable, in whole or in part, at any time on or after March 15, 2029 at a redemption price expressed as a percentage of the principal amount thereof, which percentage is 102.875%, 101.438% and 100.000% beginning on March 15 of 2029, 2030 and 2031, respectively, plus accrued and unpaid interest thereon to, but not including, the redemption date.</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i/>
          <w:sz w:val="20"/>
        </w:rPr>
        <w:t>$625 Million 6.50% Senior Notes</w:t>
      </w:r>
      <w:r>
        <w:rPr>
          <w:rFonts w:ascii="Times New Roman;Times;serif" w:hAnsi="Times New Roman;Times;serif"/>
          <w:sz w:val="20"/>
        </w:rPr>
        <w:t xml:space="preserve">. On June 4, 2025, the Operating Partnership and Finco completed the private placement of $625.0 million in aggregate principal amount of 6.50% senior notes due 2033 (the “$625 Million 6.50% Senior Notes”), which are guaranteed by the Company and its subsidiaries that guarantee the Credit Agreement. The $625 Million 6.50% Senior Notes and guarantees were issued pursuant to an indenture by and among the issuing subsidiaries, the guarantors and U.S. Bank Trust Company, National Association, as trustee. The $625 Million 6.50% Senior Notes have a maturity date of June 15, 2033 and bear interest at 6.50% per annum, payable semi-annually in cash in arrears on June 15 and December 15 each year. The $625 Million 6.50% Senior Notes are general unsecured and unsubordinated obligations of the issuing subsidiaries and rank equal in right of payment with such subsidiaries’ existing and future senior unsecured indebtedness, including the </w:t>
      </w:r>
      <w:r>
        <w:rPr>
          <w:rFonts w:ascii="Times New Roman;Times;serif" w:hAnsi="Times New Roman;Times;serif"/>
          <w:sz w:val="20"/>
          <w:shd w:fill="FFFFFF" w:val="clear"/>
        </w:rPr>
        <w:t>$1 Billion 6.50% Senior Notes, the $700 Million 5.75% Senior Notes, the $600 Million 4.50% Senior Notes and the $400 Million 7.25% Senior Notes</w:t>
      </w:r>
      <w:r>
        <w:rPr>
          <w:rFonts w:ascii="Times New Roman;Times;serif" w:hAnsi="Times New Roman;Times;serif"/>
          <w:sz w:val="20"/>
        </w:rPr>
        <w:t>, and senior in right of payment to future subordinated indebtedness, if any. The $625 Million 6.50% Senior Notes are effectively subordinated to the issuing subsidiaries’ secured indebtedness to the extent of the value of the assets securing such indebtedness. The guarantees rank equally in right of payment with the applicable guarantor’s existing and future senior unsecured indebtedness and senior in right of payment to any future subordinated indebtedness of such guarantor. The $625 Million 6.50% Senior Notes are effectively subordinated to any secured indebtedness of any guarantor to the extent of the value of the assets securing such indebtedness and structurally subordinated to all indebtedness and other obligations of the Operating Partnership’s subsidiaries that do not guarantee the $625 Million 6.50% Senior Notes.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shd w:fill="FFFFFF" w:val="clear"/>
        </w:rPr>
        <w:t>The net proceeds from the issuance of the $</w:t>
      </w:r>
      <w:r>
        <w:rPr>
          <w:rFonts w:ascii="Times New Roman;Times;serif" w:hAnsi="Times New Roman;Times;serif"/>
          <w:sz w:val="20"/>
        </w:rPr>
        <w:t>625 Million 6.50</w:t>
      </w:r>
      <w:r>
        <w:rPr>
          <w:rFonts w:ascii="Times New Roman;Times;serif" w:hAnsi="Times New Roman;Times;serif"/>
          <w:sz w:val="20"/>
          <w:shd w:fill="FFFFFF" w:val="clear"/>
        </w:rPr>
        <w:t>% Senior Notes totaled approximately $614 million, after deducting the initial purchasers’ discounts, commissions and offering expenses. We used these net proceeds to fund a portion of the purchase price for JW Marriott Desert Ridge.</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shd w:fill="FFFFFF" w:val="clear"/>
        </w:rPr>
        <w:t>The $</w:t>
      </w:r>
      <w:r>
        <w:rPr>
          <w:rFonts w:ascii="Times New Roman;Times;serif" w:hAnsi="Times New Roman;Times;serif"/>
          <w:sz w:val="20"/>
        </w:rPr>
        <w:t>625 Million 6.50</w:t>
      </w:r>
      <w:r>
        <w:rPr>
          <w:rFonts w:ascii="Times New Roman;Times;serif" w:hAnsi="Times New Roman;Times;serif"/>
          <w:sz w:val="20"/>
          <w:shd w:fill="FFFFFF" w:val="clear"/>
        </w:rPr>
        <w:t>% Senior Notes are redeemable before June 15, 2028, in whole or in part, at </w:t>
      </w:r>
      <w:r>
        <w:rPr>
          <w:rFonts w:ascii="Times New Roman;Times;serif" w:hAnsi="Times New Roman;Times;serif"/>
          <w:sz w:val="20"/>
        </w:rPr>
        <w:t>100.00</w:t>
      </w:r>
      <w:r>
        <w:rPr>
          <w:rFonts w:ascii="Times New Roman;Times;serif" w:hAnsi="Times New Roman;Times;serif"/>
          <w:sz w:val="20"/>
          <w:shd w:fill="FFFFFF" w:val="clear"/>
        </w:rPr>
        <w:t>%, plus accrued and unpaid interest thereon to, but not including, the redemption date, plus a make-whole premium. The $</w:t>
      </w:r>
      <w:r>
        <w:rPr>
          <w:rFonts w:ascii="Times New Roman;Times;serif" w:hAnsi="Times New Roman;Times;serif"/>
          <w:sz w:val="20"/>
        </w:rPr>
        <w:t>625 Million</w:t>
      </w:r>
      <w:r>
        <w:rPr>
          <w:rFonts w:ascii="Times New Roman;Times;serif" w:hAnsi="Times New Roman;Times;serif"/>
          <w:sz w:val="20"/>
          <w:shd w:fill="FFFFFF" w:val="clear"/>
        </w:rPr>
        <w:t xml:space="preserve"> </w:t>
      </w:r>
      <w:r>
        <w:rPr>
          <w:rFonts w:ascii="Times New Roman;Times;serif" w:hAnsi="Times New Roman;Times;serif"/>
          <w:sz w:val="20"/>
        </w:rPr>
        <w:t>6.50</w:t>
      </w:r>
      <w:r>
        <w:rPr>
          <w:rFonts w:ascii="Times New Roman;Times;serif" w:hAnsi="Times New Roman;Times;serif"/>
          <w:sz w:val="20"/>
          <w:shd w:fill="FFFFFF" w:val="clear"/>
        </w:rPr>
        <w:t xml:space="preserve">% Senior Notes will be redeemable, in whole or in part, at any time on or after June 15, 2028 at a redemption price expressed as a percentage of the principal amount thereof, which percentage is </w:t>
      </w:r>
      <w:r>
        <w:rPr>
          <w:rFonts w:ascii="Times New Roman;Times;serif" w:hAnsi="Times New Roman;Times;serif"/>
          <w:sz w:val="20"/>
        </w:rPr>
        <w:t>103.250</w:t>
      </w:r>
      <w:r>
        <w:rPr>
          <w:rFonts w:ascii="Times New Roman;Times;serif" w:hAnsi="Times New Roman;Times;serif"/>
          <w:sz w:val="20"/>
          <w:shd w:fill="FFFFFF" w:val="clear"/>
        </w:rPr>
        <w:t xml:space="preserve">%, </w:t>
      </w:r>
      <w:r>
        <w:rPr>
          <w:rFonts w:ascii="Times New Roman;Times;serif" w:hAnsi="Times New Roman;Times;serif"/>
          <w:sz w:val="20"/>
        </w:rPr>
        <w:t>101.625</w:t>
      </w:r>
      <w:r>
        <w:rPr>
          <w:rFonts w:ascii="Times New Roman;Times;serif" w:hAnsi="Times New Roman;Times;serif"/>
          <w:sz w:val="20"/>
          <w:shd w:fill="FFFFFF" w:val="clear"/>
        </w:rPr>
        <w:t xml:space="preserve">%, and </w:t>
      </w:r>
      <w:r>
        <w:rPr>
          <w:rFonts w:ascii="Times New Roman;Times;serif" w:hAnsi="Times New Roman;Times;serif"/>
          <w:sz w:val="20"/>
        </w:rPr>
        <w:t>100.000</w:t>
      </w:r>
      <w:r>
        <w:rPr>
          <w:rFonts w:ascii="Times New Roman;Times;serif" w:hAnsi="Times New Roman;Times;serif"/>
          <w:sz w:val="20"/>
          <w:shd w:fill="FFFFFF" w:val="clear"/>
        </w:rPr>
        <w:t>% beginning on June 15 of 2028, 2029, and 2030, respectively, plus accrued and unpaid interest thereon to, but not including, the redemption date.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i/>
          <w:sz w:val="20"/>
        </w:rPr>
        <w:t>$600 Million 4.50% Senior Notes</w:t>
      </w:r>
      <w:r>
        <w:rPr>
          <w:rFonts w:ascii="Times New Roman;Times;serif" w:hAnsi="Times New Roman;Times;serif"/>
          <w:sz w:val="20"/>
        </w:rPr>
        <w:t xml:space="preserve">. </w:t>
      </w:r>
      <w:r>
        <w:rPr>
          <w:rFonts w:ascii="Times New Roman;Times;serif" w:hAnsi="Times New Roman;Times;serif"/>
          <w:sz w:val="20"/>
          <w:shd w:fill="FFFFFF" w:val="clear"/>
        </w:rPr>
        <w:t xml:space="preserve">In February 2021, the Operating Partnership and Finco completed the private placement of $600.0 million in aggregate principal amount of 4.50% senior notes due 2029 </w:t>
      </w:r>
      <w:r>
        <w:rPr>
          <w:rFonts w:ascii="Times New Roman;Times;serif" w:hAnsi="Times New Roman;Times;serif"/>
          <w:sz w:val="20"/>
        </w:rPr>
        <w:t>(the “$600 Million 4.50% Senior Notes”)</w:t>
      </w:r>
      <w:r>
        <w:rPr>
          <w:rFonts w:ascii="Times New Roman;Times;serif" w:hAnsi="Times New Roman;Times;serif"/>
          <w:sz w:val="20"/>
          <w:shd w:fill="FFFFFF" w:val="clear"/>
        </w:rPr>
        <w:t xml:space="preserve">, which are guaranteed by the Company and its subsidiaries that guarantee the Credit Agreement. The $600 Million 4.50% Senior Notes and guarantees were issued pursuant to an indenture by and among the issuing subsidiaries and the guarantors and U.S. Bank Trust Company, National Association as trustee. The $600 Million 4.50% Senior Notes have a maturity date of February 15, 2029 and bear interest at 4.50% per annum, payable semi-annually in cash in arrears on February 15 and August 15 each year. The $600 Million 4.50% Senior Notes are general unsecured and unsubordinated obligations of the issuing subsidiaries and rank equal in right of payment with such subsidiaries’ existing and future senior unsecured indebtedness, including the $1 Billion 6.50% Senior Notes, the $700 Million 5.75% Senior Notes, </w:t>
      </w:r>
      <w:r>
        <w:rPr>
          <w:rFonts w:ascii="Times New Roman;Times;serif" w:hAnsi="Times New Roman;Times;serif"/>
          <w:sz w:val="20"/>
        </w:rPr>
        <w:t xml:space="preserve">the $625 Million 6.50% Senior Notes </w:t>
      </w:r>
      <w:r>
        <w:rPr>
          <w:rFonts w:ascii="Times New Roman;Times;serif" w:hAnsi="Times New Roman;Times;serif"/>
          <w:sz w:val="20"/>
          <w:shd w:fill="FFFFFF" w:val="clear"/>
        </w:rPr>
        <w:t>and the $400 Million 7.25% Senior Notes, and senior in right of payment to future subordinated indebtedness, if any. The $600 Million 4.50% Senior Notes are effectively subordinated to the issuing subsidiaries’ secured indebtedness to the extent of the value of the assets securing such indebtedness. The guarantees rank equally in right of payment with the applicable guarantor’s existing and future senior unsecured indebtedness and senior in right of payment to any future subordinated indebtedness of such guarantor. The $600 Million 4.50% Senior Notes are effectively subordinated to any secured indebtedness of any guarantor to the extent of the value of the assets securing such indebtedness and structurally subordinated to all indebtedness and other obligations of the Operating Partnership’s subsidiaries that do not guarantee the $600 Million 4.50% Senior Notes.</w:t>
      </w:r>
    </w:p>
    <w:p>
      <w:pPr>
        <w:pStyle w:val="TextBody"/>
        <w:bidi w:val="0"/>
        <w:spacing w:before="0" w:after="20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The $600 Million 4.50% Senior Notes are currently redeemable, in whole or in part, at a redemption price expressed as a percentage of the principal amount thereof, which percentage is currently 100.750% and will be 100.000% beginning on February 15 of 2027, plus accrued and unpaid interest thereon to, but not including, the redemption date.</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i/>
          <w:sz w:val="20"/>
        </w:rPr>
        <w:t>$400 Million 7.25% Senior Notes</w:t>
      </w:r>
      <w:r>
        <w:rPr>
          <w:rFonts w:ascii="Times New Roman;Times;serif" w:hAnsi="Times New Roman;Times;serif"/>
          <w:sz w:val="20"/>
        </w:rPr>
        <w:t xml:space="preserve">. </w:t>
      </w:r>
      <w:r>
        <w:rPr>
          <w:rFonts w:ascii="Times New Roman;Times;serif" w:hAnsi="Times New Roman;Times;serif"/>
          <w:sz w:val="20"/>
          <w:shd w:fill="FFFFFF" w:val="clear"/>
        </w:rPr>
        <w:t xml:space="preserve">On June 22, 2023, the Operating Partnership and Finco completed the private placement of $400.0 million in aggregate principal amount of 7.25% senior notes due 2028 </w:t>
      </w:r>
      <w:r>
        <w:rPr>
          <w:rFonts w:ascii="Times New Roman;Times;serif" w:hAnsi="Times New Roman;Times;serif"/>
          <w:sz w:val="20"/>
        </w:rPr>
        <w:t>(the “$400 Million 7.25% Senior Notes”)</w:t>
      </w:r>
      <w:r>
        <w:rPr>
          <w:rFonts w:ascii="Times New Roman;Times;serif" w:hAnsi="Times New Roman;Times;serif"/>
          <w:sz w:val="20"/>
          <w:shd w:fill="FFFFFF" w:val="clear"/>
        </w:rPr>
        <w:t xml:space="preserve">, which are guaranteed by the Company and its subsidiaries that guarantee the Credit Agreement. The $400 Million 7.25% Senior Notes and guarantees were issued pursuant to an indenture by and among the issuing subsidiaries, the guarantors and U.S. Bank Trust Company, National Association as trustee. The $400 Million 7.25% Senior Notes have a maturity date of July 15, 2028 and bear interest at 7.25% per annum, payable semi-annually in cash in arrears on January 15 and July 15 each year. The $400 Million 7.25% Senior Notes are general unsecured and unsubordinated obligations of the issuing subsidiaries and rank equal in right of payment with such subsidiaries’ existing and future senior unsecured indebtedness, including the $1 Billion 6.50% Senior Notes, the $700 Million 5.75% Senior Notes, </w:t>
      </w:r>
      <w:r>
        <w:rPr>
          <w:rFonts w:ascii="Times New Roman;Times;serif" w:hAnsi="Times New Roman;Times;serif"/>
          <w:sz w:val="20"/>
        </w:rPr>
        <w:t>the $625 Million 6.50% Senior Notes</w:t>
      </w:r>
      <w:r>
        <w:rPr>
          <w:rFonts w:ascii="Times New Roman;Times;serif" w:hAnsi="Times New Roman;Times;serif"/>
          <w:sz w:val="20"/>
          <w:shd w:fill="FFFFFF" w:val="clear"/>
        </w:rPr>
        <w:t xml:space="preserve"> and the $600 Million 4.50% Senior Notes, and senior in right of payment to future subordinated indebtedness, if any. The $400 Million 7.25% Senior Notes are effectively subordinated to the issuing subsidiaries’ secured indebtedness to the extent of the value of the assets securing such indebtedness. The guarantees rank equally in right of payment with the applicable guarantor’s existing and future senior unsecured indebtedness and senior in right of payment to any future subordinated indebtedness of such guarantor. The $400 Million 7.25% Senior Notes are effectively subordinated to any secured indebtedness of any guarantor to the extent of the value of the assets securing such indebtedness and structurally subordinated to all indebtedness and other obligations of the Operating Partnership’s subsidiaries that do not guarantee the $400 Million 7.25% Senior Notes.</w:t>
      </w:r>
    </w:p>
    <w:p>
      <w:pPr>
        <w:pStyle w:val="TextBody"/>
        <w:bidi w:val="0"/>
        <w:spacing w:before="0" w:after="20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The $400 Million 7.25% Senior Notes are currently redeemable, in whole or in part, at a redemption price expressed as a percentage of the principal amount thereof, which percentage is currently 101.813% and will be 100.000% beginning on July 15 of 2027, plus accrued and unpaid interest thereon to, but not including, the redemption date.</w:t>
      </w:r>
    </w:p>
    <w:p>
      <w:pPr>
        <w:pStyle w:val="TextBody"/>
        <w:bidi w:val="0"/>
        <w:spacing w:before="0" w:after="20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Each of the indentures governing the $1 Billion 6.50% Senior Notes, the $700 Million 5.75% Senior Notes, the $625 Million 6.50% Senior Notes, the $600 Million 4.50% Senior Notes and the $400 Million 7.25% Senior Notes contain certain covenants which, among other things and subject to certain exceptions and qualifications, limit the incurrence of additional indebtedness, investments, dividends, transactions with affiliates, asset sales, acquisitions, mergers and consolidations, liens and encumbrances and other matters customarily restricted in such agreements. In addition, if the Company experiences specific kinds of changes of control, the Company must offer to repurchase some or all of the senior notes at 101% of their principal amount, plus accrued and unpaid interest, if any, up to, but excluding, the repurchase date.</w:t>
      </w:r>
    </w:p>
    <w:p>
      <w:pPr>
        <w:pStyle w:val="TextBody"/>
        <w:bidi w:val="0"/>
        <w:spacing w:before="0" w:after="0"/>
        <w:ind w:left="0" w:right="0" w:hanging="0"/>
        <w:jc w:val="left"/>
        <w:rPr>
          <w:shd w:fill="FFFFFF" w:val="clear"/>
        </w:rPr>
      </w:pPr>
      <w:r>
        <w:rPr>
          <w:shd w:fill="FFFFFF" w:val="clea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i/>
          <w:sz w:val="20"/>
          <w:shd w:fill="FFFFFF" w:val="clear"/>
        </w:rPr>
        <w:t>$700 Million 4.75% Senior Notes</w:t>
      </w:r>
      <w:r>
        <w:rPr>
          <w:rFonts w:ascii="Times New Roman;Times;serif" w:hAnsi="Times New Roman;Times;serif"/>
          <w:sz w:val="20"/>
          <w:shd w:fill="FFFFFF" w:val="clear"/>
        </w:rPr>
        <w:t xml:space="preserve">. In accordance with the indenture governing the previously outstanding $700.0 million in aggregate principal amount of 4.75% senior notes due 2027 (the “$700 Million 4.75% Senior Notes”), on March 27, 2026, we redeemed in full the $700 Million 4.75% Senior Notes. Accordingly, the $700 Million 4.75% Senior Notes are no longer reflected in the accompanying condensed consolidated balance sheet at June 30, 2026. As a result of this redemption, we recognized a loss on extinguishment of debt of $2.2 million in the six months ended </w:t>
      </w:r>
      <w:r>
        <w:rPr>
          <w:rFonts w:ascii="Times New Roman;Times;serif" w:hAnsi="Times New Roman;Times;serif"/>
          <w:sz w:val="20"/>
        </w:rPr>
        <w:t>June 30</w:t>
      </w:r>
      <w:r>
        <w:rPr>
          <w:rFonts w:ascii="Times New Roman;Times;serif" w:hAnsi="Times New Roman;Times;serif"/>
          <w:sz w:val="20"/>
          <w:shd w:fill="FFFFFF" w:val="clear"/>
        </w:rPr>
        <w:t>, 2026.</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OEG Credit Agreement</w:t>
      </w:r>
      <w:r>
        <w:rPr>
          <w:rFonts w:ascii="Times New Roman;Times;serif" w:hAnsi="Times New Roman;Times;serif"/>
          <w:sz w:val="20"/>
        </w:rPr>
        <w:t>. On June 28, 2024, OEG Borrower, LLC (“OEG Borrower”) and OEG Finance, LLC (“OEG Finance”), each a wholly owned direct or indirect subsidiary of OEG, entered into a certain First Amendment, which amends the Credit Agreement dated as of June 16, 2022 among OEG Borrower, as borrower, OEG Finance, certain subsidiaries of OEG Borrower from time to time party thereto as guarantors, the lenders party thereto and JPMorgan Chase Bank, N.A., as administrative agent (as amended, the “2024 OEG Credit Agreement”).</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 2024 OEG Credit Agreement provides for (i) a senior secured term loan facility in the aggregate amount of $300.0 million (the “2024 OEG Term Loan”) and (ii) a senior secured revolving credit facility in an aggregate principal amount not to exceed $80.0 million (the “OEG Revolver”).</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On April 28, 2025, OEG Borrower and OEG Finance entered into a Second Amendment, which amended the 2024 OEG Credit Agreement (as amended, the “OEG Credit Agreement”) in which OEG Borrower obtained an incremental term loan in an aggregate principal amount equal to $130.0 million (the “Incremental OEG Loan”) on the same terms as the 2024 OEG Term Loan. The net proceeds of the Incremental OEG Loan, together with cash on hand, were used to defease a previously outstanding $127.9 million non-recourse term loan secured by a mortgage on Block 21 in full. The OEG Credit Agreement provides for (i) a senior secured term loan facility in an aggregate principal amount equal to $428.5 million (the “OEG Term Loan”) and (ii) the OEG Revolver. The Incremental OEG Loan did not change any applicable interest rates or maturity dates of any indebtedness under the 2024 OEG Credit Agreement. In addition, the terms of the Incremental OEG Loan confirm that the annual amortization under the 2024 OEG Term Loan is approximately 1% of the refinanced $428.5 million outstanding principal amount, with the balance due at maturity.</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At June 30, 2026, $423.1 million was outstanding under the OEG Term Loan, and there were no amounts outstanding under the OEG Revolver.</w:t>
      </w:r>
    </w:p>
    <w:p>
      <w:pPr>
        <w:pStyle w:val="TextBody"/>
        <w:bidi w:val="0"/>
        <w:spacing w:before="0" w:after="20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The OEG Term Loan and the OEG Revolver are each secured by substantially all of the assets of OEG Finance and each of its subsidiaries. The OEG Term Loan bears interest at a rate equal to either, at OEG Borrower’s election, (a) the Alternate Base Rate plus 2.50% or (b) Adjusted Term SOFR plus 3.50% (all as more specifically described in the OEG Credit Agreement). In November 2022, OEG entered into an interest rate swap to fix the SOFR portion of the interest rate on $100.0 million of borrowings at 4.533% through December 2025. In August 2025, OEG entered into an interest rate swap to fix the SOFR portion of the interest rate on $100.0 million of borrowings at 3.214% from December 2025 through December 2028. In September 2025, OEG entered into an additional interest rate swap to fix the SOFR portion of the interest rate on $125.0 million of borrowings at 3.17% through December 2028.</w:t>
      </w:r>
    </w:p>
    <w:p>
      <w:pPr>
        <w:pStyle w:val="TextBody"/>
        <w:bidi w:val="0"/>
        <w:spacing w:before="0" w:after="20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Borrowings under the OEG Revolver bear interest at a rate equal to either, at OEG Borrower’s election, (a) the Alternate Base Rate plus the Applicable Rate (as defined in the OEG Credit Agreement) or (b) Adjusted Term SOFR plus the Applicable Rate. Under the OEG Credit Agreement, (i) the Applicable Rate for Alternative Base Rate loans will be between 2.75% and 2.25% and (ii) the Applicable Rate for Adjusted Term SOFR loans will be between 3.75% and 3.25%, in each of (i) and (ii) based upon the First Lien Leverage Ratio of OEG Finance and its consolidated subsidiaries (as more specifically described in the OEG Credit Agreement).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shd w:fill="FFFFFF" w:val="clear"/>
        </w:rPr>
        <w:t xml:space="preserve">The Applicable Rate for borrowings under the OEG Revolver as of </w:t>
      </w:r>
      <w:r>
        <w:rPr>
          <w:rFonts w:ascii="Times New Roman;Times;serif" w:hAnsi="Times New Roman;Times;serif"/>
          <w:sz w:val="20"/>
        </w:rPr>
        <w:t>June 30</w:t>
      </w:r>
      <w:r>
        <w:rPr>
          <w:rFonts w:ascii="Times New Roman;Times;serif" w:hAnsi="Times New Roman;Times;serif"/>
          <w:sz w:val="20"/>
          <w:shd w:fill="FFFFFF" w:val="clear"/>
        </w:rPr>
        <w:t xml:space="preserve">, 2026 is 2.50% for Alternative Base Rate Loans and 3.50% for Adjusted Term SOFR loans. The Applicable Rate for borrowings under the OEG Term Loan as of </w:t>
      </w:r>
      <w:r>
        <w:rPr>
          <w:rFonts w:ascii="Times New Roman;Times;serif" w:hAnsi="Times New Roman;Times;serif"/>
          <w:sz w:val="20"/>
        </w:rPr>
        <w:t>June 30</w:t>
      </w:r>
      <w:r>
        <w:rPr>
          <w:rFonts w:ascii="Times New Roman;Times;serif" w:hAnsi="Times New Roman;Times;serif"/>
          <w:sz w:val="20"/>
          <w:shd w:fill="FFFFFF" w:val="clear"/>
        </w:rPr>
        <w:t>, 2026 is 2.50% for Alternative Base Rate Loans and 3.50% for Adjusted Term SOFR loans.</w:t>
      </w:r>
    </w:p>
    <w:p>
      <w:pPr>
        <w:pStyle w:val="TextBody"/>
        <w:bidi w:val="0"/>
        <w:spacing w:before="0" w:after="20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The OEG Term Loan matures on June 28, 2031 and the OEG Revolver matures on June 28, 2029.</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i/>
          <w:sz w:val="20"/>
        </w:rPr>
        <w:t>Additional Debt Limitations</w:t>
      </w:r>
      <w:r>
        <w:rPr>
          <w:rFonts w:ascii="Times New Roman;Times;serif" w:hAnsi="Times New Roman;Times;serif"/>
          <w:sz w:val="20"/>
        </w:rPr>
        <w:t>. Pursuant to the terms of the management agreements and pooling agreement with Marriott for our Gaylord Hotels properties, excluding Gaylord Rockies, we are subject to certain debt limitations described below.</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 management agreements provide for the following limitations on indebtedness encumbering a hotel:</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principal balance of all mortgage and mezzanine debt encumbering the hotel shall be no greater than 75% of the fair market value of the hotel;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ratio of (a) aggregate Operating Profit (as defined in the management agreement) in the 12 months prior to the closing on the mortgage or mezzanine debt to (b) annual debt service for the hotel shall equal or exceed 1.2:1; but is subject to the pooling agreement described below.</w:t>
            </w:r>
          </w:p>
        </w:tc>
      </w:tr>
    </w:tbl>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 pooled limitations on Secured Debt (as defined in the pooling agreement) are as follows: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principal balance of all mortgage and mezzanine debt on Pooled Hotels (as defined in the pooling agreement), shall be no more than 75% of the fair market value of Pooled Hotels.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ratio of (a) aggregate Operating Profit (as defined in the pooling agreement) of Pooled Hotels in the 12 months prior to closing on any mortgage or mezzanine debt to (b) annual debt service for the Pooled Hotels, shall equal or exceed 1.2:1.</w:t>
            </w:r>
          </w:p>
        </w:tc>
      </w:tr>
    </w:tbl>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Gaylord Rockies is not a Pooled Hotel for this purpose.</w:t>
      </w:r>
    </w:p>
    <w:p>
      <w:pPr>
        <w:pStyle w:val="TextBody"/>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Estimated Interest on Principal Debt Agreements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Based on the stated interest rates on our fixed-rate debt and the rates in effect at June 30, 2026 for our variable-rate debt after considering interest rate swaps, our estimated interest obligations through 2030 are $931.0 million. These estimated obligations are $123.3 million for the remainder of 2026, $246.3 million in 2027, $232.5 million in 2028, $177.4 million in 2029, and $151.5 million in 2030. Variable rates, as well as outstanding principal balances, could change in future periods. See “Principal Debt Agreements” above for a discussion of our outstanding long-term debt. See “Supplemental Cash Flow Information” in Note 1 to the consolidated financial statements included in our Annual Report on Form 10-K for the year ended December 31, 2025 for a discussion of the interest we paid during 2025, 2024 and 2023.</w:t>
      </w:r>
    </w:p>
    <w:p>
      <w:pPr>
        <w:pStyle w:val="TextBody"/>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Supplemental Guarantor Financial Information</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 xml:space="preserve">The Company’s $1 Billion 6.50% Senior Notes, $700 Million 5.75% Senior Notes, $625 Million 6.50% Senior Notes, $600 Million 4.50% Senior Notes and $400 Million 7.25% Senior Notes were each issued by </w:t>
      </w:r>
      <w:r>
        <w:rPr>
          <w:rFonts w:ascii="Times New Roman;Times;serif" w:hAnsi="Times New Roman;Times;serif"/>
          <w:sz w:val="20"/>
          <w:shd w:fill="FFFFFF" w:val="clear"/>
        </w:rPr>
        <w:t>the Operating Partnership and Finco (collectively, the “Issuers”), and are guaranteed on a senior unsecured basis by the Company (as the parent company), each of the Operating Partnership’s subsidiaries that own the Gaylord Hotels properties, the JW Marriott properties and certain other of the Company’s subsidiaries, each of which also guarantees the Credit Agreement, as amended (such subsidiary guarantors, together with the Company, the “Guarantors”). The Guarantors are 100% owned by the Operating Partnership or the Company, and the guarantees are full and unconditional and joint and several. The guarantees rank equally in right of payment with each Guarantor’s existing and future senior unsecured indebtedness and senior in right of payment to all future subordinated indebtedness, if any, of such Guarantor. Not all of the Company’s subsidiaries have guaranteed these senior notes, and the guarantees are structurally subordinated to all indebtedness and other obligations of such subsidiaries that have not guaranteed these senior notes.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The following tables present summarized financial information for the Issuers and the Guarantors on a combined basis. The intercompany balances and transactions between these parties, as well as any investments in or equity in earnings from non-guarantor subsidiaries, have been eliminated (amounts in thousands).</w:t>
      </w:r>
    </w:p>
    <w:tbl>
      <w:tblPr>
        <w:tblW w:w="5464" w:type="dxa"/>
        <w:jc w:val="left"/>
        <w:tblInd w:w="0" w:type="dxa"/>
        <w:tblLayout w:type="fixed"/>
        <w:tblCellMar>
          <w:top w:w="0" w:type="dxa"/>
          <w:left w:w="0" w:type="dxa"/>
          <w:bottom w:w="0" w:type="dxa"/>
          <w:right w:w="0" w:type="dxa"/>
        </w:tblCellMar>
      </w:tblPr>
      <w:tblGrid>
        <w:gridCol w:w="3931"/>
        <w:gridCol w:w="346"/>
        <w:gridCol w:w="211"/>
        <w:gridCol w:w="976"/>
      </w:tblGrid>
      <w:tr>
        <w:trPr/>
        <w:tc>
          <w:tcPr>
            <w:tcW w:w="3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2">
                      <wp:simplePos x="0" y="0"/>
                      <wp:positionH relativeFrom="character">
                        <wp:align>left</wp:align>
                      </wp:positionH>
                      <wp:positionV relativeFrom="line">
                        <wp:posOffset>635</wp:posOffset>
                      </wp:positionV>
                      <wp:extent cx="2496185" cy="175260"/>
                      <wp:effectExtent l="0" t="0" r="0" b="0"/>
                      <wp:wrapNone/>
                      <wp:docPr id="611" name="Frame611"/>
                      <a:graphic xmlns:a="http://schemas.openxmlformats.org/drawingml/2006/main">
                        <a:graphicData uri="http://schemas.microsoft.com/office/word/2010/wordprocessingShape">
                          <wps:wsp>
                            <wps:cNvSpPr txBox="1"/>
                            <wps:spPr>
                              <a:xfrm>
                                <a:off x="0" y="0"/>
                                <a:ext cx="2496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3">
                      <wp:simplePos x="0" y="0"/>
                      <wp:positionH relativeFrom="character">
                        <wp:align>left</wp:align>
                      </wp:positionH>
                      <wp:positionV relativeFrom="line">
                        <wp:posOffset>635</wp:posOffset>
                      </wp:positionV>
                      <wp:extent cx="219710" cy="175260"/>
                      <wp:effectExtent l="0" t="0" r="0" b="0"/>
                      <wp:wrapNone/>
                      <wp:docPr id="612" name="Frame6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4">
                      <wp:simplePos x="0" y="0"/>
                      <wp:positionH relativeFrom="character">
                        <wp:align>left</wp:align>
                      </wp:positionH>
                      <wp:positionV relativeFrom="line">
                        <wp:posOffset>635</wp:posOffset>
                      </wp:positionV>
                      <wp:extent cx="133985" cy="175260"/>
                      <wp:effectExtent l="0" t="0" r="0" b="0"/>
                      <wp:wrapNone/>
                      <wp:docPr id="613" name="Frame6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5">
                      <wp:simplePos x="0" y="0"/>
                      <wp:positionH relativeFrom="character">
                        <wp:align>left</wp:align>
                      </wp:positionH>
                      <wp:positionV relativeFrom="line">
                        <wp:posOffset>635</wp:posOffset>
                      </wp:positionV>
                      <wp:extent cx="619760" cy="175260"/>
                      <wp:effectExtent l="0" t="0" r="0" b="0"/>
                      <wp:wrapNone/>
                      <wp:docPr id="614" name="Frame614"/>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9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39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1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393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Other assets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3,862,921</w:t>
            </w:r>
          </w:p>
        </w:tc>
      </w:tr>
      <w:tr>
        <w:trPr/>
        <w:tc>
          <w:tcPr>
            <w:tcW w:w="39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3,862,921</w:t>
            </w:r>
          </w:p>
        </w:tc>
      </w:tr>
      <w:tr>
        <w:trPr/>
        <w:tc>
          <w:tcPr>
            <w:tcW w:w="3931" w:type="dxa"/>
            <w:tcBorders/>
            <w:shd w:fill="CCEEFF" w:val="clear"/>
            <w:vAlign w:val="center"/>
          </w:tcPr>
          <w:p>
            <w:pPr>
              <w:pStyle w:val="TableContents"/>
              <w:bidi w:val="0"/>
              <w:spacing w:before="0" w:after="1"/>
              <w:ind w:left="0" w:right="0" w:hanging="0"/>
              <w:jc w:val="both"/>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pPr>
            <w:r>
              <w:rPr/>
              <w:t>​</w:t>
            </w:r>
          </w:p>
        </w:tc>
      </w:tr>
      <w:tr>
        <w:trPr/>
        <w:tc>
          <w:tcPr>
            <w:tcW w:w="393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Net payables due to non-guarantor subsidiaries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167,688</w:t>
            </w:r>
          </w:p>
        </w:tc>
      </w:tr>
      <w:tr>
        <w:trPr/>
        <w:tc>
          <w:tcPr>
            <w:tcW w:w="393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Other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3,859,869</w:t>
            </w:r>
          </w:p>
        </w:tc>
      </w:tr>
      <w:tr>
        <w:trPr/>
        <w:tc>
          <w:tcPr>
            <w:tcW w:w="39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4,027,557</w:t>
            </w:r>
          </w:p>
        </w:tc>
      </w:tr>
      <w:tr>
        <w:trPr/>
        <w:tc>
          <w:tcPr>
            <w:tcW w:w="39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noncontrolling interest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5,076</w:t>
            </w:r>
          </w:p>
        </w:tc>
      </w:tr>
    </w:tbl>
    <w:p>
      <w:pPr>
        <w:pStyle w:val="TextBody"/>
        <w:bidi w:val="0"/>
        <w:spacing w:before="0" w:after="240"/>
        <w:ind w:left="0" w:right="0" w:hanging="0"/>
        <w:jc w:val="left"/>
        <w:rPr/>
      </w:pPr>
      <w:r>
        <w:rPr/>
        <w:t>​</w:t>
      </w:r>
    </w:p>
    <w:tbl>
      <w:tblPr>
        <w:tblW w:w="7742" w:type="dxa"/>
        <w:jc w:val="left"/>
        <w:tblInd w:w="0" w:type="dxa"/>
        <w:tblLayout w:type="fixed"/>
        <w:tblCellMar>
          <w:top w:w="0" w:type="dxa"/>
          <w:left w:w="0" w:type="dxa"/>
          <w:bottom w:w="0" w:type="dxa"/>
          <w:right w:w="0" w:type="dxa"/>
        </w:tblCellMar>
      </w:tblPr>
      <w:tblGrid>
        <w:gridCol w:w="5896"/>
        <w:gridCol w:w="346"/>
        <w:gridCol w:w="288"/>
        <w:gridCol w:w="1212"/>
      </w:tblGrid>
      <w:tr>
        <w:trPr/>
        <w:tc>
          <w:tcPr>
            <w:tcW w:w="5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6">
                      <wp:simplePos x="0" y="0"/>
                      <wp:positionH relativeFrom="character">
                        <wp:align>left</wp:align>
                      </wp:positionH>
                      <wp:positionV relativeFrom="line">
                        <wp:posOffset>635</wp:posOffset>
                      </wp:positionV>
                      <wp:extent cx="3743960" cy="175260"/>
                      <wp:effectExtent l="0" t="0" r="0" b="0"/>
                      <wp:wrapNone/>
                      <wp:docPr id="615" name="Frame615"/>
                      <a:graphic xmlns:a="http://schemas.openxmlformats.org/drawingml/2006/main">
                        <a:graphicData uri="http://schemas.microsoft.com/office/word/2010/wordprocessingShape">
                          <wps:wsp>
                            <wps:cNvSpPr txBox="1"/>
                            <wps:spPr>
                              <a:xfrm>
                                <a:off x="0" y="0"/>
                                <a:ext cx="3743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7">
                      <wp:simplePos x="0" y="0"/>
                      <wp:positionH relativeFrom="character">
                        <wp:align>left</wp:align>
                      </wp:positionH>
                      <wp:positionV relativeFrom="line">
                        <wp:posOffset>635</wp:posOffset>
                      </wp:positionV>
                      <wp:extent cx="219710" cy="175260"/>
                      <wp:effectExtent l="0" t="0" r="0" b="0"/>
                      <wp:wrapNone/>
                      <wp:docPr id="616" name="Frame6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8">
                      <wp:simplePos x="0" y="0"/>
                      <wp:positionH relativeFrom="character">
                        <wp:align>left</wp:align>
                      </wp:positionH>
                      <wp:positionV relativeFrom="line">
                        <wp:posOffset>635</wp:posOffset>
                      </wp:positionV>
                      <wp:extent cx="182880" cy="175260"/>
                      <wp:effectExtent l="0" t="0" r="0" b="0"/>
                      <wp:wrapNone/>
                      <wp:docPr id="617" name="Frame617"/>
                      <a:graphic xmlns:a="http://schemas.openxmlformats.org/drawingml/2006/main">
                        <a:graphicData uri="http://schemas.microsoft.com/office/word/2010/wordprocessingShape">
                          <wps:wsp>
                            <wps:cNvSpPr txBox="1"/>
                            <wps:spPr>
                              <a:xfrm>
                                <a:off x="0" y="0"/>
                                <a:ext cx="1828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9">
                      <wp:simplePos x="0" y="0"/>
                      <wp:positionH relativeFrom="character">
                        <wp:align>left</wp:align>
                      </wp:positionH>
                      <wp:positionV relativeFrom="line">
                        <wp:posOffset>635</wp:posOffset>
                      </wp:positionV>
                      <wp:extent cx="769620" cy="175260"/>
                      <wp:effectExtent l="0" t="0" r="0" b="0"/>
                      <wp:wrapNone/>
                      <wp:docPr id="618" name="Frame618"/>
                      <a:graphic xmlns:a="http://schemas.openxmlformats.org/drawingml/2006/main">
                        <a:graphicData uri="http://schemas.microsoft.com/office/word/2010/wordprocessingShape">
                          <wps:wsp>
                            <wps:cNvSpPr txBox="1"/>
                            <wps:spPr>
                              <a:xfrm>
                                <a:off x="0" y="0"/>
                                <a:ext cx="7696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8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50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58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50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2026</w:t>
            </w:r>
          </w:p>
        </w:tc>
      </w:tr>
      <w:tr>
        <w:trPr/>
        <w:tc>
          <w:tcPr>
            <w:tcW w:w="589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Revenues from third-parties</w:t>
            </w:r>
          </w:p>
        </w:tc>
        <w:tc>
          <w:tcPr>
            <w:tcW w:w="346" w:type="dxa"/>
            <w:tcBorders/>
            <w:shd w:fill="CCEEFF" w:val="clear"/>
            <w:vAlign w:val="center"/>
          </w:tcPr>
          <w:p>
            <w:pPr>
              <w:pStyle w:val="TableContents"/>
              <w:bidi w:val="0"/>
              <w:spacing w:before="0" w:after="1"/>
              <w:ind w:left="0" w:right="0" w:hanging="0"/>
              <w:jc w:val="left"/>
              <w:rPr/>
            </w:pPr>
            <w:r>
              <w:rPr/>
              <w:t>​</w:t>
            </w:r>
          </w:p>
        </w:tc>
        <w:tc>
          <w:tcPr>
            <w:tcW w:w="28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1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654</w:t>
            </w:r>
          </w:p>
        </w:tc>
      </w:tr>
      <w:tr>
        <w:trPr/>
        <w:tc>
          <w:tcPr>
            <w:tcW w:w="589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Revenues from non-guarantor subsidiaries</w:t>
            </w:r>
          </w:p>
        </w:tc>
        <w:tc>
          <w:tcPr>
            <w:tcW w:w="346" w:type="dxa"/>
            <w:tcBorders/>
            <w:vAlign w:val="center"/>
          </w:tcPr>
          <w:p>
            <w:pPr>
              <w:pStyle w:val="TableContents"/>
              <w:bidi w:val="0"/>
              <w:spacing w:before="0" w:after="1"/>
              <w:ind w:left="0" w:right="0" w:hanging="0"/>
              <w:jc w:val="left"/>
              <w:rPr/>
            </w:pPr>
            <w:r>
              <w:rPr/>
              <w:t>​</w:t>
            </w:r>
          </w:p>
        </w:tc>
        <w:tc>
          <w:tcPr>
            <w:tcW w:w="288" w:type="dxa"/>
            <w:tcBorders/>
            <w:vAlign w:val="center"/>
          </w:tcPr>
          <w:p>
            <w:pPr>
              <w:pStyle w:val="TableContents"/>
              <w:bidi w:val="0"/>
              <w:spacing w:before="0" w:after="1"/>
              <w:ind w:left="0" w:right="0" w:hanging="0"/>
              <w:jc w:val="left"/>
              <w:rPr/>
            </w:pPr>
            <w:r>
              <w:rPr/>
              <w:t>​</w:t>
            </w:r>
          </w:p>
        </w:tc>
        <w:tc>
          <w:tcPr>
            <w:tcW w:w="121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344,555</w:t>
            </w:r>
          </w:p>
        </w:tc>
      </w:tr>
      <w:tr>
        <w:trPr/>
        <w:tc>
          <w:tcPr>
            <w:tcW w:w="589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Operating expenses (excluding expenses to non-guarantor subsidiaries)</w:t>
            </w:r>
          </w:p>
        </w:tc>
        <w:tc>
          <w:tcPr>
            <w:tcW w:w="346" w:type="dxa"/>
            <w:tcBorders/>
            <w:shd w:fill="CCEEFF" w:val="clear"/>
            <w:vAlign w:val="center"/>
          </w:tcPr>
          <w:p>
            <w:pPr>
              <w:pStyle w:val="TableContents"/>
              <w:bidi w:val="0"/>
              <w:spacing w:before="0" w:after="1"/>
              <w:ind w:left="0" w:right="0" w:hanging="0"/>
              <w:jc w:val="left"/>
              <w:rPr/>
            </w:pPr>
            <w:r>
              <w:rPr/>
              <w:t>​</w:t>
            </w:r>
          </w:p>
        </w:tc>
        <w:tc>
          <w:tcPr>
            <w:tcW w:w="288" w:type="dxa"/>
            <w:tcBorders/>
            <w:shd w:fill="CCEEFF" w:val="clear"/>
            <w:vAlign w:val="center"/>
          </w:tcPr>
          <w:p>
            <w:pPr>
              <w:pStyle w:val="TableContents"/>
              <w:bidi w:val="0"/>
              <w:spacing w:before="0" w:after="1"/>
              <w:ind w:left="0" w:right="0" w:hanging="0"/>
              <w:jc w:val="left"/>
              <w:rPr/>
            </w:pPr>
            <w:r>
              <w:rPr/>
              <w:t>​</w:t>
            </w:r>
          </w:p>
        </w:tc>
        <w:tc>
          <w:tcPr>
            <w:tcW w:w="121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96,412</w:t>
            </w:r>
          </w:p>
        </w:tc>
      </w:tr>
      <w:tr>
        <w:trPr/>
        <w:tc>
          <w:tcPr>
            <w:tcW w:w="589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Expenses to non-guarantor subsidiaries</w:t>
            </w:r>
          </w:p>
        </w:tc>
        <w:tc>
          <w:tcPr>
            <w:tcW w:w="346" w:type="dxa"/>
            <w:tcBorders/>
            <w:vAlign w:val="center"/>
          </w:tcPr>
          <w:p>
            <w:pPr>
              <w:pStyle w:val="TableContents"/>
              <w:bidi w:val="0"/>
              <w:spacing w:before="0" w:after="1"/>
              <w:ind w:left="0" w:right="0" w:hanging="0"/>
              <w:jc w:val="left"/>
              <w:rPr/>
            </w:pPr>
            <w:r>
              <w:rPr/>
              <w:t>​</w:t>
            </w:r>
          </w:p>
        </w:tc>
        <w:tc>
          <w:tcPr>
            <w:tcW w:w="288" w:type="dxa"/>
            <w:tcBorders/>
            <w:vAlign w:val="center"/>
          </w:tcPr>
          <w:p>
            <w:pPr>
              <w:pStyle w:val="TableContents"/>
              <w:bidi w:val="0"/>
              <w:spacing w:before="0" w:after="1"/>
              <w:ind w:left="0" w:right="0" w:hanging="0"/>
              <w:jc w:val="left"/>
              <w:rPr/>
            </w:pPr>
            <w:r>
              <w:rPr/>
              <w:t>​</w:t>
            </w:r>
          </w:p>
        </w:tc>
        <w:tc>
          <w:tcPr>
            <w:tcW w:w="121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16,023</w:t>
            </w:r>
          </w:p>
        </w:tc>
      </w:tr>
      <w:tr>
        <w:trPr/>
        <w:tc>
          <w:tcPr>
            <w:tcW w:w="589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Operating income</w:t>
            </w:r>
          </w:p>
        </w:tc>
        <w:tc>
          <w:tcPr>
            <w:tcW w:w="346" w:type="dxa"/>
            <w:tcBorders/>
            <w:shd w:fill="CCEEFF" w:val="clear"/>
            <w:vAlign w:val="center"/>
          </w:tcPr>
          <w:p>
            <w:pPr>
              <w:pStyle w:val="TableContents"/>
              <w:bidi w:val="0"/>
              <w:spacing w:before="0" w:after="1"/>
              <w:ind w:left="0" w:right="0" w:hanging="0"/>
              <w:jc w:val="left"/>
              <w:rPr/>
            </w:pPr>
            <w:r>
              <w:rPr/>
              <w:t>​</w:t>
            </w:r>
          </w:p>
        </w:tc>
        <w:tc>
          <w:tcPr>
            <w:tcW w:w="288" w:type="dxa"/>
            <w:tcBorders/>
            <w:shd w:fill="CCEEFF" w:val="clear"/>
            <w:vAlign w:val="center"/>
          </w:tcPr>
          <w:p>
            <w:pPr>
              <w:pStyle w:val="TableContents"/>
              <w:bidi w:val="0"/>
              <w:spacing w:before="0" w:after="1"/>
              <w:ind w:left="0" w:right="0" w:hanging="0"/>
              <w:jc w:val="left"/>
              <w:rPr/>
            </w:pPr>
            <w:r>
              <w:rPr/>
              <w:t>​</w:t>
            </w:r>
          </w:p>
        </w:tc>
        <w:tc>
          <w:tcPr>
            <w:tcW w:w="121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232,774</w:t>
            </w:r>
          </w:p>
        </w:tc>
      </w:tr>
      <w:tr>
        <w:trPr/>
        <w:tc>
          <w:tcPr>
            <w:tcW w:w="589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Interest income from non-guarantor subsidiaries</w:t>
            </w:r>
          </w:p>
        </w:tc>
        <w:tc>
          <w:tcPr>
            <w:tcW w:w="346" w:type="dxa"/>
            <w:tcBorders/>
            <w:vAlign w:val="center"/>
          </w:tcPr>
          <w:p>
            <w:pPr>
              <w:pStyle w:val="TableContents"/>
              <w:bidi w:val="0"/>
              <w:spacing w:before="0" w:after="1"/>
              <w:ind w:left="0" w:right="0" w:hanging="0"/>
              <w:jc w:val="left"/>
              <w:rPr/>
            </w:pPr>
            <w:r>
              <w:rPr/>
              <w:t>​</w:t>
            </w:r>
          </w:p>
        </w:tc>
        <w:tc>
          <w:tcPr>
            <w:tcW w:w="288" w:type="dxa"/>
            <w:tcBorders/>
            <w:vAlign w:val="center"/>
          </w:tcPr>
          <w:p>
            <w:pPr>
              <w:pStyle w:val="TableContents"/>
              <w:bidi w:val="0"/>
              <w:spacing w:before="0" w:after="1"/>
              <w:ind w:left="0" w:right="0" w:hanging="0"/>
              <w:jc w:val="left"/>
              <w:rPr/>
            </w:pPr>
            <w:r>
              <w:rPr/>
              <w:t>​</w:t>
            </w:r>
          </w:p>
        </w:tc>
        <w:tc>
          <w:tcPr>
            <w:tcW w:w="121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1,232</w:t>
            </w:r>
          </w:p>
        </w:tc>
      </w:tr>
      <w:tr>
        <w:trPr/>
        <w:tc>
          <w:tcPr>
            <w:tcW w:w="589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Net income</w:t>
            </w:r>
          </w:p>
        </w:tc>
        <w:tc>
          <w:tcPr>
            <w:tcW w:w="346" w:type="dxa"/>
            <w:tcBorders/>
            <w:shd w:fill="CCEEFF" w:val="clear"/>
            <w:vAlign w:val="center"/>
          </w:tcPr>
          <w:p>
            <w:pPr>
              <w:pStyle w:val="TableContents"/>
              <w:bidi w:val="0"/>
              <w:spacing w:before="0" w:after="1"/>
              <w:ind w:left="0" w:right="0" w:hanging="0"/>
              <w:jc w:val="left"/>
              <w:rPr/>
            </w:pPr>
            <w:r>
              <w:rPr/>
              <w:t>​</w:t>
            </w:r>
          </w:p>
        </w:tc>
        <w:tc>
          <w:tcPr>
            <w:tcW w:w="288" w:type="dxa"/>
            <w:tcBorders/>
            <w:shd w:fill="CCEEFF" w:val="clear"/>
            <w:vAlign w:val="center"/>
          </w:tcPr>
          <w:p>
            <w:pPr>
              <w:pStyle w:val="TableContents"/>
              <w:bidi w:val="0"/>
              <w:spacing w:before="0" w:after="1"/>
              <w:ind w:left="0" w:right="0" w:hanging="0"/>
              <w:jc w:val="left"/>
              <w:rPr/>
            </w:pPr>
            <w:r>
              <w:rPr/>
              <w:t>​</w:t>
            </w:r>
          </w:p>
        </w:tc>
        <w:tc>
          <w:tcPr>
            <w:tcW w:w="121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122,967</w:t>
            </w:r>
          </w:p>
        </w:tc>
      </w:tr>
      <w:tr>
        <w:trPr/>
        <w:tc>
          <w:tcPr>
            <w:tcW w:w="589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Net income available to common stockholders</w:t>
            </w:r>
          </w:p>
        </w:tc>
        <w:tc>
          <w:tcPr>
            <w:tcW w:w="346" w:type="dxa"/>
            <w:tcBorders/>
            <w:vAlign w:val="center"/>
          </w:tcPr>
          <w:p>
            <w:pPr>
              <w:pStyle w:val="TableContents"/>
              <w:bidi w:val="0"/>
              <w:spacing w:before="0" w:after="1"/>
              <w:ind w:left="0" w:right="0" w:hanging="0"/>
              <w:jc w:val="left"/>
              <w:rPr/>
            </w:pPr>
            <w:r>
              <w:rPr/>
              <w:t>​</w:t>
            </w:r>
          </w:p>
        </w:tc>
        <w:tc>
          <w:tcPr>
            <w:tcW w:w="288" w:type="dxa"/>
            <w:tcBorders/>
            <w:vAlign w:val="center"/>
          </w:tcPr>
          <w:p>
            <w:pPr>
              <w:pStyle w:val="TableContents"/>
              <w:bidi w:val="0"/>
              <w:spacing w:before="0" w:after="1"/>
              <w:ind w:left="0" w:right="0" w:hanging="0"/>
              <w:jc w:val="left"/>
              <w:rPr/>
            </w:pPr>
            <w:r>
              <w:rPr/>
              <w:t>​</w:t>
            </w:r>
          </w:p>
        </w:tc>
        <w:tc>
          <w:tcPr>
            <w:tcW w:w="1212"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114,711</w:t>
            </w:r>
          </w:p>
        </w:tc>
      </w:tr>
    </w:tbl>
    <w:p>
      <w:pPr>
        <w:pStyle w:val="TextBody"/>
        <w:bidi w:val="0"/>
        <w:spacing w:before="0" w:after="240"/>
        <w:ind w:left="0" w:right="0" w:hanging="0"/>
        <w:jc w:val="left"/>
        <w:rPr/>
      </w:pPr>
      <w:r>
        <w:rPr/>
        <w:t>​</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Critical Accounting Policies and Estimates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We prepare our condensed consolidated financial statements in conformity with GAAP. Certain of our accounting policies, including those related to impairment of long-lived and other assets, credit losses on financial assets, income taxes, acquisitions and purchase price allocations, and legal contingencies, require that we apply significant judgment in defining the appropriate assumptions for calculating financial estimates. By their nature, these judgments are subject to an inherent degree of uncertainty. Our judgments are based on our historical experience, our observance of trends in the industry, and information available from other outside sources, as appropriate. There can be no assurance that actual results will not differ from our estimates. For a discussion of our critical accounting policies and estimates, please refer to Item 7, “Management’s Discussion and Analysis of Financial Condition and Results of Operations” and “Notes to Consolidated Financial Statements” presented in our Annual Report on Form 10-K for the year ended December 31, 2025. There were no newly identified critical accounting policies in the first six months of 2026, nor were there any material changes to the critical accounting policies and estimates discussed in our Annual Report on Form 10-K for the year ended December 31, 2025.</w:t>
      </w:r>
    </w:p>
    <w:p>
      <w:pPr>
        <w:pStyle w:val="TextBody"/>
        <w:bidi w:val="0"/>
        <w:spacing w:before="0" w:after="200"/>
        <w:ind w:left="0" w:right="0" w:hanging="0"/>
        <w:jc w:val="left"/>
        <w:rPr>
          <w:rFonts w:ascii="Times New Roman;Times;serif" w:hAnsi="Times New Roman;Times;serif"/>
          <w:b/>
          <w:sz w:val="20"/>
        </w:rPr>
      </w:pPr>
      <w:bookmarkStart w:id="1395" w:name="ITEM3QUANTITATIVEANDQUALITATIVEDISCLOSUR"/>
      <w:bookmarkStart w:id="1396" w:name="_4ef9e129_d15f_4b27_9aa9_185ca9119bd5"/>
      <w:bookmarkEnd w:id="1395"/>
      <w:bookmarkEnd w:id="1396"/>
      <w:r>
        <w:rPr>
          <w:rFonts w:ascii="Times New Roman;Times;serif" w:hAnsi="Times New Roman;Times;serif"/>
          <w:b/>
          <w:sz w:val="20"/>
        </w:rPr>
        <w:t>ITEM 3. QUANTITATIVE AND QUALITATIVE DISCLOSURES ABOUT MARKET RISK</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There have been no material changes in our quantitative and qualitative market risks since December 31, 2025. For a discussion of the Company’s exposure to market risk, refer to the Company’s market risk disclosures set forth in Part II, Item 7A, “Quantitative and Qualitative Disclosures About Market Risk” of the Company’s Annual Report on Form 10-K for the year ended December 31, 2025.</w:t>
      </w:r>
    </w:p>
    <w:p>
      <w:pPr>
        <w:pStyle w:val="TextBody"/>
        <w:bidi w:val="0"/>
        <w:spacing w:before="0" w:after="200"/>
        <w:ind w:left="0" w:right="0" w:hanging="0"/>
        <w:jc w:val="left"/>
        <w:rPr>
          <w:rFonts w:ascii="Times New Roman;Times;serif" w:hAnsi="Times New Roman;Times;serif"/>
          <w:b/>
          <w:sz w:val="20"/>
        </w:rPr>
      </w:pPr>
      <w:bookmarkStart w:id="1397" w:name="ITEM4CONTROLSANDPROCEDURES_659141"/>
      <w:bookmarkStart w:id="1398" w:name="_b6b8b3d5_8bd8_46f0_87c0_5267e14faee4"/>
      <w:bookmarkEnd w:id="1397"/>
      <w:bookmarkEnd w:id="1398"/>
      <w:r>
        <w:rPr>
          <w:rFonts w:ascii="Times New Roman;Times;serif" w:hAnsi="Times New Roman;Times;serif"/>
          <w:b/>
          <w:sz w:val="20"/>
        </w:rPr>
        <w:t>ITEM 4. CONTROLS AND PROCEDURES.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Company maintains disclosure controls and procedures, as defined in Rule 13a-15(e) promulgated under the Exchange Act, that are designed to ensure that information required to be disclosed by us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The Company carried out an evaluation under the supervision and with the participation of our management,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including our Chief Executive Officer and Chief Financial Officer, of the effectiveness of the design and operation of our disclosure controls and procedures as of the end of the period covered by this report. Based on the evaluation of these disclosure controls and procedures, the Chief Executive Officer and Chief Financial Officer concluded that our disclosure controls and procedures were effective as of the end of the period covered by this report.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There has been no change in our internal control over financial reporting that occurred during the period covered by this report that materially affected, or is reasonably likely to materially affect, our internal control over financial reporting.</w:t>
      </w:r>
    </w:p>
    <w:p>
      <w:pPr>
        <w:pStyle w:val="TextBody"/>
        <w:bidi w:val="0"/>
        <w:spacing w:before="0" w:after="200"/>
        <w:ind w:left="0" w:right="0" w:hanging="0"/>
        <w:jc w:val="left"/>
        <w:rPr>
          <w:rFonts w:ascii="Times New Roman;Times;serif" w:hAnsi="Times New Roman;Times;serif"/>
          <w:b/>
          <w:sz w:val="20"/>
        </w:rPr>
      </w:pPr>
      <w:bookmarkStart w:id="1399" w:name="PARTIIOTHERINFORMATION_190891"/>
      <w:bookmarkStart w:id="1400" w:name="_78be37d5_657f_4ae2_8851_4b2d25bc9c68"/>
      <w:bookmarkEnd w:id="1399"/>
      <w:bookmarkEnd w:id="1400"/>
      <w:r>
        <w:rPr>
          <w:rFonts w:ascii="Times New Roman;Times;serif" w:hAnsi="Times New Roman;Times;serif"/>
          <w:b/>
          <w:sz w:val="20"/>
        </w:rPr>
        <w:t>PART II — OTHER INFORMATION</w:t>
      </w:r>
    </w:p>
    <w:p>
      <w:pPr>
        <w:pStyle w:val="TextBody"/>
        <w:bidi w:val="0"/>
        <w:spacing w:before="0" w:after="200"/>
        <w:ind w:left="0" w:right="0" w:hanging="0"/>
        <w:jc w:val="left"/>
        <w:rPr>
          <w:rFonts w:ascii="Times New Roman;Times;serif" w:hAnsi="Times New Roman;Times;serif"/>
          <w:b/>
          <w:sz w:val="20"/>
        </w:rPr>
      </w:pPr>
      <w:bookmarkStart w:id="1401" w:name="ITEM1LEGALPROCEEDINGS_914444"/>
      <w:bookmarkEnd w:id="1401"/>
      <w:r>
        <w:rPr>
          <w:rFonts w:ascii="Times New Roman;Times;serif" w:hAnsi="Times New Roman;Times;serif"/>
          <w:b/>
          <w:sz w:val="20"/>
        </w:rPr>
        <w:t>ITEM 1. LEGAL PROCEEDINGS.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 Company is a party to certain litigation in the ordinary course, as described in Note 11, “Commitments and Contingencies,” to our condensed consolidated financial statements included herein and which our management deems will not have a material effect on our financial statements.</w:t>
      </w:r>
    </w:p>
    <w:p>
      <w:pPr>
        <w:pStyle w:val="TextBody"/>
        <w:bidi w:val="0"/>
        <w:spacing w:before="0" w:after="200"/>
        <w:ind w:left="0" w:right="0" w:hanging="0"/>
        <w:jc w:val="left"/>
        <w:rPr>
          <w:rFonts w:ascii="Times New Roman;Times;serif" w:hAnsi="Times New Roman;Times;serif"/>
          <w:b/>
          <w:sz w:val="20"/>
        </w:rPr>
      </w:pPr>
      <w:bookmarkStart w:id="1402" w:name="ITEM1ARISKFACTORS_705545"/>
      <w:bookmarkStart w:id="1403" w:name="_2fc2cd49_9447_4bac_b180_986346304422"/>
      <w:bookmarkEnd w:id="1402"/>
      <w:bookmarkEnd w:id="1403"/>
      <w:r>
        <w:rPr>
          <w:rFonts w:ascii="Times New Roman;Times;serif" w:hAnsi="Times New Roman;Times;serif"/>
          <w:b/>
          <w:sz w:val="20"/>
        </w:rPr>
        <w:t>ITEM 1A. RISK FACTORS.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There have been no material changes from the risk factors disclosed in Part I, Item 1A, “Risk Factors,” of our Annual Report on Form 10-K for the year ended December 31, 2025.</w:t>
      </w:r>
    </w:p>
    <w:p>
      <w:pPr>
        <w:pStyle w:val="TextBody"/>
        <w:bidi w:val="0"/>
        <w:spacing w:before="0" w:after="200"/>
        <w:ind w:left="0" w:right="0" w:hanging="0"/>
        <w:jc w:val="left"/>
        <w:rPr>
          <w:rFonts w:ascii="Times New Roman;Times;serif" w:hAnsi="Times New Roman;Times;serif"/>
          <w:b/>
          <w:sz w:val="20"/>
        </w:rPr>
      </w:pPr>
      <w:bookmarkStart w:id="1404" w:name="ITEM2UNREGISTEREDSALESOFEQUITYSECURITIES"/>
      <w:bookmarkStart w:id="1405" w:name="_d355b841_7bec_4e3e_ae82_105e1fc60072"/>
      <w:bookmarkEnd w:id="1404"/>
      <w:bookmarkEnd w:id="1405"/>
      <w:r>
        <w:rPr>
          <w:rFonts w:ascii="Times New Roman;Times;serif" w:hAnsi="Times New Roman;Times;serif"/>
          <w:b/>
          <w:sz w:val="20"/>
        </w:rPr>
        <w:t>ITEM 2. UNREGISTERED SALES OF EQUITY SECURITIES AND USE OF PROCEEDS.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Inapplicable.</w:t>
      </w:r>
    </w:p>
    <w:p>
      <w:pPr>
        <w:pStyle w:val="TextBody"/>
        <w:bidi w:val="0"/>
        <w:spacing w:before="0" w:after="200"/>
        <w:ind w:left="0" w:right="0" w:hanging="0"/>
        <w:jc w:val="left"/>
        <w:rPr>
          <w:rFonts w:ascii="Times New Roman;Times;serif" w:hAnsi="Times New Roman;Times;serif"/>
          <w:b/>
          <w:sz w:val="20"/>
        </w:rPr>
      </w:pPr>
      <w:bookmarkStart w:id="1406" w:name="ITEM3DEFAULTS"/>
      <w:bookmarkStart w:id="1407" w:name="_d23b1d19_18ce_4c07_a7cb_cf668422fb8e"/>
      <w:bookmarkStart w:id="1408" w:name="_ITEM_3._DEFAULTS"/>
      <w:bookmarkEnd w:id="1406"/>
      <w:bookmarkEnd w:id="1407"/>
      <w:bookmarkEnd w:id="1408"/>
      <w:r>
        <w:rPr>
          <w:rFonts w:ascii="Times New Roman;Times;serif" w:hAnsi="Times New Roman;Times;serif"/>
          <w:b/>
          <w:sz w:val="20"/>
        </w:rPr>
        <w:t>ITEM 3. DEFAULTS UPON SENIOR SECURITIES.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Inapplicable.</w:t>
      </w:r>
    </w:p>
    <w:p>
      <w:pPr>
        <w:pStyle w:val="TextBody"/>
        <w:bidi w:val="0"/>
        <w:spacing w:before="0" w:after="200"/>
        <w:ind w:left="0" w:right="0" w:hanging="0"/>
        <w:jc w:val="left"/>
        <w:rPr>
          <w:rFonts w:ascii="Times New Roman;Times;serif" w:hAnsi="Times New Roman;Times;serif"/>
          <w:b/>
          <w:sz w:val="20"/>
        </w:rPr>
      </w:pPr>
      <w:bookmarkStart w:id="1409" w:name="ITEM4MINESAFETYDISCLOSURES_772622"/>
      <w:bookmarkStart w:id="1410" w:name="_1c0f6f61_2de7_4875_9399_c985a7e82baa"/>
      <w:bookmarkEnd w:id="1409"/>
      <w:bookmarkEnd w:id="1410"/>
      <w:r>
        <w:rPr>
          <w:rFonts w:ascii="Times New Roman;Times;serif" w:hAnsi="Times New Roman;Times;serif"/>
          <w:b/>
          <w:sz w:val="20"/>
        </w:rPr>
        <w:t>ITEM 4. MINE SAFETY DISCLOSURES.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Inapplicable.</w:t>
      </w:r>
    </w:p>
    <w:p>
      <w:pPr>
        <w:pStyle w:val="TextBody"/>
        <w:bidi w:val="0"/>
        <w:spacing w:before="0" w:after="200"/>
        <w:ind w:left="0" w:right="0" w:hanging="0"/>
        <w:jc w:val="left"/>
        <w:rPr>
          <w:rFonts w:ascii="Times New Roman;Times;serif" w:hAnsi="Times New Roman;Times;serif"/>
          <w:b/>
          <w:sz w:val="20"/>
        </w:rPr>
      </w:pPr>
      <w:bookmarkStart w:id="1411" w:name="ITEM5OTHERINFORMATION_308640"/>
      <w:bookmarkStart w:id="1412" w:name="_898065aa_8126_439e_a228_33df82bfe2cf"/>
      <w:bookmarkEnd w:id="1411"/>
      <w:bookmarkEnd w:id="1412"/>
      <w:r>
        <w:rPr>
          <w:rFonts w:ascii="Times New Roman;Times;serif" w:hAnsi="Times New Roman;Times;serif"/>
          <w:b/>
          <w:sz w:val="20"/>
        </w:rPr>
        <w:t>ITEM 5. OTHER INFORMATION.</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During the fiscal quarter ended June 30, 2026, none of our directors or officers (as defined in Rule 16a-1(f) of the Exchange Act) adopted or terminated a “Rule 10b5-1 trading arrangement” or “non-Rule 10b5-1 trading arrangement” (in each case, as defined in Item 408 of Regulation S-K).</w:t>
      </w:r>
    </w:p>
    <w:p>
      <w:pPr>
        <w:pStyle w:val="TextBody"/>
        <w:bidi w:val="0"/>
        <w:spacing w:before="0" w:after="240"/>
        <w:ind w:left="0" w:right="0" w:hanging="0"/>
        <w:jc w:val="left"/>
        <w:rPr/>
      </w:pPr>
      <w:bookmarkStart w:id="1413" w:name="_f392afed_0a6c_4c65_9b49_76d1d7c493e0"/>
      <w:bookmarkEnd w:id="1413"/>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414" w:name="ITEM6EXHIBITS_542931"/>
      <w:bookmarkEnd w:id="1414"/>
      <w:r>
        <w:rPr>
          <w:rFonts w:ascii="Times New Roman;Times;serif" w:hAnsi="Times New Roman;Times;serif"/>
          <w:b/>
          <w:sz w:val="20"/>
        </w:rPr>
        <w:t>ITEM 6. EXHIBITS.</w:t>
      </w:r>
    </w:p>
    <w:tbl>
      <w:tblPr>
        <w:tblW w:w="10205" w:type="dxa"/>
        <w:jc w:val="left"/>
        <w:tblInd w:w="0" w:type="dxa"/>
        <w:tblLayout w:type="fixed"/>
        <w:tblCellMar>
          <w:top w:w="0" w:type="dxa"/>
          <w:left w:w="0" w:type="dxa"/>
          <w:bottom w:w="0" w:type="dxa"/>
          <w:right w:w="0" w:type="dxa"/>
        </w:tblCellMar>
      </w:tblPr>
      <w:tblGrid>
        <w:gridCol w:w="1426"/>
        <w:gridCol w:w="346"/>
        <w:gridCol w:w="8433"/>
      </w:tblGrid>
      <w:tr>
        <w:trPr/>
        <w:tc>
          <w:tcPr>
            <w:tcW w:w="1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0">
                      <wp:simplePos x="0" y="0"/>
                      <wp:positionH relativeFrom="character">
                        <wp:align>left</wp:align>
                      </wp:positionH>
                      <wp:positionV relativeFrom="line">
                        <wp:posOffset>635</wp:posOffset>
                      </wp:positionV>
                      <wp:extent cx="905510" cy="175260"/>
                      <wp:effectExtent l="0" t="0" r="0" b="0"/>
                      <wp:wrapNone/>
                      <wp:docPr id="619" name="Frame619"/>
                      <a:graphic xmlns:a="http://schemas.openxmlformats.org/drawingml/2006/main">
                        <a:graphicData uri="http://schemas.microsoft.com/office/word/2010/wordprocessingShape">
                          <wps:wsp>
                            <wps:cNvSpPr txBox="1"/>
                            <wps:spPr>
                              <a:xfrm>
                                <a:off x="0" y="0"/>
                                <a:ext cx="905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1">
                      <wp:simplePos x="0" y="0"/>
                      <wp:positionH relativeFrom="character">
                        <wp:align>left</wp:align>
                      </wp:positionH>
                      <wp:positionV relativeFrom="line">
                        <wp:posOffset>635</wp:posOffset>
                      </wp:positionV>
                      <wp:extent cx="219710" cy="175260"/>
                      <wp:effectExtent l="0" t="0" r="0" b="0"/>
                      <wp:wrapNone/>
                      <wp:docPr id="620" name="Frame6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2">
                      <wp:simplePos x="0" y="0"/>
                      <wp:positionH relativeFrom="character">
                        <wp:align>left</wp:align>
                      </wp:positionH>
                      <wp:positionV relativeFrom="line">
                        <wp:posOffset>635</wp:posOffset>
                      </wp:positionV>
                      <wp:extent cx="5354955" cy="175260"/>
                      <wp:effectExtent l="0" t="0" r="0" b="0"/>
                      <wp:wrapNone/>
                      <wp:docPr id="621" name="Frame621"/>
                      <a:graphic xmlns:a="http://schemas.openxmlformats.org/drawingml/2006/main">
                        <a:graphicData uri="http://schemas.microsoft.com/office/word/2010/wordprocessingShape">
                          <wps:wsp>
                            <wps:cNvSpPr txBox="1"/>
                            <wps:spPr>
                              <a:xfrm>
                                <a:off x="0" y="0"/>
                                <a:ext cx="5354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2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Number</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843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Description</w:t>
            </w:r>
          </w:p>
        </w:tc>
      </w:tr>
      <w:tr>
        <w:trPr/>
        <w:tc>
          <w:tcPr>
            <w:tcW w:w="142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433"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14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w:t>
            </w:r>
          </w:p>
        </w:tc>
        <w:tc>
          <w:tcPr>
            <w:tcW w:w="346" w:type="dxa"/>
            <w:tcBorders/>
            <w:vAlign w:val="center"/>
          </w:tcPr>
          <w:p>
            <w:pPr>
              <w:pStyle w:val="TableContents"/>
              <w:bidi w:val="0"/>
              <w:spacing w:before="0" w:after="0"/>
              <w:ind w:left="0" w:right="0" w:hanging="0"/>
              <w:jc w:val="left"/>
              <w:rPr/>
            </w:pPr>
            <w:r>
              <w:rPr/>
              <w:t>​</w:t>
            </w:r>
          </w:p>
        </w:tc>
        <w:tc>
          <w:tcPr>
            <w:tcW w:w="8433" w:type="dxa"/>
            <w:tcBorders/>
            <w:vAlign w:val="center"/>
          </w:tcPr>
          <w:p>
            <w:pPr>
              <w:pStyle w:val="TableContents"/>
              <w:bidi w:val="0"/>
              <w:spacing w:before="0" w:after="0"/>
              <w:ind w:left="0" w:right="0" w:hanging="0"/>
              <w:jc w:val="left"/>
              <w:rPr/>
            </w:pPr>
            <w:hyperlink r:id="rId2">
              <w:r>
                <w:rPr>
                  <w:rStyle w:val="InternetLink"/>
                  <w:rFonts w:ascii="Times New Roman;Times;serif" w:hAnsi="Times New Roman;Times;serif"/>
                  <w:b w:val="false"/>
                  <w:i w:val="false"/>
                  <w:caps w:val="false"/>
                  <w:smallCaps w:val="false"/>
                  <w:sz w:val="20"/>
                </w:rPr>
                <w:t>Amended and Restated Certificate of Incorporation of Ryman Hospitality Properties, Inc. (incorporated by reference to Exhibit 3.1 to the Company’s Current Report on Form 8-K filed October 1, 2012).</w:t>
              </w:r>
            </w:hyperlink>
          </w:p>
        </w:tc>
      </w:tr>
      <w:tr>
        <w:trPr/>
        <w:tc>
          <w:tcPr>
            <w:tcW w:w="14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w:t>
            </w:r>
          </w:p>
        </w:tc>
        <w:tc>
          <w:tcPr>
            <w:tcW w:w="346" w:type="dxa"/>
            <w:tcBorders/>
            <w:vAlign w:val="center"/>
          </w:tcPr>
          <w:p>
            <w:pPr>
              <w:pStyle w:val="TableContents"/>
              <w:bidi w:val="0"/>
              <w:spacing w:before="0" w:after="0"/>
              <w:ind w:left="0" w:right="0" w:hanging="0"/>
              <w:jc w:val="left"/>
              <w:rPr/>
            </w:pPr>
            <w:r>
              <w:rPr/>
              <w:t>​</w:t>
            </w:r>
          </w:p>
        </w:tc>
        <w:tc>
          <w:tcPr>
            <w:tcW w:w="8433" w:type="dxa"/>
            <w:tcBorders/>
            <w:vAlign w:val="center"/>
          </w:tcPr>
          <w:p>
            <w:pPr>
              <w:pStyle w:val="TableContents"/>
              <w:bidi w:val="0"/>
              <w:spacing w:before="0" w:after="0"/>
              <w:ind w:left="0" w:right="0" w:hanging="0"/>
              <w:jc w:val="left"/>
              <w:rPr/>
            </w:pPr>
            <w:hyperlink r:id="rId3">
              <w:r>
                <w:rPr>
                  <w:rStyle w:val="InternetLink"/>
                  <w:rFonts w:ascii="Times New Roman;Times;serif" w:hAnsi="Times New Roman;Times;serif"/>
                  <w:b w:val="false"/>
                  <w:i w:val="false"/>
                  <w:caps w:val="false"/>
                  <w:smallCaps w:val="false"/>
                  <w:sz w:val="20"/>
                </w:rPr>
                <w:t>Second Amended and Restated Bylaws of Ryman Hospitality Properties, Inc. (incorporated by reference to Exhibit 3.2 to the Company’s Annual Report on Form 10-K filed February 24, 2023).</w:t>
              </w:r>
            </w:hyperlink>
          </w:p>
        </w:tc>
      </w:tr>
      <w:tr>
        <w:trPr/>
        <w:tc>
          <w:tcPr>
            <w:tcW w:w="14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22</w:t>
            </w:r>
          </w:p>
        </w:tc>
        <w:tc>
          <w:tcPr>
            <w:tcW w:w="346" w:type="dxa"/>
            <w:tcBorders/>
            <w:vAlign w:val="center"/>
          </w:tcPr>
          <w:p>
            <w:pPr>
              <w:pStyle w:val="TableContents"/>
              <w:bidi w:val="0"/>
              <w:spacing w:before="0" w:after="0"/>
              <w:ind w:left="0" w:right="0" w:hanging="0"/>
              <w:jc w:val="left"/>
              <w:rPr/>
            </w:pPr>
            <w:r>
              <w:rPr/>
              <w:t>​</w:t>
            </w:r>
          </w:p>
        </w:tc>
        <w:tc>
          <w:tcPr>
            <w:tcW w:w="8433" w:type="dxa"/>
            <w:tcBorders/>
            <w:vAlign w:val="center"/>
          </w:tcPr>
          <w:p>
            <w:pPr>
              <w:pStyle w:val="TableContents"/>
              <w:bidi w:val="0"/>
              <w:spacing w:before="0" w:after="0"/>
              <w:ind w:left="0" w:right="0" w:hanging="0"/>
              <w:jc w:val="left"/>
              <w:rPr/>
            </w:pPr>
            <w:hyperlink r:id="rId4">
              <w:r>
                <w:rPr>
                  <w:rStyle w:val="InternetLink"/>
                  <w:rFonts w:ascii="Times New Roman;Times;serif" w:hAnsi="Times New Roman;Times;serif"/>
                  <w:b w:val="false"/>
                  <w:i w:val="false"/>
                  <w:caps w:val="false"/>
                  <w:smallCaps w:val="false"/>
                  <w:sz w:val="20"/>
                </w:rPr>
                <w:t>List of Parent and Subsidiary Guarantors (incorporated by reference to Exhibit 22 to the Company’s Quarterly Report on Form 10-Q filed May 1, 2026).</w:t>
              </w:r>
            </w:hyperlink>
          </w:p>
        </w:tc>
      </w:tr>
      <w:tr>
        <w:trPr/>
        <w:tc>
          <w:tcPr>
            <w:tcW w:w="14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346" w:type="dxa"/>
            <w:tcBorders/>
            <w:vAlign w:val="center"/>
          </w:tcPr>
          <w:p>
            <w:pPr>
              <w:pStyle w:val="TableContents"/>
              <w:bidi w:val="0"/>
              <w:spacing w:before="0" w:after="0"/>
              <w:ind w:left="0" w:right="0" w:hanging="0"/>
              <w:jc w:val="left"/>
              <w:rPr/>
            </w:pPr>
            <w:r>
              <w:rPr/>
              <w:t>​</w:t>
            </w:r>
          </w:p>
        </w:tc>
        <w:tc>
          <w:tcPr>
            <w:tcW w:w="8433" w:type="dxa"/>
            <w:tcBorders/>
            <w:vAlign w:val="center"/>
          </w:tcPr>
          <w:p>
            <w:pPr>
              <w:pStyle w:val="TableContents"/>
              <w:bidi w:val="0"/>
              <w:spacing w:before="0" w:after="0"/>
              <w:ind w:left="0" w:right="0" w:hanging="0"/>
              <w:jc w:val="left"/>
              <w:rPr/>
            </w:pPr>
            <w:hyperlink w:anchor="rhp-20260630xex31d1.htm">
              <w:r>
                <w:rPr>
                  <w:rStyle w:val="InternetLink"/>
                  <w:rFonts w:ascii="Times New Roman;Times;serif" w:hAnsi="Times New Roman;Times;serif"/>
                  <w:b w:val="false"/>
                  <w:i w:val="false"/>
                  <w:caps w:val="false"/>
                  <w:smallCaps w:val="false"/>
                  <w:sz w:val="20"/>
                </w:rPr>
                <w:t>Certification of Mark Fioravanti pursuant to Section 302 of Sarbanes-Oxley Act of 2002.</w:t>
              </w:r>
            </w:hyperlink>
          </w:p>
        </w:tc>
      </w:tr>
      <w:tr>
        <w:trPr/>
        <w:tc>
          <w:tcPr>
            <w:tcW w:w="14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31.2*</w:t>
            </w:r>
          </w:p>
        </w:tc>
        <w:tc>
          <w:tcPr>
            <w:tcW w:w="346" w:type="dxa"/>
            <w:tcBorders/>
            <w:vAlign w:val="center"/>
          </w:tcPr>
          <w:p>
            <w:pPr>
              <w:pStyle w:val="TableContents"/>
              <w:bidi w:val="0"/>
              <w:spacing w:before="0" w:after="0"/>
              <w:ind w:left="0" w:right="0" w:hanging="0"/>
              <w:jc w:val="left"/>
              <w:rPr/>
            </w:pPr>
            <w:r>
              <w:rPr/>
              <w:t>​</w:t>
            </w:r>
          </w:p>
        </w:tc>
        <w:tc>
          <w:tcPr>
            <w:tcW w:w="8433" w:type="dxa"/>
            <w:tcBorders/>
            <w:vAlign w:val="center"/>
          </w:tcPr>
          <w:p>
            <w:pPr>
              <w:pStyle w:val="TableContents"/>
              <w:bidi w:val="0"/>
              <w:spacing w:before="0" w:after="0"/>
              <w:ind w:left="0" w:right="0" w:hanging="0"/>
              <w:jc w:val="left"/>
              <w:rPr/>
            </w:pPr>
            <w:hyperlink w:anchor="rhp-20260630xex31d2.htm">
              <w:r>
                <w:rPr>
                  <w:rStyle w:val="InternetLink"/>
                  <w:rFonts w:ascii="Times New Roman;Times;serif" w:hAnsi="Times New Roman;Times;serif"/>
                  <w:b w:val="false"/>
                  <w:i w:val="false"/>
                  <w:caps w:val="false"/>
                  <w:smallCaps w:val="false"/>
                  <w:sz w:val="20"/>
                </w:rPr>
                <w:t>Certification of Jennifer Hutcheson pursuant to Section 302 of Sarbanes-Oxley Act of 2002.</w:t>
              </w:r>
            </w:hyperlink>
          </w:p>
        </w:tc>
      </w:tr>
      <w:tr>
        <w:trPr/>
        <w:tc>
          <w:tcPr>
            <w:tcW w:w="14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32.1**</w:t>
            </w:r>
          </w:p>
        </w:tc>
        <w:tc>
          <w:tcPr>
            <w:tcW w:w="346" w:type="dxa"/>
            <w:tcBorders/>
            <w:vAlign w:val="center"/>
          </w:tcPr>
          <w:p>
            <w:pPr>
              <w:pStyle w:val="TableContents"/>
              <w:bidi w:val="0"/>
              <w:spacing w:before="0" w:after="0"/>
              <w:ind w:left="0" w:right="0" w:hanging="0"/>
              <w:jc w:val="left"/>
              <w:rPr/>
            </w:pPr>
            <w:r>
              <w:rPr/>
              <w:t>​</w:t>
            </w:r>
          </w:p>
        </w:tc>
        <w:tc>
          <w:tcPr>
            <w:tcW w:w="8433" w:type="dxa"/>
            <w:tcBorders/>
            <w:vAlign w:val="center"/>
          </w:tcPr>
          <w:p>
            <w:pPr>
              <w:pStyle w:val="TableContents"/>
              <w:bidi w:val="0"/>
              <w:spacing w:before="0" w:after="0"/>
              <w:ind w:left="0" w:right="0" w:hanging="0"/>
              <w:jc w:val="left"/>
              <w:rPr/>
            </w:pPr>
            <w:hyperlink w:anchor="rhp-20260630xex32d1.htm">
              <w:r>
                <w:rPr>
                  <w:rStyle w:val="InternetLink"/>
                  <w:rFonts w:ascii="Times New Roman;Times;serif" w:hAnsi="Times New Roman;Times;serif"/>
                  <w:b w:val="false"/>
                  <w:i w:val="false"/>
                  <w:caps w:val="false"/>
                  <w:smallCaps w:val="false"/>
                  <w:sz w:val="20"/>
                </w:rPr>
                <w:t>Certification of Mark Fioravanti and Jennifer Hutcheson pursuant to 18 U.S.C. Section 1350, as adopted pursuant to Section 906 of Sarbanes-Oxley Act of 2002.</w:t>
              </w:r>
            </w:hyperlink>
          </w:p>
        </w:tc>
      </w:tr>
      <w:tr>
        <w:trPr/>
        <w:tc>
          <w:tcPr>
            <w:tcW w:w="14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w:t>
            </w:r>
          </w:p>
        </w:tc>
        <w:tc>
          <w:tcPr>
            <w:tcW w:w="346" w:type="dxa"/>
            <w:tcBorders/>
            <w:vAlign w:val="center"/>
          </w:tcPr>
          <w:p>
            <w:pPr>
              <w:pStyle w:val="TableContents"/>
              <w:bidi w:val="0"/>
              <w:spacing w:before="0" w:after="0"/>
              <w:ind w:left="0" w:right="0" w:hanging="0"/>
              <w:jc w:val="left"/>
              <w:rPr/>
            </w:pPr>
            <w:r>
              <w:rPr/>
              <w:t>​</w:t>
            </w:r>
          </w:p>
        </w:tc>
        <w:tc>
          <w:tcPr>
            <w:tcW w:w="84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materials from Ryman Hospitality Properties, Inc.’s Quarterly Report on Form 10-Q for the quarterly period ended June 30, 2026, formatted in Inline XBRL (eXtensible Business Reporting Language): (i) Condensed Consolidated Balance Sheets (unaudited) at June 30, 2026 and December 31, 2025, (ii) Condensed Consolidated Statements of Operations and Comprehensive Income (unaudited) for the three and six months ended June 30, 2026 and 2025, (iii) Condensed Consolidated Statements of Cash Flows (unaudited) for the six months ended June 30, 2026 and 2025, (iv) Condensed Consolidated Statements of Equity and Noncontrolling Interest (unaudited) for the three and six months ended June 30, 2026 and 2025, and (v) Notes To Condensed Consolidated Financial Statements (unaudited).</w:t>
            </w:r>
          </w:p>
        </w:tc>
      </w:tr>
      <w:tr>
        <w:trPr/>
        <w:tc>
          <w:tcPr>
            <w:tcW w:w="14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346" w:type="dxa"/>
            <w:tcBorders/>
            <w:vAlign w:val="center"/>
          </w:tcPr>
          <w:p>
            <w:pPr>
              <w:pStyle w:val="TableContents"/>
              <w:bidi w:val="0"/>
              <w:spacing w:before="0" w:after="0"/>
              <w:ind w:left="0" w:right="0" w:hanging="0"/>
              <w:jc w:val="left"/>
              <w:rPr/>
            </w:pPr>
            <w:r>
              <w:rPr/>
              <w:t>​</w:t>
            </w:r>
          </w:p>
        </w:tc>
        <w:tc>
          <w:tcPr>
            <w:tcW w:w="84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r>
    </w:tbl>
    <w:p>
      <w:pPr>
        <w:pStyle w:val="TextBody"/>
        <w:pBdr/>
        <w:bidi w:val="0"/>
        <w:spacing w:before="0" w:after="0"/>
        <w:ind w:left="0" w:right="0" w:hanging="360"/>
        <w:jc w:val="left"/>
        <w:rPr>
          <w:rFonts w:ascii="Times New Roman;Times;serif" w:hAnsi="Times New Roman;Times;serif"/>
          <w:sz w:val="20"/>
        </w:rPr>
      </w:pPr>
      <w:r>
        <w:rPr>
          <w:rFonts w:ascii="Times New Roman;Times;serif" w:hAnsi="Times New Roman;Times;serif"/>
          <w:sz w:val="20"/>
        </w:rPr>
        <w:t>*     Filed herewith.</w:t>
      </w:r>
    </w:p>
    <w:p>
      <w:pPr>
        <w:pStyle w:val="TextBody"/>
        <w:pBdr/>
        <w:bidi w:val="0"/>
        <w:spacing w:before="0" w:after="0"/>
        <w:ind w:left="0" w:right="0" w:hanging="360"/>
        <w:jc w:val="left"/>
        <w:rPr>
          <w:rFonts w:ascii="Times New Roman;Times;serif" w:hAnsi="Times New Roman;Times;serif"/>
          <w:sz w:val="20"/>
        </w:rPr>
      </w:pPr>
      <w:r>
        <w:rPr>
          <w:rFonts w:ascii="Times New Roman;Times;serif" w:hAnsi="Times New Roman;Times;serif"/>
          <w:sz w:val="20"/>
        </w:rPr>
        <w:t>**   Furnished herewith.</w:t>
      </w:r>
    </w:p>
    <w:p>
      <w:pPr>
        <w:pStyle w:val="TextBody"/>
        <w:pBdr/>
        <w:bidi w:val="0"/>
        <w:spacing w:before="0" w:after="0"/>
        <w:ind w:left="0" w:right="0" w:hanging="360"/>
        <w:jc w:val="left"/>
        <w:rPr/>
      </w:pPr>
      <w:r>
        <w:rPr/>
        <w:t>​</w:t>
      </w:r>
    </w:p>
    <w:p>
      <w:pPr>
        <w:pStyle w:val="TextBody"/>
        <w:pBdr/>
        <w:bidi w:val="0"/>
        <w:spacing w:before="0" w:after="0"/>
        <w:ind w:left="0" w:right="0" w:hanging="36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firstLine="720"/>
        <w:jc w:val="center"/>
        <w:rPr>
          <w:rFonts w:ascii="Times New Roman;Times;serif" w:hAnsi="Times New Roman;Times;serif"/>
          <w:b/>
          <w:sz w:val="20"/>
        </w:rPr>
      </w:pPr>
      <w:bookmarkStart w:id="1415" w:name="_5ff36877_dd48_4fa4_a279_abdf5c00c8e7"/>
      <w:bookmarkStart w:id="1416" w:name="SIGNATURES_468462"/>
      <w:bookmarkEnd w:id="1415"/>
      <w:bookmarkEnd w:id="1416"/>
      <w:r>
        <w:rPr>
          <w:rFonts w:ascii="Times New Roman;Times;serif" w:hAnsi="Times New Roman;Times;serif"/>
          <w:b/>
          <w:sz w:val="20"/>
        </w:rPr>
        <w:t>SIGNATURES</w:t>
      </w:r>
    </w:p>
    <w:p>
      <w:pPr>
        <w:pStyle w:val="TextBody"/>
        <w:bidi w:val="0"/>
        <w:spacing w:before="0" w:after="0"/>
        <w:ind w:left="0" w:right="0" w:hanging="0"/>
        <w:jc w:val="center"/>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tbl>
      <w:tblPr>
        <w:tblW w:w="6227" w:type="dxa"/>
        <w:jc w:val="left"/>
        <w:tblInd w:w="0" w:type="dxa"/>
        <w:tblLayout w:type="fixed"/>
        <w:tblCellMar>
          <w:top w:w="0" w:type="dxa"/>
          <w:left w:w="0" w:type="dxa"/>
          <w:bottom w:w="0" w:type="dxa"/>
          <w:right w:w="0" w:type="dxa"/>
        </w:tblCellMar>
      </w:tblPr>
      <w:tblGrid>
        <w:gridCol w:w="1846"/>
        <w:gridCol w:w="346"/>
        <w:gridCol w:w="455"/>
        <w:gridCol w:w="3580"/>
      </w:tblGrid>
      <w:tr>
        <w:trPr/>
        <w:tc>
          <w:tcPr>
            <w:tcW w:w="1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3">
                      <wp:simplePos x="0" y="0"/>
                      <wp:positionH relativeFrom="character">
                        <wp:align>left</wp:align>
                      </wp:positionH>
                      <wp:positionV relativeFrom="line">
                        <wp:posOffset>635</wp:posOffset>
                      </wp:positionV>
                      <wp:extent cx="1172210" cy="175260"/>
                      <wp:effectExtent l="0" t="0" r="0" b="0"/>
                      <wp:wrapNone/>
                      <wp:docPr id="622" name="Frame622"/>
                      <a:graphic xmlns:a="http://schemas.openxmlformats.org/drawingml/2006/main">
                        <a:graphicData uri="http://schemas.microsoft.com/office/word/2010/wordprocessingShape">
                          <wps:wsp>
                            <wps:cNvSpPr txBox="1"/>
                            <wps:spPr>
                              <a:xfrm>
                                <a:off x="0" y="0"/>
                                <a:ext cx="1172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4035"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4">
                      <wp:simplePos x="0" y="0"/>
                      <wp:positionH relativeFrom="character">
                        <wp:align>left</wp:align>
                      </wp:positionH>
                      <wp:positionV relativeFrom="line">
                        <wp:posOffset>635</wp:posOffset>
                      </wp:positionV>
                      <wp:extent cx="2562225" cy="175260"/>
                      <wp:effectExtent l="0" t="0" r="0" b="0"/>
                      <wp:wrapNone/>
                      <wp:docPr id="623" name="Frame623"/>
                      <a:graphic xmlns:a="http://schemas.openxmlformats.org/drawingml/2006/main">
                        <a:graphicData uri="http://schemas.microsoft.com/office/word/2010/wordprocessingShape">
                          <wps:wsp>
                            <wps:cNvSpPr txBox="1"/>
                            <wps:spPr>
                              <a:xfrm>
                                <a:off x="0" y="0"/>
                                <a:ext cx="2562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4035"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RYMAN HOSPITALITY PROPERTIES, INC.</w:t>
            </w:r>
          </w:p>
        </w:tc>
      </w:tr>
      <w:tr>
        <w:trPr/>
        <w:tc>
          <w:tcPr>
            <w:tcW w:w="18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035" w:type="dxa"/>
            <w:gridSpan w:val="2"/>
            <w:tcBorders/>
            <w:vAlign w:val="center"/>
          </w:tcPr>
          <w:p>
            <w:pPr>
              <w:pStyle w:val="TableContents"/>
              <w:bidi w:val="0"/>
              <w:spacing w:before="0" w:after="0"/>
              <w:ind w:left="0" w:right="0" w:hanging="0"/>
              <w:jc w:val="left"/>
              <w:rPr/>
            </w:pPr>
            <w:r>
              <w:rPr/>
              <w:t>​</w: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7, 2026</w:t>
            </w:r>
          </w:p>
        </w:tc>
        <w:tc>
          <w:tcPr>
            <w:tcW w:w="346" w:type="dxa"/>
            <w:tcBorders/>
            <w:vAlign w:val="center"/>
          </w:tcPr>
          <w:p>
            <w:pPr>
              <w:pStyle w:val="TableContents"/>
              <w:bidi w:val="0"/>
              <w:spacing w:before="0" w:after="0"/>
              <w:ind w:left="0" w:right="0" w:hanging="0"/>
              <w:jc w:val="left"/>
              <w:rPr/>
            </w:pPr>
            <w:r>
              <w:rPr/>
              <w:t>​</w:t>
            </w:r>
          </w:p>
        </w:tc>
        <w:tc>
          <w:tcPr>
            <w:tcW w:w="4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358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Mark Fioravanti</w:t>
            </w:r>
          </w:p>
        </w:tc>
      </w:tr>
      <w:tr>
        <w:trPr/>
        <w:tc>
          <w:tcPr>
            <w:tcW w:w="18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55" w:type="dxa"/>
            <w:tcBorders/>
            <w:vAlign w:val="center"/>
          </w:tcPr>
          <w:p>
            <w:pPr>
              <w:pStyle w:val="TableContents"/>
              <w:bidi w:val="0"/>
              <w:spacing w:before="0" w:after="0"/>
              <w:ind w:left="0" w:right="0" w:hanging="0"/>
              <w:jc w:val="left"/>
              <w:rPr/>
            </w:pPr>
            <w:r>
              <w:rPr/>
              <w:t>​</w:t>
            </w:r>
          </w:p>
        </w:tc>
        <w:tc>
          <w:tcPr>
            <w:tcW w:w="35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 Fioravanti</w:t>
            </w:r>
          </w:p>
        </w:tc>
      </w:tr>
      <w:tr>
        <w:trPr/>
        <w:tc>
          <w:tcPr>
            <w:tcW w:w="18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55" w:type="dxa"/>
            <w:tcBorders/>
            <w:vAlign w:val="center"/>
          </w:tcPr>
          <w:p>
            <w:pPr>
              <w:pStyle w:val="TableContents"/>
              <w:bidi w:val="0"/>
              <w:spacing w:before="0" w:after="0"/>
              <w:ind w:left="0" w:right="0" w:hanging="0"/>
              <w:jc w:val="left"/>
              <w:rPr/>
            </w:pPr>
            <w:r>
              <w:rPr/>
              <w:t>​</w:t>
            </w:r>
          </w:p>
        </w:tc>
        <w:tc>
          <w:tcPr>
            <w:tcW w:w="35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r>
      <w:tr>
        <w:trPr/>
        <w:tc>
          <w:tcPr>
            <w:tcW w:w="18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55" w:type="dxa"/>
            <w:tcBorders/>
            <w:vAlign w:val="center"/>
          </w:tcPr>
          <w:p>
            <w:pPr>
              <w:pStyle w:val="TableContents"/>
              <w:bidi w:val="0"/>
              <w:spacing w:before="0" w:after="0"/>
              <w:ind w:left="0" w:right="0" w:hanging="0"/>
              <w:jc w:val="left"/>
              <w:rPr/>
            </w:pPr>
            <w:r>
              <w:rPr/>
              <w:t>​</w:t>
            </w:r>
          </w:p>
        </w:tc>
        <w:tc>
          <w:tcPr>
            <w:tcW w:w="3580" w:type="dxa"/>
            <w:tcBorders/>
            <w:vAlign w:val="center"/>
          </w:tcPr>
          <w:p>
            <w:pPr>
              <w:pStyle w:val="TableContents"/>
              <w:bidi w:val="0"/>
              <w:spacing w:before="0" w:after="0"/>
              <w:ind w:left="0" w:right="0" w:hanging="0"/>
              <w:jc w:val="left"/>
              <w:rPr/>
            </w:pPr>
            <w:r>
              <w:rPr/>
              <w:t>​</w:t>
            </w:r>
          </w:p>
        </w:tc>
      </w:tr>
      <w:tr>
        <w:trPr/>
        <w:tc>
          <w:tcPr>
            <w:tcW w:w="18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358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Jennifer Hutcheson</w:t>
            </w:r>
          </w:p>
        </w:tc>
      </w:tr>
      <w:tr>
        <w:trPr/>
        <w:tc>
          <w:tcPr>
            <w:tcW w:w="18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55" w:type="dxa"/>
            <w:tcBorders/>
            <w:vAlign w:val="center"/>
          </w:tcPr>
          <w:p>
            <w:pPr>
              <w:pStyle w:val="TableContents"/>
              <w:bidi w:val="0"/>
              <w:spacing w:before="0" w:after="0"/>
              <w:ind w:left="0" w:right="0" w:hanging="0"/>
              <w:jc w:val="left"/>
              <w:rPr/>
            </w:pPr>
            <w:r>
              <w:rPr/>
              <w:t>​</w:t>
            </w:r>
          </w:p>
        </w:tc>
        <w:tc>
          <w:tcPr>
            <w:tcW w:w="3580"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Jennifer Hutcheson</w:t>
            </w:r>
          </w:p>
        </w:tc>
      </w:tr>
      <w:tr>
        <w:trPr/>
        <w:tc>
          <w:tcPr>
            <w:tcW w:w="18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55" w:type="dxa"/>
            <w:tcBorders/>
            <w:vAlign w:val="center"/>
          </w:tcPr>
          <w:p>
            <w:pPr>
              <w:pStyle w:val="TableContents"/>
              <w:bidi w:val="0"/>
              <w:spacing w:before="0" w:after="0"/>
              <w:ind w:left="0" w:right="0" w:hanging="0"/>
              <w:jc w:val="left"/>
              <w:rPr/>
            </w:pPr>
            <w:r>
              <w:rPr/>
              <w:t>​</w:t>
            </w:r>
          </w:p>
        </w:tc>
        <w:tc>
          <w:tcPr>
            <w:tcW w:w="35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Executive Vice President, Chief Financial</w:t>
            </w:r>
          </w:p>
        </w:tc>
      </w:tr>
      <w:tr>
        <w:trPr/>
        <w:tc>
          <w:tcPr>
            <w:tcW w:w="18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55" w:type="dxa"/>
            <w:tcBorders/>
            <w:vAlign w:val="center"/>
          </w:tcPr>
          <w:p>
            <w:pPr>
              <w:pStyle w:val="TableContents"/>
              <w:bidi w:val="0"/>
              <w:spacing w:before="0" w:after="0"/>
              <w:ind w:left="0" w:right="0" w:hanging="0"/>
              <w:jc w:val="left"/>
              <w:rPr/>
            </w:pPr>
            <w:r>
              <w:rPr/>
              <w:t>​</w:t>
            </w:r>
          </w:p>
        </w:tc>
        <w:tc>
          <w:tcPr>
            <w:tcW w:w="3580" w:type="dxa"/>
            <w:tcBorders/>
            <w:vAlign w:val="center"/>
          </w:tcPr>
          <w:p>
            <w:pPr>
              <w:pStyle w:val="TableContents"/>
              <w:bidi w:val="0"/>
              <w:spacing w:before="0" w:after="0"/>
              <w:ind w:left="259" w:right="0" w:hanging="0"/>
              <w:jc w:val="left"/>
              <w:rPr>
                <w:rFonts w:ascii="Times New Roman;Times;serif" w:hAnsi="Times New Roman;Times;serif"/>
                <w:sz w:val="20"/>
              </w:rPr>
            </w:pPr>
            <w:r>
              <w:rPr>
                <w:rFonts w:ascii="Times New Roman;Times;serif" w:hAnsi="Times New Roman;Times;serif"/>
                <w:sz w:val="20"/>
              </w:rPr>
              <w:t>Officer and Chief Accounting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before="0" w:after="0"/>
        <w:ind w:left="0" w:right="0" w:hanging="0"/>
        <w:jc w:val="right"/>
        <w:rPr>
          <w:rFonts w:ascii="Times New Roman;Times;serif" w:hAnsi="Times New Roman;Times;serif"/>
          <w:b/>
          <w:sz w:val="20"/>
        </w:rPr>
      </w:pPr>
      <w:bookmarkStart w:id="1417" w:name="rhp-20260630xex31d1.htm"/>
      <w:bookmarkStart w:id="1418" w:name="ksrhp20260630xex31d1"/>
      <w:bookmarkEnd w:id="1417"/>
      <w:bookmarkEnd w:id="1418"/>
      <w:r>
        <w:rPr>
          <w:rFonts w:ascii="Times New Roman;Times;serif" w:hAnsi="Times New Roman;Times;serif"/>
          <w:b/>
          <w:sz w:val="20"/>
        </w:rPr>
        <w:t>EXHIBIT 31.1</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Mark Fioravanti, certify that:</w:t>
      </w:r>
    </w:p>
    <w:p>
      <w:pPr>
        <w:pStyle w:val="TextBody"/>
        <w:bidi w:val="0"/>
        <w:spacing w:before="0" w:after="0"/>
        <w:ind w:left="0" w:right="0" w:hanging="0"/>
        <w:jc w:val="left"/>
        <w:rPr/>
      </w:pPr>
      <w:r>
        <w:rPr/>
        <w:t>​</w:t>
      </w:r>
    </w:p>
    <w:tbl>
      <w:tblPr>
        <w:tblW w:w="7390" w:type="dxa"/>
        <w:jc w:val="left"/>
        <w:tblInd w:w="0" w:type="dxa"/>
        <w:tblLayout w:type="fixed"/>
        <w:tblCellMar>
          <w:top w:w="0" w:type="dxa"/>
          <w:left w:w="0" w:type="dxa"/>
          <w:bottom w:w="0" w:type="dxa"/>
          <w:right w:w="0" w:type="dxa"/>
        </w:tblCellMar>
      </w:tblPr>
      <w:tblGrid>
        <w:gridCol w:w="170"/>
        <w:gridCol w:w="7220"/>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72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Ryman Hospitality Properties, Inc.;</w:t>
            </w:r>
          </w:p>
        </w:tc>
      </w:tr>
    </w:tbl>
    <w:p>
      <w:pPr>
        <w:pStyle w:val="TextBody"/>
        <w:pBdr/>
        <w:bidi w:val="0"/>
        <w:spacing w:before="0" w:after="0"/>
        <w:ind w:left="0" w:right="0" w:hanging="720"/>
        <w:jc w:val="left"/>
        <w:rPr/>
      </w:pPr>
      <w:r>
        <w:rPr/>
        <w:t>​</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pBdr/>
        <w:bidi w:val="0"/>
        <w:spacing w:before="0" w:after="0"/>
        <w:ind w:left="0" w:right="0" w:hanging="720"/>
        <w:jc w:val="left"/>
        <w:rPr/>
      </w:pPr>
      <w:r>
        <w:rPr/>
        <w:t>​</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pBdr/>
        <w:bidi w:val="0"/>
        <w:spacing w:before="0" w:after="0"/>
        <w:ind w:left="0" w:right="0" w:hanging="720"/>
        <w:jc w:val="left"/>
        <w:rPr/>
      </w:pPr>
      <w:r>
        <w:rPr/>
        <w:t>​</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29"/>
        <w:gridCol w:w="10053"/>
      </w:tblGrid>
      <w:tr>
        <w:trPr/>
        <w:tc>
          <w:tcPr>
            <w:tcW w:w="2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23"/>
        <w:gridCol w:w="135"/>
        <w:gridCol w:w="10047"/>
      </w:tblGrid>
      <w:tr>
        <w:trPr/>
        <w:tc>
          <w:tcPr>
            <w:tcW w:w="2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00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23"/>
        <w:gridCol w:w="137"/>
        <w:gridCol w:w="10045"/>
      </w:tblGrid>
      <w:tr>
        <w:trPr/>
        <w:tc>
          <w:tcPr>
            <w:tcW w:w="2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23"/>
        <w:gridCol w:w="167"/>
        <w:gridCol w:w="10015"/>
      </w:tblGrid>
      <w:tr>
        <w:trPr/>
        <w:tc>
          <w:tcPr>
            <w:tcW w:w="2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3857" w:type="dxa"/>
        <w:jc w:val="left"/>
        <w:tblInd w:w="0" w:type="dxa"/>
        <w:tblLayout w:type="fixed"/>
        <w:tblCellMar>
          <w:top w:w="0" w:type="dxa"/>
          <w:left w:w="0" w:type="dxa"/>
          <w:bottom w:w="0" w:type="dxa"/>
          <w:right w:w="0" w:type="dxa"/>
        </w:tblCellMar>
      </w:tblPr>
      <w:tblGrid>
        <w:gridCol w:w="646"/>
        <w:gridCol w:w="3211"/>
      </w:tblGrid>
      <w:tr>
        <w:trPr/>
        <w:tc>
          <w:tcPr>
            <w:tcW w:w="646"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7, 2026</w:t>
            </w:r>
          </w:p>
        </w:tc>
      </w:tr>
      <w:tr>
        <w:trPr/>
        <w:tc>
          <w:tcPr>
            <w:tcW w:w="646"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Mark Fioravanti</w:t>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32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 Fioravanti</w:t>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419" w:name="rhp-20260630xex31d2.htm"/>
      <w:bookmarkStart w:id="1420" w:name="ksrhp20260630xex31d2"/>
      <w:bookmarkEnd w:id="1419"/>
      <w:bookmarkEnd w:id="1420"/>
      <w:r>
        <w:rPr>
          <w:rFonts w:ascii="Times New Roman;Times;serif" w:hAnsi="Times New Roman;Times;serif"/>
          <w:b/>
          <w:sz w:val="20"/>
        </w:rPr>
        <w:t>EXHIBIT 31.2</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Jennifer Hutcheson, certify that:</w:t>
      </w:r>
    </w:p>
    <w:p>
      <w:pPr>
        <w:pStyle w:val="TextBody"/>
        <w:bidi w:val="0"/>
        <w:spacing w:before="0" w:after="0"/>
        <w:ind w:left="0" w:right="0" w:hanging="0"/>
        <w:jc w:val="left"/>
        <w:rPr/>
      </w:pPr>
      <w:r>
        <w:rPr/>
        <w:t>​</w:t>
      </w:r>
    </w:p>
    <w:tbl>
      <w:tblPr>
        <w:tblW w:w="7390" w:type="dxa"/>
        <w:jc w:val="left"/>
        <w:tblInd w:w="0" w:type="dxa"/>
        <w:tblLayout w:type="fixed"/>
        <w:tblCellMar>
          <w:top w:w="0" w:type="dxa"/>
          <w:left w:w="0" w:type="dxa"/>
          <w:bottom w:w="0" w:type="dxa"/>
          <w:right w:w="0" w:type="dxa"/>
        </w:tblCellMar>
      </w:tblPr>
      <w:tblGrid>
        <w:gridCol w:w="170"/>
        <w:gridCol w:w="7220"/>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72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Ryman Hospitality Properties, Inc.;</w:t>
            </w:r>
          </w:p>
        </w:tc>
      </w:tr>
    </w:tbl>
    <w:p>
      <w:pPr>
        <w:pStyle w:val="TextBody"/>
        <w:pBdr/>
        <w:bidi w:val="0"/>
        <w:spacing w:before="0" w:after="0"/>
        <w:ind w:left="0" w:right="0" w:hanging="720"/>
        <w:jc w:val="left"/>
        <w:rPr/>
      </w:pPr>
      <w:r>
        <w:rPr/>
        <w:t>​</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pBdr/>
        <w:bidi w:val="0"/>
        <w:spacing w:before="0" w:after="0"/>
        <w:ind w:left="0" w:right="0" w:hanging="720"/>
        <w:jc w:val="left"/>
        <w:rPr/>
      </w:pPr>
      <w:r>
        <w:rPr/>
        <w:t>​</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pBdr/>
        <w:bidi w:val="0"/>
        <w:spacing w:before="0" w:after="0"/>
        <w:ind w:left="0" w:right="0" w:hanging="720"/>
        <w:jc w:val="left"/>
        <w:rPr/>
      </w:pPr>
      <w:r>
        <w:rPr/>
        <w:t>​</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29"/>
        <w:gridCol w:w="10053"/>
      </w:tblGrid>
      <w:tr>
        <w:trPr/>
        <w:tc>
          <w:tcPr>
            <w:tcW w:w="2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23"/>
        <w:gridCol w:w="135"/>
        <w:gridCol w:w="10047"/>
      </w:tblGrid>
      <w:tr>
        <w:trPr/>
        <w:tc>
          <w:tcPr>
            <w:tcW w:w="2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00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23"/>
        <w:gridCol w:w="137"/>
        <w:gridCol w:w="10045"/>
      </w:tblGrid>
      <w:tr>
        <w:trPr/>
        <w:tc>
          <w:tcPr>
            <w:tcW w:w="2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23"/>
        <w:gridCol w:w="167"/>
        <w:gridCol w:w="10015"/>
      </w:tblGrid>
      <w:tr>
        <w:trPr/>
        <w:tc>
          <w:tcPr>
            <w:tcW w:w="2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7232" w:type="dxa"/>
        <w:jc w:val="left"/>
        <w:tblInd w:w="0" w:type="dxa"/>
        <w:tblLayout w:type="fixed"/>
        <w:tblCellMar>
          <w:top w:w="0" w:type="dxa"/>
          <w:left w:w="0" w:type="dxa"/>
          <w:bottom w:w="0" w:type="dxa"/>
          <w:right w:w="0" w:type="dxa"/>
        </w:tblCellMar>
      </w:tblPr>
      <w:tblGrid>
        <w:gridCol w:w="646"/>
        <w:gridCol w:w="6586"/>
      </w:tblGrid>
      <w:tr>
        <w:trPr/>
        <w:tc>
          <w:tcPr>
            <w:tcW w:w="646" w:type="dxa"/>
            <w:tcBorders/>
            <w:vAlign w:val="center"/>
          </w:tcPr>
          <w:p>
            <w:pPr>
              <w:pStyle w:val="TableContents"/>
              <w:bidi w:val="0"/>
              <w:spacing w:before="0" w:after="0"/>
              <w:ind w:left="0" w:right="0" w:hanging="0"/>
              <w:jc w:val="left"/>
              <w:rPr/>
            </w:pPr>
            <w:r>
              <w:rPr/>
              <w:t>​</w:t>
            </w:r>
          </w:p>
        </w:tc>
        <w:tc>
          <w:tcPr>
            <w:tcW w:w="6586" w:type="dxa"/>
            <w:tcBorders/>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6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7, 2026</w:t>
            </w:r>
          </w:p>
        </w:tc>
      </w:tr>
      <w:tr>
        <w:trPr/>
        <w:tc>
          <w:tcPr>
            <w:tcW w:w="646" w:type="dxa"/>
            <w:tcBorders/>
            <w:vAlign w:val="center"/>
          </w:tcPr>
          <w:p>
            <w:pPr>
              <w:pStyle w:val="TableContents"/>
              <w:bidi w:val="0"/>
              <w:spacing w:before="0" w:after="0"/>
              <w:ind w:left="0" w:right="0" w:hanging="0"/>
              <w:jc w:val="left"/>
              <w:rPr/>
            </w:pPr>
            <w:r>
              <w:rPr/>
              <w:t>​</w:t>
            </w:r>
          </w:p>
        </w:tc>
        <w:tc>
          <w:tcPr>
            <w:tcW w:w="6586" w:type="dxa"/>
            <w:tcBorders/>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658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Jennifer Hutcheson</w:t>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658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Jennifer Hutcheson</w:t>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6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Executive Vice President, Chief Financial Officer and Chief Accounting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421" w:name="rhp-20260630xex32d1.htm"/>
      <w:bookmarkStart w:id="1422" w:name="ksrhp20260630xex32d1"/>
      <w:bookmarkEnd w:id="1421"/>
      <w:bookmarkEnd w:id="1422"/>
      <w:r>
        <w:rPr>
          <w:rFonts w:ascii="Times New Roman;Times;serif" w:hAnsi="Times New Roman;Times;serif"/>
          <w:b/>
          <w:sz w:val="20"/>
        </w:rPr>
        <w:t>EXHIBIT 32.1</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CERTIFICATION PURSUANT TO</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18 U.S.C. SECTION 1350,</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AS ADOPTED PURSUANT TO</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SECTION 906 OF THE SARBANES-OXLEY ACT OF 2002</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 connection with the Quarterly Report of Ryman Hospitality Properties, Inc. (the "Company") on Form 10-Q for the quarter ended June 30, 2026, as filed with the Securities and Exchange Commission on the date hereof (the "Report"), each of the undersigned certifies, pursuant to 18 U.S.C. § 1350, as adopted pursuant to §906 of the Sarbanes-Oxley Act of 2002, that:</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(1)         The Report fully complies with the requirements of section 13(a) or 15(d) of the Securities Exchange Act of 1934; and</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(2)         The information contained in the Report fairly presents, in all material respects, the financial condition and results of operations of the Company.</w:t>
      </w:r>
    </w:p>
    <w:p>
      <w:pPr>
        <w:pStyle w:val="TextBody"/>
        <w:bidi w:val="0"/>
        <w:spacing w:before="0" w:after="0"/>
        <w:ind w:left="0" w:right="0" w:hanging="0"/>
        <w:jc w:val="left"/>
        <w:rPr/>
      </w:pPr>
      <w:r>
        <w:rPr/>
        <w:t>​</w:t>
      </w:r>
    </w:p>
    <w:tbl>
      <w:tblPr>
        <w:tblW w:w="7160" w:type="dxa"/>
        <w:jc w:val="center"/>
        <w:tblInd w:w="0" w:type="dxa"/>
        <w:tblLayout w:type="fixed"/>
        <w:tblCellMar>
          <w:top w:w="0" w:type="dxa"/>
          <w:left w:w="0" w:type="dxa"/>
          <w:bottom w:w="0" w:type="dxa"/>
          <w:right w:w="0" w:type="dxa"/>
        </w:tblCellMar>
      </w:tblPr>
      <w:tblGrid>
        <w:gridCol w:w="124"/>
        <w:gridCol w:w="451"/>
        <w:gridCol w:w="6093"/>
        <w:gridCol w:w="492"/>
      </w:tblGrid>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6093" w:type="dxa"/>
            <w:tcBorders/>
            <w:vAlign w:val="center"/>
          </w:tcPr>
          <w:p>
            <w:pPr>
              <w:pStyle w:val="TableContents"/>
              <w:bidi w:val="0"/>
              <w:spacing w:before="0" w:after="0"/>
              <w:ind w:left="0" w:right="0" w:hanging="0"/>
              <w:jc w:val="left"/>
              <w:rPr/>
            </w:pPr>
            <w:r>
              <w:rPr/>
              <w:t>​</w:t>
            </w:r>
          </w:p>
        </w:tc>
        <w:tc>
          <w:tcPr>
            <w:tcW w:w="492"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609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Mark Fioravanti</w:t>
            </w:r>
          </w:p>
        </w:tc>
        <w:tc>
          <w:tcPr>
            <w:tcW w:w="492"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60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 Fioravanti</w:t>
            </w:r>
          </w:p>
        </w:tc>
        <w:tc>
          <w:tcPr>
            <w:tcW w:w="492"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658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60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7, 2026</w:t>
            </w:r>
          </w:p>
        </w:tc>
        <w:tc>
          <w:tcPr>
            <w:tcW w:w="492"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6093" w:type="dxa"/>
            <w:tcBorders/>
            <w:vAlign w:val="center"/>
          </w:tcPr>
          <w:p>
            <w:pPr>
              <w:pStyle w:val="TableContents"/>
              <w:bidi w:val="0"/>
              <w:spacing w:before="0" w:after="0"/>
              <w:ind w:left="0" w:right="0" w:hanging="0"/>
              <w:jc w:val="left"/>
              <w:rPr/>
            </w:pPr>
            <w:r>
              <w:rPr/>
              <w:t>​</w:t>
            </w:r>
          </w:p>
        </w:tc>
        <w:tc>
          <w:tcPr>
            <w:tcW w:w="492"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609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Jennifer Hutcheson</w:t>
            </w:r>
          </w:p>
        </w:tc>
        <w:tc>
          <w:tcPr>
            <w:tcW w:w="492"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60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Jennifer Hutcheson</w:t>
            </w:r>
          </w:p>
        </w:tc>
        <w:tc>
          <w:tcPr>
            <w:tcW w:w="492"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658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Executive Vice President, Chief Financial Officer and Chief Accounting Officer</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60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7, 2026</w:t>
            </w:r>
          </w:p>
        </w:tc>
        <w:tc>
          <w:tcPr>
            <w:tcW w:w="492"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040829/000119312512410191/d419132dex31.htm" TargetMode="External"/><Relationship Id="rId3" Type="http://schemas.openxmlformats.org/officeDocument/2006/relationships/hyperlink" Target="https://www.sec.gov/Archives/edgar/data/1040829/000155837023002012/rhp-20221231xex3d2.htm" TargetMode="External"/><Relationship Id="rId4" Type="http://schemas.openxmlformats.org/officeDocument/2006/relationships/hyperlink" Target="https://www.sec.gov/Archives/edgar/data/1040829/000110465926053780/rhp-20260331xex22.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25588</Words>
  <Characters>137948</Characters>
  <CharactersWithSpaces>168209</CharactersWithSpaces>
  <Paragraphs>12022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