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6" w:lineRule="exact"/>
        <w:rPr>
          <w:sz w:val="24"/>
          <w:szCs w:val="24"/>
          <w:color w:val="auto"/>
        </w:rPr>
      </w:pPr>
    </w:p>
    <w:p>
      <w:pPr>
        <w:ind w:left="3340" w:right="980" w:hanging="3332"/>
        <w:spacing w:after="0" w:line="282" w:lineRule="auto"/>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June 30, 2025</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3740" w:right="960" w:hanging="3732"/>
        <w:spacing w:after="0" w:line="282" w:lineRule="auto"/>
        <w:tabs>
          <w:tab w:leader="none" w:pos="2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1-13079</w:t>
      </w:r>
    </w:p>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RYMAN HOSPITALITY PROPERTIES, INC.</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(615) 316-6000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0"/>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Title of Each Class</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0" w:lineRule="exact"/>
        <w:rPr>
          <w:sz w:val="24"/>
          <w:szCs w:val="24"/>
          <w:color w:val="auto"/>
        </w:rPr>
      </w:pPr>
    </w:p>
    <w:p>
      <w:pPr>
        <w:jc w:val="both"/>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03"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680"/>
        <w:spacing w:after="0" w:line="23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4"/>
          <w:szCs w:val="24"/>
          <w:color w:val="auto"/>
        </w:rPr>
      </w:pPr>
    </w:p>
    <w:p>
      <w:pPr>
        <w:ind w:right="76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as of July 31, 2025</w:t>
            </w:r>
          </w:p>
        </w:tc>
      </w:tr>
      <w:tr>
        <w:trPr>
          <w:trHeight w:val="228"/>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62,999,754 shares</w:t>
            </w:r>
          </w:p>
        </w:tc>
      </w:tr>
      <w:tr>
        <w:trPr>
          <w:trHeight w:val="319"/>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15"/>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gridSpan w:val="1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For the Quarter Ended June 30, 2025</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600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June 30, 2025 and December 31,</w:t>
            </w:r>
          </w:p>
        </w:tc>
        <w:tc>
          <w:tcPr>
            <w:tcW w:w="52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gridSpan w:val="3"/>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 - For the Three and Six Months Ended June 30, 2025 and 2024</w:t>
            </w:r>
          </w:p>
        </w:tc>
        <w:tc>
          <w:tcPr>
            <w:tcW w:w="1200" w:type="dxa"/>
            <w:vAlign w:val="bottom"/>
            <w:gridSpan w:val="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 For the Six Months Ended</w:t>
            </w:r>
          </w:p>
        </w:tc>
        <w:tc>
          <w:tcPr>
            <w:tcW w:w="24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June 30, 2025 and 2024</w:t>
            </w:r>
          </w:p>
        </w:tc>
        <w:tc>
          <w:tcPr>
            <w:tcW w:w="5200" w:type="dxa"/>
            <w:vAlign w:val="bottom"/>
            <w:gridSpan w:val="13"/>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and Noncontrolling Interest (Unaudited) - For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the Three and Six Months Ended June 30, 2025 and 2024</w:t>
            </w:r>
          </w:p>
        </w:tc>
        <w:tc>
          <w:tcPr>
            <w:tcW w:w="2780" w:type="dxa"/>
            <w:vAlign w:val="bottom"/>
            <w:gridSpan w:val="10"/>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42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50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10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412"/>
        </w:trPr>
        <w:tc>
          <w:tcPr>
            <w:tcW w:w="1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6200" w:type="dxa"/>
            <w:vAlign w:val="bottom"/>
            <w:gridSpan w:val="1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54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84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252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tcPr>
          <w:p>
            <w:pPr>
              <w:spacing w:after="0"/>
              <w:rPr>
                <w:sz w:val="24"/>
                <w:szCs w:val="24"/>
                <w:color w:val="auto"/>
              </w:rPr>
            </w:pPr>
          </w:p>
        </w:tc>
        <w:tc>
          <w:tcPr>
            <w:tcW w:w="456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56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412"/>
        </w:trPr>
        <w:tc>
          <w:tcPr>
            <w:tcW w:w="640" w:type="dxa"/>
            <w:vAlign w:val="bottom"/>
          </w:tcPr>
          <w:p>
            <w:pPr>
              <w:spacing w:after="0"/>
              <w:rPr>
                <w:sz w:val="24"/>
                <w:szCs w:val="24"/>
                <w:color w:val="auto"/>
              </w:rPr>
            </w:pPr>
          </w:p>
        </w:tc>
        <w:tc>
          <w:tcPr>
            <w:tcW w:w="74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280" w:type="dxa"/>
            <w:vAlign w:val="bottom"/>
            <w:gridSpan w:val="2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020" w:type="dxa"/>
            <w:vAlign w:val="bottom"/>
            <w:gridSpan w:val="2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2"/>
                <w:szCs w:val="12"/>
                <w:color w:val="auto"/>
              </w:rPr>
            </w:pPr>
          </w:p>
        </w:tc>
        <w:tc>
          <w:tcPr>
            <w:tcW w:w="9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4,926,280</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4,124,382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420,579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30,126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Notes receivable,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57,933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Trade receivables, net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131,962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61,094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187,725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Intangible assets and goodwill, net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116,376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6,110,620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5,217,573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3,975,213</w:t>
            </w: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435,537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Distributions payable</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164,442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144,493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72,483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4,866,889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4,282,991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Noncontrolling interest in Opry Entertainment Group</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401,286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62,999 and 59,903 shares issued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outstanding, respectively</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1,734,330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713 and 696 shares, at cost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(25,139)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(894,236)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(888,132)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(15,155)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800,430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42,015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842,445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6,110,620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5,217,573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63" w:lineRule="auto"/>
        <w:rPr>
          <w:sz w:val="20"/>
          <w:szCs w:val="20"/>
          <w:color w:val="auto"/>
        </w:rPr>
      </w:pPr>
      <w:r>
        <w:rPr>
          <w:rFonts w:ascii="Times New Roman" w:cs="Times New Roman" w:eastAsia="Times New Roman" w:hAnsi="Times New Roman"/>
          <w:sz w:val="17"/>
          <w:szCs w:val="17"/>
          <w:b w:val="1"/>
          <w:bCs w:val="1"/>
          <w:color w:val="auto"/>
        </w:rPr>
        <w:t>RYMAN HOSPITALITY PROPERTIES, INC. AND SUBSIDIARIES CONDENSED CONSOLIDATED STATEMENTS OF OPERATIONS AND COMPREHENSIVE INCOME (Unaudited)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200,900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199,497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390,132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503,654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hotel revenue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143,304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94,203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232,854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659,515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613,290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1,246,795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1,141,635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Rooms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hotel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Management fees, net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39,411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hotel operating expenses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331,894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316,649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658,709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625,704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110,376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Preopening costs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on sale of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66,963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58,553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130,680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115,755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520,090</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445,219</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991,249</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877,183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gains and (losses), net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150,896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160,231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75,875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138,889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147,501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 in Opry Entertainment Group</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 attributable to other noncontrolling interests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71,753</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100,805</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134,714</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143,861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income per share available to common stockholders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Diluted income per share available to common stockholders</w:t>
            </w:r>
          </w:p>
        </w:tc>
        <w:tc>
          <w:tcPr>
            <w:tcW w:w="30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1.12</w:t>
            </w:r>
          </w:p>
        </w:tc>
        <w:tc>
          <w:tcPr>
            <w:tcW w:w="38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1.65</w:t>
            </w:r>
          </w:p>
        </w:tc>
        <w:tc>
          <w:tcPr>
            <w:tcW w:w="32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2.13</w:t>
            </w:r>
          </w:p>
        </w:tc>
        <w:tc>
          <w:tcPr>
            <w:tcW w:w="34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7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income, net of taxes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75,980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104,851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138,906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Comprehensive income, net of taxes, attributable to noncontrolling interest in</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Opry Entertainment Group</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Comprehensive income, net of taxes, attributable to other noncontrolling</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(2,029)</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net of taxes, available to common stockholders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71,808</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100,870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134,670</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7420"/>
        <w:spacing w:after="0" w:line="231" w:lineRule="auto"/>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84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138,889</w:t>
            </w:r>
          </w:p>
        </w:tc>
        <w:tc>
          <w:tcPr>
            <w:tcW w:w="36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147,501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to net cash flows provided by operating activities:</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for deferred income taxes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9,470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10,664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130,680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115,755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5,607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5,348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(Income) loss from unconsolidated joint ventures</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Equity-based compensation expense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7,117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7,245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(21,048)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(17,253)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(65,351)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(75,006)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15,326</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(2,245)</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6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220,719</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191,794</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(182,238)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(184,936)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 of JW Marriott Desert Ridge, net of cash acquired</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(861,958)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(18,609)</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37</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0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6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(1,062,805)</w:t>
            </w:r>
          </w:p>
        </w:tc>
        <w:tc>
          <w:tcPr>
            <w:tcW w:w="2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(184,899)</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term loan B</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18,861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(1,468)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(220,849)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revolving credit facility</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revolving credit facility</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(26,000)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(27,000)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term loan</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128,128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299,250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term loan</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(1,827)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(296,250)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(128,967)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(1,432)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Gaylord Rockies term loan</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(800,000)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senior notes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625,000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1,000,000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financing costs paid</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(12,572)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(23,062)</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275,532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distributions</w:t>
            </w: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(139,721)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(133,430)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(5,472)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(12,106)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6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(1,070)</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0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(used in) financing activities</w:t>
            </w:r>
          </w:p>
        </w:tc>
        <w:tc>
          <w:tcPr>
            <w:tcW w:w="6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716,563</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(157,057)</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(125,523)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(150,162)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6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576,228</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700,441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92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6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450,705</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550,279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9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840" w:type="dxa"/>
            <w:vAlign w:val="bottom"/>
            <w:gridSpan w:val="2"/>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420,579</w:t>
            </w:r>
          </w:p>
        </w:tc>
        <w:tc>
          <w:tcPr>
            <w:tcW w:w="360" w:type="dxa"/>
            <w:vAlign w:val="bottom"/>
            <w:gridSpan w:val="2"/>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498,371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0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30,126</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51,908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00" w:type="dxa"/>
            <w:vAlign w:val="bottom"/>
            <w:tcBorders>
              <w:bottom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450,705</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550,279</w:t>
            </w: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NONCONTROLLING INTEREST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140" w:type="dxa"/>
            <w:vAlign w:val="bottom"/>
          </w:tcPr>
          <w:p>
            <w:pPr>
              <w:spacing w:after="0"/>
              <w:rPr>
                <w:sz w:val="11"/>
                <w:szCs w:val="11"/>
                <w:color w:val="auto"/>
              </w:rPr>
            </w:pPr>
          </w:p>
        </w:tc>
        <w:tc>
          <w:tcPr>
            <w:tcW w:w="64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w:t>
            </w:r>
          </w:p>
        </w:tc>
      </w:tr>
      <w:tr>
        <w:trPr>
          <w:trHeight w:val="145"/>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140" w:type="dxa"/>
            <w:vAlign w:val="bottom"/>
          </w:tcPr>
          <w:p>
            <w:pPr>
              <w:spacing w:after="0"/>
              <w:rPr>
                <w:sz w:val="12"/>
                <w:szCs w:val="12"/>
                <w:color w:val="auto"/>
              </w:rPr>
            </w:pPr>
          </w:p>
        </w:tc>
        <w:tc>
          <w:tcPr>
            <w:tcW w:w="64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w w:val="95"/>
              </w:rPr>
              <w:t>in OEG</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2024</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$ 1,475,211</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(23,526)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(888,132)</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(15,172)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548,980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3,657</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$ 552,637</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381,945</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62,961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62,961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(658)</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62,303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711</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(8,960)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(8,960)</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(8,960)</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8,960</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Purchase of interest in consolidated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joint venture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36,270</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declared ($1.15 per 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(68,701)</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(69,335)</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(454)</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(69,789)</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(5,648)</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(5,647)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(5,647)</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2025</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600</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$ 1,464,394</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(24,329)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(893,872)</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(15,260)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531,533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38,815</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$ 570,348</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391,616</w:t>
            </w:r>
          </w:p>
        </w:tc>
      </w:tr>
      <w:tr>
        <w:trPr>
          <w:trHeight w:val="128"/>
        </w:trPr>
        <w:tc>
          <w:tcPr>
            <w:tcW w:w="204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71,753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71,753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2,028</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73,781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2,094</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(7,576)</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(7,576)</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(7,576)</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7,576</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Reallocation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 Operating Partnership</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(1,627)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(1,627)</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275,502</w:t>
            </w:r>
          </w:p>
        </w:tc>
        <w:tc>
          <w:tcPr>
            <w:tcW w:w="14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275,532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275,532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($1.15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(810)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(72,117)</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(72,755)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(73,210)</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20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2025</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630</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$ 1,734,330</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(25,139)</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(894,236)</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(15,155)</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800,430</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42,015</w:t>
            </w:r>
          </w:p>
        </w:tc>
        <w:tc>
          <w:tcPr>
            <w:tcW w:w="1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$ 842,445</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401,286</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551"/>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160" w:type="dxa"/>
            <w:vAlign w:val="bottom"/>
          </w:tcPr>
          <w:p>
            <w:pPr>
              <w:spacing w:after="0"/>
              <w:rPr>
                <w:sz w:val="11"/>
                <w:szCs w:val="11"/>
                <w:color w:val="auto"/>
              </w:rPr>
            </w:pP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20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7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6"/>
              </w:rPr>
              <w:t>Paid-in</w:t>
            </w:r>
          </w:p>
        </w:tc>
        <w:tc>
          <w:tcPr>
            <w:tcW w:w="6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Treasury</w:t>
            </w: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140" w:type="dxa"/>
            <w:vAlign w:val="bottom"/>
          </w:tcPr>
          <w:p>
            <w:pPr>
              <w:spacing w:after="0"/>
              <w:rPr>
                <w:sz w:val="11"/>
                <w:szCs w:val="11"/>
                <w:color w:val="auto"/>
              </w:rPr>
            </w:pPr>
          </w:p>
        </w:tc>
        <w:tc>
          <w:tcPr>
            <w:tcW w:w="64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w:t>
            </w:r>
          </w:p>
        </w:tc>
      </w:tr>
      <w:tr>
        <w:trPr>
          <w:trHeight w:val="145"/>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6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140" w:type="dxa"/>
            <w:vAlign w:val="bottom"/>
          </w:tcPr>
          <w:p>
            <w:pPr>
              <w:spacing w:after="0"/>
              <w:rPr>
                <w:sz w:val="12"/>
                <w:szCs w:val="12"/>
                <w:color w:val="auto"/>
              </w:rPr>
            </w:pPr>
          </w:p>
        </w:tc>
        <w:tc>
          <w:tcPr>
            <w:tcW w:w="64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w w:val="95"/>
              </w:rPr>
              <w:t>in OEG</w:t>
            </w:r>
          </w:p>
        </w:tc>
      </w:tr>
      <w:tr>
        <w:trPr>
          <w:trHeight w:val="128"/>
        </w:trPr>
        <w:tc>
          <w:tcPr>
            <w:tcW w:w="20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2023</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597</w:t>
            </w:r>
          </w:p>
        </w:tc>
        <w:tc>
          <w:tcPr>
            <w:tcW w:w="1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$ 1,502,710</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(894,259)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(19,387)</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569,153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3,624</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$ 572,777</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345,126</w:t>
            </w:r>
          </w:p>
        </w:tc>
      </w:tr>
      <w:tr>
        <w:trPr>
          <w:trHeight w:val="135"/>
        </w:trPr>
        <w:tc>
          <w:tcPr>
            <w:tcW w:w="20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43,340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(579)</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(9,318)</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9,318</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declared ($1.10 per share)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(66,335)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(66,174)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(435)</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(66,609)</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(12,055)</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(12,053)</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(12,053)</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204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2024</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$ 1,485,360</w:t>
            </w:r>
          </w:p>
        </w:tc>
        <w:tc>
          <w:tcPr>
            <w:tcW w:w="1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(20,508)</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(917,538)</w:t>
            </w:r>
          </w:p>
        </w:tc>
        <w:tc>
          <w:tcPr>
            <w:tcW w:w="1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(17,979)</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529,934</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3,473</w:t>
            </w:r>
          </w:p>
        </w:tc>
        <w:tc>
          <w:tcPr>
            <w:tcW w:w="1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$ 533,407</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353,865</w:t>
            </w:r>
          </w:p>
        </w:tc>
      </w:tr>
      <w:tr>
        <w:trPr>
          <w:trHeight w:val="129"/>
        </w:trPr>
        <w:tc>
          <w:tcPr>
            <w:tcW w:w="204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100,805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100,805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665</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101,470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3,270</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(5,468)</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(5,468)</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5,468</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Dividends and distributions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declared ($1.10 per share)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(1,468)</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(64,884)</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(66,189)</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(434)</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(66,623)</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53"/>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204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53"/>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4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20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June 30, 2024</w:t>
            </w: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599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$ 1,483,479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(21,976)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(881,617)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(17,868)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562,617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3,704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$ 566,321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362,603</w:t>
            </w:r>
          </w:p>
        </w:tc>
      </w:tr>
      <w:tr>
        <w:trPr>
          <w:trHeight w:val="20"/>
        </w:trPr>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60" w:right="1440"/>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NOTES TO CONDENSED CONSOLIDATED FINANCIAL STATEMENTS (UNAUDITED)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60" w:right="179"/>
        <w:spacing w:after="0" w:line="252" w:lineRule="auto"/>
        <w:rPr>
          <w:sz w:val="20"/>
          <w:szCs w:val="20"/>
          <w:color w:val="auto"/>
        </w:rPr>
      </w:pPr>
      <w:r>
        <w:rPr>
          <w:rFonts w:ascii="Times New Roman" w:cs="Times New Roman" w:eastAsia="Times New Roman" w:hAnsi="Times New Roman"/>
          <w:sz w:val="18"/>
          <w:szCs w:val="18"/>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and JW Marriott brands. The five Gaylord Hotels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two JW Marriott resorts, which the Company refers to as the JW Marriott properties, consist of the JW Marriott San Antonio Hill Country Resort &amp; Spa (“JW Marriott Hill Country”) and, effective June 10, 2025, the JW Marriott Phoenix Desert Ridge Resort &amp; Spa (“JW Marriott Desert Ridge”). The Company’s other owned hotel assets managed by Marriott include the Inn at Opryland, an overflow hotel adjacent to Gaylord Opryland, and the AC Hotel at National Harbor, Washington D.C. (“AC Hotel”), an overflow hotel adjacent to Gaylord National.</w:t>
      </w:r>
    </w:p>
    <w:p>
      <w:pPr>
        <w:spacing w:after="0" w:line="15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The Company also owns an approximate 70% controlling equity interest in OEG Attractions Holdings, LLC, a business comprised of a number of entertainment and media assets, known as the Opry Entertainment Group (“OEG”),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Category 10, a Luke Combs-themed bar, music venue and event space that opened in November 2024; Block 21, a mixed-use entertainment, lodging, office, and retail complex located in Austin, Texas (“Block 21”); and as of January 3, 2025, a majority and controlling equity interest in Southern Entertainment, a Charlotte, North Carolina-based national music festival and events production company.</w:t>
      </w:r>
    </w:p>
    <w:p>
      <w:pPr>
        <w:spacing w:after="0" w:line="14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consolidates the assets, liabilities and results of operations of OEG in the accompanying condensed consolidated financial statements. The portion of OEG that the Company does not own is recorded as noncontrolling interest in Opry Entertainment Group, which is classified as mezzanine equity in the accompanying condensed consolidated balance sheets, and any adjustment necessary to reflect the noncontrolling interest at its redemption value is shown in the accompanying condensed consolidated statements of equity and noncontrolling interest. See Note 4, “Income Per Share,” for further disclosure.</w:t>
      </w:r>
    </w:p>
    <w:p>
      <w:pPr>
        <w:spacing w:after="0" w:line="16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2024.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Newly Issued Accounting Standards</w:t>
      </w:r>
    </w:p>
    <w:p>
      <w:pPr>
        <w:spacing w:after="0" w:line="187" w:lineRule="exact"/>
        <w:rPr>
          <w:sz w:val="20"/>
          <w:szCs w:val="20"/>
          <w:color w:val="auto"/>
        </w:rPr>
      </w:pPr>
    </w:p>
    <w:p>
      <w:pPr>
        <w:ind w:left="60" w:right="319"/>
        <w:spacing w:after="0" w:line="281"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No. 2023-07,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requiring public entities to provide disclosures of significant segment expenses and other segment items, as well as to provide in interim periods all disclosures about a reportable segment’s profit or loss and assets that were previously required annually. The Company retrospectively</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adopted this guidance for fiscal year 2024 and has retrospectively adopted for interim periods beginning in fiscal year 2025. This adoption did not have a material impact on the Company’s financial statements.</w:t>
      </w:r>
    </w:p>
    <w:p>
      <w:pPr>
        <w:spacing w:after="0" w:line="160"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requiring public entities to provide additional information in the rate reconciliation, to disclose annually income taxes paid disaggregated by federal, state and foreign taxes and to disaggregate the information by jurisdiction based on a quantitative threshold. The guidance is applied prospectively, but with the option to apply retrospectively, and will be effective for the Company for fiscal year 2025. The Company is currently evaluating the impact of this ASU but does not anticipate this adoption to have a material impact on the Company’s financial statements.</w:t>
      </w:r>
    </w:p>
    <w:p>
      <w:pPr>
        <w:spacing w:after="0" w:line="182" w:lineRule="exact"/>
        <w:rPr>
          <w:sz w:val="20"/>
          <w:szCs w:val="20"/>
          <w:color w:val="auto"/>
        </w:rPr>
      </w:pPr>
    </w:p>
    <w:p>
      <w:pPr>
        <w:ind w:left="60" w:right="59"/>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requiring public entities to disclose, on an annual and interim basis, disaggregated information about certain income statement line items, including employee compensation, purchases of inventory, depreciation, intangible asset amortization and depletion for each income statement line item that includes those expenses. The guidance is applied prospectively, but with the option to apply retrospectively, and will be effective for the Company for fiscal year 2027. The Company is currently evaluating the impact of this ASU but does not anticipate this adoption to have a material impact on the Company’s financial statements.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JW MARRIOTT DESERT RIDGE TRANSACTION: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On June 10, 2025, the Company purchased JW Marriott Desert Ridge for approximately $865 million. </w:t>
      </w:r>
      <w:r>
        <w:rPr>
          <w:rFonts w:ascii="Times New Roman" w:cs="Times New Roman" w:eastAsia="Times New Roman" w:hAnsi="Times New Roman"/>
          <w:sz w:val="18"/>
          <w:szCs w:val="18"/>
          <w:color w:val="212529"/>
        </w:rPr>
        <w:t>Situated 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approximately 402 acres of Arizona’s Sonoran Desert, JW Marriott Desert Ridge is a premier group-oriented resort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with 950 rooms and approximately 243,000 total square feet of indoor and outdoor meeting and event space. The resort’s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amenities include a 28,000 square foot spa; seven food and beverage outlets; a 140,000 square-foot water experience;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and two 18-hole golf courses. The Company funded the purchase price with a portion of the approximately $275.5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in net proceeds of an underwritten registered public offering of approximately 3.0 million shares of the Company’s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12529"/>
        </w:rPr>
        <w:t>common stock (see Note 14, “Equity”) and approximately $614 million in net proceeds of a private placement of</w:t>
      </w:r>
    </w:p>
    <w:p>
      <w:pPr>
        <w:spacing w:after="0" w:line="9" w:lineRule="exact"/>
        <w:rPr>
          <w:sz w:val="20"/>
          <w:szCs w:val="20"/>
          <w:color w:val="auto"/>
        </w:rPr>
      </w:pPr>
    </w:p>
    <w:p>
      <w:pPr>
        <w:ind w:left="60" w:right="219"/>
        <w:spacing w:after="0" w:line="260" w:lineRule="auto"/>
        <w:rPr>
          <w:sz w:val="20"/>
          <w:szCs w:val="20"/>
          <w:color w:val="auto"/>
        </w:rPr>
      </w:pPr>
      <w:r>
        <w:rPr>
          <w:rFonts w:ascii="Times New Roman" w:cs="Times New Roman" w:eastAsia="Times New Roman" w:hAnsi="Times New Roman"/>
          <w:sz w:val="18"/>
          <w:szCs w:val="18"/>
          <w:color w:val="212529"/>
        </w:rPr>
        <w:t>$625 million aggregate principal amount of 6.50% senior notes due 2033 (see Note 8, “Debt”). JW Marriott Desert Ridge assets are reflected in the Company’s Hospitality segment beginning June 10, 2025.</w:t>
      </w:r>
    </w:p>
    <w:p>
      <w:pPr>
        <w:spacing w:after="0" w:line="181" w:lineRule="exact"/>
        <w:rPr>
          <w:sz w:val="20"/>
          <w:szCs w:val="20"/>
          <w:color w:val="auto"/>
        </w:rPr>
      </w:pPr>
    </w:p>
    <w:p>
      <w:pPr>
        <w:ind w:left="60" w:right="219"/>
        <w:spacing w:after="0" w:line="277" w:lineRule="auto"/>
        <w:rPr>
          <w:sz w:val="20"/>
          <w:szCs w:val="20"/>
          <w:color w:val="auto"/>
        </w:rPr>
      </w:pPr>
      <w:r>
        <w:rPr>
          <w:rFonts w:ascii="Times New Roman" w:cs="Times New Roman" w:eastAsia="Times New Roman" w:hAnsi="Times New Roman"/>
          <w:sz w:val="17"/>
          <w:szCs w:val="17"/>
          <w:color w:val="212529"/>
        </w:rPr>
        <w:t>The Company performed a valuation of the fair value of the acquired assets and liabilities as of June 10, 2025. The valuations of the various components of property and equipment were determined principally based on the cost approach, which uses assumptions regarding replacement values from established indices. The valuation of intangible assets was based on various methods to evaluate the value of a below market ground lease and the values of advanced bookings previously received for the hotel. The Company considers each of these estimates as Level 3 fair value measurements.</w:t>
      </w:r>
    </w:p>
    <w:p>
      <w:pPr>
        <w:spacing w:after="0" w:line="168"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212529"/>
        </w:rPr>
        <w:t>The Company determined that the acquisition represents an asset acquisition and has capitalized transaction costs and allocated the purchase price to the relative fair values of assets acquired and liabilities assumed, adjusted for working capital adjustments as set forth in the purchase agreement and transaction costs, in the Company’s balance sheet at June 10, 2025 as follows (amounts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747,377</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14,426</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r>
      <w:tr>
        <w:trPr>
          <w:trHeight w:val="216"/>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114,875</w:t>
            </w:r>
          </w:p>
        </w:tc>
      </w:tr>
      <w:tr>
        <w:trPr>
          <w:trHeight w:val="21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887,777</w:t>
            </w:r>
          </w:p>
        </w:tc>
      </w:tr>
      <w:tr>
        <w:trPr>
          <w:trHeight w:val="20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1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(18,267)</w:t>
            </w:r>
          </w:p>
        </w:tc>
      </w:tr>
      <w:tr>
        <w:trPr>
          <w:trHeight w:val="20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869,510</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$ 145,622</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$ 145,869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290,196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277,270</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55,278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95,860</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365,651</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128,818</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112,958</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56,922</w:t>
            </w: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59,857</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44,299</w:t>
            </w:r>
          </w:p>
        </w:tc>
      </w:tr>
      <w:tr>
        <w:trPr>
          <w:trHeight w:val="209"/>
        </w:trPr>
        <w:tc>
          <w:tcPr>
            <w:tcW w:w="20" w:type="dxa"/>
            <w:vAlign w:val="bottom"/>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$ 659,515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$ 613,290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1,141,635</w:t>
            </w: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17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$ 116,465</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$ 130,352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$ 234,187</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161,506</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154,262</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168,871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168,799</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164,242</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156,643</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140,658</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JW Marriott Hill Country</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66,573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121,849</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112,791</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JW Marriott Desert Ridge</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AC Hotel</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6,929</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 at Opryland and other</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r>
      <w:tr>
        <w:trPr>
          <w:trHeight w:val="209"/>
        </w:trPr>
        <w:tc>
          <w:tcPr>
            <w:tcW w:w="20" w:type="dxa"/>
            <w:vAlign w:val="bottom"/>
          </w:tcPr>
          <w:p>
            <w:pPr>
              <w:spacing w:after="0"/>
              <w:rPr>
                <w:sz w:val="18"/>
                <w:szCs w:val="18"/>
                <w:color w:val="auto"/>
              </w:rPr>
            </w:pPr>
          </w:p>
        </w:tc>
        <w:tc>
          <w:tcPr>
            <w:tcW w:w="3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3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$ 516,211</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$ 519,087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1,013,941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$ 980,557</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Las Vegas, Nevada; and Austin, Texas.</w:t>
      </w:r>
    </w:p>
    <w:p>
      <w:pPr>
        <w:spacing w:after="0" w:line="135"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and advanced ticketing at its OEG venues. At June 30, 2025 and December 31, 2024, the Company had $183.4 million and $173.0 million, respectively, in deferred revenues, which are included in accounts payable and accrued liabilities in the accompanying condensed consolidated balance sheets. Of the amount outstanding at December 31, 2024, approximately $118.3 million was recognized in revenue during the six months ended June 30,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INCOME PER SHARE: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computation of basic and diluted earnings per common share is as follows (in thousands, except per share data):</w:t>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71,753</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100,805</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134,714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143,861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attributable to noncontrolling interest in OEG</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Net income available to common stockholders - if-converted</w:t>
            </w:r>
          </w:p>
        </w:tc>
        <w:tc>
          <w:tcPr>
            <w:tcW w:w="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73,847</w:t>
            </w:r>
          </w:p>
        </w:tc>
        <w:tc>
          <w:tcPr>
            <w:tcW w:w="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104,075</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137,519</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146,552</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method</w:t>
            </w:r>
          </w:p>
        </w:tc>
        <w:tc>
          <w:tcPr>
            <w:tcW w:w="360" w:type="dxa"/>
            <w:vAlign w:val="bottom"/>
            <w:gridSpan w:val="2"/>
            <w:vMerge w:val="continue"/>
          </w:tcPr>
          <w:p>
            <w:pPr>
              <w:spacing w:after="0"/>
              <w:rPr>
                <w:sz w:val="22"/>
                <w:szCs w:val="22"/>
                <w:color w:val="auto"/>
              </w:rPr>
            </w:pPr>
          </w:p>
        </w:tc>
        <w:tc>
          <w:tcPr>
            <w:tcW w:w="5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6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equity-based compensation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64,577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per share available to common stockholders</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share available to common stockholders</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As more fully discussed in Note 1 to the consolidated financial statements included in the Company’s Annual Report on Form 10-K for the year ended December 31, 2024, although currently not exercisable, the minority investor of OEG has certain put rights (the “OEG Put Rights”) to require the Company to purchase the minority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minority investor’s noncontrolling equity interest was redeemed in exchange for shares of the Company’s common stock.</w:t>
      </w:r>
    </w:p>
    <w:p>
      <w:pPr>
        <w:spacing w:after="0" w:line="148"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The operating partnership units (“OP Units”) held by the noncontrolling interest holders in RHP Hotel Properties, LP (the “Operating Partnership”) have been excluded from the denominator of the diluted income per share calculation for the three and six months ended June 30, 2025 and 2024 as there would be no effect on the calculation of diluted income per share because the income or loss attributable to the OP Units held by the noncontrolling interest holders would also be added or subtracted to derive net income available to common stockholders.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ACCUMULATED OTHER COMPREHENSIVE LOSS:</w:t>
      </w:r>
    </w:p>
    <w:p>
      <w:pPr>
        <w:spacing w:after="0" w:line="18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Company’s balance in accumulated other comprehensive loss is comprised of amounts related to the Company’s frozen noncontributory defined benefit pension plan, interest rate derivatives designated as cash flow hedges related to the Company’s outstanding debt as discussed in Note 8, “Debt,” and amounts related to an other-than-temporary impairment of a held-to-maturity investment that existed prior to 2020 with respect to the notes receivable discussed in Note 7, “Notes Receivable,” to the condensed consolidated financial statements included herein.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for the six months ended June 30, 2025 and 2024 consisted of the following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(15,172)</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2025</w:t>
            </w:r>
          </w:p>
        </w:tc>
        <w:tc>
          <w:tcPr>
            <w:tcW w:w="4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(12,414)</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(19,387)</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0" w:type="dxa"/>
            <w:vAlign w:val="bottom"/>
          </w:tcPr>
          <w:p>
            <w:pPr>
              <w:spacing w:after="0"/>
              <w:rPr>
                <w:sz w:val="1"/>
                <w:szCs w:val="1"/>
                <w:color w:val="auto"/>
              </w:rPr>
            </w:pPr>
          </w:p>
        </w:tc>
      </w:tr>
      <w:tr>
        <w:trPr>
          <w:trHeight w:val="203"/>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4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(15,351)</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4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60" w:type="dxa"/>
            <w:vAlign w:val="bottom"/>
            <w:gridSpan w:val="2"/>
          </w:tcPr>
          <w:p>
            <w:pPr>
              <w:spacing w:after="0"/>
              <w:rPr>
                <w:sz w:val="17"/>
                <w:szCs w:val="17"/>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at June 30, 2025 and December 31, 2024 is summarized as follows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613,870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5,195,698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4,593,839</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1,329,039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110,897</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7,564,921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6,648,662</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(2,638,641)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(2,524,280)</w:t>
            </w:r>
          </w:p>
        </w:tc>
      </w:tr>
      <w:tr>
        <w:trPr>
          <w:trHeight w:val="21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4,926,280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4,124,382</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NOTES RECEIVABLE:</w:t>
      </w:r>
    </w:p>
    <w:p>
      <w:pPr>
        <w:spacing w:after="0" w:line="18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As further discussed in the Company’s Annual Report on Form 10-K for the year ended December 31, 2024, in connection with the development of Gaylord National, the Company holds two issuances of governmental bonds (“Series A bond” and “Series B bond”) with a total carrying value and approximate fair value of $57.9 million and $57.8 million at June 30, 2025 and December 31, 2024, respectively, net of credit loss reserve of $38.0 million at each of June 30, 2025 and December 31, 2024. The Company receives debt service and principal payments thereon, payable from property tax increments, hotel taxes and special hotel rental taxes generated from Gaylord National through the maturity dates of July 1, 2034 and September 1, 2037, respectively. Interest income is recorded on an accrual basis to the extent that such amounts are expected to be collected. During the periods presented, the Company has accrued interest only on the Series A bond.</w:t>
      </w:r>
    </w:p>
    <w:p>
      <w:pPr>
        <w:spacing w:after="0" w:line="165" w:lineRule="exact"/>
        <w:rPr>
          <w:sz w:val="20"/>
          <w:szCs w:val="20"/>
          <w:color w:val="auto"/>
        </w:rPr>
      </w:pPr>
    </w:p>
    <w:p>
      <w:pPr>
        <w:jc w:val="both"/>
        <w:ind w:left="60" w:right="279"/>
        <w:spacing w:after="0" w:line="281" w:lineRule="auto"/>
        <w:rPr>
          <w:sz w:val="20"/>
          <w:szCs w:val="20"/>
          <w:color w:val="auto"/>
        </w:rPr>
      </w:pPr>
      <w:r>
        <w:rPr>
          <w:rFonts w:ascii="Times New Roman" w:cs="Times New Roman" w:eastAsia="Times New Roman" w:hAnsi="Times New Roman"/>
          <w:sz w:val="17"/>
          <w:szCs w:val="17"/>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life of the bonds as well as certain cumulative priority</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payments due to others, the Series B bond is fully reserved. The Series A bond is of higher priority than other tranches which fall between the Company’s two issuances.</w:t>
      </w:r>
    </w:p>
    <w:p>
      <w:pPr>
        <w:spacing w:after="0" w:line="135"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and 2024, the Company recorded interest income of $1.1 million and $1.2 million, respectively, and during the six months ended June 30, 2025 and 2024, the Company recorded interest income of $2.2 million and $2.4 million, respectively, on these bonds. The Company received interest payments of $2.2 million and $2.4 million during the six months ended June 30, 2025 and 2024, respectively, relating to these notes receivable.</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and finance lease obligations at June 30, 2025 and December 31, 2024 consisted of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$700M Revolving Credit Facility, interest at SOFR plus 1.45%, maturing May 18, 2027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Term Loan B, interest at SOFR plus 2.00%, maturing May 18, 2030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292,791</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4.75%, maturing October 15, 2027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7.25%, maturing July 15, 2028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4.50%, maturing February 15, 2029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interest at 6.50%, maturing April 1, 2032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interest at 6.50%, maturing June 15, 2033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$80M OEG Revolver, interest at SOFR plus 3.25%, maturing June 28, 2029</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OEG Term Loan, interest at SOFR plus 3.50%, maturing June 28, 2031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299,250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Block 21 CMBS Loan, interest at 5.58%, original maturity January 5, 2026</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 and premiums, net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w:t>
            </w:r>
          </w:p>
        </w:tc>
      </w:tr>
      <w:tr>
        <w:trPr>
          <w:trHeight w:val="210"/>
        </w:trPr>
        <w:tc>
          <w:tcPr>
            <w:tcW w:w="6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3,975,213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3,378,396</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Amounts due within one year of the balance sheet date consist of amortization payments for the term loan B of 1.0% of the refinanced $293.5 million principal balance and amortization payments for the OEG term loan of approximately 1.0% of the refinanced $428.5 million principal balance.</w:t>
      </w:r>
    </w:p>
    <w:p>
      <w:pPr>
        <w:spacing w:after="0" w:line="149" w:lineRule="exact"/>
        <w:rPr>
          <w:sz w:val="20"/>
          <w:szCs w:val="20"/>
          <w:color w:val="auto"/>
        </w:rPr>
      </w:pPr>
    </w:p>
    <w:p>
      <w:pPr>
        <w:ind w:left="60" w:right="1439"/>
        <w:spacing w:after="0" w:line="453" w:lineRule="auto"/>
        <w:rPr>
          <w:sz w:val="20"/>
          <w:szCs w:val="20"/>
          <w:color w:val="auto"/>
        </w:rPr>
      </w:pPr>
      <w:r>
        <w:rPr>
          <w:rFonts w:ascii="Times New Roman" w:cs="Times New Roman" w:eastAsia="Times New Roman" w:hAnsi="Times New Roman"/>
          <w:sz w:val="18"/>
          <w:szCs w:val="18"/>
          <w:color w:val="auto"/>
        </w:rPr>
        <w:t xml:space="preserve">At June 30, 2025, there were no defaults under the covenants related to the Company’s outstanding debt. </w:t>
      </w:r>
      <w:r>
        <w:rPr>
          <w:rFonts w:ascii="Times New Roman" w:cs="Times New Roman" w:eastAsia="Times New Roman" w:hAnsi="Times New Roman"/>
          <w:sz w:val="18"/>
          <w:szCs w:val="18"/>
          <w:i w:val="1"/>
          <w:iCs w:val="1"/>
          <w:color w:val="auto"/>
        </w:rPr>
        <w:t>$625 Million 6.50% Senior Notes due 2033</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June 4, 2025, the Operating Partnership and RHP Finance Corporation (collectively, the “issuing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completed the private placement of $625.0 million in aggregate principal amount of 6.50% senior notes due 2033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“$625 Million 6.50% Senior Notes”), which are guaranteed by the Company and its subsidiaries that guarantee the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Agreement.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$625 Million 6.50% Senior Notes and guarantees were issued pursuant to an indenture by and among the issuing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subsidiaries, the guarantors and U.S. Bank Trust Company, National Association, as trustee. The $625 Million 6.50%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Senior Notes have a maturity date of June 15, 2033 and bear interest at 6.50% per annum, payable semi-annually in cash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arrears on June 15 and December 15 each year, beginning on December 15, 2025. The $625 Million 6.50% Senior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Notes are general unsecured and unsubordinated obligations of the issuing subsidiaries and rank equal in right of payment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such subsidiaries’ existing and future senior unsecured indebtedness, including the Company’s $700 million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aggregate principal amount of 4.75% senior notes due 2027, $400 million in aggregate principal amount of 7.25% senior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notes due 2028, $600 million in aggregate principal amount of 4.50% senior notes due 2029, and $1 billion in aggregate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amount of 6.50% senior notes due 2032, and senior in right of payment to future subordinated indebtedness, if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w:t>
      </w:r>
    </w:p>
    <w:p>
      <w:pPr>
        <w:spacing w:after="0" w:line="166" w:lineRule="exact"/>
        <w:rPr>
          <w:sz w:val="20"/>
          <w:szCs w:val="20"/>
          <w:color w:val="auto"/>
        </w:rPr>
      </w:pPr>
    </w:p>
    <w:p>
      <w:pPr>
        <w:ind w:left="60" w:right="579"/>
        <w:spacing w:after="0" w:line="312" w:lineRule="auto"/>
        <w:rPr>
          <w:sz w:val="20"/>
          <w:szCs w:val="20"/>
          <w:color w:val="auto"/>
        </w:rPr>
      </w:pPr>
      <w:r>
        <w:rPr>
          <w:rFonts w:ascii="Times New Roman" w:cs="Times New Roman" w:eastAsia="Times New Roman" w:hAnsi="Times New Roman"/>
          <w:sz w:val="17"/>
          <w:szCs w:val="17"/>
          <w:color w:val="auto"/>
        </w:rPr>
        <w:t>The $625 Million 6.50% Senior Notes are effectively subordinated to the issuing subsidiaries’ secured indebtedness, including the Operating Partnership’s existing credit facility, to the extent of the value of the assets securing such</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indebtedness and structurally subordinated to all indebtedness and other obligations of the Operating Partnership’s subsidiaries that do not guarantee the $625 Million 6.50% Senior Notes. The guarantees rank equally in right of payment with the applicable guarantor’s existing and future senior unsecured indebtedness and senior in right of payment to any future subordinated indebtedness of such guarantor. The $625 Million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$625 Million 6.50% Senior Notes.</w:t>
      </w:r>
    </w:p>
    <w:p>
      <w:pPr>
        <w:spacing w:after="0" w:line="162"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$625 Million 6.50% Senior Notes totaled approximately $614 million, after deducting the initial purchasers’ discounts, commissions and offering expenses. The Company used these net proceeds to fund a portion of the purchase price for JW Marriott Desert Ridge discussed in Note 2.</w:t>
      </w:r>
    </w:p>
    <w:p>
      <w:pPr>
        <w:spacing w:after="0" w:line="135" w:lineRule="exact"/>
        <w:rPr>
          <w:sz w:val="20"/>
          <w:szCs w:val="20"/>
          <w:color w:val="auto"/>
        </w:rPr>
      </w:pPr>
    </w:p>
    <w:p>
      <w:pPr>
        <w:ind w:left="60" w:right="199"/>
        <w:spacing w:after="0" w:line="276" w:lineRule="auto"/>
        <w:rPr>
          <w:sz w:val="20"/>
          <w:szCs w:val="20"/>
          <w:color w:val="auto"/>
        </w:rPr>
      </w:pPr>
      <w:r>
        <w:rPr>
          <w:rFonts w:ascii="Times New Roman" w:cs="Times New Roman" w:eastAsia="Times New Roman" w:hAnsi="Times New Roman"/>
          <w:sz w:val="17"/>
          <w:szCs w:val="17"/>
          <w:color w:val="auto"/>
        </w:rPr>
        <w:t>The $625 Million 6.50% Senior Notes are redeemable before June 15, 2028, in whole or in part, at 100.00%, plus accrued and unpaid interest thereon to, but not including, the redemption date, plus a make-whole premium. The $625 Million</w:t>
      </w:r>
    </w:p>
    <w:p>
      <w:pPr>
        <w:spacing w:after="0" w:line="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6.50% Senior Notes will be redeemable, in whole or in part, at any time on or after June 15, 2028 at a redemption price expressed as a percentage of the principal amount thereof, which percentage is 103.250%, 101.625%, and 100.000% beginning on June 15 of 2028, 2029, and 2030, respectively, plus accrued and unpaid interest thereon to, but not including, the redemption date.</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OEG Credit Facility</w:t>
      </w:r>
    </w:p>
    <w:p>
      <w:pPr>
        <w:spacing w:after="0" w:line="20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On April 28, 2025, certain OEG subsidiaries borrowed an incremental term loan in an aggregate principal amount of $130 million (the “Incremental OEG Loan”) on the same terms as the existing term loan under the OEG credit facility. The net proceeds of the Incremental OEG Loan, together with cash on hand, were used to defease the non-recourse term loan secured by a mortgage on Block 21. As increased by the Incremental OEG Loan, the OEG credit facility consists of (i) a senior secured term loan facility in an aggregate principal amount equal to $428.5 million and (ii) a senior secured revolving credit facility in an aggregate principal amount not to exceed $80.0 million. No changes were made to the applicable interest rates or maturity date of any indebtedness under the OEG credit facility. In addition, the terms of the Incremental OEG Loan confirm that the annual amortization under the OEG term loan is approximately 1% of the refinanced $428.5 million outstanding principal amount, with the balance due at maturity.</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Block 21 CMBS Loan</w:t>
      </w:r>
    </w:p>
    <w:p>
      <w:pPr>
        <w:spacing w:after="0" w:line="18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the purchase of Block 21 in May 2022, a subsidiary of the Company assumed the $136 million, ten-year, non-recourse loan secured by a mortgage on Block 21 (the “Block 21 CMBS Loan”). The proceeds of the Incremental OEG Loan described above were used to defease the Block 21 CMBS Loan in full in April 2025.</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8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entered into an interest rate swap to manage interest rate risk associated with a portion of the OEG term loan. The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pacing w:after="0" w:line="143"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$0.2 million will be reclassified from accumulated other comprehensive loss to interest expense in the next twelve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derivative financial instruments at June 30, 2025 and December 31, 2024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Strike</w:t>
            </w: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80" w:type="dxa"/>
            <w:vAlign w:val="bottom"/>
          </w:tcPr>
          <w:p>
            <w:pPr>
              <w:spacing w:after="0"/>
              <w:rPr>
                <w:sz w:val="15"/>
                <w:szCs w:val="15"/>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2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80" w:type="dxa"/>
            <w:vAlign w:val="bottom"/>
            <w:gridSpan w:val="2"/>
            <w:vMerge w:val="continue"/>
          </w:tcPr>
          <w:p>
            <w:pPr>
              <w:spacing w:after="0"/>
              <w:rPr>
                <w:sz w:val="10"/>
                <w:szCs w:val="10"/>
                <w:color w:val="auto"/>
              </w:rPr>
            </w:pP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12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86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6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8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6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OEG Term Loan</w:t>
            </w:r>
          </w:p>
        </w:tc>
        <w:tc>
          <w:tcPr>
            <w:tcW w:w="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4.5330%</w:t>
            </w: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3-month SOFR</w:t>
            </w:r>
          </w:p>
        </w:tc>
        <w:tc>
          <w:tcPr>
            <w:tcW w:w="4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December 18, 2025</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center"/>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(179)</w:t>
            </w:r>
          </w:p>
        </w:tc>
        <w:tc>
          <w:tcPr>
            <w:tcW w:w="200" w:type="dxa"/>
            <w:vAlign w:val="bottom"/>
          </w:tcPr>
          <w:p>
            <w:pPr>
              <w:jc w:val="center"/>
              <w:ind w:right="5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121"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condensed consolidated statements of operations for the respective periods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8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0"/>
                <w:szCs w:val="10"/>
                <w:color w:val="auto"/>
              </w:rPr>
            </w:pPr>
          </w:p>
        </w:tc>
        <w:tc>
          <w:tcPr>
            <w:tcW w:w="1580" w:type="dxa"/>
            <w:vAlign w:val="bottom"/>
            <w:gridSpan w:val="2"/>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660" w:type="dxa"/>
            <w:vAlign w:val="bottom"/>
            <w:tcBorders>
              <w:top w:val="single" w:sz="8" w:color="auto"/>
            </w:tcBorders>
            <w:gridSpan w:val="4"/>
          </w:tcPr>
          <w:p>
            <w:pPr>
              <w:jc w:val="center"/>
              <w:ind w:left="227"/>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4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Interest rate swaps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Interest expense</w:t>
            </w:r>
          </w:p>
        </w:tc>
        <w:tc>
          <w:tcPr>
            <w:tcW w:w="64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00" w:type="dxa"/>
            <w:vAlign w:val="bottom"/>
            <w:tcBorders>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derivatives</w:t>
            </w: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108</w:t>
            </w: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351</w:t>
            </w:r>
          </w:p>
        </w:tc>
        <w:tc>
          <w:tcPr>
            <w:tcW w:w="1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87"/>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58</w:t>
            </w:r>
          </w:p>
        </w:tc>
        <w:tc>
          <w:tcPr>
            <w:tcW w:w="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05"/>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202</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600" w:type="dxa"/>
            <w:vAlign w:val="bottom"/>
          </w:tcPr>
          <w:p>
            <w:pPr>
              <w:spacing w:after="0"/>
              <w:rPr>
                <w:sz w:val="24"/>
                <w:szCs w:val="24"/>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08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08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100" w:type="dxa"/>
            <w:vAlign w:val="bottom"/>
          </w:tcPr>
          <w:p>
            <w:pPr>
              <w:spacing w:after="0"/>
              <w:rPr>
                <w:sz w:val="10"/>
                <w:szCs w:val="10"/>
                <w:color w:val="auto"/>
              </w:rPr>
            </w:pPr>
          </w:p>
        </w:tc>
        <w:tc>
          <w:tcPr>
            <w:tcW w:w="15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660" w:type="dxa"/>
            <w:vAlign w:val="bottom"/>
            <w:tcBorders>
              <w:top w:val="single" w:sz="8" w:color="auto"/>
            </w:tcBorders>
            <w:gridSpan w:val="4"/>
          </w:tcPr>
          <w:p>
            <w:pPr>
              <w:jc w:val="center"/>
              <w:ind w:left="227"/>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w:t>
            </w: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4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Borders>
              <w:bottom w:val="single" w:sz="8" w:color="CCEEFF"/>
            </w:tcBorders>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2,326</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640" w:type="dxa"/>
            <w:vAlign w:val="bottom"/>
            <w:tcBorders>
              <w:bottom w:val="single" w:sz="8" w:color="auto"/>
            </w:tcBorders>
          </w:tcPr>
          <w:p>
            <w:pPr>
              <w:jc w:val="right"/>
              <w:ind w:right="487"/>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106</w:t>
            </w:r>
          </w:p>
        </w:tc>
        <w:tc>
          <w:tcPr>
            <w:tcW w:w="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50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749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100</w:t>
            </w: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2,326</w:t>
            </w:r>
          </w:p>
        </w:tc>
        <w:tc>
          <w:tcPr>
            <w:tcW w:w="10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487"/>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106</w:t>
            </w: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0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749</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included in interest expense. Total consolidated interest expense for the three months ended June 30, 2025 and 2024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$58.5 million and $56.6 million, respectively, and for the six months ended June 30, 2025 and 2024 was $112.8 million and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$117.0 million, respectively.</w:t>
      </w:r>
    </w:p>
    <w:p>
      <w:pPr>
        <w:spacing w:after="0" w:line="180" w:lineRule="exact"/>
        <w:rPr>
          <w:sz w:val="20"/>
          <w:szCs w:val="20"/>
          <w:color w:val="auto"/>
        </w:rPr>
      </w:pPr>
    </w:p>
    <w:p>
      <w:pPr>
        <w:ind w:left="60" w:right="259"/>
        <w:spacing w:after="0" w:line="273" w:lineRule="auto"/>
        <w:rPr>
          <w:sz w:val="20"/>
          <w:szCs w:val="20"/>
          <w:color w:val="auto"/>
        </w:rPr>
      </w:pPr>
      <w:r>
        <w:rPr>
          <w:rFonts w:ascii="Times New Roman" w:cs="Times New Roman" w:eastAsia="Times New Roman" w:hAnsi="Times New Roman"/>
          <w:sz w:val="17"/>
          <w:szCs w:val="17"/>
          <w:color w:val="auto"/>
        </w:rPr>
        <w:t>At June 30, 2025, the fair value of derivatives in a net liability position including accrued interest but excluding any adjustment for nonperformance risk related to these agreements was $0.2 million. As of June 30, 2025,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$0.2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DEFERRED MANAGEMENT RIGHTS PROCEEDS:</w:t>
      </w:r>
    </w:p>
    <w:p>
      <w:pPr>
        <w:spacing w:after="0" w:line="18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line basis over the 65-year term of the hotel management agreements, including extensions, as a reduction in management fee expense.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is a lessee of a 65.3-acre site in Osceola County, Florida on which Gaylord Palms is located; a 234-acre site in Maricopa County, Arizona on which a portion of JW Marriott Desert Ridge is located; building or land leases for Ole Red Gatlinburg, Ole Red Orlando, Ole Red Tishomingo, Ole Red Nashville International Airport and Ole Red Las Vegas; and various warehouse, general office and other equipment leases. The Gaylord Palms land lease has a term through 2074, which may be extended through January 2101, at the Company’s discretion. The JW Marriott Desert Ridge land lease has a term through 2092. The leases for Ole Red locations range from five to ten years, with renewal options ranging from five to fifty-five years, at the Company’s discretion, with the exception of Ole Red Nashville International Airport, which has no extension option. Extension options were not considered reasonably assured to be exercised as of the date of the agreement and, as a result, are not included in the Company’s calculation of its right-of-use assets and lease liabilities.</w:t>
      </w:r>
    </w:p>
    <w:p>
      <w:pPr>
        <w:spacing w:after="0" w:line="188"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costs for the three and six months ended June 30, 2025 and 2024 are as follows (in thousands):</w:t>
      </w:r>
    </w:p>
    <w:p>
      <w:pPr>
        <w:spacing w:after="0" w:line="22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9,567</w:t>
            </w:r>
          </w:p>
        </w:tc>
        <w:tc>
          <w:tcPr>
            <w:tcW w:w="12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r>
      <w:tr>
        <w:trPr>
          <w:trHeight w:val="216"/>
        </w:trPr>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8"/>
                <w:szCs w:val="18"/>
                <w:color w:val="auto"/>
              </w:rPr>
            </w:pPr>
          </w:p>
        </w:tc>
      </w:tr>
      <w:tr>
        <w:trPr>
          <w:trHeight w:val="209"/>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9,663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June 30, 2025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6"/>
              </w:rPr>
              <w:t>Finance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607,876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(520,018)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42.9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2.5 years</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7.1 %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5.8 %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 PLANS:</w:t>
      </w:r>
    </w:p>
    <w:p>
      <w:pPr>
        <w:spacing w:after="0" w:line="202"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0.2 million restricted stock units with a weighted-average grant date fair value of $100.99 per unit. There were 0.5 million and 0.4 million restricted stock units outstanding at June 30, 2025 and December 31, 2024, respectively.</w:t>
      </w:r>
    </w:p>
    <w:p>
      <w:pPr>
        <w:spacing w:after="0" w:line="135"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Compensation expense for the Company’s equity-based compensation plans was $3.5 million and $3.4 million for the three months ended June 30, 2025 and 2024, respectively, and $7.1 million and $7.2 million for the six months ended June 30, 2025 and 2024,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89"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137"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recorded an income tax provision of $7.8 million and $12.2 million, respectively, related to its TRSs. For the six months ended June 30, 2025 and 2024, the Company recorded an income tax provision of $12.0 million and $12.7 million, respectively, related to its TRSs.</w:t>
      </w:r>
    </w:p>
    <w:p>
      <w:pPr>
        <w:spacing w:after="0" w:line="135" w:lineRule="exact"/>
        <w:rPr>
          <w:sz w:val="20"/>
          <w:szCs w:val="20"/>
          <w:color w:val="auto"/>
        </w:rPr>
      </w:pPr>
    </w:p>
    <w:p>
      <w:pPr>
        <w:jc w:val="both"/>
        <w:ind w:left="60" w:right="53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The Company is currently evaluating the potential tax implications of the OBBBA, but based on the Company’s preliminary assessment, it does not expect the legislation to have a material impact on the Company’s financial statements.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June 30, 2025 and December 31, 2024, the Company had no unrecognized tax benefits.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8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2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April 9, 2024, the Company received service of process in a lawsuit naming the Company and a subsidiary as co-defendants with Marriott, as the manager, and multiple contractors in a personal injury lawsuit filed by individual plaintiffs in Colorado state court. The lawsuit relates to a May 2023 incident at the Gaylord Rockies indoor pool amenity involving the collapse of HVAC equipment. The complaint requests an unspecified amount of damages related to alleged injuries to two guests. The Company intends to vigorously defend the lawsuit and believes it has strong defenses. The lawsuit is in its early stages so the Company cannot predict its likely outcome or estimate the range of possible loss, but the Company does not believe that the outcome will have a material impact on the Company’s financial position.</w:t>
      </w:r>
    </w:p>
    <w:p>
      <w:pPr>
        <w:spacing w:after="0" w:line="162"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In addition, 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EQUITY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Offering</w:t>
      </w:r>
    </w:p>
    <w:p>
      <w:pPr>
        <w:spacing w:after="0" w:line="20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In May 2025, the Company completed an underwritten public offering of approximately 3.0 million shares of its common stock, par value $0.01 per share, at a price to the public of $96.20 per share. Net proceeds to the Company, after deducting underwriter discounts and commissions and other expenses paid by the Company, were approximately $275.5 million. The Company used a portion of these proceeds to fund a portion of the purchase price to acquire JW Marriott Desert Ridge as discussed in Note 2 and the remainder for general corporate purposes.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On February 20, 2025, the Company’s board of directors declared the Company’s first quarter 2025 cash dividend in the amount of $1.15 per share of common stock, or an aggregate of approximately $69.5 million in cash, which was paid on April 15, 2025 to stockholders of record as of the close of business on March 31, 2025.</w:t>
      </w:r>
    </w:p>
    <w:p>
      <w:pPr>
        <w:spacing w:after="0" w:line="135"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On May 9, 2025, the Company’s board of directors declared the Company’s second quarter 2025 cash dividend in the amount of $1.15 per share of common stock, or an aggregate of approximately $72.9 million in cash, which was paid on July 15, 2025 to stockholders of record as of the close of business on June 30, 2025.</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200"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June 30, 2025, 0.4 million outstanding OP Units, or 0.6% of the outstanding OP Units, were held by the noncontrolling limited partners and are included as a component of equity in the accompanying condensed consolidated balance sheets. The Company owns, directly or indirectly, the remaining 99.4% of the outstanding OP Units.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5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3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43"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 above valuation techniques in all periods presented and believes it has obtained the most accurate information available for each type of instrument.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June 30, 2025 and December 31, 2024, were as follows (in thousands):</w:t>
      </w:r>
    </w:p>
    <w:tbl>
      <w:tblPr>
        <w:tblLayout w:type="fixed"/>
        <w:tblInd w:w="6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6"/>
              <w:spacing w:after="0" w:line="13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8"/>
                <w:szCs w:val="18"/>
                <w:color w:val="auto"/>
              </w:rPr>
            </w:pP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24"/>
                <w:szCs w:val="24"/>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June 30, 2025 are not required to be recorded at fair value, and financial assets and liabilities approximate fair value.</w:t>
      </w:r>
    </w:p>
    <w:p>
      <w:pPr>
        <w:spacing w:after="0" w:line="135"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See Note 2, “JW Marriott Desert Ridge Transaction,” for additional disclosures related to the fair value measurements used in the accounting for the purchase of JW Marriott Desert Ridge.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FINANCIAL REPORTING BY BUSINESS SEGMENTS: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the following principal business segments:</w:t>
      </w:r>
    </w:p>
    <w:p>
      <w:pPr>
        <w:spacing w:after="0" w:line="196" w:lineRule="exact"/>
        <w:rPr>
          <w:sz w:val="20"/>
          <w:szCs w:val="20"/>
          <w:color w:val="auto"/>
        </w:rPr>
      </w:pPr>
    </w:p>
    <w:p>
      <w:pPr>
        <w:ind w:left="720" w:right="259" w:hanging="319"/>
        <w:spacing w:after="0" w:line="26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the JW Marriott properties (including, effective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2025, JW Marriott Desert Ridge), the Inn at Opryland and the AC Hotel;</w:t>
      </w:r>
    </w:p>
    <w:p>
      <w:pPr>
        <w:ind w:left="720" w:right="5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Category 10, Block 21, and Southern Entertainment; and</w:t>
      </w:r>
    </w:p>
    <w:p>
      <w:pPr>
        <w:ind w:left="720" w:right="379" w:hanging="319"/>
        <w:spacing w:after="0" w:line="26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operating and general and administrative expenses related to the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the Company which are not allocated to the other reportable segments.</w:t>
      </w:r>
    </w:p>
    <w:p>
      <w:pPr>
        <w:spacing w:after="0" w:line="141"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comprised of the Company’s chief executive officer and the Company’s chief financial officer. The CODM uses segment operating income (loss) to evaluate the performance of each segment and to allocate resources.</w:t>
      </w:r>
    </w:p>
    <w:p>
      <w:pPr>
        <w:spacing w:after="0" w:line="135"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The accounting policies for each segment are the same as those described in Note 1, “Description of the Business and Summary of Significant Accounting Policies,” to the Company’s Annual Report on Form 10-K for the year ended December 31, 2024. The Company does not have intersegment sales or transfers.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82" w:lineRule="auto"/>
        <w:rPr>
          <w:sz w:val="20"/>
          <w:szCs w:val="20"/>
          <w:color w:val="auto"/>
        </w:rPr>
      </w:pPr>
      <w:r>
        <w:rPr>
          <w:rFonts w:ascii="Times New Roman" w:cs="Times New Roman" w:eastAsia="Times New Roman" w:hAnsi="Times New Roman"/>
          <w:sz w:val="18"/>
          <w:szCs w:val="18"/>
          <w:color w:val="auto"/>
        </w:rPr>
        <w:t>The following information is derived directly from the segments’ internal financial reports used by the CODM for corporate management purposes (amounts in thousands):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10"/>
          </w:tcPr>
          <w:p>
            <w:pPr>
              <w:jc w:val="right"/>
              <w:ind w:right="250"/>
              <w:spacing w:after="0"/>
              <w:rPr>
                <w:sz w:val="20"/>
                <w:szCs w:val="20"/>
                <w:color w:val="auto"/>
              </w:rPr>
            </w:pPr>
            <w:r>
              <w:rPr>
                <w:rFonts w:ascii="Times New Roman" w:cs="Times New Roman" w:eastAsia="Times New Roman" w:hAnsi="Times New Roman"/>
                <w:sz w:val="18"/>
                <w:szCs w:val="18"/>
                <w:color w:val="auto"/>
              </w:rPr>
              <w:t>For the Three Months Ended June 30, 2025</w:t>
            </w:r>
          </w:p>
        </w:tc>
      </w:tr>
      <w:tr>
        <w:trPr>
          <w:trHeight w:val="191"/>
        </w:trPr>
        <w:tc>
          <w:tcPr>
            <w:tcW w:w="5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3"/>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5100" w:type="dxa"/>
            <w:vAlign w:val="bottom"/>
          </w:tcPr>
          <w:p>
            <w:pPr>
              <w:spacing w:after="0"/>
              <w:rPr>
                <w:sz w:val="20"/>
                <w:szCs w:val="20"/>
                <w:color w:val="auto"/>
              </w:rPr>
            </w:pPr>
          </w:p>
        </w:tc>
        <w:tc>
          <w:tcPr>
            <w:tcW w:w="198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and Other</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516,211</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143,304</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659,515</w:t>
            </w: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47,238</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136,152</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130,588</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35,061</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32,218</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26,198</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57,397</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66,963</w:t>
            </w: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126,920</w:t>
            </w:r>
          </w:p>
        </w:tc>
        <w:tc>
          <w:tcPr>
            <w:tcW w:w="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139,425</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(48,994)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(58,534)</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unconsolidated joint ventures (2)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83,723</w:t>
            </w:r>
          </w:p>
        </w:tc>
      </w:tr>
      <w:tr>
        <w:trPr>
          <w:trHeight w:val="20"/>
        </w:trPr>
        <w:tc>
          <w:tcPr>
            <w:tcW w:w="5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426"/>
        </w:trPr>
        <w:tc>
          <w:tcPr>
            <w:tcW w:w="5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0"/>
          </w:tcPr>
          <w:p>
            <w:pPr>
              <w:jc w:val="right"/>
              <w:ind w:right="250"/>
              <w:spacing w:after="0"/>
              <w:rPr>
                <w:sz w:val="20"/>
                <w:szCs w:val="20"/>
                <w:color w:val="auto"/>
              </w:rPr>
            </w:pPr>
            <w:r>
              <w:rPr>
                <w:rFonts w:ascii="Times New Roman" w:cs="Times New Roman" w:eastAsia="Times New Roman" w:hAnsi="Times New Roman"/>
                <w:sz w:val="18"/>
                <w:szCs w:val="18"/>
                <w:color w:val="auto"/>
              </w:rPr>
              <w:t>For the Three Months Ended June 30, 2024</w:t>
            </w:r>
          </w:p>
        </w:tc>
      </w:tr>
      <w:tr>
        <w:trPr>
          <w:trHeight w:val="191"/>
        </w:trPr>
        <w:tc>
          <w:tcPr>
            <w:tcW w:w="5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3"/>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5100" w:type="dxa"/>
            <w:vAlign w:val="bottom"/>
          </w:tcPr>
          <w:p>
            <w:pPr>
              <w:spacing w:after="0"/>
              <w:rPr>
                <w:sz w:val="20"/>
                <w:szCs w:val="20"/>
                <w:color w:val="auto"/>
              </w:rPr>
            </w:pPr>
          </w:p>
        </w:tc>
        <w:tc>
          <w:tcPr>
            <w:tcW w:w="198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and Other</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519,087</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613,290</w:t>
            </w: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45,062</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132,369</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117,769</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21,449</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26,183</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20,423</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50,553</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58,553</w:t>
            </w: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151,885</w:t>
            </w:r>
          </w:p>
        </w:tc>
        <w:tc>
          <w:tcPr>
            <w:tcW w:w="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25,822</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168,071</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(45,958)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(56,577)</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unconsolidated joint ventures (2)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116,940</w:t>
            </w:r>
          </w:p>
        </w:tc>
      </w:tr>
      <w:tr>
        <w:trPr>
          <w:trHeight w:val="20"/>
        </w:trPr>
        <w:tc>
          <w:tcPr>
            <w:tcW w:w="5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60" w:type="dxa"/>
            <w:vAlign w:val="bottom"/>
            <w:gridSpan w:val="14"/>
          </w:tcPr>
          <w:p>
            <w:pPr>
              <w:ind w:left="260"/>
              <w:spacing w:after="0"/>
              <w:rPr>
                <w:sz w:val="20"/>
                <w:szCs w:val="20"/>
                <w:color w:val="auto"/>
              </w:rPr>
            </w:pPr>
            <w:r>
              <w:rPr>
                <w:rFonts w:ascii="Times New Roman" w:cs="Times New Roman" w:eastAsia="Times New Roman" w:hAnsi="Times New Roman"/>
                <w:sz w:val="18"/>
                <w:szCs w:val="18"/>
                <w:color w:val="auto"/>
              </w:rPr>
              <w:t>For the Six Months Ended June 30, 2025</w:t>
            </w: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$ 1,013,941</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232,854</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274,291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254,512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111,503</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243,729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(21,994)</w:t>
            </w: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(18,407)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(94,382)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unconsolidated joint ventures (2)</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gridSpan w:val="14"/>
          </w:tcPr>
          <w:p>
            <w:pPr>
              <w:ind w:left="260"/>
              <w:spacing w:after="0"/>
              <w:rPr>
                <w:sz w:val="20"/>
                <w:szCs w:val="20"/>
                <w:color w:val="auto"/>
              </w:rPr>
            </w:pPr>
            <w:r>
              <w:rPr>
                <w:rFonts w:ascii="Times New Roman" w:cs="Times New Roman" w:eastAsia="Times New Roman" w:hAnsi="Times New Roman"/>
                <w:sz w:val="18"/>
                <w:szCs w:val="18"/>
                <w:color w:val="auto"/>
              </w:rPr>
              <w:t>For the Six Months Ended June 30, 2024</w:t>
            </w: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Corporate</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Hospitality Entertainment</w:t>
            </w: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Other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980,557</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260,548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 (1)</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236,582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costs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services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Non-income taxes and insurance</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assets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100,783</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254,070</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unconsolidated joint ventures (2)</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4,877,526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4,081,754</w:t>
            </w:r>
          </w:p>
        </w:tc>
      </w:tr>
      <w:tr>
        <w:trPr>
          <w:trHeight w:val="216"/>
        </w:trPr>
        <w:tc>
          <w:tcPr>
            <w:tcW w:w="6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653,969</w:t>
            </w:r>
          </w:p>
        </w:tc>
      </w:tr>
      <w:tr>
        <w:trPr>
          <w:trHeight w:val="216"/>
        </w:trPr>
        <w:tc>
          <w:tcPr>
            <w:tcW w:w="6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494,593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481,850</w:t>
            </w:r>
          </w:p>
        </w:tc>
      </w:tr>
      <w:tr>
        <w:trPr>
          <w:trHeight w:val="209"/>
        </w:trPr>
        <w:tc>
          <w:tcPr>
            <w:tcW w:w="6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6,110,620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5,217,573</w:t>
            </w:r>
          </w:p>
        </w:tc>
      </w:tr>
      <w:tr>
        <w:trPr>
          <w:trHeight w:val="20"/>
        </w:trPr>
        <w:tc>
          <w:tcPr>
            <w:tcW w:w="2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63"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w:t>
      </w:r>
    </w:p>
    <w:p>
      <w:pPr>
        <w:spacing w:after="0" w:line="27" w:lineRule="exact"/>
        <w:rPr>
          <w:rFonts w:ascii="Times New Roman" w:cs="Times New Roman" w:eastAsia="Times New Roman" w:hAnsi="Times New Roman"/>
          <w:sz w:val="18"/>
          <w:szCs w:val="18"/>
          <w:color w:val="auto"/>
        </w:rPr>
      </w:pPr>
    </w:p>
    <w:p>
      <w:pPr>
        <w:ind w:left="720" w:right="9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 administrative employment costs, utilities, property taxes, supplies, advertising, maintenance and consulting expenses</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 advertising, utilities, maintenance and certain overhead expenses</w:t>
      </w:r>
    </w:p>
    <w:p>
      <w:pPr>
        <w:spacing w:after="0" w:line="9" w:lineRule="exact"/>
        <w:rPr>
          <w:rFonts w:ascii="Times New Roman" w:cs="Times New Roman" w:eastAsia="Times New Roman" w:hAnsi="Times New Roman"/>
          <w:sz w:val="18"/>
          <w:szCs w:val="18"/>
          <w:color w:val="auto"/>
        </w:rPr>
      </w:pPr>
    </w:p>
    <w:p>
      <w:pPr>
        <w:ind w:left="720" w:right="4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 information technology, human resources, accounting, equity-based compensation and other administrative expenses</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(loss) from unconsolidated joint ventures relates to the Entertainment segment.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represents capital expenditures by segment for the periods presented (amounts in thousands):</w:t>
      </w:r>
    </w:p>
    <w:p>
      <w:pPr>
        <w:spacing w:after="0" w:line="23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74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r>
      <w:tr>
        <w:trPr>
          <w:trHeight w:val="209"/>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Hospitality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134,694</w:t>
            </w: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50,180</w:t>
            </w:r>
          </w:p>
        </w:tc>
        <w:tc>
          <w:tcPr>
            <w:tcW w:w="200" w:type="dxa"/>
            <w:vAlign w:val="bottom"/>
          </w:tcPr>
          <w:p>
            <w:pPr>
              <w:spacing w:after="0"/>
              <w:rPr>
                <w:sz w:val="18"/>
                <w:szCs w:val="18"/>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r>
      <w:tr>
        <w:trPr>
          <w:trHeight w:val="210"/>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182,238</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184,936</w:t>
            </w:r>
          </w:p>
        </w:tc>
        <w:tc>
          <w:tcPr>
            <w:tcW w:w="2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Ryman Hospitality Properties, Inc. (“Ryman”) is a Delaware corporation that conducts its operations so as to maintain its qualification as a real estate investment trust (“REIT”) for federal income tax purposes. The Company (as defined below)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unaudited condensed consolidated financial statements and related notes included elsewhere in this report and our audited consolidated financial statements and related notes for the year ended December 31, 2024, included in our Annual Report on Form 10-K that was filed with the SEC on February 21, 2025.</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may also include statements regarding (i) the future performance of our business, anticipated business levels and our anticipated financial results during future periods; (ii) the effect of our election to be taxed as a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w:t>
      </w:r>
    </w:p>
    <w:p>
      <w:pPr>
        <w:spacing w:after="0" w:line="11" w:lineRule="exact"/>
        <w:rPr>
          <w:sz w:val="20"/>
          <w:szCs w:val="20"/>
          <w:color w:val="auto"/>
        </w:rPr>
      </w:pPr>
    </w:p>
    <w:p>
      <w:pPr>
        <w:ind w:left="60" w:right="79" w:hanging="10"/>
        <w:spacing w:after="0" w:line="251"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ability to borrow available funds under our credit facility; (x) our expectations about successfully amending the agreements governing our indebtedness should the need arise; (xi) the effects of inflation, other macroeconomic conditions and increased costs on our business and on our customers, including group customers at our hotels; (xii) risks associated with our acquisition of JW Marriott Desert Ridge; and (xiii) any other business or operational matters. We have based these forward-looking statements on our current expectations and projections about future events.</w:t>
      </w:r>
    </w:p>
    <w:p>
      <w:pPr>
        <w:spacing w:after="0" w:line="15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economic conditions affecting the hospitality business generally, the geographic concentration of our hotel properties, business levels at our hotels, the effects of inflation and changes in international, national, regional and local economic and market conditions (such as the imposition of trade barriers or other changes in trade policy) on our business, including the effects on costs of labor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supplies and effects on group customers at our hotels and customers in our OEG businesses,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and those factors described elsewhere in this Quarterly Report on Form 10-Q and our Annual Report on Form 10-K for the year ended December 31, 2024 or described from time to time in our other reports filed with the SEC.</w:t>
      </w:r>
    </w:p>
    <w:p>
      <w:pPr>
        <w:spacing w:after="0" w:line="16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operate as a REIT for federal income tax purposes, specializing in group-oriented, destination hotel assets in urban and resort markets. Our core holdings include a network of upscale, meetings-focused resorts totaling 11,869 rooms that are managed by Marriott under the Gaylord Hotels and JW Marriott brands. The five Gaylord Hotels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two JW Marriott resorts, which we refer to as the JW Marriott properties, consist of the JW Marriott San Antonio Hill Country Resort &amp; Spa (“JW Marriott Hill Country”) and, effective June 10, 2025, the JW Marriott Phoenix Desert Ridge Resort &amp; Spa (“JW Marriott Desert Ridge”). Our other hotel assets managed by Marriott include the Inn at Opryland, an overflow hotel adjacent to Gaylord Opryland, and the AC Hotel at National Harbor, Washington D.C. (“AC Hotel”), an overflow hotel adjacent to Gaylord National.</w:t>
      </w:r>
    </w:p>
    <w:p>
      <w:pPr>
        <w:spacing w:after="0" w:line="163"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Each of our award-winning Gaylord Hotels properties and JW Marriott properties incorporates not only high-quality lodging, but also large-scale meeting, convention and exhibition space, superb food and beverage options and retail and spa facilities within a single self-contained property. Our Gaylord Hotels properties each include at least 400,000 square feet of meeting, convention and exhibit space, and our JW Marriott properties each include at least 240,000 square feet of meeting, convention and exhibit space. As a result, our Gaylord Hotels properties and JW Marriott properties provide a convenient and entertaining environment for convention guests. Our Gaylord Hotels properties and JW Marriott properties focus on the large group meetings market in the United States.</w:t>
      </w:r>
    </w:p>
    <w:p>
      <w:pPr>
        <w:spacing w:after="0" w:line="148"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also own an approximate 70% controlling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99 years; the Ryman Auditorium, the storied live music venue and former home of the Grand Ole Opry located in downtown Nashville; WSM-AM, the Opry’s radio home; Ole Red, a brand of Blake Shelton-themed bar, music venue and event spaces; Category 10, a Luke Combs-themed bar, music venue and event space that opened in November 2024; Block 21, a mixed-use entertainment, lodging, office, and retail complex located in Austin, Texas (“Block 21”), and as of January 3, 2025, a majority and controlling equity interest in Southern Entertainment, a Charlotte, North Carolina-based national music festival and events production company.</w:t>
      </w:r>
    </w:p>
    <w:p>
      <w:pPr>
        <w:spacing w:after="0" w:line="148"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2024 for important information regarding forward-looking statements made in this report and risks and uncertainties we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2025 Activities</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Significant activities we have undertaken in 2025 include (as well as where you can find more information herein or in the accompanying condensed consolidated financial statements):</w:t>
      </w:r>
    </w:p>
    <w:p>
      <w:pPr>
        <w:spacing w:after="0" w:line="162"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JW Marriott Desert Ridge in June 2025 – Note 2, “JW Marriott Desert Ridge Transaction”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$625 million in 6.50% senior notes due 2033 – Note 8, “Debt”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and issued approximately 3.0 million shares of our common stock – Note 14, “Equity”</w:t>
      </w:r>
    </w:p>
    <w:p>
      <w:pPr>
        <w:spacing w:after="0" w:line="225"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defeased the previous Block 21 CMBS loan with incremental borrowings under the existing OEG credit facility – Note 8, “Debt”</w:t>
      </w:r>
    </w:p>
    <w:p>
      <w:pPr>
        <w:spacing w:after="0" w:line="16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 in our existing properties through approximately $182.2 million in capital expenditures – “Liquidity and Capital Resources”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approximately $142.4 million in cash distributions – Note 14, “Equity”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0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Strategic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meeting hotel assets in urban and resort markets.</w:t>
      </w:r>
    </w:p>
    <w:p>
      <w:pPr>
        <w:spacing w:after="0" w:line="196" w:lineRule="exact"/>
        <w:rPr>
          <w:sz w:val="20"/>
          <w:szCs w:val="20"/>
          <w:color w:val="auto"/>
        </w:rPr>
      </w:pPr>
    </w:p>
    <w:p>
      <w:pPr>
        <w:ind w:left="60" w:right="239"/>
        <w:spacing w:after="0" w:line="257" w:lineRule="auto"/>
        <w:rPr>
          <w:sz w:val="20"/>
          <w:szCs w:val="20"/>
          <w:color w:val="auto"/>
        </w:rPr>
      </w:pPr>
      <w:r>
        <w:rPr>
          <w:rFonts w:ascii="Times New Roman" w:cs="Times New Roman" w:eastAsia="Times New Roman" w:hAnsi="Times New Roman"/>
          <w:sz w:val="18"/>
          <w:szCs w:val="18"/>
          <w:i w:val="1"/>
          <w:iCs w:val="1"/>
          <w:color w:val="auto"/>
        </w:rPr>
        <w:t>Existing Hotel Property Design</w:t>
      </w:r>
      <w:r>
        <w:rPr>
          <w:rFonts w:ascii="Times New Roman" w:cs="Times New Roman" w:eastAsia="Times New Roman" w:hAnsi="Times New Roman"/>
          <w:sz w:val="18"/>
          <w:szCs w:val="18"/>
          <w:color w:val="auto"/>
        </w:rPr>
        <w:t>. Our Gaylord Hotels properties and JW Marriott properties focus on the large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and regional leisure transient markets in the United States and incorporate meeting and exhibition space, signature guest rooms, food and beverage offerings, fitness and spa facilities and other attractions within a large hotel property so attendees’ needs are met in one location. We believe this strategy creates a better experience for both meeting planners and guests and has led to our current Gaylord Hotels properties and JW Marriott properties claiming a place among the leading convention hotels in the country.</w:t>
      </w:r>
    </w:p>
    <w:p>
      <w:pPr>
        <w:spacing w:after="0" w:line="142"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Expansion of Hotel Asset Portfolio</w:t>
      </w:r>
      <w:r>
        <w:rPr>
          <w:rFonts w:ascii="Times New Roman" w:cs="Times New Roman" w:eastAsia="Times New Roman" w:hAnsi="Times New Roman"/>
          <w:sz w:val="18"/>
          <w:szCs w:val="18"/>
          <w:color w:val="auto"/>
        </w:rPr>
        <w:t>. Part of our long-term growth strategy includes acquisitions or developments of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 To this end, we purchased JW Marriott Hill Country in June 2023 and JW Marriott Desert Ridge in June 2025.</w:t>
      </w:r>
    </w:p>
    <w:p>
      <w:pPr>
        <w:spacing w:after="0" w:line="148" w:lineRule="exact"/>
        <w:rPr>
          <w:sz w:val="20"/>
          <w:szCs w:val="20"/>
          <w:color w:val="auto"/>
        </w:rPr>
      </w:pPr>
    </w:p>
    <w:p>
      <w:pPr>
        <w:ind w:left="60" w:right="179"/>
        <w:spacing w:after="0" w:line="257" w:lineRule="auto"/>
        <w:rPr>
          <w:sz w:val="20"/>
          <w:szCs w:val="20"/>
          <w:color w:val="auto"/>
        </w:rPr>
      </w:pPr>
      <w:r>
        <w:rPr>
          <w:rFonts w:ascii="Times New Roman" w:cs="Times New Roman" w:eastAsia="Times New Roman" w:hAnsi="Times New Roman"/>
          <w:sz w:val="18"/>
          <w:szCs w:val="18"/>
          <w:i w:val="1"/>
          <w:iCs w:val="1"/>
          <w:color w:val="auto"/>
        </w:rPr>
        <w:t>Continued Investment in Our Existing Properties</w:t>
      </w:r>
      <w:r>
        <w:rPr>
          <w:rFonts w:ascii="Times New Roman" w:cs="Times New Roman" w:eastAsia="Times New Roman" w:hAnsi="Times New Roman"/>
          <w:sz w:val="18"/>
          <w:szCs w:val="18"/>
          <w:color w:val="auto"/>
        </w:rPr>
        <w:t>. We continuously evaluate and invest in our current portfolio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enhancements or expansions as part of our long-term strategic plan. In 2024, we completed a $98 million multi-year interior and exterior enhancement project at Gaylord Rockies to better position the property for our group customers. In early 2024, we identified over $1 billion in capital investment opportunities across our entire hotel portfolio, comprised of projects that we anticipate completing in phases through 2027. We have previously announced plans for a nearly $225 million multi-phase capital improvement plan at Gaylord Opryland that includes the currently</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ongoing expansion of approximately 108,000 square feet of premium, carpeted meeting space; the construction of a sports bar, event lawn and pavilion; and the renovation of multiple ballrooms and pre-function space.</w:t>
      </w:r>
    </w:p>
    <w:p>
      <w:pPr>
        <w:spacing w:after="0" w:line="13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Leverage Brand Name Awareness</w:t>
      </w:r>
      <w:r>
        <w:rPr>
          <w:rFonts w:ascii="Times New Roman" w:cs="Times New Roman" w:eastAsia="Times New Roman" w:hAnsi="Times New Roman"/>
          <w:sz w:val="18"/>
          <w:szCs w:val="18"/>
          <w:color w:val="auto"/>
        </w:rPr>
        <w:t>. We believe the Grand Ole Opry is one of the most recognized entertainment brands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purchased Block 21, opened Category 10 in November 2024, and purchased a majority interest in Southern Entertainment in January 2025. Further, in 2022, we completed a strategic transaction to sell a minority interest in OEG to an affiliate of Atairos Group, Inc. and its strategic partner NBCUniversal Media, LLC, who we believe will continue to help us expand the distribution of our OEG brands.</w:t>
      </w:r>
    </w:p>
    <w:p>
      <w:pPr>
        <w:spacing w:after="0" w:line="151"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Short-Term Capital Allocation</w:t>
      </w:r>
      <w:r>
        <w:rPr>
          <w:rFonts w:ascii="Times New Roman" w:cs="Times New Roman" w:eastAsia="Times New Roman" w:hAnsi="Times New Roman"/>
          <w:sz w:val="18"/>
          <w:szCs w:val="18"/>
          <w:color w:val="auto"/>
        </w:rPr>
        <w:t>. Our short-term capital allocation strategy is focused on returning capital to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payment of dividends, in addition to investing in our assets and operations. Our dividend policy provides that we will make minimum dividends of 100% of REIT taxable income annually, subject to the board of directors’ future determinations as to the amount of any distributions and the timing thereof.</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operations are organized into three principal business segments:</w:t>
      </w:r>
    </w:p>
    <w:p>
      <w:pPr>
        <w:spacing w:after="0" w:line="185" w:lineRule="exact"/>
        <w:rPr>
          <w:sz w:val="20"/>
          <w:szCs w:val="20"/>
          <w:color w:val="auto"/>
        </w:rPr>
      </w:pPr>
    </w:p>
    <w:p>
      <w:pPr>
        <w:ind w:left="720" w:right="11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our JW Marriott properties (including, effective June 10, 2025, JW Marriott Desert Ridge), the Inn at Opryland and the AC Hotel.</w:t>
      </w:r>
    </w:p>
    <w:p>
      <w:pPr>
        <w:spacing w:after="0" w:line="121"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Category 10, Block 21, Southern Entertainment, and our other Nashville-based attractions.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185"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our total revenues were divided among these business segments as follows:</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920" w:type="dxa"/>
            <w:vAlign w:val="bottom"/>
            <w:gridSpan w:val="3"/>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80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15 %</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19 %</w:t>
            </w: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0 %</w:t>
            </w: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02"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expenditures:</w:t>
      </w:r>
    </w:p>
    <w:p>
      <w:pPr>
        <w:spacing w:after="0" w:line="143"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 calculated by dividing total rooms sold by total rooms available;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7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pacing w:after="0" w:line="134"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 a volume indicator which represents the total number of definite group bookings for future room nights at our hotels confirmed during the applicable period, net of cancellations.</w:t>
      </w:r>
    </w:p>
    <w:p>
      <w:pPr>
        <w:spacing w:after="0" w:line="121"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We also use certain “non-GAAP financial measures,” which are measures of our historical performance that are not calculated and presented in accordance with generally accepted accounting principles in the United States (“GAAP”), within the meaning of applicable SEC rules. These measures include:</w:t>
      </w:r>
    </w:p>
    <w:p>
      <w:pPr>
        <w:spacing w:after="0" w:line="147" w:lineRule="exact"/>
        <w:rPr>
          <w:sz w:val="20"/>
          <w:szCs w:val="20"/>
          <w:color w:val="auto"/>
        </w:rPr>
      </w:pPr>
    </w:p>
    <w:p>
      <w:pPr>
        <w:ind w:left="720" w:right="179" w:hanging="319"/>
        <w:spacing w:after="0" w:line="284"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and</w:t>
      </w:r>
    </w:p>
    <w:p>
      <w:pPr>
        <w:spacing w:after="0" w:line="119"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stockholders and unit holders and Adjusted FFO available to common stockholders and unit holders.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9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seasonality,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p>
      <w:pPr>
        <w:spacing w:after="0" w:line="202" w:lineRule="exact"/>
        <w:rPr>
          <w:sz w:val="20"/>
          <w:szCs w:val="20"/>
          <w:color w:val="auto"/>
        </w:rPr>
      </w:pPr>
    </w:p>
    <w:p>
      <w:pPr>
        <w:jc w:val="both"/>
        <w:ind w:left="60" w:right="299"/>
        <w:spacing w:after="0" w:line="266" w:lineRule="auto"/>
        <w:rPr>
          <w:sz w:val="20"/>
          <w:szCs w:val="20"/>
          <w:color w:val="auto"/>
        </w:rPr>
      </w:pPr>
      <w:r>
        <w:rPr>
          <w:rFonts w:ascii="Times New Roman" w:cs="Times New Roman" w:eastAsia="Times New Roman" w:hAnsi="Times New Roman"/>
          <w:sz w:val="18"/>
          <w:szCs w:val="18"/>
          <w:color w:val="auto"/>
        </w:rPr>
        <w:t>The following table contains our unaudited selected summary financial data for the three and six months ended June 30, 2025 and 2024. The table also shows the percentage relationships to total revenues and, in the case of segment operating income, its relationship to segment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6"/>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9"/>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gridSpan w:val="2"/>
          </w:tcPr>
          <w:p>
            <w:pPr>
              <w:jc w:val="center"/>
              <w:ind w:left="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gridSpan w:val="2"/>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$ 199,497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390,132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28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color w:val="auto"/>
                <w:w w:val="99"/>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373,130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250,391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259,386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503,654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494,469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hotel revenue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64,920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60,204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120,155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112,958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143,304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94,203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232,854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161,078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659,515</w:t>
            </w:r>
          </w:p>
        </w:tc>
        <w:tc>
          <w:tcPr>
            <w:tcW w:w="1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613,290</w:t>
            </w:r>
          </w:p>
        </w:tc>
        <w:tc>
          <w:tcPr>
            <w:tcW w:w="14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1,246,795</w:t>
            </w:r>
          </w:p>
        </w:tc>
        <w:tc>
          <w:tcPr>
            <w:tcW w:w="1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1,141,635</w:t>
            </w:r>
          </w:p>
        </w:tc>
        <w:tc>
          <w:tcPr>
            <w:tcW w:w="1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31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Rooms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45,062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93,527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89,163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Food and beverage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136,152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132,369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274,291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260,548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hotel expenses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130,588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117,769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254,512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236,582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Hotel management fees, net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21,449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110,376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59,560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180,146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112,147</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Corporate</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on sale of assets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5"/>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Hospitality</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57,397</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111,503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100,783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7,766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and Other</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66,963</w:t>
            </w:r>
          </w:p>
        </w:tc>
        <w:tc>
          <w:tcPr>
            <w:tcW w:w="54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18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58,553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w:t>
            </w:r>
          </w:p>
        </w:tc>
        <w:tc>
          <w:tcPr>
            <w:tcW w:w="18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130,680</w:t>
            </w:r>
          </w:p>
        </w:tc>
        <w:tc>
          <w:tcPr>
            <w:tcW w:w="54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10.5</w:t>
            </w:r>
          </w:p>
        </w:tc>
        <w:tc>
          <w:tcPr>
            <w:tcW w:w="18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115,755</w:t>
            </w:r>
          </w:p>
        </w:tc>
        <w:tc>
          <w:tcPr>
            <w:tcW w:w="52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10.1</w:t>
            </w:r>
          </w:p>
        </w:tc>
        <w:tc>
          <w:tcPr>
            <w:tcW w:w="16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520,090</w:t>
            </w:r>
          </w:p>
        </w:tc>
        <w:tc>
          <w:tcPr>
            <w:tcW w:w="5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78.9</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445,219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72.6</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991,249</w:t>
            </w:r>
          </w:p>
        </w:tc>
        <w:tc>
          <w:tcPr>
            <w:tcW w:w="5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79.5</w:t>
            </w: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877,183</w:t>
            </w:r>
          </w:p>
        </w:tc>
        <w:tc>
          <w:tcPr>
            <w:tcW w:w="5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76.8</w:t>
            </w:r>
          </w:p>
        </w:tc>
        <w:tc>
          <w:tcPr>
            <w:tcW w:w="1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1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Hospitality</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126,920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151,885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243,729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254,070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Entertainment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26,877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(9,636)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(21,994)</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(21,822)</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Preopening costs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on sale of assets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5"/>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0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income</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139,425</w:t>
            </w: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21.1</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168,071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27.4</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255,546</w:t>
            </w: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20.5</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264,452</w:t>
            </w:r>
          </w:p>
        </w:tc>
        <w:tc>
          <w:tcPr>
            <w:tcW w:w="5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23.2</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(58,534)</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(56,577)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(112,817)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(117,020)</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5,583</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7,064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11,042</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14,586</w:t>
            </w: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(2,542)</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Income (loss) from unconsolidated joint ventures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gains and (losses), net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(7,848)</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(12,007)</w:t>
            </w:r>
          </w:p>
        </w:tc>
        <w:tc>
          <w:tcPr>
            <w:tcW w:w="14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(12,730)</w:t>
            </w: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75,875</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104,740</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138,889</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147,501</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060" w:type="dxa"/>
            <w:vAlign w:val="bottom"/>
            <w:gridSpan w:val="2"/>
          </w:tcPr>
          <w:p>
            <w:pPr>
              <w:ind w:left="80"/>
              <w:spacing w:after="0" w:line="126" w:lineRule="exact"/>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14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140" w:type="dxa"/>
            <w:vAlign w:val="bottom"/>
          </w:tcPr>
          <w:p>
            <w:pPr>
              <w:spacing w:after="0"/>
              <w:rPr>
                <w:sz w:val="10"/>
                <w:szCs w:val="10"/>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 Opry Entertainment Group</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 w:type="dxa"/>
            <w:vAlign w:val="bottom"/>
            <w:shd w:val="clear" w:color="auto" w:fill="CCEEFF"/>
          </w:tcPr>
          <w:p>
            <w:pPr>
              <w:spacing w:after="0"/>
              <w:rPr>
                <w:sz w:val="10"/>
                <w:szCs w:val="10"/>
                <w:color w:val="auto"/>
              </w:rPr>
            </w:pPr>
          </w:p>
        </w:tc>
        <w:tc>
          <w:tcPr>
            <w:tcW w:w="306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Net income attributable to other noncontrolling</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4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0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Net income available to common stockholders</w:t>
            </w:r>
          </w:p>
        </w:tc>
        <w:tc>
          <w:tcPr>
            <w:tcW w:w="14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71,753</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$ 100,805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134,714</w:t>
            </w:r>
          </w:p>
        </w:tc>
        <w:tc>
          <w:tcPr>
            <w:tcW w:w="14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143,861</w:t>
            </w:r>
          </w:p>
        </w:tc>
        <w:tc>
          <w:tcPr>
            <w:tcW w:w="140" w:type="dxa"/>
            <w:vAlign w:val="bottom"/>
          </w:tcPr>
          <w:p>
            <w:pPr>
              <w:spacing w:after="0"/>
              <w:rPr>
                <w:sz w:val="12"/>
                <w:szCs w:val="12"/>
                <w:color w:val="auto"/>
              </w:rPr>
            </w:pPr>
          </w:p>
        </w:tc>
        <w:tc>
          <w:tcPr>
            <w:tcW w:w="3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left="4420" w:right="739" w:hanging="4370"/>
        <w:spacing w:after="0" w:line="783"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not been shown as a percentage of revenue because they have no relationship to revenue.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7"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three and six months ended June 30, 2025 and 2024 (in thousands, except percentages and per share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80" w:type="dxa"/>
            <w:vAlign w:val="bottom"/>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2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48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4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480" w:type="dxa"/>
            <w:vAlign w:val="bottom"/>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$ 659,515</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$ 613,290</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$ 1,246,795</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$ 1,141,635</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520,090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445,219</w:t>
            </w:r>
          </w:p>
        </w:tc>
        <w:tc>
          <w:tcPr>
            <w:tcW w:w="16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16.8 %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991,249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877,183</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264,452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75,875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104,740</w:t>
            </w:r>
          </w:p>
        </w:tc>
        <w:tc>
          <w:tcPr>
            <w:tcW w:w="16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138,889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147,501</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common</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100,805</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143,861</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8"/>
        </w:trPr>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available to common</w:t>
            </w: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per share - diluted</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0"/>
                <w:szCs w:val="20"/>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00"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The increase in our total revenues for the three months ended June 30, 2025, as compared to the same period in 2024, is primarily attributable to an increase in our Entertainment segment of $49.1 million, driven primarily by the inclusion of Southern Entertainment in the 2025 period, partially offset by a decrease in our Hospitality segment of $2.9 million, as presented in the tables below. The decrease in Hospitality segment revenue in the three months ended June 30, 2025, as compared to the same period in 2024, was partially offset by $5.3 million in revenue at JW Marriott Desert Ridge. The increase in our total revenues for the six months ended June 30, 2025, as compared to the same period in 2024, is primarily attributable to an increase in our Entertainment segment and Hospitality segment of $71.8 million and $33.4 million, respectively, as presented in the tables below.</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187"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7"/>
          <w:szCs w:val="17"/>
          <w:color w:val="auto"/>
        </w:rPr>
        <w:t>The increase in our total operating expenses for the three months ended June 30, 2025, as compared to the same period in 2024, is primarily the result of an increase in our Entertainment segment of $50.8 million, driven primarily by the inclusion of Southern Entertainment in the 2025 period, an increase in our Hospitality segment of $15.2 million, and an increase of $8.4 million in depreciation and amortization expense, as presented in the tables below. The increase in Hospitality segment operating expenses in the three months ended June 30, 2025, as compared to the same period in 2024, includes $6.0 million in operating expenses at JW Marriott Desert Ridge. The increase in our total operating expenses for the</w:t>
      </w:r>
    </w:p>
    <w:p>
      <w:pPr>
        <w:spacing w:after="0" w:line="5"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six months ended June 30, 2025, as compared to the same period in 2024, is primarily the result of increases in our Entertainment segment and Hospitality segment of $68.0 million and $33.0 million, respectively, and an increase of $14.9 million in depreciation and amortization expense, as presented in the tables below.</w:t>
      </w:r>
    </w:p>
    <w:p>
      <w:pPr>
        <w:spacing w:after="0" w:line="159"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In addition, the increase in total operating expenses for the three and six months ended June 30, 2025, as compared to the same period in 2024, is partially attributable to the prior year periods including a reduction in total operating expenses of $9.1 million related to a refund of Tennessee franchise tax for prior years caused by a change in tax law.</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8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above factors resulted in a decrease of $28.6 million and $8.9 million in operating income for the three and six months ended June 30, 2025, respectively, as compared to the 2024 periods.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00"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$28.9 million decrease in net income for the three months ended June 30, 2025, as compared to the same period in 2024, was primarily due to the changes in our revenues and operating expenses reflected above, impacted by the following factors, each as described more fully below:</w:t>
      </w:r>
    </w:p>
    <w:p>
      <w:pPr>
        <w:spacing w:after="0" w:line="135"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decrease in provision for income taxes in the 2025 period, as compared to the 2024 period.</w:t>
      </w:r>
    </w:p>
    <w:p>
      <w:pPr>
        <w:spacing w:after="0" w:line="184"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increase in interest expense, net, in the 2025 period, as compared to the 2024 period, due to higher outstanding debt balances.</w:t>
      </w:r>
    </w:p>
    <w:p>
      <w:pPr>
        <w:spacing w:after="0" w:line="13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Our $8.6 million decrease in net income for the six months ended June 30, 2025, as compared to the same period in 2024, was primarily due to the changes in our revenues and operating expenses reflected above.</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Factors and Trends Contributing to Performance and Current Environment</w:t>
      </w:r>
    </w:p>
    <w:p>
      <w:pPr>
        <w:spacing w:after="0" w:line="187"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Important factors and trends contributing to our performance during the three months ended June 30, 2025, compared to the three months ended June 30, 2024, were:</w:t>
      </w:r>
    </w:p>
    <w:p>
      <w:pPr>
        <w:spacing w:after="0" w:line="135" w:lineRule="exact"/>
        <w:rPr>
          <w:sz w:val="20"/>
          <w:szCs w:val="20"/>
          <w:color w:val="auto"/>
        </w:rPr>
      </w:pPr>
    </w:p>
    <w:p>
      <w:pPr>
        <w:jc w:val="both"/>
        <w:ind w:left="720" w:right="31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1.6% in total same-store (Hospitality segment excluding JW Marriott Desert Ridge) Hospitality segment revenue in the 2025 period, as compared to the 2024 period, as the Easter holiday shift from March in the previous year to April in the current year negatively impacted group business in the 2025 period.</w:t>
      </w:r>
    </w:p>
    <w:p>
      <w:pPr>
        <w:spacing w:after="0" w:line="135" w:lineRule="exact"/>
        <w:rPr>
          <w:rFonts w:ascii="Times New Roman" w:cs="Times New Roman" w:eastAsia="Times New Roman" w:hAnsi="Times New Roman"/>
          <w:sz w:val="18"/>
          <w:szCs w:val="18"/>
          <w:color w:val="auto"/>
        </w:rPr>
      </w:pPr>
    </w:p>
    <w:p>
      <w:pPr>
        <w:ind w:left="720" w:right="13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2.5% in same-store outside-the-room spending in our Hospitality segment in the 2025 period, as compared to the 2024 period, primarily as a result of a mix shift in the 2025 period towards increased association group room nights.</w:t>
      </w:r>
    </w:p>
    <w:p>
      <w:pPr>
        <w:spacing w:after="0" w:line="135" w:lineRule="exact"/>
        <w:rPr>
          <w:rFonts w:ascii="Times New Roman" w:cs="Times New Roman" w:eastAsia="Times New Roman" w:hAnsi="Times New Roman"/>
          <w:sz w:val="18"/>
          <w:szCs w:val="18"/>
          <w:color w:val="auto"/>
        </w:rPr>
      </w:pPr>
    </w:p>
    <w:p>
      <w:pPr>
        <w:ind w:left="720" w:right="179" w:hanging="319"/>
        <w:spacing w:after="0" w:line="266"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10.7% in total revenue and Total RevPAR at Gaylord Opryland in the 2025 period, as compared to the 2024 period, primarily as a result of the timing of the Easter holiday and the mix shift towards increased association group room nights. These decreases were exacerbated by the ongoing construction at the property.</w:t>
      </w:r>
    </w:p>
    <w:p>
      <w:pPr>
        <w:spacing w:after="0" w:line="148" w:lineRule="exact"/>
        <w:rPr>
          <w:rFonts w:ascii="Times New Roman" w:cs="Times New Roman" w:eastAsia="Times New Roman" w:hAnsi="Times New Roman"/>
          <w:sz w:val="18"/>
          <w:szCs w:val="18"/>
          <w:color w:val="auto"/>
        </w:rPr>
      </w:pPr>
    </w:p>
    <w:p>
      <w:pPr>
        <w:ind w:left="720" w:right="819" w:hanging="319"/>
        <w:spacing w:after="0" w:line="312" w:lineRule="auto"/>
        <w:tabs>
          <w:tab w:leader="none" w:pos="7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 of JW Marriott Desert Ridge, including $5.3 million in revenues; for our ownership period beginning June 10, 2025, the property averaged $228.50 in RevPAR and $268.11 in Total RevPAR.</w:t>
      </w:r>
    </w:p>
    <w:p>
      <w:pPr>
        <w:spacing w:after="0" w:line="99" w:lineRule="exact"/>
        <w:rPr>
          <w:rFonts w:ascii="Times New Roman" w:cs="Times New Roman" w:eastAsia="Times New Roman" w:hAnsi="Times New Roman"/>
          <w:sz w:val="17"/>
          <w:szCs w:val="17"/>
          <w:color w:val="auto"/>
        </w:rPr>
      </w:pPr>
    </w:p>
    <w:p>
      <w:pPr>
        <w:ind w:left="720" w:right="27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of 52.1% and 85.3% in Entertainment revenue and Entertainment operating expenses, respectively, in the 2025 period, as compared to the 2024 period, primarily related to Southern Entertainment, which was negatively impacted by several weather-related events. Entertainment segment results benefited from the operation of Category 10, which opened in November 2024.</w:t>
      </w:r>
    </w:p>
    <w:p>
      <w:pPr>
        <w:spacing w:after="0" w:line="13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Important factors and trends contributing to our performance during the six months ended June 30, 2025, compared to the six months ended June 30, 2024, were:</w:t>
      </w:r>
    </w:p>
    <w:p>
      <w:pPr>
        <w:spacing w:after="0" w:line="135"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same-store ADR of 2.3% in the 2025 period, as compared to the 2024 period.</w:t>
      </w:r>
    </w:p>
    <w:p>
      <w:pPr>
        <w:spacing w:after="0" w:line="184" w:lineRule="exact"/>
        <w:rPr>
          <w:rFonts w:ascii="Times New Roman" w:cs="Times New Roman" w:eastAsia="Times New Roman" w:hAnsi="Times New Roman"/>
          <w:sz w:val="18"/>
          <w:szCs w:val="18"/>
          <w:color w:val="auto"/>
        </w:rPr>
      </w:pPr>
    </w:p>
    <w:p>
      <w:pPr>
        <w:ind w:left="720" w:right="79" w:hanging="319"/>
        <w:spacing w:after="0" w:line="25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2.1% in same-store outside-the-room spending in our Hospitality segment in the 2025 period, as compared to the 2024 period, primarily as a result of increased food and beverage outlet spending at Gaylord Rockies, JW Marriott Hill Country, Gaylord Palms and Gaylord National, which offsets the decrease in banquet and technology spending in the 2025 period due to the mix shift towards increased association group room nights. In addition, the increase in occupancy at Gaylord Palms during the 2025 period has resulted in additional outside-the-room spending for services such as resort fees and self-parking.</w:t>
      </w:r>
    </w:p>
    <w:p>
      <w:pPr>
        <w:spacing w:after="0" w:line="146"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in-the-year-for-the-year cancelled room nights at our hotels increased by approximately thirteen thousand rooms in the 2025 period, as compared to the 2024 period.</w:t>
      </w:r>
    </w:p>
    <w:p>
      <w:pPr>
        <w:spacing w:after="0" w:line="134"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of 44.6% and 60.6% in Entertainment revenue and Entertainment operating expenses, respectively, in the 2025 period, as compared to the 2024 period, primarily related to Southern Entertainment, which was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39"/>
        <w:spacing w:after="0" w:line="266" w:lineRule="auto"/>
        <w:rPr>
          <w:sz w:val="20"/>
          <w:szCs w:val="20"/>
          <w:color w:val="auto"/>
        </w:rPr>
      </w:pPr>
      <w:r>
        <w:rPr>
          <w:rFonts w:ascii="Times New Roman" w:cs="Times New Roman" w:eastAsia="Times New Roman" w:hAnsi="Times New Roman"/>
          <w:sz w:val="18"/>
          <w:szCs w:val="18"/>
          <w:color w:val="auto"/>
        </w:rPr>
        <w:t>negatively impacted by several weather-related events. Entertainment segment results benefited from the operation of Category 10, which opened in November 2024, as well as the W Austin, which faced construction-related disruptions in the prior year period.</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important factors and trends for the three and six months ended, and as of, June 30, 2025 include:</w:t>
      </w:r>
    </w:p>
    <w:p>
      <w:pPr>
        <w:spacing w:after="0" w:line="185" w:lineRule="exact"/>
        <w:rPr>
          <w:sz w:val="20"/>
          <w:szCs w:val="20"/>
          <w:color w:val="auto"/>
        </w:rPr>
      </w:pPr>
    </w:p>
    <w:p>
      <w:pPr>
        <w:ind w:left="720" w:right="7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16.7% and 11.1% in same-store net definite group room nights booked at our hotels in the three and six months ended June 30, 2025, respectively, as compared to the same periods in 2024, as ongoing economic policy uncertainty is weighing on near-term meeting planner decision-making, which has impacted lead volumes for the in-the-year-for-the-year period.</w:t>
      </w:r>
    </w:p>
    <w:p>
      <w:pPr>
        <w:spacing w:after="0" w:line="139" w:lineRule="exact"/>
        <w:rPr>
          <w:rFonts w:ascii="Times New Roman" w:cs="Times New Roman" w:eastAsia="Times New Roman" w:hAnsi="Times New Roman"/>
          <w:sz w:val="18"/>
          <w:szCs w:val="18"/>
          <w:color w:val="auto"/>
        </w:rPr>
      </w:pPr>
    </w:p>
    <w:p>
      <w:pPr>
        <w:jc w:val="both"/>
        <w:ind w:left="720" w:right="41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group room nights on the books for all future years at our hotels at June 30, 2025 are 3.1% higher than the number on the books at the same point in 2024. In addition, the estimated ADR on those group room nights on the books at June 30, 2025 is 5.3% higher than the same point in 2024.</w:t>
      </w:r>
    </w:p>
    <w:p>
      <w:pPr>
        <w:spacing w:after="0" w:line="148"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for the three and six months ended June 30, 2024 were reduced by a $9.1 million refund of Tennessee franchise tax for prior years caused by a change in tax law, which did not recur in 2025. This reduction was comprised of $5.6 million, $3.4 million and $0.1 million in our Hospitality segment, Entertainment segment and Corporate and Other segment, respectively.</w:t>
      </w:r>
    </w:p>
    <w:p>
      <w:pPr>
        <w:spacing w:after="0" w:line="139" w:lineRule="exact"/>
        <w:rPr>
          <w:rFonts w:ascii="Times New Roman" w:cs="Times New Roman" w:eastAsia="Times New Roman" w:hAnsi="Times New Roman"/>
          <w:sz w:val="18"/>
          <w:szCs w:val="18"/>
          <w:color w:val="auto"/>
        </w:rPr>
      </w:pPr>
    </w:p>
    <w:p>
      <w:pPr>
        <w:jc w:val="both"/>
        <w:ind w:left="720" w:right="15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Nashville visitation and tourism trends remain robust, new hotel supply has impacted transient occupancy levels and, more recently, room rates. We expect this incremental transient rate risk to continue for the remainder of 2025.</w:t>
      </w:r>
    </w:p>
    <w:p>
      <w:pPr>
        <w:spacing w:after="0" w:line="135" w:lineRule="exact"/>
        <w:rPr>
          <w:rFonts w:ascii="Times New Roman" w:cs="Times New Roman" w:eastAsia="Times New Roman" w:hAnsi="Times New Roman"/>
          <w:sz w:val="18"/>
          <w:szCs w:val="18"/>
          <w:color w:val="auto"/>
        </w:rPr>
      </w:pPr>
    </w:p>
    <w:p>
      <w:pPr>
        <w:ind w:left="720" w:right="9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strong revenues in recent periods have partially mitigated increasing operating costs in the current inflationary environment. In addition, while in recent years we have experienced higher interest rates than in historical periods, interest rates on our debt have decreased in the three and six months ended June 30, 2025, as compared to the same periods in 2024. The current inflationary environment is expected to continue in at least the near future.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Hospitality Segment</w:t>
      </w:r>
    </w:p>
    <w:p>
      <w:pPr>
        <w:spacing w:after="0" w:line="187" w:lineRule="exact"/>
        <w:rPr>
          <w:sz w:val="20"/>
          <w:szCs w:val="20"/>
          <w:color w:val="auto"/>
        </w:rPr>
      </w:pPr>
    </w:p>
    <w:p>
      <w:pPr>
        <w:ind w:left="60" w:right="1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three and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and 2024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10"/>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199,497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390,132</w:t>
            </w:r>
          </w:p>
        </w:tc>
        <w:tc>
          <w:tcPr>
            <w:tcW w:w="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373,130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250,391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259,386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503,654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494,469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64,920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60,204</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26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120,155</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112,958</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3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516,211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519,087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1,013,941</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980,557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3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47,238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45,062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93,527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89,163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136,152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132,369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274,291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260,548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 (1)</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130,588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117,769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254,512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236,582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21,449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36,379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39,411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4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57,397</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50,553</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111,503</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100,783</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389,291</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367,202</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26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770,212</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726,487</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3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w:t>
            </w: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126,920</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151,885</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4"/>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(16.4)%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243,729</w:t>
            </w:r>
          </w:p>
        </w:tc>
        <w:tc>
          <w:tcPr>
            <w:tcW w:w="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254,070</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3"/>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3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w:t>
            </w: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2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(0.4)pts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2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260.76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261.53</w:t>
            </w:r>
          </w:p>
        </w:tc>
        <w:tc>
          <w:tcPr>
            <w:tcW w:w="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(2)</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187.03</w:t>
            </w:r>
          </w:p>
        </w:tc>
        <w:tc>
          <w:tcPr>
            <w:tcW w:w="3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(3)</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487.62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499.76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486.10</w:t>
            </w:r>
          </w:p>
        </w:tc>
        <w:tc>
          <w:tcPr>
            <w:tcW w:w="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472.02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552,682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648,434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757,876</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838,017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Same-store Hospitality performance metrics (4):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2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pts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2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260.76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261.71</w:t>
            </w:r>
          </w:p>
        </w:tc>
        <w:tc>
          <w:tcPr>
            <w:tcW w:w="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(2)</w:t>
            </w:r>
          </w:p>
        </w:tc>
        <w:tc>
          <w:tcPr>
            <w:tcW w:w="5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191.70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187.97</w:t>
            </w:r>
          </w:p>
        </w:tc>
        <w:tc>
          <w:tcPr>
            <w:tcW w:w="3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(3)</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491.84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499.76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488.20</w:t>
            </w:r>
          </w:p>
        </w:tc>
        <w:tc>
          <w:tcPr>
            <w:tcW w:w="3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472.02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539,860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648,434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745,054</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838,017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439" w:hanging="330"/>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hotel expenses for the 2024 periods were reduced by a refund of $5.6 million of Tennessee franchise tax for prior years caused by a change in tax law.</w:t>
      </w:r>
    </w:p>
    <w:p>
      <w:pPr>
        <w:spacing w:after="0" w:line="134" w:lineRule="exact"/>
        <w:rPr>
          <w:rFonts w:ascii="Times New Roman" w:cs="Times New Roman" w:eastAsia="Times New Roman" w:hAnsi="Times New Roman"/>
          <w:sz w:val="18"/>
          <w:szCs w:val="18"/>
          <w:color w:val="auto"/>
        </w:rPr>
      </w:pPr>
    </w:p>
    <w:p>
      <w:pPr>
        <w:ind w:left="380" w:right="239" w:hanging="330"/>
        <w:spacing w:after="0" w:line="26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RevPAR by dividing room revenue by room nights available to guests for the period. Room nights available to guests include nights that rooms are out of service. Hospitality RevPAR is not comparable to similarly titled measures such as revenues.</w:t>
      </w:r>
    </w:p>
    <w:p>
      <w:pPr>
        <w:spacing w:after="0" w:line="135" w:lineRule="exact"/>
        <w:rPr>
          <w:rFonts w:ascii="Times New Roman" w:cs="Times New Roman" w:eastAsia="Times New Roman" w:hAnsi="Times New Roman"/>
          <w:sz w:val="18"/>
          <w:szCs w:val="18"/>
          <w:color w:val="auto"/>
        </w:rPr>
      </w:pPr>
    </w:p>
    <w:p>
      <w:pPr>
        <w:ind w:left="380" w:right="219" w:hanging="330"/>
        <w:spacing w:after="0" w:line="261"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Total RevPAR by dividing the sum of room, food and beverage, and other ancillary services revenue (which equals Hospitality segment revenue) by room nights available to guests for the period. Room nights available to guests include nights that rooms are out of service. Hospitality Total RevPAR is not comparable to similarly titled measures such as revenues.</w:t>
      </w:r>
    </w:p>
    <w:p>
      <w:pPr>
        <w:spacing w:after="0" w:line="139" w:lineRule="exact"/>
        <w:rPr>
          <w:rFonts w:ascii="Times New Roman" w:cs="Times New Roman" w:eastAsia="Times New Roman" w:hAnsi="Times New Roman"/>
          <w:sz w:val="18"/>
          <w:szCs w:val="18"/>
          <w:color w:val="auto"/>
        </w:rPr>
      </w:pPr>
    </w:p>
    <w:p>
      <w:pPr>
        <w:ind w:left="380" w:right="359" w:hanging="330"/>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Hospitality segment metrics do not include JW Marriott Desert Ridge, which we purchased on June 10, 2025.</w:t>
      </w:r>
    </w:p>
    <w:p>
      <w:pPr>
        <w:spacing w:after="0" w:line="135"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Total Hospitality segment revenues in the three and six months ended June 30, 2025 include $9.5 million and $16.2 million, respectively, in attrition and cancellation fee revenue, a decrease of $0.3 million and $2.1 million, respectively, in attrition and cancellation fee collections from the 2024 periods.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periods presented was approximately as follows: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780" w:type="dxa"/>
            <w:vAlign w:val="bottom"/>
            <w:gridSpan w:val="5"/>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940" w:type="dxa"/>
            <w:vAlign w:val="bottom"/>
            <w:gridSpan w:val="3"/>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4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0"/>
                <w:szCs w:val="20"/>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21 %</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21 %</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21 %</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hotel expenses for the three and six months ended June 30, 2025 and 2024 consist of the following (in thousands):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0"/>
                <w:szCs w:val="10"/>
                <w:color w:val="auto"/>
              </w:rPr>
            </w:pPr>
          </w:p>
        </w:tc>
        <w:tc>
          <w:tcPr>
            <w:tcW w:w="50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480" w:type="dxa"/>
            <w:vAlign w:val="bottom"/>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95,120</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120" w:type="dxa"/>
            <w:vAlign w:val="bottom"/>
          </w:tcPr>
          <w:p>
            <w:pPr>
              <w:spacing w:after="0"/>
              <w:rPr>
                <w:sz w:val="18"/>
                <w:szCs w:val="18"/>
                <w:color w:val="auto"/>
              </w:rPr>
            </w:pPr>
          </w:p>
        </w:tc>
        <w:tc>
          <w:tcPr>
            <w:tcW w:w="9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22,473</w:t>
            </w:r>
          </w:p>
        </w:tc>
        <w:tc>
          <w:tcPr>
            <w:tcW w:w="1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96,625</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117,769</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254,512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236,582</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Administrative employment costs include salaries and benefits for hotel administrative functions, including, among others, senior management, accounting, human resources, sales, conference services, engineering and security. Administrative employment costs and utility costs increased in the three and six months ended June 30, 2025, as compared to the same periods in 2024, primarily due to JW Marriott Desert Ridge. The increase in property taxes during the three and six months ended June 30, 2025, as compared to the 2024 periods, was primarily due to slight increases at several Hospitality segment properties due to recent reappraisals. The increase in other expenses, which include supplies, advertising, maintenance costs and consulting costs, during the three and six months ended June 30, 2025, as compared to the same periods in 2024, was primarily due to the 2024 periods including a refund of $5.6 million of Tennessee franchise tax for prior years caused by a change in tax law, which reduced other expenses in the 2024 periods, as well as slight increases of various miscellaneous expenses across the Hospitality segment.</w:t>
      </w:r>
    </w:p>
    <w:p>
      <w:pPr>
        <w:spacing w:after="0" w:line="15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requires us to pay Marriott a base management fee based on the gross revenues from the applicable property for each fiscal year or portion thereof. The applicable percentage for our Gaylord Hotels properties, excluding Gaylord Rockies, is approximately 2% of gross revenues, Gaylord Rockies is approximately 3% of gross revenues, JW Marriott Hill Country is approximately 3.5% of gross revenues, and JW Marriott Desert Ridge is approximately 3% of gross revenues. Additionally, we pay Marriott an incentive management fee based on the profitability of our hotels. In each of the three months ended June 30, 2025 and 2024, we incurred $12.3 million and in the six months ended June 30, 2025 and 2024, we incurred $23.9 million and $23.0 million, respectively, related to base management fees for our Hospitality segment. In the three months ended June 30, 2025 and 2024, we incurred $6.4 million and $10.0 million, respectively, and in the six months ended June 30, 2025 and 2024, we incurred $14.0 million and $17.9 million, respectively, related to incentive management fees for our Hospitality segment. Management fees are presented throughout this Quarterly Report on Form 10-Q net of the amortization of the deferred management rights proceeds discussed in Note 9, “Deferred Management Rights Proceeds,” to the accompanying condensed consolidated financial statements included herein.</w:t>
      </w:r>
    </w:p>
    <w:p>
      <w:pPr>
        <w:spacing w:after="0" w:line="160"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Total Hospitality segment depreciation and amortization expense increased in the three and six months ended June 30, 2025, as compared to the same period in 2024, primarily due to an increase at Gaylord Palms associated with the addition of depreciable assets associated with the property’s rooms and lobby renovation, as well as the increase in depreciable assets associated with JW Marriott Desert Ridge.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June 30, 2025 and 2024.</w:t>
      </w:r>
    </w:p>
    <w:p>
      <w:pPr>
        <w:spacing w:after="0" w:line="158"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three and six months ended June 30, 2025 and 2024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46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48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48,669</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51,733</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92,984</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93,678</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60,833</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103,267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106,759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16,327</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17,786</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30,392</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33,750</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116,465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130,352</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226,643</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234,187</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10,556</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20,551</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28,981</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54,889</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55,124</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 (1)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25,093</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20.9 %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10,286</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12,071</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8,199</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16,635</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81,321</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79,710</w:t>
            </w: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161,401</w:t>
            </w: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158,720</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35,144</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50,642</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65,242</w:t>
            </w:r>
          </w:p>
        </w:tc>
        <w:tc>
          <w:tcPr>
            <w:tcW w:w="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75,467</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75.2 %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75.4 %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(0.2)pts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70.1 %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70.2 %</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(0.1)pts</w:t>
            </w:r>
          </w:p>
        </w:tc>
        <w:tc>
          <w:tcPr>
            <w:tcW w:w="0" w:type="dxa"/>
            <w:vAlign w:val="bottom"/>
          </w:tcPr>
          <w:p>
            <w:pPr>
              <w:spacing w:after="0"/>
              <w:rPr>
                <w:sz w:val="1"/>
                <w:szCs w:val="1"/>
                <w:color w:val="auto"/>
              </w:rPr>
            </w:pPr>
          </w:p>
        </w:tc>
      </w:tr>
      <w:tr>
        <w:trPr>
          <w:trHeight w:val="203"/>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246.17</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260.98</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253.72</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253.71</w:t>
            </w:r>
          </w:p>
        </w:tc>
        <w:tc>
          <w:tcPr>
            <w:tcW w:w="2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185.19</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196.85</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177.88</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443.16</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496.00</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433.58</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445.55</w:t>
            </w: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0" w:lineRule="exact"/>
        <w:rPr>
          <w:sz w:val="20"/>
          <w:szCs w:val="20"/>
          <w:color w:val="auto"/>
        </w:rPr>
      </w:pPr>
    </w:p>
    <w:p>
      <w:pPr>
        <w:ind w:left="720" w:right="9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hotel expenses for the 2024 periods were reduced by a refund of $5.4 million of Tennessee franchise tax for prior years caused by a change in tax law.</w:t>
      </w:r>
    </w:p>
    <w:p>
      <w:pPr>
        <w:spacing w:after="0" w:line="160" w:lineRule="exact"/>
        <w:rPr>
          <w:sz w:val="20"/>
          <w:szCs w:val="20"/>
          <w:color w:val="auto"/>
        </w:rPr>
      </w:pPr>
    </w:p>
    <w:p>
      <w:pPr>
        <w:ind w:left="60" w:right="3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The results of Gaylord Palms for the three and six months ended June 30, 2025 and 2024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42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7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$ 30,017</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$ 23,016</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30.4 %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62,440</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54,266</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15.1 %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37,091</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82,541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9,878</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8,692</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13.6 %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17,455</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18.1 %</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73,113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68,799</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161,506</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154,262</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14.6 %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19,431</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19,613</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6,123</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5,889</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46.2 %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43.0 %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59,442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55,320</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7.5 %</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124,053</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115,777</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$ 13,671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$ 13,479</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37,453</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38,485</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78.9 %</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62.5 %</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 pts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77.4 %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68.5 %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 pts</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$ 243.35</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$ 235.54</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3.3 %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259.34</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253.19</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$ 192.00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$ 147.22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30.4 %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200.80</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15.7 %</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$ 467.66</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$ 440.07</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6.3 %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519.38</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493.36</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three and six months ended June 30, 2025 and 2024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42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7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$ 30,095</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$ 32,880</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60,755</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42,364</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89,660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89,908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9,176</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8,653</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6.0 %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17,033</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8.4 %</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82,494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83,897</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168,871</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168,799</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12,931</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22,003</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21,967</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46,066</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19,169</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37,843</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7.2 %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57,492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57,583</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116,174</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116,453</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$ 25,002</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$ 26,314</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52,697</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52,346</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72.0 %</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78.8 %</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(6.8)pts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72.5 %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76.0 %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(3.5)pts</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$ 253.06</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$ 252.61</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0.2 %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255.16</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246.43</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$ 182.32</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$ 199.18</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185.04</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$ 499.74</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$ 508.24</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514.33</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511.28</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three and six months ended June 30, 2025 and 2024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follows (in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42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7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520" w:type="dxa"/>
            <w:vAlign w:val="bottom"/>
            <w:gridSpan w:val="2"/>
          </w:tcPr>
          <w:p>
            <w:pPr>
              <w:jc w:val="right"/>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48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$ 32,487</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$ 33,947</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64,882</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47,444</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85,761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82,392</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7,288</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6,978</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4.4 %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12,663</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8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83,413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88,369</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164,242</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156,643</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6.5 %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25,373</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24,016</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46,158</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21,107</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21,346</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44,414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8,489</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8,405</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16,806</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67,595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66,048</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138,950</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129,099</w:t>
            </w:r>
          </w:p>
        </w:tc>
        <w:tc>
          <w:tcPr>
            <w:tcW w:w="2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7.6 %</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$ 15,818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$ 22,321</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25,292</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27,544</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67.8 %</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70.8 %</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(3.0)pts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70.1 %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67.6 %</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 pts</w:t>
            </w:r>
          </w:p>
        </w:tc>
        <w:tc>
          <w:tcPr>
            <w:tcW w:w="0" w:type="dxa"/>
            <w:vAlign w:val="bottom"/>
          </w:tcPr>
          <w:p>
            <w:pPr>
              <w:spacing w:after="0"/>
              <w:rPr>
                <w:sz w:val="1"/>
                <w:szCs w:val="1"/>
                <w:color w:val="auto"/>
              </w:rPr>
            </w:pPr>
          </w:p>
        </w:tc>
      </w:tr>
      <w:tr>
        <w:trPr>
          <w:trHeight w:val="203"/>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$ 263.97</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$ 263.88</w:t>
            </w:r>
          </w:p>
        </w:tc>
        <w:tc>
          <w:tcPr>
            <w:tcW w:w="16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0.0 %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256.29</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250.67</w:t>
            </w:r>
          </w:p>
        </w:tc>
        <w:tc>
          <w:tcPr>
            <w:tcW w:w="2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$ 178.85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$ 186.90</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179.59</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169.54</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10"/>
        </w:trPr>
        <w:tc>
          <w:tcPr>
            <w:tcW w:w="2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$ 459.23</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$ 486.52</w:t>
            </w:r>
          </w:p>
        </w:tc>
        <w:tc>
          <w:tcPr>
            <w:tcW w:w="16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454.62</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431.20</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i w:val="1"/>
          <w:iCs w:val="1"/>
          <w:color w:val="auto"/>
        </w:rPr>
        <w:t>Gaylord Rockies Results</w:t>
      </w:r>
      <w:r>
        <w:rPr>
          <w:rFonts w:ascii="Times New Roman" w:cs="Times New Roman" w:eastAsia="Times New Roman" w:hAnsi="Times New Roman"/>
          <w:sz w:val="18"/>
          <w:szCs w:val="18"/>
          <w:color w:val="auto"/>
        </w:rPr>
        <w:t>. The results of Gaylord Rockies for the three and six months ended June 30, 2025 and 2024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480" w:type="dxa"/>
            <w:vAlign w:val="bottom"/>
            <w:gridSpan w:val="8"/>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60" w:type="dxa"/>
            <w:vAlign w:val="bottom"/>
          </w:tcPr>
          <w:p>
            <w:pPr>
              <w:spacing w:after="0"/>
              <w:rPr>
                <w:sz w:val="15"/>
                <w:szCs w:val="15"/>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$ 28,496</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$ 28,035</w:t>
            </w: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53,579</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49,383</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45,374</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84,998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77,705</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7,852</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6,910</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13.6 %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13,570</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81,722</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76,836</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6.4 %</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152,670</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140,658</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11,377</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24,447</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22,559</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42,534</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12.4 %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11,769</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12.2 %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21,138</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14,897</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14,138</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27,979</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59,924</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55,400</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116,049</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107,225</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$ 21,798</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$ 21,436</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36,621</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33,433</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80.3 %</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80.4 %</w:t>
            </w:r>
          </w:p>
        </w:tc>
        <w:tc>
          <w:tcPr>
            <w:tcW w:w="8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(0.1)pts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76.3 %</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72.4 %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 pts</w:t>
            </w:r>
          </w:p>
        </w:tc>
        <w:tc>
          <w:tcPr>
            <w:tcW w:w="0" w:type="dxa"/>
            <w:vAlign w:val="bottom"/>
          </w:tcPr>
          <w:p>
            <w:pPr>
              <w:spacing w:after="0"/>
              <w:rPr>
                <w:sz w:val="1"/>
                <w:szCs w:val="1"/>
                <w:color w:val="auto"/>
              </w:rPr>
            </w:pPr>
          </w:p>
        </w:tc>
      </w:tr>
      <w:tr>
        <w:trPr>
          <w:trHeight w:val="203"/>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$ 259.78</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$ 255.44</w:t>
            </w: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258.52</w:t>
            </w:r>
          </w:p>
        </w:tc>
        <w:tc>
          <w:tcPr>
            <w:tcW w:w="1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249.55</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$ 208.62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$ 205.25</w:t>
            </w:r>
          </w:p>
        </w:tc>
        <w:tc>
          <w:tcPr>
            <w:tcW w:w="2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197.21</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10"/>
        </w:trPr>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$ 598.29</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$ 562.53</w:t>
            </w:r>
          </w:p>
        </w:tc>
        <w:tc>
          <w:tcPr>
            <w:tcW w:w="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561.94</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514.89</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 w:right="399"/>
        <w:spacing w:after="0" w:line="284" w:lineRule="auto"/>
        <w:rPr>
          <w:sz w:val="20"/>
          <w:szCs w:val="20"/>
          <w:color w:val="auto"/>
        </w:rPr>
      </w:pPr>
      <w:r>
        <w:rPr>
          <w:rFonts w:ascii="Times New Roman" w:cs="Times New Roman" w:eastAsia="Times New Roman" w:hAnsi="Times New Roman"/>
          <w:sz w:val="18"/>
          <w:szCs w:val="18"/>
          <w:i w:val="1"/>
          <w:iCs w:val="1"/>
          <w:color w:val="auto"/>
        </w:rPr>
        <w:t>JW Marriott Hill Country Results</w:t>
      </w:r>
      <w:r>
        <w:rPr>
          <w:rFonts w:ascii="Times New Roman" w:cs="Times New Roman" w:eastAsia="Times New Roman" w:hAnsi="Times New Roman"/>
          <w:sz w:val="18"/>
          <w:szCs w:val="18"/>
          <w:color w:val="auto"/>
        </w:rPr>
        <w:t>. The results of JW Marriott Hill Country for the three and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2024 are as follows (in thousands, except percentages and performance metrics):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500" w:type="dxa"/>
            <w:vAlign w:val="bottom"/>
            <w:gridSpan w:val="8"/>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40" w:type="dxa"/>
            <w:vAlign w:val="bottom"/>
          </w:tcPr>
          <w:p>
            <w:pPr>
              <w:spacing w:after="0"/>
              <w:rPr>
                <w:sz w:val="15"/>
                <w:szCs w:val="15"/>
                <w:color w:val="auto"/>
              </w:rPr>
            </w:pPr>
          </w:p>
        </w:tc>
        <w:tc>
          <w:tcPr>
            <w:tcW w:w="6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6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0" w:type="dxa"/>
            <w:vAlign w:val="bottom"/>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$ 23,644</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$ 23,364</w:t>
            </w: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43,338</w:t>
            </w:r>
          </w:p>
        </w:tc>
        <w:tc>
          <w:tcPr>
            <w:tcW w:w="1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41,454</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53,208</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10,936</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13.7 %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18,129</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14.1 %</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66,573</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62,850</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5.9 %</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121,849</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112,791</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7,707</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15,118</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14,296</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26,497</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36,158</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34,274</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22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4,873</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7,919</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7,471</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6.0 %</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14,868</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49,323</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47,412</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93,750</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88,219</w:t>
            </w: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6.3 %</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$ 17,250</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$ 15,438</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28,099</w:t>
            </w: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24,572</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14.4 %</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75.6 %</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79.0 %</w:t>
            </w:r>
          </w:p>
        </w:tc>
        <w:tc>
          <w:tcPr>
            <w:tcW w:w="80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(3.4)pts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71.8 %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71.3 %</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 pts</w:t>
            </w:r>
          </w:p>
        </w:tc>
        <w:tc>
          <w:tcPr>
            <w:tcW w:w="0" w:type="dxa"/>
            <w:vAlign w:val="bottom"/>
          </w:tcPr>
          <w:p>
            <w:pPr>
              <w:spacing w:after="0"/>
              <w:rPr>
                <w:sz w:val="1"/>
                <w:szCs w:val="1"/>
                <w:color w:val="auto"/>
              </w:rPr>
            </w:pPr>
          </w:p>
        </w:tc>
      </w:tr>
      <w:tr>
        <w:trPr>
          <w:trHeight w:val="203"/>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$ 342.79</w:t>
            </w: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$ 324.18</w:t>
            </w: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332.79</w:t>
            </w:r>
          </w:p>
        </w:tc>
        <w:tc>
          <w:tcPr>
            <w:tcW w:w="1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318.83</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$ 259.31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$ 256.23</w:t>
            </w:r>
          </w:p>
        </w:tc>
        <w:tc>
          <w:tcPr>
            <w:tcW w:w="2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238.96</w:t>
            </w: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227.31</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10"/>
        </w:trPr>
        <w:tc>
          <w:tcPr>
            <w:tcW w:w="3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$ 730.11</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$ 689.28</w:t>
            </w:r>
          </w:p>
        </w:tc>
        <w:tc>
          <w:tcPr>
            <w:tcW w:w="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5.9 %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671.85</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618.50</w:t>
            </w: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19"/>
        <w:spacing w:after="0" w:line="315" w:lineRule="auto"/>
        <w:rPr>
          <w:sz w:val="20"/>
          <w:szCs w:val="20"/>
          <w:color w:val="auto"/>
        </w:rPr>
      </w:pPr>
      <w:r>
        <w:rPr>
          <w:rFonts w:ascii="Times New Roman" w:cs="Times New Roman" w:eastAsia="Times New Roman" w:hAnsi="Times New Roman"/>
          <w:sz w:val="17"/>
          <w:szCs w:val="17"/>
          <w:i w:val="1"/>
          <w:iCs w:val="1"/>
          <w:color w:val="auto"/>
        </w:rPr>
        <w:t>JW Marriott Desert Ridge Results</w:t>
      </w:r>
      <w:r>
        <w:rPr>
          <w:rFonts w:ascii="Times New Roman" w:cs="Times New Roman" w:eastAsia="Times New Roman" w:hAnsi="Times New Roman"/>
          <w:sz w:val="17"/>
          <w:szCs w:val="17"/>
          <w:color w:val="auto"/>
        </w:rPr>
        <w:t>. We purchased JW Marriott Desert Ridge on June 10, 2025. The results of JW Marriott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Desert Ridge for the period ended June 30, 2025 is as follows (in thousands, except percentages and performance metrics):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0" w:type="dxa"/>
            <w:vAlign w:val="bottom"/>
          </w:tcPr>
          <w:p>
            <w:pPr>
              <w:spacing w:after="0"/>
              <w:rPr>
                <w:sz w:val="1"/>
                <w:szCs w:val="1"/>
                <w:color w:val="auto"/>
              </w:rPr>
            </w:pPr>
          </w:p>
        </w:tc>
      </w:tr>
      <w:tr>
        <w:trPr>
          <w:trHeight w:val="173"/>
        </w:trPr>
        <w:tc>
          <w:tcPr>
            <w:tcW w:w="7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19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7,932</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39.3 %</w:t>
            </w:r>
          </w:p>
        </w:tc>
        <w:tc>
          <w:tcPr>
            <w:tcW w:w="0" w:type="dxa"/>
            <w:vAlign w:val="bottom"/>
          </w:tcPr>
          <w:p>
            <w:pPr>
              <w:spacing w:after="0"/>
              <w:rPr>
                <w:sz w:val="1"/>
                <w:szCs w:val="1"/>
                <w:color w:val="auto"/>
              </w:rPr>
            </w:pPr>
          </w:p>
        </w:tc>
      </w:tr>
      <w:tr>
        <w:trPr>
          <w:trHeight w:val="20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89.76</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Entertainment Segment</w:t>
      </w:r>
    </w:p>
    <w:p>
      <w:pPr>
        <w:spacing w:after="0" w:line="187" w:lineRule="exact"/>
        <w:rPr>
          <w:sz w:val="20"/>
          <w:szCs w:val="20"/>
          <w:color w:val="auto"/>
        </w:rPr>
      </w:pPr>
    </w:p>
    <w:p>
      <w:pPr>
        <w:ind w:left="60" w:right="5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Entertainment segment for the three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and 2024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5"/>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480" w:type="dxa"/>
            <w:vAlign w:val="bottom"/>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gridSpan w:val="2"/>
          </w:tcPr>
          <w:p>
            <w:pPr>
              <w:jc w:val="right"/>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94,203</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161,078</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(1)</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(59,560)</w:t>
            </w:r>
          </w:p>
        </w:tc>
        <w:tc>
          <w:tcPr>
            <w:tcW w:w="160" w:type="dxa"/>
            <w:vAlign w:val="bottom"/>
          </w:tcPr>
          <w:p>
            <w:pPr>
              <w:spacing w:after="0"/>
              <w:rPr>
                <w:sz w:val="18"/>
                <w:szCs w:val="18"/>
                <w:color w:val="auto"/>
              </w:rPr>
            </w:pP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85.3 %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(112,147)</w:t>
            </w:r>
          </w:p>
        </w:tc>
        <w:tc>
          <w:tcPr>
            <w:tcW w:w="9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9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960" w:type="dxa"/>
            <w:vAlign w:val="bottom"/>
            <w:tcBorders>
              <w:bottom w:val="single" w:sz="8" w:color="CCEEFF"/>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25,822</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31,934</w:t>
            </w:r>
          </w:p>
        </w:tc>
        <w:tc>
          <w:tcPr>
            <w:tcW w:w="9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720" w:right="1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for the 2024 periods were reduced by a refund of $3.4 million of Tennessee franchise tax for prior years caused by a change in tax law.</w:t>
      </w:r>
    </w:p>
    <w:p>
      <w:pPr>
        <w:spacing w:after="0" w:line="162" w:lineRule="exact"/>
        <w:rPr>
          <w:sz w:val="20"/>
          <w:szCs w:val="20"/>
          <w:color w:val="auto"/>
        </w:rPr>
      </w:pPr>
    </w:p>
    <w:p>
      <w:pPr>
        <w:ind w:left="60" w:right="199"/>
        <w:spacing w:after="0" w:line="289" w:lineRule="auto"/>
        <w:rPr>
          <w:sz w:val="20"/>
          <w:szCs w:val="20"/>
          <w:color w:val="auto"/>
        </w:rPr>
      </w:pPr>
      <w:r>
        <w:rPr>
          <w:rFonts w:ascii="Times New Roman" w:cs="Times New Roman" w:eastAsia="Times New Roman" w:hAnsi="Times New Roman"/>
          <w:sz w:val="17"/>
          <w:szCs w:val="17"/>
          <w:color w:val="auto"/>
        </w:rPr>
        <w:t>Revenues increased in our Entertainment segment in the three and six months ended June 30, 2025, as compared to the prior year periods, primarily related to Southern Entertainment, which we purchased in January 2025, Category 10, which opened in November 2024, and the W Austin, which faced construction-related disruptions in the prior year periods.</w:t>
      </w:r>
    </w:p>
    <w:p>
      <w:pPr>
        <w:spacing w:after="0" w:line="131"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Entertainment segment operating expenses increased in the 2025 periods, as compared to the 2024 periods, primarily related to Southern Entertainment and the operations of Category 10, as well as a refund of Tennessee franchise tax for prior years caused by a change in tax law, which reduced operating expenses in the 2024 periods.</w:t>
      </w:r>
    </w:p>
    <w:p>
      <w:pPr>
        <w:spacing w:after="0" w:line="135"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in the 2025 periods, as compared to the 2024 periods, primarily associated with the increase in depreciable assets associated with Category 10 and Southern Entertainment, as well as increased depreciation and amortization related to Block 21 attributable to construction enhancements completed at the property in 2024 and the first half of 2025.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200"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Corporate and Other segment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2025 and 2024 (in thousands, except percentages):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7"/>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00" w:type="dxa"/>
            <w:vAlign w:val="bottom"/>
            <w:gridSpan w:val="6"/>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gridSpan w:val="2"/>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520" w:type="dxa"/>
            <w:vAlign w:val="bottom"/>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21,356</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(9,636)</w:t>
            </w:r>
          </w:p>
        </w:tc>
        <w:tc>
          <w:tcPr>
            <w:tcW w:w="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(21,994)</w:t>
            </w:r>
          </w:p>
        </w:tc>
        <w:tc>
          <w:tcPr>
            <w:tcW w:w="1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(21,552)</w:t>
            </w:r>
          </w:p>
        </w:tc>
        <w:tc>
          <w:tcPr>
            <w:tcW w:w="140" w:type="dxa"/>
            <w:vAlign w:val="bottom"/>
          </w:tcPr>
          <w:p>
            <w:pPr>
              <w:spacing w:after="0"/>
              <w:rPr>
                <w:sz w:val="18"/>
                <w:szCs w:val="18"/>
                <w:color w:val="auto"/>
              </w:rPr>
            </w:pPr>
          </w:p>
        </w:tc>
        <w:tc>
          <w:tcPr>
            <w:tcW w:w="8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increased in the three and six months ended June 30, 2025, as compared to the prior year periods, primarily as a result of increased employment expenses.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20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Preopening costs during the six months ended June 30, 2024 primarily include costs associated with Category 10, which opened in November 2024.</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Gain on Sale of Assets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Gain on sale of assets during the six months ended June 30, 2024 includes the sale of miscellaneous corporate assets.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w:t>
      </w:r>
    </w:p>
    <w:p>
      <w:pPr>
        <w:spacing w:after="0" w:line="189"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for the three and six months ended June 30, 2025 and 2024 (in thousands, except percentages):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0" w:type="dxa"/>
            <w:vAlign w:val="bottom"/>
            <w:gridSpan w:val="4"/>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76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vMerge w:val="restart"/>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0"/>
                <w:szCs w:val="10"/>
                <w:color w:val="auto"/>
              </w:rPr>
            </w:pPr>
          </w:p>
        </w:tc>
        <w:tc>
          <w:tcPr>
            <w:tcW w:w="72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84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vMerge w:val="restart"/>
          </w:tcPr>
          <w:p>
            <w:pPr>
              <w:spacing w:after="0"/>
              <w:rPr>
                <w:sz w:val="10"/>
                <w:szCs w:val="10"/>
                <w:color w:val="auto"/>
              </w:rPr>
            </w:pPr>
          </w:p>
        </w:tc>
        <w:tc>
          <w:tcPr>
            <w:tcW w:w="84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58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(58,534)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(56,577)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(112,817)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(117,020)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6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(loss) from unconsolidated joint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ventures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20"/>
                <w:szCs w:val="20"/>
                <w:color w:val="auto"/>
              </w:rPr>
            </w:pP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160" w:type="dxa"/>
            <w:vAlign w:val="bottom"/>
          </w:tcPr>
          <w:p>
            <w:pPr>
              <w:spacing w:after="0"/>
              <w:rPr>
                <w:sz w:val="20"/>
                <w:szCs w:val="20"/>
                <w:color w:val="auto"/>
              </w:rPr>
            </w:pPr>
          </w:p>
        </w:tc>
        <w:tc>
          <w:tcPr>
            <w:tcW w:w="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0" w:lineRule="exact"/>
        <w:rPr>
          <w:sz w:val="20"/>
          <w:szCs w:val="20"/>
          <w:color w:val="auto"/>
        </w:rPr>
      </w:pPr>
    </w:p>
    <w:p>
      <w:pPr>
        <w:jc w:val="both"/>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presents interest expense associated with our outstanding borrowings, including the impact of interest rate swaps, for the three and six months ended June 30, 2025 and 2024 (in thousands, except percentages):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8"/>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7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0"/>
                <w:szCs w:val="10"/>
                <w:color w:val="auto"/>
              </w:rPr>
            </w:pPr>
          </w:p>
        </w:tc>
        <w:tc>
          <w:tcPr>
            <w:tcW w:w="500" w:type="dxa"/>
            <w:vAlign w:val="bottom"/>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0"/>
                <w:szCs w:val="10"/>
                <w:color w:val="auto"/>
              </w:rPr>
            </w:pPr>
          </w:p>
        </w:tc>
        <w:tc>
          <w:tcPr>
            <w:tcW w:w="580" w:type="dxa"/>
            <w:vAlign w:val="bottom"/>
          </w:tcPr>
          <w:p>
            <w:pPr>
              <w:jc w:val="right"/>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RHP Revolving Credit Facility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RHP Term Loan B</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60" w:type="dxa"/>
            <w:vAlign w:val="bottom"/>
          </w:tcPr>
          <w:p>
            <w:pPr>
              <w:spacing w:after="0"/>
              <w:rPr>
                <w:sz w:val="18"/>
                <w:szCs w:val="18"/>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w:t>
            </w:r>
          </w:p>
        </w:tc>
        <w:tc>
          <w:tcPr>
            <w:tcW w:w="14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RHP Senior Notes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Gaylord Rockies Term Loan</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4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OEG Revolver</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OEG Term Loan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60" w:type="dxa"/>
            <w:vAlign w:val="bottom"/>
          </w:tcPr>
          <w:p>
            <w:pPr>
              <w:spacing w:after="0"/>
              <w:rPr>
                <w:sz w:val="18"/>
                <w:szCs w:val="18"/>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14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 21 CMBS Loan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(1,279)</w:t>
            </w: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94.1 %</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(2,620)</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67.4 %</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112,817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117,020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Other includes capitalized interest, as well as other miscellaneous items.</w:t>
      </w:r>
    </w:p>
    <w:p>
      <w:pPr>
        <w:spacing w:after="0" w:line="225"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6.5% and 6.7% for the three months ended June 30, 2025 and 2024, respectively, and 6.5% and 7.0% for the six months ended June 30, 2025 and 2024, respectively.</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Interest income for the three and six months ended June 30, 2025 and 2024 primarily includes amounts earned on our cash balances, as well as the bonds that were received in connection with the development of Gaylord National, which we hold as notes receivable. See Note 7, “Notes Receivable,” to the accompanying condensed consolidated financial statements included herein for additional discussion of interest income on these bonds.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187"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As a result of the April 2025 incremental borrowings under the OEG credit agreement and the defeasance of the Block 21 CMBS loan, we recognized a loss on extinguishment of debt of $2.5 million in the three and six months ended June 30, 2025.</w:t>
      </w:r>
    </w:p>
    <w:p>
      <w:pPr>
        <w:spacing w:after="0" w:line="14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As a result of the June 2024 refinancing of the OEG credit agreement, the April 2024 repricing of the RHP term loan B, and the March 2024 repayment of the previous Gaylord Rockies $800 million term loan, we recognized a loss on extinguishment of debt of $1.8 million and $2.3 million in the three and six months ended June 30, 2024, respectively.</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18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Other gains and (losses), net for the three and six months ended June 30, 2025 and 2024 represents various miscellaneous items.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7"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35" w:lineRule="exact"/>
        <w:rPr>
          <w:sz w:val="20"/>
          <w:szCs w:val="20"/>
          <w:color w:val="auto"/>
        </w:rPr>
      </w:pPr>
    </w:p>
    <w:p>
      <w:pPr>
        <w:ind w:left="60" w:right="619"/>
        <w:spacing w:after="0" w:line="312" w:lineRule="auto"/>
        <w:rPr>
          <w:sz w:val="20"/>
          <w:szCs w:val="20"/>
          <w:color w:val="auto"/>
        </w:rPr>
      </w:pPr>
      <w:r>
        <w:rPr>
          <w:rFonts w:ascii="Times New Roman" w:cs="Times New Roman" w:eastAsia="Times New Roman" w:hAnsi="Times New Roman"/>
          <w:sz w:val="17"/>
          <w:szCs w:val="17"/>
          <w:color w:val="auto"/>
        </w:rPr>
        <w:t>For the three months ended June 30, 2025 and 2024, we recorded an income tax provision of $7.8 million and $12.2 million, respectively, and for the six months ended June 30, 2025 and 2024, we recorded an income tax provision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$12.0 million and $12.7 million, respectively, related to our TRSs. The change in the income tax provision for the 2025 periods, as compared to the 2024 periods, relates to changes in income at our TRSs.</w:t>
      </w:r>
    </w:p>
    <w:p>
      <w:pPr>
        <w:spacing w:after="0" w:line="135"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We are currently evaluating the potential tax implications of the OBBBA, but based on our preliminary assessment, we do not expect the legislation to have a material impact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8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that we believe are useful to investors as key measures of our operating performance: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EBITDAre, Adjusted EBITDAre and Adjusted EBITDAre, Excluding Noncontrolling Interest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of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182"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bonds;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7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w:t>
      </w:r>
    </w:p>
    <w:p>
      <w:pPr>
        <w:spacing w:after="0" w:line="158"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provides useful information to investors regarding our operating performance and debt leverage metrics.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FFO, Adjusted FFO, and Adjusted FFO Available to Common Stockholders and Unit Holders Definition</w:t>
      </w:r>
    </w:p>
    <w:p>
      <w:pPr>
        <w:spacing w:after="0" w:line="22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attributable to decreases in the value of depreciated real estate held by the entity, income (loss) from consolidated joint ventures attributable to noncontrolling interest, and pro rata adjustments from unconsolidated joint ventures.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stockholders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7"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stockholders and unit holders and Adjusted FFO available to common stockholders and unit holders exclude the ownership portion of the joint ventures not controlled or owned by the Company.</w:t>
      </w:r>
    </w:p>
    <w:p>
      <w:pPr>
        <w:spacing w:after="0" w:line="16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We believe that the presentation of these non-GAAP financial measures provides useful information to investors regarding the performance of our ongoing operations because each presents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caution investors that non-GAAP financial measures we present may not be comparable to similar measures disclosed by other companies, because not all companies calculate these non-GAAP measures in the same manner. The non-GAAP financial measures we present should not be considered as alternative measures of our net income,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operating income,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139"/>
        <w:spacing w:after="0" w:line="315" w:lineRule="auto"/>
        <w:rPr>
          <w:sz w:val="20"/>
          <w:szCs w:val="20"/>
          <w:color w:val="auto"/>
        </w:rPr>
      </w:pPr>
      <w:r>
        <w:rPr>
          <w:rFonts w:ascii="Times New Roman" w:cs="Times New Roman" w:eastAsia="Times New Roman" w:hAnsi="Times New Roman"/>
          <w:sz w:val="17"/>
          <w:szCs w:val="17"/>
          <w:color w:val="auto"/>
        </w:rPr>
        <w:t>The following is a reconciliation of our consolidated GAAP net income to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and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for the three and six months ended June 30, 2025 and 2024 (in thousands):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5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75,875</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$ 104,740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$ 138,889</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$ 147,501</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52,951</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49,513</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101,775</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102,434</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7,848</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12,007</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12,730</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66,963</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58,553</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130,680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115,755</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sale of assets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(270)</w:t>
            </w:r>
          </w:p>
        </w:tc>
      </w:tr>
      <w:tr>
        <w:trPr>
          <w:trHeight w:val="203"/>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17"/>
                <w:szCs w:val="17"/>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203,638</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383,353</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378,154</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2,491</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3,495</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3,383</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7,117</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7,245</w:t>
            </w:r>
          </w:p>
        </w:tc>
        <w:tc>
          <w:tcPr>
            <w:tcW w:w="80" w:type="dxa"/>
            <w:vAlign w:val="bottom"/>
          </w:tcPr>
          <w:p>
            <w:pPr>
              <w:spacing w:after="0"/>
              <w:rPr>
                <w:sz w:val="17"/>
                <w:szCs w:val="17"/>
                <w:color w:val="auto"/>
              </w:rPr>
            </w:pPr>
          </w:p>
        </w:tc>
      </w:tr>
      <w:tr>
        <w:trPr>
          <w:trHeight w:val="202"/>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2,227</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2,390</w:t>
            </w:r>
          </w:p>
        </w:tc>
        <w:tc>
          <w:tcPr>
            <w:tcW w:w="80" w:type="dxa"/>
            <w:vAlign w:val="bottom"/>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2,542</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2,542</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80" w:type="dxa"/>
            <w:vAlign w:val="bottom"/>
          </w:tcPr>
          <w:p>
            <w:pPr>
              <w:spacing w:after="0"/>
              <w:rPr>
                <w:sz w:val="17"/>
                <w:szCs w:val="17"/>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 rata 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(176)</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(197)</w:t>
            </w:r>
          </w:p>
        </w:tc>
      </w:tr>
      <w:tr>
        <w:trPr>
          <w:trHeight w:val="19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211,856</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233,195</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397,358</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394,260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(11,295)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(10,722)</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(16,921)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(15,384)</w:t>
            </w:r>
          </w:p>
        </w:tc>
      </w:tr>
      <w:tr>
        <w:trPr>
          <w:trHeight w:val="196"/>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200,561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$ 222,473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$ 380,437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$ 378,876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to FFO and Adjusted FFO for the three and six months ended June 30, 2025 and 2024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5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7"/>
                <w:szCs w:val="17"/>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$ 100,805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$ 134,714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$ 143,861</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 in OP Units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60" w:type="dxa"/>
            <w:vAlign w:val="bottom"/>
            <w:tcBorders>
              <w:bottom w:val="single" w:sz="8" w:color="CCEEFF"/>
            </w:tcBorders>
          </w:tcPr>
          <w:p>
            <w:pPr>
              <w:spacing w:after="0"/>
              <w:rPr>
                <w:sz w:val="18"/>
                <w:szCs w:val="18"/>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and unit holders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144,810</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130,582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115,660</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(2,331)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(6,123)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(4,352)</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stockholders and unit holders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260,047</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other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60" w:type="dxa"/>
            <w:vAlign w:val="bottom"/>
            <w:shd w:val="clear" w:color="auto" w:fill="CCEEFF"/>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60" w:type="dxa"/>
            <w:vAlign w:val="bottom"/>
          </w:tcPr>
          <w:p>
            <w:pPr>
              <w:spacing w:after="0"/>
              <w:rPr>
                <w:sz w:val="18"/>
                <w:szCs w:val="18"/>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provision</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60" w:type="dxa"/>
            <w:vAlign w:val="bottom"/>
            <w:shd w:val="clear" w:color="auto" w:fill="CCEEFF"/>
          </w:tcPr>
          <w:p>
            <w:pPr>
              <w:spacing w:after="0"/>
              <w:rPr>
                <w:sz w:val="18"/>
                <w:szCs w:val="18"/>
                <w:color w:val="auto"/>
              </w:rPr>
            </w:pPr>
          </w:p>
        </w:tc>
      </w:tr>
      <w:tr>
        <w:trPr>
          <w:trHeight w:val="21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stockholders and unit 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148,845</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$ 173,432</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$ 278,668</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$ 276,126</w:t>
            </w:r>
          </w:p>
        </w:tc>
        <w:tc>
          <w:tcPr>
            <w:tcW w:w="6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r>
        <w:rPr>
          <w:rFonts w:ascii="Times New Roman" w:cs="Times New Roman" w:eastAsia="Times New Roman" w:hAnsi="Times New Roman"/>
          <w:sz w:val="18"/>
          <w:szCs w:val="18"/>
          <w:color w:val="auto"/>
        </w:rPr>
        <w:t>. Cash flow from operating activities is the principal source of cash used to</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 our operating expenses, interest payments on debt, maintenance capital expenditures, and dividends to stockholders.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six months ended June 30, 2025, our net cash flows provided by operating activities were $220.7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reflecting our net income before depreciation expense, amortization expense and other non-cash charges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$291.8 million, partially offset by unfavorable changes in working capital of $71.1 million. The unfavorable changes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working capital primarily resulted from an increase in accounts receivable due to a seasonal increase in group business 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hotel properties and a decrease in accounts payable and accrued liabilities primarily related to the timing of general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payables and the payment of accrued compensation and property taxes. These unfavorable changes in working capital were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partially offset by an increase in advanced ticket purchases at our OEG venues.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six months ended June 30, 2024, our net cash flows provided by operating activities were $191.8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reflecting our net income before depreciation expense, amortization expense and other non-cash charges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$286.3 million, partially offset by unfavorable changes in working capital of $94.5 million. The unfavorable changes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working capital primarily resulted from a decrease in accounts payable and accrued liabilities primarily related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compensation, property tax accruals and the payment of liabilities associated with our seasonal holiday programs and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accounts receivable due to a seasonal increase in group business at our hotel properties.</w:t>
      </w:r>
    </w:p>
    <w:p>
      <w:pPr>
        <w:spacing w:after="0" w:line="164" w:lineRule="exact"/>
        <w:rPr>
          <w:sz w:val="20"/>
          <w:szCs w:val="20"/>
          <w:color w:val="auto"/>
        </w:rPr>
      </w:pPr>
    </w:p>
    <w:p>
      <w:pPr>
        <w:ind w:left="60" w:right="2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During the six months ended June 30, 2025, our primary uses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were the use of $862.0 million to purchase JW Marriott Desert Ridge and purchases of property and equipment, which totaled $182.2 million. Purchases of property and equipment consisted primarily of projects at Gaylord Opryland, including a meeting space expansion, the renovation of an existing ballroom and pre-function space, and the development of a sports bar, pavilion and event lawn; the preparation for a rooms renovation at Gaylord Texan; and ongoing maintenance capital expenditures for each of our existing properties.</w:t>
      </w:r>
    </w:p>
    <w:p>
      <w:pPr>
        <w:spacing w:after="0" w:line="15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our primary use of funds for investing activities were purchases of property and equipment, which totaled $184.9 million, and consisted primarily of enhancements at Gaylord Rockies to construct a new events pavilion, enhance the grand lodge and reposition its food and beverage outlets; a rooms renovation at the W Austin and common area enhancements at Block 21; the conversion of the Wildhorse Saloon to Category 10; the completion of Ole Red Las Vegas; a rooms renovation at Gaylord Palms; and ongoing maintenance capital expenditures for each of our existing properties.</w:t>
      </w:r>
    </w:p>
    <w:p>
      <w:pPr>
        <w:spacing w:after="0" w:line="145" w:lineRule="exact"/>
        <w:rPr>
          <w:sz w:val="20"/>
          <w:szCs w:val="20"/>
          <w:color w:val="auto"/>
        </w:rPr>
      </w:pPr>
    </w:p>
    <w:p>
      <w:pPr>
        <w:ind w:left="60" w:right="219"/>
        <w:spacing w:after="0" w:line="257" w:lineRule="auto"/>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r>
        <w:rPr>
          <w:rFonts w:ascii="Times New Roman" w:cs="Times New Roman" w:eastAsia="Times New Roman" w:hAnsi="Times New Roman"/>
          <w:sz w:val="18"/>
          <w:szCs w:val="18"/>
          <w:color w:val="auto"/>
        </w:rPr>
        <w:t>. Our cash flows from financing activities primarily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incurrence and repayment of long-term debt and the payment of cash distributions. During the six months ended June 30, 2025, our net cash flows provided by financing activities were $716.6 million, primarily reflecting the issuance of $625.0 million in senior notes and $275.5 million in net proceeds from the issuance of approximately 3.0 million shares of our common stock, partially offset by the payment of $139.7 million in cash distributions, the repayment of $21.0 million under the OEG revolving credit facility, and the payment of $12.6 million in deferred financing costs.</w:t>
      </w:r>
    </w:p>
    <w:p>
      <w:pPr>
        <w:spacing w:after="0" w:line="144"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our net cash flows used in financing activities were $157.1 million, primarily reflecting the issuance of $1 billion in senior notes, offset by the prepayment of the Gaylord Rockies $800.0 million term loan, the repayment of $202.0 million under our term loan B, the payment of $133.4 million in cash dividends, and the payment of $23.1 million in deferred financing costs.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87"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At June 30, 2025, we had $420.6 million in unrestricted cash and $780.0 million available for borrowing in the aggregate under our revolving credit facility and the OEG revolving credit facility. During the six months ended June 30, 2025, we issued $625 million in new senior notes, received $275.5 million from the issuance of approximately 3.0 million shares of our common stock, used $862.0 million in net cash to purchase JW Marriott Desert Ridge, incurred capital expenditures of $182.2 million and paid $139.7 million in cash distributions. These changes, partially offset by the cash flows provided by operations discussed above, were the primary factors in the decrease in our cash balance from December 31, 2024 to June 30,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anticipate investing in our operations during the remainder of 2025 by spending between approximately $165 million and $265 million in capital expenditures, which includes projects at Gaylord Opryland for the renovation of a ballroom and pre-function space, the development of a sports bar, pavilion and event lawn, and a meeting space expansion; a rooms renovation at Gaylord Texan; and ongoing maintenance capital for each of our current facilities. At this time, the scope of our multiyear capital program remains unchanged; however, the discrete nature of the projects in the pipeline allows us to take a flexible approach to evolving macroeconomic conditions. Further, our dividend policy provides that we will make minimum dividends of 100% of REIT taxable income annually. Future dividends are subject to our board of directors’ future determinations as to amount and timing. We currently have no debt maturities until May 2027. We believe we will be able to refinance our debt agreements prior to their maturities.</w:t>
      </w:r>
    </w:p>
    <w:p>
      <w:pPr>
        <w:spacing w:after="0" w:line="161"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and the OEG revolving credit facility, as applicable.</w:t>
      </w:r>
    </w:p>
    <w:p>
      <w:pPr>
        <w:spacing w:after="0" w:line="147"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June 30, 2025, there were no defaults under the covenants related to our outstanding debt.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198"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May 18, 2023, we entered into a Credit Agreement (as modified pursuant to the First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the Second Incremental Agreement (as hereinafter defined),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w:t>
      </w:r>
    </w:p>
    <w:p>
      <w:pPr>
        <w:spacing w:after="0" w:line="145"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$700.0 million revolving credit facility (the “Revolver”) and a senior secured term loan B (the “Term Loan B”) (in the original principal amount of $500.0 million, which was reduced to $295.0 million on March 28, 2024 in connection with the First Incremental Agreement), as well as an accordion feature that will allow us to increase the facilities by an aggregate total of up to $475 million, which may be allocated between the Revolver and the Term Loan B at our option.</w:t>
      </w:r>
    </w:p>
    <w:p>
      <w:pPr>
        <w:spacing w:after="0" w:line="143"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Each of the Revolver and the Term Loan B is guaranteed by us, each of our subsidiaries that own the Gaylord Hotels properties, the JW Marriott properties and certain of our other subsidiaries. Each of the Revolver and the Term Loan B is secured by equity pledges of our subsidiaries that are the fee owners of Gaylord Opryland and Gaylord Texan, their respective direct and indirect parent entities, and the equity of Ryman Hotel Operations Holdco, LLC, a wholly owned indirect subsidiary of the Company. Assets and equity of OEG are not subject to the liens of the Credit Agreement.</w:t>
      </w:r>
    </w:p>
    <w:p>
      <w:pPr>
        <w:spacing w:after="0" w:line="15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In addition, each of the Revolver and Term Loan B contains certain covenants that,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39"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net leverage ratio of not greater than 6.50x.</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of not less than 1.50x.</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indebtedness must not exceed 30% of consolidated total asset value.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secured recourse indebtedness must not exceed 10% of consolidated total asset value.</w:t>
      </w:r>
    </w:p>
    <w:p>
      <w:pPr>
        <w:spacing w:after="0" w:line="18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leverage ratio must not exceed 55% (with the ability to surge to 60% in connection with a material acquisition).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Unencumbered adjusted NOI to unsecured interest expense ratio of not less than 2.0x.</w:t>
      </w:r>
    </w:p>
    <w:p>
      <w:pPr>
        <w:spacing w:after="0" w:line="198"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33" w:lineRule="exact"/>
        <w:rPr>
          <w:sz w:val="20"/>
          <w:szCs w:val="20"/>
          <w:color w:val="auto"/>
        </w:rPr>
      </w:pPr>
    </w:p>
    <w:p>
      <w:pPr>
        <w:jc w:val="both"/>
        <w:ind w:left="60" w:right="179"/>
        <w:spacing w:after="0" w:line="271" w:lineRule="auto"/>
        <w:rPr>
          <w:sz w:val="20"/>
          <w:szCs w:val="20"/>
          <w:color w:val="auto"/>
        </w:rPr>
      </w:pPr>
      <w:r>
        <w:rPr>
          <w:rFonts w:ascii="Times New Roman" w:cs="Times New Roman" w:eastAsia="Times New Roman" w:hAnsi="Times New Roman"/>
          <w:sz w:val="17"/>
          <w:szCs w:val="17"/>
          <w:i w:val="1"/>
          <w:iCs w:val="1"/>
          <w:color w:val="auto"/>
        </w:rPr>
        <w:t>Revolving Credit Facility</w:t>
      </w:r>
      <w:r>
        <w:rPr>
          <w:rFonts w:ascii="Times New Roman" w:cs="Times New Roman" w:eastAsia="Times New Roman" w:hAnsi="Times New Roman"/>
          <w:sz w:val="17"/>
          <w:szCs w:val="17"/>
          <w:color w:val="auto"/>
        </w:rPr>
        <w:t>. The maturity date of the Revolver is May 18, 2027, with the option to extend the maturity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 maximum of one additional year through either (i) a single 12-month extension option or (ii) two individual 6-month extensions (subject to extension fees as detailed in the Credit Agreement). Borrowings under the Revolver bear interest at an annual rate equal to, at our option, either (i) Adjusted Term SOFR plus the applicable margin ranging from 1.40% to</w:t>
      </w:r>
    </w:p>
    <w:p>
      <w:pPr>
        <w:spacing w:after="0" w:line="1" w:lineRule="exact"/>
        <w:rPr>
          <w:sz w:val="20"/>
          <w:szCs w:val="20"/>
          <w:color w:val="auto"/>
        </w:rPr>
      </w:pPr>
    </w:p>
    <w:p>
      <w:pPr>
        <w:ind w:left="60" w:right="119"/>
        <w:spacing w:after="0" w:line="277" w:lineRule="auto"/>
        <w:rPr>
          <w:sz w:val="20"/>
          <w:szCs w:val="20"/>
          <w:color w:val="auto"/>
        </w:rPr>
      </w:pPr>
      <w:r>
        <w:rPr>
          <w:rFonts w:ascii="Times New Roman" w:cs="Times New Roman" w:eastAsia="Times New Roman" w:hAnsi="Times New Roman"/>
          <w:sz w:val="17"/>
          <w:szCs w:val="17"/>
          <w:color w:val="auto"/>
        </w:rPr>
        <w:t>2.00%, (ii) Adjusted Daily Simple SOFR plus the applicable margin ranging from 1.40% to 2.00% or (iii) a base rate as set forth in the Credit Agreement plus the applicable margin ranging from 0.40% to 1.00%, with each option dependent upon our funded debt to total asset value ratio (as defined in the Credit Agreement). Principal is payable in full at maturity.</w:t>
      </w:r>
    </w:p>
    <w:p>
      <w:pPr>
        <w:spacing w:after="0" w:line="128"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For purposes of the Revolver, Adjusted Term SOFR is calculated as the sum of Term SOFR plus an adjustment of 0.10% (all as more specifically described in the Credit Agreement), subject to a floor of 0.00%. Adjusted Daily Simple SOFR is calculated as the sum of SOFR plus an adjustment of 0.10% (all as more specifically described in the Credit Agreement), subject to a floor of 0.00%.</w:t>
      </w:r>
    </w:p>
    <w:p>
      <w:pPr>
        <w:spacing w:after="0" w:line="153"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At June 30, 2025, no amounts were outstanding under the Revolver, and there was $700.0 million of availability under the Revolver (subject to the satisfaction of debt incurrence tests under the indentures governing our $1 billion in aggregate principal amount of senior notes due 2032 (the “$1 Billion 6.50% Senior Notes”), our $700 million in aggregate principal amount of senior notes due 2027 (the “$700 Million 4.75% Senior Notes”), our $625 million in aggregate principal amount of senior notes due 2033 (the “$625 Million 6.50% Senior Notes”), our $600 million in aggregate principal amount of senior notes due 2029 (the “$600 Million 4.50% Senior Notes”) and our $400 million in aggregate principal amount of senior notes due 2028 (the “$400 Million 7.25% Senior Notes”), which we met at June 30, 2025).</w:t>
      </w:r>
    </w:p>
    <w:p>
      <w:pPr>
        <w:spacing w:after="0" w:line="146"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Term Loan B. </w:t>
      </w:r>
      <w:r>
        <w:rPr>
          <w:rFonts w:ascii="Times New Roman" w:cs="Times New Roman" w:eastAsia="Times New Roman" w:hAnsi="Times New Roman"/>
          <w:sz w:val="17"/>
          <w:szCs w:val="17"/>
          <w:color w:val="auto"/>
        </w:rPr>
        <w:t>The Term Loan B has a maturity date of May 18, 2030. Prior to the effectiveness of the First Incremental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and the Second Incremental Agreement (as hereinafter defined), the applicable interest rate margins for borrowings under the Term Loan B were, at our option, either (i) Term SOFR plus 2.75%, (ii) Daily Simple SOFR plus 2.75% or (iii) a base rate as set forth in the Credit Agreement plus 1.75%. The Credit Agreement requires principal amortization payments in an amount equal to 1% per annum of the principal amount of the Term Loan B, which is payable quarterly. In addition, if for any fiscal year, there is Excess Cash Flow (as defined in the Credit Agreement), an additional principal amount is required. Amounts borrowed under the Term Loan B that are repaid or prepaid may not be reborrowed.</w:t>
      </w:r>
    </w:p>
    <w:p>
      <w:pPr>
        <w:spacing w:after="0" w:line="133"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On April 12, 2024, we entered into an Incremental Tranche B Term Loan Agreement (the “First Incremental Agreement”), which supplemented the Credit Agreement and included the addition of certain new lenders and the removal of certain other lenders. The First Incremental Agreement reduced the applicable interest rate margins for the loans advanced under the refinanced Term Loan B. The applicable interest rate margins for the refinanced Term Loan B under the First Incremental Agreement were (i) 2.25% for SOFR Loans (as defined in the Credit Agreement) and (ii) 1.25% for base rate loans.</w:t>
      </w:r>
    </w:p>
    <w:p>
      <w:pPr>
        <w:spacing w:after="0" w:line="16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December 19, 2024, we entered into an additional Incremental Tranche B Term Loan Agreement (the “Second Incremental Agreement”), which supplemented the Credit Agreement. The Second Incremental Agreement reduces the applicable interest rate margins for the loans advanced under the refinanced Term Loan B. The applicable interest rate margins for the refinanced Term Loan B under the Second Incremental Agreement are (i) 2.00% for SOFR Loans (as defined in the Credit Agreement) and (ii) 1.00% for base rate loans. Further, the Second Incremental Agreement provides for the applicable interest rate margins to be further reduced by an additional 0.25% upon our meeting certain criteria as set forth in the Second Incremental Agreement.</w:t>
      </w:r>
    </w:p>
    <w:p>
      <w:pPr>
        <w:spacing w:after="0" w:line="148"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At June 30, 2025, the interest rate on the Term Loan B was Term SOFR plus 2.00%. Neither the First Incremental Agreement nor the Second Incremental Agreement changed the maturity dates under the Credit Agreement or resulted in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any increase in principal indebtedness. In addition, the Second Incremental Agreement confirmed that the annual amortization under the Term Loan B is 1% of the refinanced $293.5 million outstanding principal amount, with the balance due at maturity. At June 30, 2025, $291.3 million in borrowings were outstanding under the Term Loan B.</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purposes of the Term Loan B, each of Term SOFR and Daily Simple SOFR are subject to a floor of 0.00%.</w:t>
      </w:r>
    </w:p>
    <w:p>
      <w:pPr>
        <w:spacing w:after="0" w:line="183"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$1 Billion 6.50% Senior Notes. </w:t>
      </w:r>
      <w:r>
        <w:rPr>
          <w:rFonts w:ascii="Times New Roman" w:cs="Times New Roman" w:eastAsia="Times New Roman" w:hAnsi="Times New Roman"/>
          <w:sz w:val="18"/>
          <w:szCs w:val="18"/>
          <w:color w:val="auto"/>
        </w:rPr>
        <w:t>On March 28, 2024, the Operating Partnership and Finco (collectively, the “issuing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completed the private placement of $1.0 billion in aggregate principal amount of 6.50% senior notes due 2032, which are guaranteed by the Company and its subsidiaries that guarantee the Credit Agreement. The $1 Billion 6.50% Senior Notes and guarantees were issued pursuant to an indenture by and among the issuing subsidiaries, the guarantors and U.S. Bank Trust Company, National Association, as trustee. The $1 Billion 6.50% Senior Notes have a maturity date of April 1, 2032 and bear interest at 6.50% per annum, payable semi-annually in cash in arrears on April 1 and October 1 each year, beginning October 1, 2024. The $1 Billion 6.50% Senior Notes are general unsecured and unsubordinated obligations of the issuing subsidiaries and rank equal in right of payment with such subsidiaries’ existing and future senior unsecured indebtedness, including the $700 Million 4.75% Senior Notes, the $625 Million 6.50% Senior Notes, the $600 Million 4.50% Senior Notes and the $400 Million 7.25% Senior Notes, and senior in right of payment to future subordinated indebtedness, if any. The $1 Billion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$1 Billion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$1 Billion 6.50% Senior Notes.</w:t>
      </w:r>
    </w:p>
    <w:p>
      <w:pPr>
        <w:spacing w:after="0" w:line="155"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net proceeds from the issuance of the $1 Billion 6.50% Senior Notes totaled approximately $983 million, after deducting the initial purchasers’ discounts, commissions and offering expenses. We used a portion of these net proceeds to prepay the indebtedness outstanding under our previous $800.0 million Gaylord Rockies term loan and used the remaining proceeds, together with cash on hand, to repay $200.0 million under the Term Loan B.</w:t>
      </w:r>
    </w:p>
    <w:p>
      <w:pPr>
        <w:spacing w:after="0" w:line="15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$1 Billion 6.50% Senior Notes are redeemable before April 1, 2027, in whole or in part, at 100.00%, plus accrued and unpaid interest thereon to, but not including, the redemption date, plus a make-whole premium. The $1 Billion 6.50% Senior Notes will be redeemable, in whole or in part, at any time on or after April 1, 2027 at a redemption price expressed as a percentage of the principal amount thereof, which percentage is 103.250%, 101.625%, and 100.000% beginning on April 1 of 2027, 2028, and 2029, respectively, plus accrued and unpaid interest thereon to, but not including, the redemption date.</w:t>
      </w:r>
    </w:p>
    <w:p>
      <w:pPr>
        <w:spacing w:after="0" w:line="14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Trust Company, National Association as trustee. The $500 Million 4.75% Senior Notes have a maturity date of October 15, 2027 and bear interest at 4.75% per annum, payable semi-annually in cash in arrears on April 15 and October 15 each year. The $500 Million 4.75% Senior Notes are general unsecured and unsubordinated obligations of the issuing subsidiaries and rank equal in right of payment with such subsidiaries’ existing and future senior unsecured indebtedness, including the $1 Billion 6.50% Senior Notes, the $625 Million 6.50% Senior Notes, the $600 Million 4.50% Senior Notes and the $400 Million 7.25%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3"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4.75% Senior Notes”). All other terms and conditions of the additional 2027 notes are identical to the $500 Million 4.75% Senior Notes.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$700 Million 4.75% Senior Notes are currently redeemable, in whole or in part, at a redemption price expressed as</w:t>
      </w:r>
    </w:p>
    <w:p>
      <w:pPr>
        <w:spacing w:after="0" w:line="27" w:lineRule="exact"/>
        <w:rPr>
          <w:sz w:val="20"/>
          <w:szCs w:val="20"/>
          <w:color w:val="auto"/>
        </w:rPr>
      </w:pPr>
    </w:p>
    <w:p>
      <w:pPr>
        <w:ind w:left="60" w:right="139"/>
        <w:spacing w:after="0" w:line="260" w:lineRule="auto"/>
        <w:rPr>
          <w:sz w:val="20"/>
          <w:szCs w:val="20"/>
          <w:color w:val="auto"/>
        </w:rPr>
      </w:pPr>
      <w:r>
        <w:rPr>
          <w:rFonts w:ascii="Times New Roman" w:cs="Times New Roman" w:eastAsia="Times New Roman" w:hAnsi="Times New Roman"/>
          <w:sz w:val="18"/>
          <w:szCs w:val="18"/>
          <w:color w:val="auto"/>
        </w:rPr>
        <w:t>a percentage of the principal amount thereof, which percentage is currently 101.188%, and will be 100.000% beginning on October 15, 2025, plus accrued and unpaid interest thereon to, but not including, the redemption date.</w:t>
      </w:r>
    </w:p>
    <w:p>
      <w:pPr>
        <w:spacing w:after="0" w:line="154"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i w:val="1"/>
          <w:iCs w:val="1"/>
          <w:color w:val="auto"/>
        </w:rPr>
        <w:t>$625 Million 6.50% Senior Notes</w:t>
      </w:r>
      <w:r>
        <w:rPr>
          <w:rFonts w:ascii="Times New Roman" w:cs="Times New Roman" w:eastAsia="Times New Roman" w:hAnsi="Times New Roman"/>
          <w:sz w:val="18"/>
          <w:szCs w:val="18"/>
          <w:color w:val="auto"/>
        </w:rPr>
        <w:t>. On June 4, 2025, the Operating Partnership and Finco completed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$625.0 million in aggregate principal amount of 6.50% senior notes due 2033, which are guaranteed by the Company and its subsidiaries that guarantee the Credit Agreement. The $625 Million 6.50% Senior Notes and guarantees were issued pursuant to an indenture by and among the issuing subsidiaries, the guarantors and U.S. Bank Trust Company, National Association, as trustee. The $625 Million 6.50% Senior Notes have a maturity date of June 15, 2033 and bear interest at 6.50% per annum, payable semi-annually in cash in arrears on June 15 and December 15 each year, beginning on December 15, 2025. The $625 Million 6.50% Senior Notes are general unsecured and unsubordinated obligations of the issuing subsidiaries and rank equal in right of payment with such subsidiaries’ existing and future senior unsecured indebtedness, including the $1 Billion 6.50% Senior Notes, the $700 Million 4.75% Senior Notes, the $600 Million 4.50% Senior Notes and the $400 Million 7.25% Senior Notes, and senior in right of payment to future subordinated indebtedness, if any. The $625 Million 6.50%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$625 Million 6.50%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$625 Million 6.50% Senior Notes.</w:t>
      </w:r>
    </w:p>
    <w:p>
      <w:pPr>
        <w:spacing w:after="0" w:line="155" w:lineRule="exact"/>
        <w:rPr>
          <w:sz w:val="20"/>
          <w:szCs w:val="20"/>
          <w:color w:val="auto"/>
        </w:rPr>
      </w:pPr>
    </w:p>
    <w:p>
      <w:pPr>
        <w:jc w:val="both"/>
        <w:ind w:left="60" w:right="479"/>
        <w:spacing w:after="0" w:line="266" w:lineRule="auto"/>
        <w:rPr>
          <w:sz w:val="20"/>
          <w:szCs w:val="20"/>
          <w:color w:val="auto"/>
        </w:rPr>
      </w:pPr>
      <w:r>
        <w:rPr>
          <w:rFonts w:ascii="Times New Roman" w:cs="Times New Roman" w:eastAsia="Times New Roman" w:hAnsi="Times New Roman"/>
          <w:sz w:val="18"/>
          <w:szCs w:val="18"/>
          <w:color w:val="auto"/>
        </w:rPr>
        <w:t>The net proceeds from the issuance of the $625 Million 6.50% Senior Notes totaled approximately $614 million, after deducting the initial purchasers’ discounts, commissions and offering expenses. We used these net proceeds to fund a portion of the purchase price for JW Marriott Desert Ridge.</w:t>
      </w:r>
    </w:p>
    <w:p>
      <w:pPr>
        <w:spacing w:after="0" w:line="149" w:lineRule="exact"/>
        <w:rPr>
          <w:sz w:val="20"/>
          <w:szCs w:val="20"/>
          <w:color w:val="auto"/>
        </w:rPr>
      </w:pPr>
    </w:p>
    <w:p>
      <w:pPr>
        <w:ind w:left="60" w:right="199"/>
        <w:spacing w:after="0" w:line="276" w:lineRule="auto"/>
        <w:rPr>
          <w:sz w:val="20"/>
          <w:szCs w:val="20"/>
          <w:color w:val="auto"/>
        </w:rPr>
      </w:pPr>
      <w:r>
        <w:rPr>
          <w:rFonts w:ascii="Times New Roman" w:cs="Times New Roman" w:eastAsia="Times New Roman" w:hAnsi="Times New Roman"/>
          <w:sz w:val="17"/>
          <w:szCs w:val="17"/>
          <w:color w:val="auto"/>
        </w:rPr>
        <w:t>The $625 Million 6.50% Senior Notes are redeemable before June 15, 2028, in whole or in part, at 100.00%, plus accrued and unpaid interest thereon to, but not including, the redemption date, plus a make-whole premium. The $625 Million</w:t>
      </w:r>
    </w:p>
    <w:p>
      <w:pPr>
        <w:spacing w:after="0" w:line="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6.50% Senior Notes will be redeemable, in whole or in part, at any time on or after June 15, 2028 at a redemption price expressed as a percentage of the principal amount thereof, which percentage is 103.250%, 101.625%, and 100.000% beginning on June 15 of 2028, 2029, and 2030, respectively, plus accrued and unpaid interest thereon to, but not including, the redemption date.</w:t>
      </w:r>
    </w:p>
    <w:p>
      <w:pPr>
        <w:spacing w:after="0" w:line="146"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i w:val="1"/>
          <w:iCs w:val="1"/>
          <w:color w:val="auto"/>
        </w:rPr>
        <w:t>$600 Million 4.50% Senior Notes</w:t>
      </w:r>
      <w:r>
        <w:rPr>
          <w:rFonts w:ascii="Times New Roman" w:cs="Times New Roman" w:eastAsia="Times New Roman" w:hAnsi="Times New Roman"/>
          <w:sz w:val="17"/>
          <w:szCs w:val="17"/>
          <w:color w:val="auto"/>
        </w:rPr>
        <w:t>. In February 2021, the Operating Partnership and Finco completed the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Trust Company, National Association as trustee. The $600 Million 4.50% Senior Notes have a maturity date of February 15, 2029 and bear interest at 4.50% per annum, payable semi-annually in cash in arrears on February 15 and August 15 each year. The $600 Million</w:t>
      </w:r>
    </w:p>
    <w:p>
      <w:pPr>
        <w:spacing w:after="0" w:line="2" w:lineRule="exact"/>
        <w:rPr>
          <w:sz w:val="20"/>
          <w:szCs w:val="20"/>
          <w:color w:val="auto"/>
        </w:rPr>
      </w:pPr>
    </w:p>
    <w:p>
      <w:pPr>
        <w:ind w:left="60" w:right="139"/>
        <w:spacing w:after="0" w:line="252" w:lineRule="auto"/>
        <w:rPr>
          <w:sz w:val="20"/>
          <w:szCs w:val="20"/>
          <w:color w:val="auto"/>
        </w:rPr>
      </w:pPr>
      <w:r>
        <w:rPr>
          <w:rFonts w:ascii="Times New Roman" w:cs="Times New Roman" w:eastAsia="Times New Roman" w:hAnsi="Times New Roman"/>
          <w:sz w:val="18"/>
          <w:szCs w:val="18"/>
          <w:color w:val="auto"/>
        </w:rPr>
        <w:t>4.50% Senior Notes are general unsecured and unsubordinated obligations of the issuing subsidiaries and rank equal in right of payment with such subsidiaries’ existing and future senior unsecured indebtedness, including the $1 Billion 6.50% Senior Notes, the $700 Million 4.75% Senior Notes, the $625 Million 6.50% Senior Notes and the $400 Million 7.25%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5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$600 Million 4.50% Senior Notes are currently redeemable, in whole or in part, at a redemption price expressed as a percentage of the principal amount thereof, which percentage is currently 101.500% and will be 100.750%, and 100.000% beginning on February 15 of 2026, and 2027, respectively, plus accrued and unpaid interest thereon to, but not including, the redemption date.</w:t>
      </w:r>
    </w:p>
    <w:p>
      <w:pPr>
        <w:spacing w:after="0" w:line="137" w:lineRule="exact"/>
        <w:rPr>
          <w:sz w:val="20"/>
          <w:szCs w:val="20"/>
          <w:color w:val="auto"/>
        </w:rPr>
      </w:pPr>
    </w:p>
    <w:p>
      <w:pPr>
        <w:ind w:left="60" w:right="79"/>
        <w:spacing w:after="0" w:line="270" w:lineRule="auto"/>
        <w:rPr>
          <w:sz w:val="20"/>
          <w:szCs w:val="20"/>
          <w:color w:val="auto"/>
        </w:rPr>
      </w:pPr>
      <w:r>
        <w:rPr>
          <w:rFonts w:ascii="Times New Roman" w:cs="Times New Roman" w:eastAsia="Times New Roman" w:hAnsi="Times New Roman"/>
          <w:sz w:val="17"/>
          <w:szCs w:val="17"/>
          <w:i w:val="1"/>
          <w:iCs w:val="1"/>
          <w:color w:val="auto"/>
        </w:rPr>
        <w:t>$400 Million 7.25% Senior Notes</w:t>
      </w:r>
      <w:r>
        <w:rPr>
          <w:rFonts w:ascii="Times New Roman" w:cs="Times New Roman" w:eastAsia="Times New Roman" w:hAnsi="Times New Roman"/>
          <w:sz w:val="17"/>
          <w:szCs w:val="17"/>
          <w:color w:val="auto"/>
        </w:rPr>
        <w:t>. On June 22, 2023, the Operating Partnership and Finco completed the private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$400.0 million in aggregate principal amount of 7.25% senior notes due 2028, which are guaranteed by the Company and its subsidiaries that guarantee the Credit Agreement. The $400 Million 7.25% Senior Notes and guarantees were issued pursuant to an indenture by and among the issuing subsidiaries, the guarantors and U.S. Bank Trust Company, National Association as trustee. The $400 Million 7.25% Senior Notes have a maturity date of July 15, 2028 and bear interest at</w:t>
      </w:r>
    </w:p>
    <w:p>
      <w:pPr>
        <w:spacing w:after="0" w:line="1"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7"/>
          <w:szCs w:val="17"/>
          <w:color w:val="auto"/>
        </w:rPr>
        <w:t>7.25% per annum, payable semi-annually in cash in arrears on January 15 and July 15 each year. The $400 Million 7.25% Senior Notes are general unsecured and unsubordinated obligations of the issuing subsidiaries and rank equal in right of payment with such subsidiaries’ existing and future senior unsecured indebtedness, including the $1 Billion 6.50% Senior Notes, the $700 Million 4.75% Senior Notes, the $625 Million 6.50% Senior Notes and the $600 Million 4.50% Senior Notes, and senior in right of payment to future subordinated indebtedness, if any. The $400 Million 7.25%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7.25%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7.25% Senior Notes.</w:t>
      </w:r>
    </w:p>
    <w:p>
      <w:pPr>
        <w:spacing w:after="0" w:line="141"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The $400 Million 7.25% Senior Notes are currently redeemable, in whole or in part, at a redemption price expressed as a percentage of the principal amount thereof, which percentage is currently 103.625% and will be 101.813% and 100.000% beginning on July 15 of 2026, and 2027, respectively, plus accrued and unpaid interest thereon to, but not including, the redemption date.</w:t>
      </w:r>
    </w:p>
    <w:p>
      <w:pPr>
        <w:spacing w:after="0" w:line="153"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Each of the indentures governing the $1 Billion 6.50% Senior Notes, the $700 Million 4.75% Senior Notes, the $625 Million 6.50% Senior Notes, the $600 Million 4.50% Senior Notes and the $400 Million 7.25% Senior Notes contain certain covenants which, among other things and subject to certain exceptions and qualifications, limit the incurrence of additional indebtedness, investments, dividends, transactions with affiliates, asset sales, acquisitions, mergers and consolidations, liens and encumbrances and other matters customarily restricted in such agreements. In addition, if the Company experiences specific kinds of changes of control, the Company must offer to repurchase some or all of the senior notes at 101% of their principal amount, plus accrued and unpaid interest, if any, up to, but excluding, the repurchase date.</w:t>
      </w:r>
    </w:p>
    <w:p>
      <w:pPr>
        <w:spacing w:after="0" w:line="1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28, 2024, OEG Borrower, LLC (“OEG Borrower”) and OEG Finance, LLC (“OEG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each a wholly owned direct or indirect subsidiary of OEG, entered into a certain First Amendment, which amends the Credit Agreement dated as of June 16, 2022 among OEG Borrower, as borrower, OEG Finance, certain subsidiaries of OEG Borrower from time to time party thereto as guarantors, the lenders party thereto and JPMorgan Chase Bank, N.A., as administrative agent (as amended, the “2024 OEG Credit Agreement”).</w:t>
      </w:r>
    </w:p>
    <w:p>
      <w:pPr>
        <w:spacing w:after="0" w:line="185" w:lineRule="exact"/>
        <w:rPr>
          <w:sz w:val="20"/>
          <w:szCs w:val="20"/>
          <w:color w:val="auto"/>
        </w:rPr>
      </w:pPr>
    </w:p>
    <w:p>
      <w:pPr>
        <w:ind w:left="60" w:right="319"/>
        <w:spacing w:after="0" w:line="277" w:lineRule="auto"/>
        <w:rPr>
          <w:sz w:val="20"/>
          <w:szCs w:val="20"/>
          <w:color w:val="auto"/>
        </w:rPr>
      </w:pPr>
      <w:r>
        <w:rPr>
          <w:rFonts w:ascii="Times New Roman" w:cs="Times New Roman" w:eastAsia="Times New Roman" w:hAnsi="Times New Roman"/>
          <w:sz w:val="17"/>
          <w:szCs w:val="17"/>
          <w:color w:val="auto"/>
        </w:rPr>
        <w:t>The 2024 OEG Credit Agreement provides for (i) a senior secured term loan facility in the aggregate amount of $300.0 million (the “2024 OEG Term Loan”) and (ii) a senior secured revolving credit facility in an aggregate principal amount not to exceed $80.0 million (the “OEG Revolver”). The 2024 OEG Term Loan refinanced and replaced the former term loan in the outstanding principal amount of $294.8 million as of June 28, 2024 and the OEG Revolver refinanced and replaced the senior secured revolving credit facility in an aggregate principal amount not to exceed $65.0 million.</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April 28, 2025, OEG Borrower and OEG Finance entered into a Second Amendment, which amended the 2024 OEG Credit Agreement (as amended, the “OEG Credit Agreement”) in which OEG Borrower obtained an incremental term loan in an aggregate principal amount equal to $130.0 million (the “Incremental OEG Loan”) on the same terms as the 2024 OEG Term Loan. The net proceeds of the Incremental OEG Loan, together with cash on hand, were used to defease the Block 21 CMBS Loan (as defined below) in full, which releases the borrower thereunder from the $127.9 million amount outstanding under the Block 21 CMBS Loan. As amended by the Second Amendment, the OEG Credit Agreement provides for (i) a senior secured term loan facility in an aggregate principal amount equal to $428.5 million (the “OEG Term Loan”) and (ii) the OEG Revolver. The Incremental OEG Loan did not change any applicable interest rates or maturity dates of any indebtedness under the 2024 OEG Credit Agreement. In addition, the terms of the Incremental OEG Loan confirm that the annual amortization under the 2024 OEG Term Loan is approximately 1% of the refinanced $428.5 million outstanding principal amount, with the balance due at maturity.</w:t>
      </w:r>
    </w:p>
    <w:p>
      <w:pPr>
        <w:spacing w:after="0" w:line="165"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At June 30, 2025, $427.4 million was outstanding under the OEG Term Loan, and there were no amounts outstanding under the OEG Revolver.</w:t>
      </w:r>
    </w:p>
    <w:p>
      <w:pPr>
        <w:spacing w:after="0" w:line="121" w:lineRule="exact"/>
        <w:rPr>
          <w:sz w:val="20"/>
          <w:szCs w:val="20"/>
          <w:color w:val="auto"/>
        </w:rPr>
      </w:pPr>
    </w:p>
    <w:p>
      <w:pPr>
        <w:ind w:left="60" w:right="79"/>
        <w:spacing w:after="0" w:line="272" w:lineRule="auto"/>
        <w:rPr>
          <w:sz w:val="20"/>
          <w:szCs w:val="20"/>
          <w:color w:val="auto"/>
        </w:rPr>
      </w:pPr>
      <w:r>
        <w:rPr>
          <w:rFonts w:ascii="Times New Roman" w:cs="Times New Roman" w:eastAsia="Times New Roman" w:hAnsi="Times New Roman"/>
          <w:sz w:val="17"/>
          <w:szCs w:val="17"/>
          <w:color w:val="auto"/>
        </w:rPr>
        <w:t>The OEG Term Loan and the OEG Revolver are each secured by substantially all of the assets of OEG Finance and each of its subsidiaries. The OEG Term Loan bears interest at a rate equal to either, at OEG Borrower’s election, as of the closing contemplated by the OEG Credit Agreement: (a) the Alternate Base Rate plus 2.50% or (b) Adjusted Term SOFR plus</w:t>
      </w:r>
    </w:p>
    <w:p>
      <w:pPr>
        <w:spacing w:after="0" w:line="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3.50% (all as more specifically described in the OEG Credit Agreement). In November 2022, OEG entered into an interest rate swap to fix the SOFR portion of the interest rate on $100.0 million of borrowings at 4.533% through December 2025. Borrowings under the OEG Revolver bear interest at a rate equal to either, at OEG Borrower’s election, as of the closing contemplated by the OEG Credit Agreement: (a) the Alternate Base Rate plus the Applicable Rate (as defined in the OEG Credit Agreement) or (b) Adjusted Term SOFR plus the Applicable Rate. Under the OEG Credit Agreement, (i) the Applicable Rate for Alternative Base Rate loans will be between 2.75% and 2.25% and (ii) the Applicable Rate for Adjusted Term SOFR loans will be between 3.75% and 3.25%, in each of (i) and (ii) based upon the First Lien Leverage Ratio of OEG Finance and its consolidated subsidiaries (as more specifically described in the OEG Credit Agreement). The Applicable Rate for borrowings under the OEG Revolver as of June 30, 2025 is 2.25% for Alternative Base Rate Loans and 3.25% for Adjusted Term SOFR loans. The Applicable Rate for borrowings under the OEG Term Loan as of June 30, 2025 is 2.50% for Alternative Base Rate Loans and 3.50% for Adjusted Term SOFR loans.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OEG Term Loan matures on June 28, 2031 and the OEG Revolver matures on June 28, 2029.</w:t>
      </w:r>
    </w:p>
    <w:p>
      <w:pPr>
        <w:spacing w:after="0" w:line="19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In connection with the purchase of Block 21 in May 2022, a subsidiary of the Company assumed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$136 million, ten-year, non-recourse term loan secured by a mortgage on Block 21 (the “Block 21 CMBS Loan”). The proceeds of the Incremental OEG Loan described above were used to defease the Block 21 CMBS Loan in full in April 2025.</w:t>
      </w:r>
    </w:p>
    <w:p>
      <w:pPr>
        <w:spacing w:after="0" w:line="139"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198" w:lineRule="exact"/>
        <w:rPr>
          <w:sz w:val="20"/>
          <w:szCs w:val="20"/>
          <w:color w:val="auto"/>
        </w:rPr>
      </w:pPr>
    </w:p>
    <w:p>
      <w:pPr>
        <w:ind w:left="720" w:right="35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2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198" w:lineRule="exact"/>
        <w:rPr>
          <w:sz w:val="20"/>
          <w:szCs w:val="20"/>
          <w:color w:val="auto"/>
        </w:rPr>
      </w:pPr>
    </w:p>
    <w:p>
      <w:pPr>
        <w:ind w:left="720" w:right="19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18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Based on the stated interest rates on our fixed-rate debt and the rates in effect at June 30, 2025 for our variable-rate debt after considering interest rate swaps, our estimated interest obligations through 2029 are $949.3 million. These estimated obligations are $123.4 million for the remainder of 2025, $246.5 million in 2026, $239.0 million in 2027, $198.9 million in 2028, and $141.6 million in 2029.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2024 for a discussion of the interest we paid during 2024, 2023 and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87"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Inflation has had a more meaningful impact on our business during recent periods than in historical periods. However, favorable ADR and outside-the-room spend in our Hospitality segment and business levels in our Entertainment segment in recent periods have reduced the impact of increased operating costs on our financial position and results of operations.</w:t>
      </w:r>
    </w:p>
    <w:p>
      <w:pPr>
        <w:spacing w:after="0" w:line="135" w:lineRule="exact"/>
        <w:rPr>
          <w:sz w:val="20"/>
          <w:szCs w:val="20"/>
          <w:color w:val="auto"/>
        </w:rPr>
      </w:pPr>
    </w:p>
    <w:p>
      <w:pPr>
        <w:jc w:val="both"/>
        <w:ind w:left="60" w:right="339"/>
        <w:spacing w:after="0" w:line="261" w:lineRule="auto"/>
        <w:rPr>
          <w:sz w:val="20"/>
          <w:szCs w:val="20"/>
          <w:color w:val="auto"/>
        </w:rPr>
      </w:pPr>
      <w:r>
        <w:rPr>
          <w:rFonts w:ascii="Times New Roman" w:cs="Times New Roman" w:eastAsia="Times New Roman" w:hAnsi="Times New Roman"/>
          <w:sz w:val="18"/>
          <w:szCs w:val="18"/>
          <w:color w:val="auto"/>
        </w:rPr>
        <w:t>Additionally, increased interest rates have driven higher interest expense on our debt than in historical periods, although interest rates on our debt have decreased in the 2025 period, as compared to the 2024 period. In an effort to mitigate the impact of increased interest rates, at June 30, 2025, 85% of our outstanding debt is fixed-rate debt, after considering the impact of interest rate swaps.</w:t>
      </w:r>
    </w:p>
    <w:p>
      <w:pPr>
        <w:spacing w:after="0" w:line="153"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 prolonged inflationary environment could adversely affect our operating costs, customer spending and bookings, and our financial results.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18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$1 Billion 6.50% Senior Notes, $700 Million 4.75% Senior Notes, $625 Million 6.50% Senior Notes, $600 Million 4.50% Senior Notes and $400 Million 7.25% Senior Notes were each issued by the Operating Partnership and Finco (collectively, the “Issuers”), and are guaranteed on a senior unsecured basis by the Company (as the parent company), each of the Operating Partnership’s subsidiaries that own the Gaylord Hotels properties, the JW Marriott properties and certain other of the Company’s subsidiaries, each of which also guarantees the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these senior notes, and the guarantees are structurally subordinated to all indebtedness and other obligations of such subsidiaries that have not guaranteed these senior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4,011,098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4,011,098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payables due to non-guarantor subsidiaries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3,842,065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4,085,751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Total noncontrolling interest</w:t>
            </w: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GAAP. Certain of our accounting policies, including those related to impairment of long-lived and other assets, credit losses on financial assets, income taxes,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2024. There were no newly identified critical accounting policies in the first six months of 2025, nor were there any material changes to the critical accounting policies and estimates discussed in our Annual Report on Form 10-K for the year ended December 31, 2024.</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market risks since December 31, 2024. For a discussion of the Company’s exposure to market risk, refer to the Company’s market risk disclosures set forth in Part II, Item 7A. “Quantitative and Qualitative Disclosures About Market Risk” of the Company’s Annual Report on Form 10-K for the year ended December 31, 2024.</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49"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9" w:lineRule="exact"/>
        <w:rPr>
          <w:sz w:val="20"/>
          <w:szCs w:val="20"/>
          <w:color w:val="auto"/>
        </w:rPr>
      </w:pPr>
    </w:p>
    <w:p>
      <w:pPr>
        <w:ind w:left="60" w:right="139"/>
        <w:spacing w:after="0" w:line="281" w:lineRule="auto"/>
        <w:rPr>
          <w:sz w:val="20"/>
          <w:szCs w:val="20"/>
          <w:color w:val="auto"/>
        </w:rPr>
      </w:pPr>
      <w:r>
        <w:rPr>
          <w:rFonts w:ascii="Times New Roman" w:cs="Times New Roman" w:eastAsia="Times New Roman" w:hAnsi="Times New Roman"/>
          <w:sz w:val="17"/>
          <w:szCs w:val="17"/>
          <w:color w:val="auto"/>
        </w:rPr>
        <w:t>On June 10, 2025, we acquired JW Marriott Desert Ridge. We are currently in the process of assessing JW Marriott Desert Ridge’s internal control over financial reporting and integrating the entity’s internal control over financial reporting with our existing internal control over financial reporting. As permitted by SEC regulations, we intend to exclude JW Marriott Desert Ridge from our assessment of internal control over financial reporting as of December 31, 2025.</w:t>
      </w:r>
    </w:p>
    <w:p>
      <w:pPr>
        <w:spacing w:after="0" w:line="1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litigation in the ordinary course, as described in Note 13, “Commitments and Contingencies,” to our condensed consolidated financial statements included herein and which our management deems will not have a material effect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there have been no material changes from the risk factors disclosed in Part I, Item 1A, “Risk Factors,” of our Annual Report on Form 10-K for the year ended December 31, 2024.</w:t>
      </w:r>
    </w:p>
    <w:p>
      <w:pPr>
        <w:spacing w:after="0" w:line="117"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operating results may suffer if we are unsuccessful in integrating JW Marriott Desert Ridge with our existing assets</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If we are unable to successfully integrate JW Marriott Desert Ridge with our other assets in an efficient and effective manner, the anticipated benefits of the JW Marriott Desert Ridge transaction may not be fully realized, or at all, or may take longer to realize than expected and may not meet estimated growth projections or expectations. Further, we may not achieve the projected efficiencies and synergies once we have fully integrated JW Marriott Desert Ridge into our operations, which may lead to additional costs not anticipated at the time of the JW Marriott Desert Ridge transaction. An inability to realize the full extent of the anticipated benefits of the JW Marriott Desert Ridge transaction or any delays encountered in the integration process could have an adverse effect on our results of operations, cash flows and financial position.</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Integrating JW Marriott Desert Ridge may be more difficult, costly or time consuming than expected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The integrations of JW Marriott Desert Ridge with our other assets will require the dedication of significant management resources, which may distract management’s attention from day-to-day business operations. Phoenix, Arizona is a new market for us, and our relative unfamiliarity with the market may result in our having to devote additional time and expense to gain familiarity with the market and effectively manage this asset. Many of these factors will be outside of our control and any one of them could result in delays, increased costs, decreases in revenues and diversion of management’s time and energy from ongoing business concerns, which could materially affect our results of operations, cash flows and financial position.</w:t>
      </w:r>
    </w:p>
    <w:p>
      <w:pPr>
        <w:spacing w:after="0" w:line="144"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Each of our Gaylord Hotels properties and JW Marriott properties operate under a brand owned by Marriott; therefore, we are subject to risks associated with concentrating our hotel portfolio in brands owned by Marriott</w:t>
      </w:r>
      <w:r>
        <w:rPr>
          <w:rFonts w:ascii="Times New Roman" w:cs="Times New Roman" w:eastAsia="Times New Roman" w:hAnsi="Times New Roman"/>
          <w:sz w:val="18"/>
          <w:szCs w:val="18"/>
          <w:b w:val="1"/>
          <w:bCs w:val="1"/>
          <w:color w:val="auto"/>
        </w:rPr>
        <w:t>.</w:t>
      </w:r>
    </w:p>
    <w:p>
      <w:pPr>
        <w:spacing w:after="0" w:line="132"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Each of our hotel properties are managed by Marriott under Marriott-owned brands. As a result, our success is dependent in part on the continued success of Marriott and, in particular, the Gaylord Hotels and JW Marriott brands. Consequently, if market recognition or the positive perception of Marriott is reduced or compromised, the goodwill associated with the Gaylord Hotels properties and JW Marriott properties in our portfolio may be adversely affected,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which could negatively impact our results of operations, cash flows, financial position and our ability to service debt and make distributions to our stockholders.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30, 2025, none of our directors or officers (as defined in Rule 16a-1(f) of the Exchange Act) adopted or terminated a “Rule 10b5-1 trading arrangement” or “non-Rule 10b5-1 trading arrangement” (in each case,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17"/>
          </w:tcPr>
          <w:p>
            <w:pPr>
              <w:ind w:left="30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Amended and Restated Certificate of Incorporation of Ryman Hospitality Properties, Inc.</w:t>
              </w:r>
            </w:hyperlink>
          </w:p>
        </w:tc>
        <w:tc>
          <w:tcPr>
            <w:tcW w:w="1000" w:type="dxa"/>
            <w:vAlign w:val="bottom"/>
            <w:gridSpan w:val="11"/>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0"/>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October 1, 2012).</w:t>
              </w:r>
            </w:hyperlink>
          </w:p>
        </w:tc>
        <w:tc>
          <w:tcPr>
            <w:tcW w:w="5460" w:type="dxa"/>
            <w:vAlign w:val="bottom"/>
            <w:tcBorders>
              <w:top w:val="single" w:sz="8" w:color="0000EE"/>
            </w:tcBorders>
            <w:gridSpan w:val="9"/>
          </w:tcPr>
          <w:p>
            <w:pPr>
              <w:spacing w:after="0"/>
              <w:rPr>
                <w:sz w:val="17"/>
                <w:szCs w:val="17"/>
                <w:color w:val="auto"/>
              </w:rPr>
            </w:pPr>
          </w:p>
        </w:tc>
        <w:tc>
          <w:tcPr>
            <w:tcW w:w="700" w:type="dxa"/>
            <w:vAlign w:val="bottom"/>
            <w:gridSpan w:val="9"/>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6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Second Amended and Restated Bylaws of Ryman Hospitality Properties, Inc. (incorporated by</w:t>
              </w:r>
            </w:hyperlink>
          </w:p>
        </w:tc>
        <w:tc>
          <w:tcPr>
            <w:tcW w:w="62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reference to Exhibit 3.2 to the Company’s Annual Report on Form 10-K filed February 24, 2023).</w:t>
              </w:r>
            </w:hyperlink>
          </w:p>
        </w:tc>
        <w:tc>
          <w:tcPr>
            <w:tcW w:w="380" w:type="dxa"/>
            <w:vAlign w:val="bottom"/>
            <w:gridSpan w:val="5"/>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70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Indenture, dated as of June 4, 2025, among RHP Hotel Properties, LP, RHP Finance Corporation,</w:t>
              </w:r>
            </w:hyperlink>
          </w:p>
        </w:tc>
        <w:tc>
          <w:tcPr>
            <w:tcW w:w="42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0"/>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Ryman Hospitality Properties, Inc., as a guarantor, each of the other guarantors named therein and</w:t>
              </w:r>
            </w:hyperlink>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U.S. Bank Trust Company, National Association, as trustee (incorporated by reference to Exhibit 4.1</w:t>
              </w:r>
            </w:hyperlink>
          </w:p>
        </w:tc>
        <w:tc>
          <w:tcPr>
            <w:tcW w:w="18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0"/>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to the Company’s Current Report on Form 8-K filed June 4, 2025).</w:t>
              </w:r>
            </w:hyperlink>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71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Form of 6.500% Senior Note due 2033 (incorporated by reference to Exhibit A to Exhibit 4.1 to the</w:t>
              </w:r>
            </w:hyperlink>
          </w:p>
        </w:tc>
        <w:tc>
          <w:tcPr>
            <w:tcW w:w="26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Company’s Current Report on Form 8-K filed June 4, 2025).</w:t>
              </w:r>
            </w:hyperlink>
          </w:p>
        </w:tc>
        <w:tc>
          <w:tcPr>
            <w:tcW w:w="3060" w:type="dxa"/>
            <w:vAlign w:val="bottom"/>
            <w:gridSpan w:val="16"/>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73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Agreement of Purchase and Sale, dated as of May 19, 2025, by and between DRPhoenix Hotel Owner</w:t>
              </w:r>
            </w:hyperlink>
          </w:p>
        </w:tc>
        <w:tc>
          <w:tcPr>
            <w:tcW w:w="8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20"/>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LLC, as Seller, and RHP Property AR, LLC, as Buyer (incorporated by reference to Exhibit 10.1 to the</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Company’s Current Report on Form 8-K filed May 19, 2025).</w:t>
              </w:r>
            </w:hyperlink>
          </w:p>
        </w:tc>
        <w:tc>
          <w:tcPr>
            <w:tcW w:w="20" w:type="dxa"/>
            <w:vAlign w:val="bottom"/>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List of Parent and Subsidiary Guarantors.</w:t>
            </w:r>
          </w:p>
        </w:tc>
        <w:tc>
          <w:tcPr>
            <w:tcW w:w="1460" w:type="dxa"/>
            <w:vAlign w:val="bottom"/>
            <w:tcBorders>
              <w:top w:val="single" w:sz="8" w:color="0000EE"/>
            </w:tcBorders>
            <w:gridSpan w:val="2"/>
          </w:tcPr>
          <w:p>
            <w:pPr>
              <w:spacing w:after="0"/>
              <w:rPr>
                <w:sz w:val="17"/>
                <w:szCs w:val="17"/>
                <w:color w:val="auto"/>
              </w:rPr>
            </w:pPr>
          </w:p>
        </w:tc>
        <w:tc>
          <w:tcPr>
            <w:tcW w:w="2980" w:type="dxa"/>
            <w:vAlign w:val="bottom"/>
            <w:gridSpan w:val="15"/>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6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Mark Fioravanti pursuant to Section 302 of Sarbanes-Oxley Act of 2002.</w:t>
            </w:r>
          </w:p>
        </w:tc>
        <w:tc>
          <w:tcPr>
            <w:tcW w:w="1020" w:type="dxa"/>
            <w:vAlign w:val="bottom"/>
            <w:gridSpan w:val="12"/>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66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Jennifer Hutcheson pursuant to Section 302 of Sarbanes-Oxley Act of 2002.</w:t>
            </w:r>
          </w:p>
        </w:tc>
        <w:tc>
          <w:tcPr>
            <w:tcW w:w="800" w:type="dxa"/>
            <w:vAlign w:val="bottom"/>
            <w:gridSpan w:val="10"/>
          </w:tcPr>
          <w:p>
            <w:pPr>
              <w:spacing w:after="0"/>
              <w:rPr>
                <w:sz w:val="17"/>
                <w:szCs w:val="17"/>
                <w:color w:val="auto"/>
              </w:rPr>
            </w:pPr>
          </w:p>
        </w:tc>
      </w:tr>
      <w:tr>
        <w:trPr>
          <w:trHeight w:val="196"/>
        </w:trPr>
        <w:tc>
          <w:tcPr>
            <w:tcW w:w="124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7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Mark Fioravanti and Jennifer Hutcheson pursuant to 18 U.S.C. Section 1350, as</w:t>
            </w: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Sarbanes-Oxley Act of 2002.</w:t>
            </w:r>
          </w:p>
        </w:tc>
        <w:tc>
          <w:tcPr>
            <w:tcW w:w="540" w:type="dxa"/>
            <w:vAlign w:val="bottom"/>
            <w:gridSpan w:val="7"/>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60" w:type="dxa"/>
            <w:vAlign w:val="bottom"/>
            <w:gridSpan w:val="6"/>
            <w:shd w:val="clear" w:color="auto" w:fill="0000EE"/>
          </w:tcPr>
          <w:p>
            <w:pPr>
              <w:spacing w:after="0" w:line="20" w:lineRule="exact"/>
              <w:rPr>
                <w:sz w:val="1"/>
                <w:szCs w:val="1"/>
                <w:color w:val="auto"/>
              </w:rPr>
            </w:pPr>
          </w:p>
        </w:tc>
        <w:tc>
          <w:tcPr>
            <w:tcW w:w="2780" w:type="dxa"/>
            <w:vAlign w:val="bottom"/>
            <w:gridSpan w:val="14"/>
          </w:tcPr>
          <w:p>
            <w:pPr>
              <w:spacing w:after="0" w:line="20" w:lineRule="exact"/>
              <w:rPr>
                <w:sz w:val="1"/>
                <w:szCs w:val="1"/>
                <w:color w:val="auto"/>
              </w:rPr>
            </w:pPr>
          </w:p>
        </w:tc>
      </w:tr>
      <w:tr>
        <w:trPr>
          <w:trHeight w:val="218"/>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following materials from Ryman Hospitality Properties, Inc.’s Quarterly Report on Form 10-Q for</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quarterly period ended June 30, 2025, formatted in Inline XBRL (eXtensible Business Reporting</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Language): (i) Condensed Consolidated Balance Sheets (unaudited) at June 30, 2025 and December</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31, 2024, (ii) Condensed Consolidated Statements of Operations and Comprehensive Income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(unaudited) for the three and six months ended June 30, 2025 and 2024, (iii) Condensed Consolidated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Statements of Cash Flows (unaudited) for the six months ended June 30, 2025 and 2024, (iv)</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Condensed Consolidated Statements of Equity and Noncontrolling Interest (unaudited) for the three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and six months ended June 30, 2025 and 2024, and (v) Notes To Condensed Consolidated Financial</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Statements (unaudited).</w:t>
            </w:r>
          </w:p>
        </w:tc>
      </w:tr>
      <w:tr>
        <w:trPr>
          <w:trHeight w:val="234"/>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60" w:hanging="310"/>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jc w:val="both"/>
        <w:ind w:left="380" w:right="359" w:hanging="330"/>
        <w:spacing w:after="0" w:line="255"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have been omitted in reliance on Item 601(a)(5) of Regulation S-K. The Company will provide, on a supplemental basis, a copy of any omitted schedule or attachment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8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58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191"/>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040" w:type="dxa"/>
            <w:vAlign w:val="bottom"/>
          </w:tcPr>
          <w:p>
            <w:pPr>
              <w:spacing w:after="0"/>
              <w:rPr>
                <w:sz w:val="24"/>
                <w:szCs w:val="24"/>
                <w:color w:val="auto"/>
              </w:rPr>
            </w:pPr>
          </w:p>
        </w:tc>
        <w:tc>
          <w:tcPr>
            <w:tcW w:w="58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By:/s/ Jennifer Hutcheson</w:t>
            </w:r>
          </w:p>
        </w:tc>
      </w:tr>
      <w:tr>
        <w:trPr>
          <w:trHeight w:val="191"/>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3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34"/>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List of Parent and Subsidiary Guarantors</w:t>
      </w:r>
    </w:p>
    <w:p>
      <w:pPr>
        <w:spacing w:after="0" w:line="305" w:lineRule="exact"/>
        <w:rPr>
          <w:sz w:val="20"/>
          <w:szCs w:val="20"/>
          <w:color w:val="auto"/>
        </w:rPr>
      </w:pPr>
    </w:p>
    <w:p>
      <w:pPr>
        <w:ind w:left="200" w:right="399"/>
        <w:spacing w:after="0" w:line="276" w:lineRule="auto"/>
        <w:rPr>
          <w:sz w:val="20"/>
          <w:szCs w:val="20"/>
          <w:color w:val="auto"/>
        </w:rPr>
      </w:pPr>
      <w:r>
        <w:rPr>
          <w:rFonts w:ascii="Times New Roman" w:cs="Times New Roman" w:eastAsia="Times New Roman" w:hAnsi="Times New Roman"/>
          <w:sz w:val="21"/>
          <w:szCs w:val="21"/>
          <w:color w:val="auto"/>
        </w:rPr>
        <w:t>Ryman Hospitality Properties, Inc., a Delaware corporation (the “Company”), as the parent company, serves as guarantor, and each of the below listed subsidiaries of the Company serves as an issuer or guarantor, as applicable, for the Company’s (i) 4.75% Senior Notes due 2027, (ii)</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7.25% Senior Notes due 2028, (iii) 4.50% Senior Notes due 2029, (iv) 6.50% Senior Notes due</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2032 and (v) 6.50% Senior Notes due 2033.</w:t>
      </w:r>
    </w:p>
    <w:p>
      <w:pPr>
        <w:spacing w:after="0" w:line="304"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Exact Name of Subsidiary</w:t>
            </w:r>
          </w:p>
        </w:tc>
        <w:tc>
          <w:tcPr>
            <w:tcW w:w="48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7"/>
              </w:rPr>
              <w:t>Jurisdiction of Organization</w:t>
            </w: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Type of Obligor</w:t>
            </w:r>
          </w:p>
        </w:tc>
      </w:tr>
      <w:tr>
        <w:trPr>
          <w:trHeight w:val="290"/>
        </w:trPr>
        <w:tc>
          <w:tcPr>
            <w:tcW w:w="80" w:type="dxa"/>
            <w:vAlign w:val="bottom"/>
          </w:tcPr>
          <w:p>
            <w:pPr>
              <w:spacing w:after="0"/>
              <w:rPr>
                <w:sz w:val="24"/>
                <w:szCs w:val="24"/>
                <w:color w:val="auto"/>
              </w:rPr>
            </w:pPr>
          </w:p>
        </w:tc>
        <w:tc>
          <w:tcPr>
            <w:tcW w:w="2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RHP Hotel Properties, LP</w:t>
            </w:r>
          </w:p>
        </w:tc>
        <w:tc>
          <w:tcPr>
            <w:tcW w:w="480" w:type="dxa"/>
            <w:vAlign w:val="bottom"/>
          </w:tcPr>
          <w:p>
            <w:pPr>
              <w:spacing w:after="0"/>
              <w:rPr>
                <w:sz w:val="24"/>
                <w:szCs w:val="24"/>
                <w:color w:val="auto"/>
              </w:rPr>
            </w:pP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Delaware</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Issuer</w:t>
            </w:r>
          </w:p>
        </w:tc>
        <w:tc>
          <w:tcPr>
            <w:tcW w:w="680" w:type="dxa"/>
            <w:vAlign w:val="bottom"/>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Finance Corporation</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Issuer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Opryland Hospitality,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Tennessee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Hotels,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Partner,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AR,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GP, LP</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Florida</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GT,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GT, LP</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NH,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Maryland</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 Property SA,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RHPAHP, LLC</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70"/>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Aurora Convention Center</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82"/>
        </w:trPr>
        <w:tc>
          <w:tcPr>
            <w:tcW w:w="8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Hotel Investors, LLC</w:t>
            </w: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1"/>
        </w:trPr>
        <w:tc>
          <w:tcPr>
            <w:tcW w:w="80" w:type="dxa"/>
            <w:vAlign w:val="bottom"/>
          </w:tcPr>
          <w:p>
            <w:pPr>
              <w:spacing w:after="0"/>
              <w:rPr>
                <w:sz w:val="23"/>
                <w:szCs w:val="23"/>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Aurora Convention Center</w:t>
            </w:r>
          </w:p>
        </w:tc>
        <w:tc>
          <w:tcPr>
            <w:tcW w:w="3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c>
          <w:tcPr>
            <w:tcW w:w="256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Guarantor</w:t>
            </w:r>
          </w:p>
        </w:tc>
      </w:tr>
      <w:tr>
        <w:trPr>
          <w:trHeight w:val="282"/>
        </w:trPr>
        <w:tc>
          <w:tcPr>
            <w:tcW w:w="8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Hotel, LLC</w:t>
            </w:r>
          </w:p>
        </w:tc>
        <w:tc>
          <w:tcPr>
            <w:tcW w:w="2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19"/>
        </w:trPr>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2"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25"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60" w:hanging="564"/>
        <w:spacing w:after="0" w:line="261" w:lineRule="auto"/>
        <w:tabs>
          <w:tab w:leader="none" w:pos="12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20" w:right="180" w:hanging="564"/>
        <w:spacing w:after="0" w:line="289" w:lineRule="auto"/>
        <w:tabs>
          <w:tab w:leader="none" w:pos="12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220" w:right="40" w:hanging="564"/>
        <w:spacing w:after="0" w:line="266" w:lineRule="auto"/>
        <w:tabs>
          <w:tab w:leader="none" w:pos="12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20" w:right="180" w:hanging="564"/>
        <w:spacing w:after="0" w:line="261" w:lineRule="auto"/>
        <w:tabs>
          <w:tab w:leader="none" w:pos="12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220" w:right="60" w:hanging="564"/>
        <w:spacing w:after="0" w:line="266" w:lineRule="auto"/>
        <w:tabs>
          <w:tab w:leader="none" w:pos="12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220" w:right="340" w:hanging="564"/>
        <w:spacing w:after="0" w:line="282" w:lineRule="auto"/>
        <w:tabs>
          <w:tab w:leader="none" w:pos="12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 5, 2025</w:t>
            </w:r>
          </w:p>
        </w:tc>
      </w:tr>
      <w:tr>
        <w:trPr>
          <w:trHeight w:val="432"/>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Mark Fioravanti</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Mark Fioravanti</w:t>
            </w:r>
          </w:p>
        </w:tc>
        <w:tc>
          <w:tcPr>
            <w:tcW w:w="4720" w:type="dxa"/>
            <w:vAlign w:val="bottom"/>
          </w:tcPr>
          <w:p>
            <w:pPr>
              <w:spacing w:after="0"/>
              <w:rPr>
                <w:sz w:val="16"/>
                <w:szCs w:val="16"/>
                <w:color w:val="auto"/>
              </w:rPr>
            </w:pPr>
          </w:p>
        </w:tc>
      </w:t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76"/>
        </w:trPr>
        <w:tc>
          <w:tcPr>
            <w:tcW w:w="6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60" w:hanging="564"/>
        <w:spacing w:after="0" w:line="261" w:lineRule="auto"/>
        <w:tabs>
          <w:tab w:leader="none" w:pos="12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20" w:right="180" w:hanging="564"/>
        <w:spacing w:after="0" w:line="289" w:lineRule="auto"/>
        <w:tabs>
          <w:tab w:leader="none" w:pos="12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220" w:right="40" w:hanging="564"/>
        <w:spacing w:after="0" w:line="266" w:lineRule="auto"/>
        <w:tabs>
          <w:tab w:leader="none" w:pos="12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20" w:right="180" w:hanging="564"/>
        <w:spacing w:after="0" w:line="261" w:lineRule="auto"/>
        <w:tabs>
          <w:tab w:leader="none" w:pos="12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220" w:right="60" w:hanging="564"/>
        <w:spacing w:after="0" w:line="266" w:lineRule="auto"/>
        <w:tabs>
          <w:tab w:leader="none" w:pos="12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220" w:right="340" w:hanging="564"/>
        <w:spacing w:after="0" w:line="282" w:lineRule="auto"/>
        <w:tabs>
          <w:tab w:leader="none" w:pos="12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 5, 2025</w:t>
            </w:r>
          </w:p>
        </w:tc>
      </w:tr>
      <w:tr>
        <w:trPr>
          <w:trHeight w:val="432"/>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9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 Jennifer Hutcheson</w:t>
            </w:r>
          </w:p>
        </w:tc>
      </w:tr>
      <w:tr>
        <w:trPr>
          <w:trHeight w:val="191"/>
        </w:trPr>
        <w:tc>
          <w:tcPr>
            <w:tcW w:w="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c>
          <w:tcPr>
            <w:tcW w:w="5220" w:type="dxa"/>
            <w:vAlign w:val="bottom"/>
          </w:tcPr>
          <w:p>
            <w:pPr>
              <w:spacing w:after="0"/>
              <w:rPr>
                <w:sz w:val="16"/>
                <w:szCs w:val="16"/>
                <w:color w:val="auto"/>
              </w:rPr>
            </w:pPr>
          </w:p>
        </w:tc>
      </w:tr>
      <w:tr>
        <w:trPr>
          <w:trHeight w:val="216"/>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680" w:type="dxa"/>
            <w:vAlign w:val="bottom"/>
          </w:tcPr>
          <w:p>
            <w:pPr>
              <w:spacing w:after="0"/>
              <w:rPr>
                <w:sz w:val="20"/>
                <w:szCs w:val="20"/>
                <w:color w:val="auto"/>
              </w:rPr>
            </w:pPr>
          </w:p>
        </w:tc>
        <w:tc>
          <w:tcPr>
            <w:tcW w:w="9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Chief Accounting Officer</w:t>
            </w:r>
          </w:p>
        </w:tc>
      </w:tr>
      <w:tr>
        <w:trPr>
          <w:trHeight w:val="776"/>
        </w:trPr>
        <w:tc>
          <w:tcPr>
            <w:tcW w:w="6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Ryman Hospitality Properties, Inc. (the "Company") on Form 10-Q for the quarter ended June 30, 2025, as filed with the Securities and Exchange Commission on the date hereof (the "Report"), each of the undersigned certifies, pursuant to 18 U.S.C. § 1350, as adopted pursuant to §906 of the Sarbanes-Oxley Act of 2002, that:</w:t>
      </w:r>
    </w:p>
    <w:p>
      <w:pPr>
        <w:spacing w:after="0" w:line="176" w:lineRule="exact"/>
        <w:rPr>
          <w:sz w:val="20"/>
          <w:szCs w:val="20"/>
          <w:color w:val="auto"/>
        </w:rPr>
      </w:pPr>
    </w:p>
    <w:p>
      <w:pPr>
        <w:ind w:left="1260" w:hanging="604"/>
        <w:spacing w:after="0"/>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August 5, 2025</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ind w:left="1000" w:right="3140"/>
        <w:spacing w:after="0" w:line="260" w:lineRule="auto"/>
        <w:rPr>
          <w:sz w:val="20"/>
          <w:szCs w:val="20"/>
          <w:color w:val="auto"/>
        </w:rPr>
      </w:pPr>
      <w:r>
        <w:rPr>
          <w:rFonts w:ascii="Times New Roman" w:cs="Times New Roman" w:eastAsia="Times New Roman" w:hAnsi="Times New Roman"/>
          <w:sz w:val="18"/>
          <w:szCs w:val="18"/>
          <w:color w:val="auto"/>
        </w:rPr>
        <w:t>Executive Vice President, Chief Financial Officer and Chief Accounting Officer August 5, 2025</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lowerRoman"/>
      <w:start w:val="7"/>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upperLetter"/>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60" Type="http://schemas.openxmlformats.org/officeDocument/2006/relationships/hyperlink" Target="http://www.sec.gov/Archives/edgar/data/1040829/000119312512410191/d419132dex31.htm" TargetMode="External"/><Relationship Id="rId61" Type="http://schemas.openxmlformats.org/officeDocument/2006/relationships/hyperlink" Target="https://www.sec.gov/Archives/edgar/data/1040829/000155837023002012/rhp-20221231xex3d2.htm" TargetMode="External"/><Relationship Id="rId62" Type="http://schemas.openxmlformats.org/officeDocument/2006/relationships/hyperlink" Target="https://www.sec.gov/Archives/edgar/data/1040829/000110465925056397/tm2516966d1_ex4-1.htm" TargetMode="External"/><Relationship Id="rId63" Type="http://schemas.openxmlformats.org/officeDocument/2006/relationships/hyperlink" Target="https://www.sec.gov/Archives/edgar/data/1040829/000110465925056397/tm2516966d1_ex4-1.htm#a_001" TargetMode="External"/><Relationship Id="rId64" Type="http://schemas.openxmlformats.org/officeDocument/2006/relationships/hyperlink" Target="https://www.sec.gov/Archives/edgar/data/1040829/000110465925050453/tm251549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2025-08-05T11:21:13Z</dcterms:created>
  <dcterms:modified xsi:type="dcterms:W3CDTF">2025-08-05T11:21:13Z</dcterms:modified>
</cp:coreProperties>
</file>