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426085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ind w:right="-5"/>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2430145</wp:posOffset>
            </wp:positionH>
            <wp:positionV relativeFrom="paragraph">
              <wp:posOffset>125730</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362" w:lineRule="exact"/>
        <w:rPr>
          <w:sz w:val="24"/>
          <w:szCs w:val="24"/>
          <w:color w:val="auto"/>
        </w:rPr>
      </w:pPr>
    </w:p>
    <w:p>
      <w:pPr>
        <w:jc w:val="center"/>
        <w:ind w:right="-5"/>
        <w:spacing w:after="0"/>
        <w:rPr>
          <w:sz w:val="20"/>
          <w:szCs w:val="20"/>
          <w:color w:val="auto"/>
        </w:rPr>
      </w:pPr>
      <w:r>
        <w:rPr>
          <w:rFonts w:ascii="Arial" w:cs="Arial" w:eastAsia="Arial" w:hAnsi="Arial"/>
          <w:sz w:val="18"/>
          <w:szCs w:val="18"/>
          <w:b w:val="1"/>
          <w:bCs w:val="1"/>
          <w:color w:val="auto"/>
        </w:rPr>
        <w:t>FORM 10-K</w:t>
      </w:r>
    </w:p>
    <w:p>
      <w:pPr>
        <w:spacing w:after="0" w:line="90" w:lineRule="exact"/>
        <w:rPr>
          <w:sz w:val="24"/>
          <w:szCs w:val="24"/>
          <w:color w:val="auto"/>
        </w:rPr>
      </w:pPr>
    </w:p>
    <w:p>
      <w:pPr>
        <w:ind w:left="6"/>
        <w:spacing w:after="0"/>
        <w:rPr>
          <w:sz w:val="20"/>
          <w:szCs w:val="20"/>
          <w:color w:val="auto"/>
        </w:rPr>
      </w:pPr>
      <w:r>
        <w:rPr>
          <w:rFonts w:ascii="Arial" w:cs="Arial" w:eastAsia="Arial" w:hAnsi="Arial"/>
          <w:sz w:val="18"/>
          <w:szCs w:val="18"/>
          <w:b w:val="1"/>
          <w:bCs w:val="1"/>
          <w:color w:val="auto"/>
        </w:rPr>
        <w:t>(Mark One)</w:t>
      </w:r>
    </w:p>
    <w:p>
      <w:pPr>
        <w:spacing w:after="0" w:line="131" w:lineRule="exact"/>
        <w:rPr>
          <w:sz w:val="24"/>
          <w:szCs w:val="24"/>
          <w:color w:val="auto"/>
        </w:rPr>
      </w:pPr>
    </w:p>
    <w:p>
      <w:pPr>
        <w:ind w:left="346" w:hanging="346"/>
        <w:spacing w:after="0"/>
        <w:tabs>
          <w:tab w:leader="none" w:pos="346"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104" w:lineRule="exact"/>
        <w:rPr>
          <w:sz w:val="24"/>
          <w:szCs w:val="24"/>
          <w:color w:val="auto"/>
        </w:rPr>
      </w:pPr>
    </w:p>
    <w:p>
      <w:pPr>
        <w:ind w:left="346"/>
        <w:spacing w:after="0"/>
        <w:rPr>
          <w:sz w:val="20"/>
          <w:szCs w:val="20"/>
          <w:color w:val="auto"/>
        </w:rPr>
      </w:pPr>
      <w:r>
        <w:rPr>
          <w:rFonts w:ascii="Arial" w:cs="Arial" w:eastAsia="Arial" w:hAnsi="Arial"/>
          <w:sz w:val="18"/>
          <w:szCs w:val="18"/>
          <w:b w:val="1"/>
          <w:bCs w:val="1"/>
          <w:color w:val="auto"/>
        </w:rPr>
        <w:t>For the fiscal year ended December 31, 2021</w:t>
      </w:r>
    </w:p>
    <w:p>
      <w:pPr>
        <w:spacing w:after="0" w:line="104" w:lineRule="exact"/>
        <w:rPr>
          <w:sz w:val="24"/>
          <w:szCs w:val="24"/>
          <w:color w:val="auto"/>
        </w:rPr>
      </w:pPr>
    </w:p>
    <w:p>
      <w:pPr>
        <w:ind w:left="346" w:hanging="346"/>
        <w:spacing w:after="0"/>
        <w:tabs>
          <w:tab w:leader="none" w:pos="346"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04" w:lineRule="exact"/>
        <w:rPr>
          <w:sz w:val="24"/>
          <w:szCs w:val="24"/>
          <w:color w:val="auto"/>
        </w:rPr>
      </w:pPr>
    </w:p>
    <w:tbl>
      <w:tblPr>
        <w:tblLayout w:type="fixed"/>
        <w:tblInd w:w="346" w:type="dxa"/>
        <w:tblCellMar>
          <w:top w:w="0" w:type="dxa"/>
          <w:left w:w="0" w:type="dxa"/>
          <w:bottom w:w="0" w:type="dxa"/>
          <w:right w:w="0" w:type="dxa"/>
        </w:tblCellMar>
      </w:tblPr>
      <w:tr>
        <w:trPr>
          <w:trHeight w:val="216"/>
        </w:trPr>
        <w:tc>
          <w:tcPr>
            <w:tcW w:w="2340" w:type="dxa"/>
            <w:vAlign w:val="bottom"/>
            <w:gridSpan w:val="2"/>
          </w:tcPr>
          <w:p>
            <w:pPr>
              <w:spacing w:after="0"/>
              <w:rPr>
                <w:sz w:val="20"/>
                <w:szCs w:val="20"/>
                <w:color w:val="auto"/>
              </w:rPr>
            </w:pPr>
            <w:r>
              <w:rPr>
                <w:rFonts w:ascii="Arial" w:cs="Arial" w:eastAsia="Arial" w:hAnsi="Arial"/>
                <w:sz w:val="18"/>
                <w:szCs w:val="18"/>
                <w:b w:val="1"/>
                <w:bCs w:val="1"/>
                <w:color w:val="auto"/>
                <w:w w:val="91"/>
              </w:rPr>
              <w:t>For the transition period from</w:t>
            </w:r>
          </w:p>
        </w:tc>
        <w:tc>
          <w:tcPr>
            <w:tcW w:w="2040" w:type="dxa"/>
            <w:vAlign w:val="bottom"/>
            <w:gridSpan w:val="2"/>
          </w:tcPr>
          <w:p>
            <w:pPr>
              <w:ind w:left="540"/>
              <w:spacing w:after="0"/>
              <w:rPr>
                <w:sz w:val="20"/>
                <w:szCs w:val="20"/>
                <w:color w:val="auto"/>
              </w:rPr>
            </w:pPr>
            <w:r>
              <w:rPr>
                <w:rFonts w:ascii="Arial" w:cs="Arial" w:eastAsia="Arial" w:hAnsi="Arial"/>
                <w:sz w:val="18"/>
                <w:szCs w:val="18"/>
                <w:b w:val="1"/>
                <w:bCs w:val="1"/>
                <w:color w:val="auto"/>
              </w:rPr>
              <w:t>to</w:t>
            </w: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234"/>
        </w:trPr>
        <w:tc>
          <w:tcPr>
            <w:tcW w:w="7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040" w:type="dxa"/>
            <w:vAlign w:val="bottom"/>
            <w:gridSpan w:val="5"/>
          </w:tcPr>
          <w:p>
            <w:pPr>
              <w:jc w:val="center"/>
              <w:ind w:left="715"/>
              <w:spacing w:after="0"/>
              <w:rPr>
                <w:sz w:val="20"/>
                <w:szCs w:val="20"/>
                <w:color w:val="auto"/>
              </w:rPr>
            </w:pPr>
            <w:r>
              <w:rPr>
                <w:rFonts w:ascii="Arial" w:cs="Arial" w:eastAsia="Arial" w:hAnsi="Arial"/>
                <w:sz w:val="18"/>
                <w:szCs w:val="18"/>
                <w:b w:val="1"/>
                <w:bCs w:val="1"/>
                <w:color w:val="auto"/>
                <w:w w:val="89"/>
              </w:rPr>
              <w:t>Commission File No. 1-13079</w:t>
            </w:r>
          </w:p>
        </w:tc>
        <w:tc>
          <w:tcPr>
            <w:tcW w:w="2440" w:type="dxa"/>
            <w:vAlign w:val="bottom"/>
          </w:tcPr>
          <w:p>
            <w:pPr>
              <w:spacing w:after="0"/>
              <w:rPr>
                <w:sz w:val="20"/>
                <w:szCs w:val="20"/>
                <w:color w:val="auto"/>
              </w:rPr>
            </w:pPr>
          </w:p>
        </w:tc>
      </w:tr>
      <w:tr>
        <w:trPr>
          <w:trHeight w:val="301"/>
        </w:trPr>
        <w:tc>
          <w:tcPr>
            <w:tcW w:w="7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480" w:type="dxa"/>
            <w:vAlign w:val="bottom"/>
            <w:gridSpan w:val="6"/>
          </w:tcPr>
          <w:p>
            <w:pPr>
              <w:jc w:val="center"/>
              <w:ind w:right="1535"/>
              <w:spacing w:after="0"/>
              <w:rPr>
                <w:sz w:val="20"/>
                <w:szCs w:val="20"/>
                <w:color w:val="auto"/>
              </w:rPr>
            </w:pPr>
            <w:r>
              <w:rPr>
                <w:rFonts w:ascii="Arial" w:cs="Arial" w:eastAsia="Arial" w:hAnsi="Arial"/>
                <w:sz w:val="18"/>
                <w:szCs w:val="18"/>
                <w:b w:val="1"/>
                <w:bCs w:val="1"/>
                <w:color w:val="auto"/>
              </w:rPr>
              <w:t>RYMAN HOSPITALITY PROPERTIES, INC.</w:t>
            </w:r>
          </w:p>
        </w:tc>
      </w:tr>
      <w:tr>
        <w:trPr>
          <w:trHeight w:val="206"/>
        </w:trPr>
        <w:tc>
          <w:tcPr>
            <w:tcW w:w="7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480" w:type="dxa"/>
            <w:vAlign w:val="bottom"/>
            <w:gridSpan w:val="6"/>
          </w:tcPr>
          <w:p>
            <w:pPr>
              <w:jc w:val="center"/>
              <w:ind w:right="1555"/>
              <w:spacing w:after="0"/>
              <w:rPr>
                <w:sz w:val="20"/>
                <w:szCs w:val="20"/>
                <w:color w:val="auto"/>
              </w:rPr>
            </w:pPr>
            <w:r>
              <w:rPr>
                <w:rFonts w:ascii="Arial" w:cs="Arial" w:eastAsia="Arial" w:hAnsi="Arial"/>
                <w:sz w:val="16"/>
                <w:szCs w:val="16"/>
                <w:i w:val="1"/>
                <w:iCs w:val="1"/>
                <w:color w:val="auto"/>
                <w:w w:val="92"/>
              </w:rPr>
              <w:t>(Exact Name of Registrant as Specified in Its Charter)</w:t>
            </w:r>
          </w:p>
        </w:tc>
      </w:tr>
      <w:tr>
        <w:trPr>
          <w:trHeight w:val="293"/>
        </w:trPr>
        <w:tc>
          <w:tcPr>
            <w:tcW w:w="7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40" w:type="dxa"/>
            <w:vAlign w:val="bottom"/>
            <w:gridSpan w:val="2"/>
          </w:tcPr>
          <w:p>
            <w:pPr>
              <w:jc w:val="center"/>
              <w:ind w:right="1260"/>
              <w:spacing w:after="0"/>
              <w:rPr>
                <w:sz w:val="20"/>
                <w:szCs w:val="20"/>
                <w:color w:val="auto"/>
              </w:rPr>
            </w:pPr>
            <w:r>
              <w:rPr>
                <w:rFonts w:ascii="Arial" w:cs="Arial" w:eastAsia="Arial" w:hAnsi="Arial"/>
                <w:sz w:val="16"/>
                <w:szCs w:val="16"/>
                <w:b w:val="1"/>
                <w:bCs w:val="1"/>
                <w:color w:val="auto"/>
                <w:w w:val="93"/>
              </w:rPr>
              <w:t>Delaware</w:t>
            </w: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40" w:type="dxa"/>
            <w:vAlign w:val="bottom"/>
          </w:tcPr>
          <w:p>
            <w:pPr>
              <w:jc w:val="right"/>
              <w:ind w:right="1535"/>
              <w:spacing w:after="0"/>
              <w:rPr>
                <w:sz w:val="20"/>
                <w:szCs w:val="20"/>
                <w:color w:val="auto"/>
              </w:rPr>
            </w:pPr>
            <w:r>
              <w:rPr>
                <w:rFonts w:ascii="Arial" w:cs="Arial" w:eastAsia="Arial" w:hAnsi="Arial"/>
                <w:sz w:val="16"/>
                <w:szCs w:val="16"/>
                <w:b w:val="1"/>
                <w:bCs w:val="1"/>
                <w:color w:val="auto"/>
                <w:w w:val="93"/>
              </w:rPr>
              <w:t>73-0664379</w:t>
            </w:r>
          </w:p>
        </w:tc>
      </w:tr>
      <w:tr>
        <w:trPr>
          <w:trHeight w:val="206"/>
        </w:trPr>
        <w:tc>
          <w:tcPr>
            <w:tcW w:w="4880" w:type="dxa"/>
            <w:vAlign w:val="bottom"/>
            <w:gridSpan w:val="5"/>
          </w:tcPr>
          <w:p>
            <w:pPr>
              <w:jc w:val="center"/>
              <w:ind w:left="475"/>
              <w:spacing w:after="0"/>
              <w:rPr>
                <w:sz w:val="20"/>
                <w:szCs w:val="20"/>
                <w:color w:val="auto"/>
              </w:rPr>
            </w:pPr>
            <w:r>
              <w:rPr>
                <w:rFonts w:ascii="Arial" w:cs="Arial" w:eastAsia="Arial" w:hAnsi="Arial"/>
                <w:sz w:val="16"/>
                <w:szCs w:val="16"/>
                <w:i w:val="1"/>
                <w:iCs w:val="1"/>
                <w:color w:val="auto"/>
                <w:w w:val="95"/>
              </w:rPr>
              <w:t>(State or Other Jurisdiction of Incorporation or Organization)</w:t>
            </w:r>
          </w:p>
        </w:tc>
        <w:tc>
          <w:tcPr>
            <w:tcW w:w="3940" w:type="dxa"/>
            <w:vAlign w:val="bottom"/>
            <w:gridSpan w:val="3"/>
          </w:tcPr>
          <w:p>
            <w:pPr>
              <w:jc w:val="center"/>
              <w:spacing w:after="0"/>
              <w:rPr>
                <w:sz w:val="20"/>
                <w:szCs w:val="20"/>
                <w:color w:val="auto"/>
              </w:rPr>
            </w:pPr>
            <w:r>
              <w:rPr>
                <w:rFonts w:ascii="Arial" w:cs="Arial" w:eastAsia="Arial" w:hAnsi="Arial"/>
                <w:sz w:val="16"/>
                <w:szCs w:val="16"/>
                <w:i w:val="1"/>
                <w:iCs w:val="1"/>
                <w:color w:val="auto"/>
                <w:w w:val="94"/>
              </w:rPr>
              <w:t>(I.R.S. Employer Identification No.)</w:t>
            </w:r>
          </w:p>
        </w:tc>
      </w:tr>
      <w:tr>
        <w:trPr>
          <w:trHeight w:val="293"/>
        </w:trPr>
        <w:tc>
          <w:tcPr>
            <w:tcW w:w="720" w:type="dxa"/>
            <w:vAlign w:val="bottom"/>
          </w:tcPr>
          <w:p>
            <w:pPr>
              <w:spacing w:after="0"/>
              <w:rPr>
                <w:sz w:val="24"/>
                <w:szCs w:val="24"/>
                <w:color w:val="auto"/>
              </w:rPr>
            </w:pPr>
          </w:p>
        </w:tc>
        <w:tc>
          <w:tcPr>
            <w:tcW w:w="3660" w:type="dxa"/>
            <w:vAlign w:val="bottom"/>
            <w:gridSpan w:val="3"/>
          </w:tcPr>
          <w:p>
            <w:pPr>
              <w:jc w:val="center"/>
              <w:ind w:left="275"/>
              <w:spacing w:after="0"/>
              <w:rPr>
                <w:sz w:val="20"/>
                <w:szCs w:val="20"/>
                <w:color w:val="auto"/>
              </w:rPr>
            </w:pPr>
            <w:r>
              <w:rPr>
                <w:rFonts w:ascii="Arial" w:cs="Arial" w:eastAsia="Arial" w:hAnsi="Arial"/>
                <w:sz w:val="16"/>
                <w:szCs w:val="16"/>
                <w:b w:val="1"/>
                <w:bCs w:val="1"/>
                <w:color w:val="auto"/>
                <w:w w:val="90"/>
              </w:rPr>
              <w:t>One Gaylord Drive, Nashville, Tennessee</w:t>
            </w: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40" w:type="dxa"/>
            <w:vAlign w:val="bottom"/>
          </w:tcPr>
          <w:p>
            <w:pPr>
              <w:jc w:val="right"/>
              <w:ind w:right="1715"/>
              <w:spacing w:after="0"/>
              <w:rPr>
                <w:sz w:val="20"/>
                <w:szCs w:val="20"/>
                <w:color w:val="auto"/>
              </w:rPr>
            </w:pPr>
            <w:r>
              <w:rPr>
                <w:rFonts w:ascii="Arial" w:cs="Arial" w:eastAsia="Arial" w:hAnsi="Arial"/>
                <w:sz w:val="16"/>
                <w:szCs w:val="16"/>
                <w:b w:val="1"/>
                <w:bCs w:val="1"/>
                <w:color w:val="auto"/>
              </w:rPr>
              <w:t>37214</w:t>
            </w:r>
          </w:p>
        </w:tc>
      </w:tr>
      <w:tr>
        <w:trPr>
          <w:trHeight w:val="206"/>
        </w:trPr>
        <w:tc>
          <w:tcPr>
            <w:tcW w:w="720" w:type="dxa"/>
            <w:vAlign w:val="bottom"/>
          </w:tcPr>
          <w:p>
            <w:pPr>
              <w:spacing w:after="0"/>
              <w:rPr>
                <w:sz w:val="17"/>
                <w:szCs w:val="17"/>
                <w:color w:val="auto"/>
              </w:rPr>
            </w:pPr>
          </w:p>
        </w:tc>
        <w:tc>
          <w:tcPr>
            <w:tcW w:w="3660" w:type="dxa"/>
            <w:vAlign w:val="bottom"/>
            <w:gridSpan w:val="3"/>
          </w:tcPr>
          <w:p>
            <w:pPr>
              <w:jc w:val="center"/>
              <w:ind w:left="275"/>
              <w:spacing w:after="0"/>
              <w:rPr>
                <w:sz w:val="20"/>
                <w:szCs w:val="20"/>
                <w:color w:val="auto"/>
              </w:rPr>
            </w:pPr>
            <w:r>
              <w:rPr>
                <w:rFonts w:ascii="Arial" w:cs="Arial" w:eastAsia="Arial" w:hAnsi="Arial"/>
                <w:sz w:val="16"/>
                <w:szCs w:val="16"/>
                <w:i w:val="1"/>
                <w:iCs w:val="1"/>
                <w:color w:val="auto"/>
                <w:w w:val="93"/>
              </w:rPr>
              <w:t>(Address of Principal Executive Offices)</w:t>
            </w: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40" w:type="dxa"/>
            <w:vAlign w:val="bottom"/>
          </w:tcPr>
          <w:p>
            <w:pPr>
              <w:jc w:val="center"/>
              <w:ind w:right="1495"/>
              <w:spacing w:after="0"/>
              <w:rPr>
                <w:sz w:val="20"/>
                <w:szCs w:val="20"/>
                <w:color w:val="auto"/>
              </w:rPr>
            </w:pPr>
            <w:r>
              <w:rPr>
                <w:rFonts w:ascii="Arial" w:cs="Arial" w:eastAsia="Arial" w:hAnsi="Arial"/>
                <w:sz w:val="16"/>
                <w:szCs w:val="16"/>
                <w:i w:val="1"/>
                <w:iCs w:val="1"/>
                <w:color w:val="auto"/>
                <w:w w:val="92"/>
              </w:rPr>
              <w:t>(Zip Code)</w:t>
            </w:r>
          </w:p>
        </w:tc>
      </w:tr>
      <w:tr>
        <w:trPr>
          <w:trHeight w:val="297"/>
        </w:trPr>
        <w:tc>
          <w:tcPr>
            <w:tcW w:w="7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480" w:type="dxa"/>
            <w:vAlign w:val="bottom"/>
            <w:gridSpan w:val="6"/>
          </w:tcPr>
          <w:p>
            <w:pPr>
              <w:jc w:val="center"/>
              <w:ind w:right="1535"/>
              <w:spacing w:after="0"/>
              <w:rPr>
                <w:sz w:val="20"/>
                <w:szCs w:val="20"/>
                <w:color w:val="auto"/>
              </w:rPr>
            </w:pPr>
            <w:r>
              <w:rPr>
                <w:rFonts w:ascii="Arial" w:cs="Arial" w:eastAsia="Arial" w:hAnsi="Arial"/>
                <w:sz w:val="16"/>
                <w:szCs w:val="16"/>
                <w:b w:val="1"/>
                <w:bCs w:val="1"/>
                <w:color w:val="auto"/>
                <w:w w:val="92"/>
              </w:rPr>
              <w:t>Registrant’s Telephone Number, Including Area Code: (615) 316-6000</w:t>
            </w:r>
          </w:p>
        </w:tc>
      </w:tr>
      <w:tr>
        <w:trPr>
          <w:trHeight w:val="297"/>
        </w:trPr>
        <w:tc>
          <w:tcPr>
            <w:tcW w:w="7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480" w:type="dxa"/>
            <w:vAlign w:val="bottom"/>
            <w:gridSpan w:val="6"/>
          </w:tcPr>
          <w:p>
            <w:pPr>
              <w:jc w:val="center"/>
              <w:ind w:right="1535"/>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r>
      <w:tr>
        <w:trPr>
          <w:trHeight w:val="302"/>
        </w:trPr>
        <w:tc>
          <w:tcPr>
            <w:tcW w:w="7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89"/>
              </w:rPr>
              <w:t>Name of Each Exchange on</w:t>
            </w:r>
          </w:p>
        </w:tc>
      </w:tr>
      <w:tr>
        <w:trPr>
          <w:trHeight w:val="230"/>
        </w:trPr>
        <w:tc>
          <w:tcPr>
            <w:tcW w:w="720" w:type="dxa"/>
            <w:vAlign w:val="bottom"/>
          </w:tcPr>
          <w:p>
            <w:pPr>
              <w:spacing w:after="0"/>
              <w:rPr>
                <w:sz w:val="20"/>
                <w:szCs w:val="20"/>
                <w:color w:val="auto"/>
              </w:rPr>
            </w:pPr>
          </w:p>
        </w:tc>
        <w:tc>
          <w:tcPr>
            <w:tcW w:w="3660" w:type="dxa"/>
            <w:vAlign w:val="bottom"/>
            <w:gridSpan w:val="3"/>
          </w:tcPr>
          <w:p>
            <w:pPr>
              <w:jc w:val="center"/>
              <w:ind w:right="400"/>
              <w:spacing w:after="0"/>
              <w:rPr>
                <w:sz w:val="20"/>
                <w:szCs w:val="20"/>
                <w:color w:val="auto"/>
              </w:rPr>
            </w:pPr>
            <w:r>
              <w:rPr>
                <w:rFonts w:ascii="Arial" w:cs="Arial" w:eastAsia="Arial" w:hAnsi="Arial"/>
                <w:sz w:val="18"/>
                <w:szCs w:val="18"/>
                <w:color w:val="auto"/>
                <w:w w:val="91"/>
              </w:rPr>
              <w:t>Title of Each Class</w:t>
            </w:r>
          </w:p>
        </w:tc>
        <w:tc>
          <w:tcPr>
            <w:tcW w:w="2000" w:type="dxa"/>
            <w:vAlign w:val="bottom"/>
            <w:gridSpan w:val="3"/>
          </w:tcPr>
          <w:p>
            <w:pPr>
              <w:jc w:val="center"/>
              <w:ind w:right="360"/>
              <w:spacing w:after="0"/>
              <w:rPr>
                <w:sz w:val="20"/>
                <w:szCs w:val="20"/>
                <w:color w:val="auto"/>
              </w:rPr>
            </w:pPr>
            <w:r>
              <w:rPr>
                <w:rFonts w:ascii="Arial" w:cs="Arial" w:eastAsia="Arial" w:hAnsi="Arial"/>
                <w:sz w:val="18"/>
                <w:szCs w:val="18"/>
                <w:color w:val="auto"/>
                <w:w w:val="92"/>
              </w:rPr>
              <w:t>Trading Symbol(s)</w:t>
            </w:r>
          </w:p>
        </w:tc>
        <w:tc>
          <w:tcPr>
            <w:tcW w:w="2440" w:type="dxa"/>
            <w:vAlign w:val="bottom"/>
          </w:tcPr>
          <w:p>
            <w:pPr>
              <w:jc w:val="center"/>
              <w:spacing w:after="0"/>
              <w:rPr>
                <w:sz w:val="20"/>
                <w:szCs w:val="20"/>
                <w:color w:val="auto"/>
              </w:rPr>
            </w:pPr>
            <w:r>
              <w:rPr>
                <w:rFonts w:ascii="Arial" w:cs="Arial" w:eastAsia="Arial" w:hAnsi="Arial"/>
                <w:sz w:val="18"/>
                <w:szCs w:val="18"/>
                <w:color w:val="auto"/>
                <w:w w:val="91"/>
              </w:rPr>
              <w:t>Which Registered</w:t>
            </w:r>
          </w:p>
        </w:tc>
      </w:tr>
      <w:tr>
        <w:trPr>
          <w:trHeight w:val="224"/>
        </w:trPr>
        <w:tc>
          <w:tcPr>
            <w:tcW w:w="720" w:type="dxa"/>
            <w:vAlign w:val="bottom"/>
          </w:tcPr>
          <w:p>
            <w:pPr>
              <w:spacing w:after="0"/>
              <w:rPr>
                <w:sz w:val="19"/>
                <w:szCs w:val="19"/>
                <w:color w:val="auto"/>
              </w:rPr>
            </w:pPr>
          </w:p>
        </w:tc>
        <w:tc>
          <w:tcPr>
            <w:tcW w:w="32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0"/>
              </w:rPr>
              <w:t>Common stock, par value $.01</w:t>
            </w:r>
          </w:p>
        </w:tc>
        <w:tc>
          <w:tcPr>
            <w:tcW w:w="4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center"/>
              <w:ind w:right="435"/>
              <w:spacing w:after="0"/>
              <w:rPr>
                <w:sz w:val="20"/>
                <w:szCs w:val="20"/>
                <w:color w:val="auto"/>
              </w:rPr>
            </w:pPr>
            <w:r>
              <w:rPr>
                <w:rFonts w:ascii="Arial" w:cs="Arial" w:eastAsia="Arial" w:hAnsi="Arial"/>
                <w:sz w:val="18"/>
                <w:szCs w:val="18"/>
                <w:color w:val="auto"/>
                <w:w w:val="94"/>
              </w:rPr>
              <w:t>RHP</w:t>
            </w:r>
          </w:p>
        </w:tc>
        <w:tc>
          <w:tcPr>
            <w:tcW w:w="340" w:type="dxa"/>
            <w:vAlign w:val="bottom"/>
          </w:tcPr>
          <w:p>
            <w:pPr>
              <w:spacing w:after="0"/>
              <w:rPr>
                <w:sz w:val="19"/>
                <w:szCs w:val="19"/>
                <w:color w:val="auto"/>
              </w:rPr>
            </w:pPr>
          </w:p>
        </w:tc>
        <w:tc>
          <w:tcPr>
            <w:tcW w:w="2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74" w:lineRule="exact"/>
        <w:rPr>
          <w:sz w:val="24"/>
          <w:szCs w:val="24"/>
          <w:color w:val="auto"/>
        </w:rPr>
      </w:pPr>
    </w:p>
    <w:p>
      <w:pPr>
        <w:jc w:val="center"/>
        <w:ind w:right="-5"/>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26" w:lineRule="exact"/>
        <w:rPr>
          <w:sz w:val="24"/>
          <w:szCs w:val="24"/>
          <w:color w:val="auto"/>
        </w:rPr>
      </w:pPr>
    </w:p>
    <w:p>
      <w:pPr>
        <w:jc w:val="center"/>
        <w:ind w:right="-5"/>
        <w:spacing w:after="0"/>
        <w:rPr>
          <w:sz w:val="20"/>
          <w:szCs w:val="20"/>
          <w:color w:val="auto"/>
        </w:rPr>
      </w:pPr>
      <w:r>
        <w:rPr>
          <w:rFonts w:ascii="Arial" w:cs="Arial" w:eastAsia="Arial" w:hAnsi="Arial"/>
          <w:sz w:val="16"/>
          <w:szCs w:val="16"/>
          <w:b w:val="1"/>
          <w:bCs w:val="1"/>
          <w:color w:val="auto"/>
        </w:rPr>
        <w:t>NONE</w:t>
      </w:r>
    </w:p>
    <w:p>
      <w:pPr>
        <w:spacing w:after="0" w:line="19" w:lineRule="exact"/>
        <w:rPr>
          <w:sz w:val="24"/>
          <w:szCs w:val="24"/>
          <w:color w:val="auto"/>
        </w:rPr>
      </w:pPr>
    </w:p>
    <w:p>
      <w:pPr>
        <w:jc w:val="center"/>
        <w:ind w:right="-5"/>
        <w:spacing w:after="0"/>
        <w:rPr>
          <w:sz w:val="20"/>
          <w:szCs w:val="20"/>
          <w:color w:val="auto"/>
        </w:rPr>
      </w:pPr>
      <w:r>
        <w:rPr>
          <w:rFonts w:ascii="Arial" w:cs="Arial" w:eastAsia="Arial" w:hAnsi="Arial"/>
          <w:sz w:val="16"/>
          <w:szCs w:val="16"/>
          <w:i w:val="1"/>
          <w:iCs w:val="1"/>
          <w:color w:val="auto"/>
        </w:rPr>
        <w:t>(Title of Class)</w:t>
      </w:r>
    </w:p>
    <w:p>
      <w:pPr>
        <w:spacing w:after="0" w:line="83" w:lineRule="exact"/>
        <w:rPr>
          <w:sz w:val="24"/>
          <w:szCs w:val="24"/>
          <w:color w:val="auto"/>
        </w:rPr>
      </w:pPr>
    </w:p>
    <w:p>
      <w:pPr>
        <w:ind w:left="6" w:right="3000"/>
        <w:spacing w:after="0" w:line="228"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w:t>
      </w:r>
      <w:r>
        <w:rPr>
          <w:rFonts w:ascii="Arial Unicode MS" w:cs="Arial Unicode MS" w:eastAsia="Arial Unicode MS" w:hAnsi="Arial Unicode MS"/>
          <w:sz w:val="12"/>
          <w:szCs w:val="12"/>
          <w:color w:val="auto"/>
        </w:rPr>
        <w:t>⌧</w:t>
      </w:r>
      <w:r>
        <w:rPr>
          <w:rFonts w:ascii="Arial" w:cs="Arial" w:eastAsia="Arial" w:hAnsi="Arial"/>
          <w:sz w:val="12"/>
          <w:szCs w:val="12"/>
          <w:color w:val="auto"/>
        </w:rPr>
        <w:t xml:space="preserve"> Yes </w:t>
      </w:r>
      <w:r>
        <w:rPr>
          <w:rFonts w:ascii="Arial Unicode MS" w:cs="Arial Unicode MS" w:eastAsia="Arial Unicode MS" w:hAnsi="Arial Unicode MS"/>
          <w:sz w:val="12"/>
          <w:szCs w:val="12"/>
          <w:color w:val="auto"/>
        </w:rPr>
        <w:t>☐</w:t>
      </w:r>
      <w:r>
        <w:rPr>
          <w:rFonts w:ascii="Arial" w:cs="Arial" w:eastAsia="Arial" w:hAnsi="Arial"/>
          <w:sz w:val="12"/>
          <w:szCs w:val="12"/>
          <w:color w:val="auto"/>
        </w:rPr>
        <w:t xml:space="preserve"> No Indicate by check mark if the registrant is not required to file reports pursuant to Section 13 or Section 15(d) of the Act. </w:t>
      </w:r>
      <w:r>
        <w:rPr>
          <w:rFonts w:ascii="Arial Unicode MS" w:cs="Arial Unicode MS" w:eastAsia="Arial Unicode MS" w:hAnsi="Arial Unicode MS"/>
          <w:sz w:val="12"/>
          <w:szCs w:val="12"/>
          <w:color w:val="auto"/>
        </w:rPr>
        <w:t>☐</w:t>
      </w:r>
      <w:r>
        <w:rPr>
          <w:rFonts w:ascii="Arial" w:cs="Arial" w:eastAsia="Arial" w:hAnsi="Arial"/>
          <w:sz w:val="12"/>
          <w:szCs w:val="12"/>
          <w:color w:val="auto"/>
        </w:rPr>
        <w:t xml:space="preserve"> Yes </w:t>
      </w:r>
      <w:r>
        <w:rPr>
          <w:rFonts w:ascii="Arial Unicode MS" w:cs="Arial Unicode MS" w:eastAsia="Arial Unicode MS" w:hAnsi="Arial Unicode MS"/>
          <w:sz w:val="12"/>
          <w:szCs w:val="12"/>
          <w:color w:val="auto"/>
        </w:rPr>
        <w:t>⌧</w:t>
      </w:r>
      <w:r>
        <w:rPr>
          <w:rFonts w:ascii="Arial" w:cs="Arial" w:eastAsia="Arial" w:hAnsi="Arial"/>
          <w:sz w:val="12"/>
          <w:szCs w:val="12"/>
          <w:color w:val="auto"/>
        </w:rPr>
        <w:t xml:space="preserve"> No</w:t>
      </w:r>
    </w:p>
    <w:p>
      <w:pPr>
        <w:spacing w:after="0" w:line="43" w:lineRule="exact"/>
        <w:rPr>
          <w:sz w:val="24"/>
          <w:szCs w:val="24"/>
          <w:color w:val="auto"/>
        </w:rPr>
      </w:pPr>
    </w:p>
    <w:p>
      <w:pPr>
        <w:ind w:left="6" w:right="20"/>
        <w:spacing w:after="0" w:line="168"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w:t>
      </w:r>
    </w:p>
    <w:p>
      <w:pPr>
        <w:spacing w:after="0" w:line="57" w:lineRule="exact"/>
        <w:rPr>
          <w:sz w:val="24"/>
          <w:szCs w:val="24"/>
          <w:color w:val="auto"/>
        </w:rPr>
      </w:pPr>
    </w:p>
    <w:p>
      <w:pPr>
        <w:ind w:left="6"/>
        <w:spacing w:after="0" w:line="168"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w:t>
      </w:r>
    </w:p>
    <w:p>
      <w:pPr>
        <w:spacing w:after="0" w:line="57" w:lineRule="exact"/>
        <w:rPr>
          <w:sz w:val="24"/>
          <w:szCs w:val="24"/>
          <w:color w:val="auto"/>
        </w:rPr>
      </w:pPr>
    </w:p>
    <w:p>
      <w:pPr>
        <w:ind w:left="6"/>
        <w:spacing w:after="0" w:line="274"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ectPr>
          <w:pgSz w:w="11900" w:h="16838" w:orient="portrait"/>
          <w:cols w:equalWidth="0" w:num="1">
            <w:col w:w="10226"/>
          </w:cols>
          <w:pgMar w:left="834" w:top="665" w:right="839" w:bottom="1440" w:gutter="0" w:footer="0" w:header="0"/>
        </w:sectPr>
      </w:pPr>
    </w:p>
    <w:p>
      <w:pPr>
        <w:spacing w:after="0" w:line="12" w:lineRule="exact"/>
        <w:rPr>
          <w:sz w:val="24"/>
          <w:szCs w:val="24"/>
          <w:color w:val="auto"/>
        </w:rPr>
      </w:pPr>
    </w:p>
    <w:p>
      <w:pPr>
        <w:ind w:left="906"/>
        <w:spacing w:after="0" w:line="161" w:lineRule="exact"/>
        <w:rPr>
          <w:sz w:val="20"/>
          <w:szCs w:val="20"/>
          <w:color w:val="auto"/>
        </w:rPr>
      </w:pPr>
      <w:r>
        <w:rPr>
          <w:rFonts w:ascii="Arial" w:cs="Arial" w:eastAsia="Arial" w:hAnsi="Arial"/>
          <w:sz w:val="12"/>
          <w:szCs w:val="12"/>
          <w:color w:val="auto"/>
        </w:rPr>
        <w:t xml:space="preserve">Large accelerated filer </w:t>
      </w:r>
      <w:r>
        <w:rPr>
          <w:rFonts w:ascii="Arial Unicode MS" w:cs="Arial Unicode MS" w:eastAsia="Arial Unicode MS" w:hAnsi="Arial Unicode MS"/>
          <w:sz w:val="12"/>
          <w:szCs w:val="12"/>
          <w:color w:val="auto"/>
        </w:rPr>
        <w:t>⌧</w:t>
      </w:r>
    </w:p>
    <w:p>
      <w:pPr>
        <w:spacing w:after="0" w:line="20" w:lineRule="exact"/>
        <w:rPr>
          <w:sz w:val="24"/>
          <w:szCs w:val="24"/>
          <w:color w:val="auto"/>
        </w:rPr>
      </w:pPr>
      <w:r>
        <w:rPr>
          <w:sz w:val="24"/>
          <w:szCs w:val="24"/>
          <w:color w:val="auto"/>
        </w:rPr>
        <w:br w:type="column"/>
      </w:r>
    </w:p>
    <w:p>
      <w:pPr>
        <w:spacing w:after="0" w:line="153" w:lineRule="exact"/>
        <w:rPr>
          <w:sz w:val="20"/>
          <w:szCs w:val="20"/>
          <w:color w:val="auto"/>
        </w:rPr>
      </w:pPr>
      <w:r>
        <w:rPr>
          <w:rFonts w:ascii="Arial" w:cs="Arial" w:eastAsia="Arial" w:hAnsi="Arial"/>
          <w:sz w:val="12"/>
          <w:szCs w:val="12"/>
          <w:color w:val="auto"/>
        </w:rPr>
        <w:t xml:space="preserve">Accelerated filer </w:t>
      </w:r>
      <w:r>
        <w:rPr>
          <w:rFonts w:ascii="Arial Unicode MS" w:cs="Arial Unicode MS" w:eastAsia="Arial Unicode MS" w:hAnsi="Arial Unicode MS"/>
          <w:sz w:val="12"/>
          <w:szCs w:val="12"/>
          <w:color w:val="auto"/>
        </w:rPr>
        <w:t>☐</w:t>
      </w:r>
    </w:p>
    <w:p>
      <w:pPr>
        <w:spacing w:after="0" w:line="136" w:lineRule="exact"/>
        <w:rPr>
          <w:sz w:val="24"/>
          <w:szCs w:val="24"/>
          <w:color w:val="auto"/>
        </w:rPr>
      </w:pPr>
    </w:p>
    <w:p>
      <w:pPr>
        <w:sectPr>
          <w:pgSz w:w="11900" w:h="16838" w:orient="portrait"/>
          <w:cols w:equalWidth="0" w:num="2">
            <w:col w:w="3466" w:space="720"/>
            <w:col w:w="6040"/>
          </w:cols>
          <w:pgMar w:left="834" w:top="665" w:right="839" w:bottom="1440" w:gutter="0" w:footer="0" w:header="0"/>
          <w:type w:val="continuous"/>
        </w:sectPr>
      </w:pPr>
    </w:p>
    <w:p>
      <w:pPr>
        <w:ind w:left="906"/>
        <w:spacing w:after="0" w:line="161" w:lineRule="exact"/>
        <w:rPr>
          <w:sz w:val="20"/>
          <w:szCs w:val="20"/>
          <w:color w:val="auto"/>
        </w:rPr>
      </w:pPr>
      <w:r>
        <w:rPr>
          <w:rFonts w:ascii="Arial" w:cs="Arial" w:eastAsia="Arial" w:hAnsi="Arial"/>
          <w:sz w:val="12"/>
          <w:szCs w:val="12"/>
          <w:color w:val="auto"/>
        </w:rPr>
        <w:t xml:space="preserve">Non-accelerated filer </w:t>
      </w:r>
      <w:r>
        <w:rPr>
          <w:rFonts w:ascii="Arial Unicode MS" w:cs="Arial Unicode MS" w:eastAsia="Arial Unicode MS" w:hAnsi="Arial Unicode MS"/>
          <w:sz w:val="12"/>
          <w:szCs w:val="12"/>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2"/>
          <w:szCs w:val="12"/>
          <w:color w:val="auto"/>
        </w:rPr>
        <w:t xml:space="preserve">Smaller reporting company </w:t>
      </w:r>
      <w:r>
        <w:rPr>
          <w:rFonts w:ascii="Arial Unicode MS" w:cs="Arial Unicode MS" w:eastAsia="Arial Unicode MS" w:hAnsi="Arial Unicode MS"/>
          <w:sz w:val="12"/>
          <w:szCs w:val="12"/>
          <w:color w:val="auto"/>
        </w:rPr>
        <w:t>☐</w:t>
      </w:r>
    </w:p>
    <w:p>
      <w:pPr>
        <w:spacing w:after="0" w:line="25" w:lineRule="exact"/>
        <w:rPr>
          <w:sz w:val="24"/>
          <w:szCs w:val="24"/>
          <w:color w:val="auto"/>
        </w:rPr>
      </w:pPr>
    </w:p>
    <w:p>
      <w:pPr>
        <w:spacing w:after="0" w:line="161" w:lineRule="exact"/>
        <w:rPr>
          <w:sz w:val="20"/>
          <w:szCs w:val="20"/>
          <w:color w:val="auto"/>
        </w:rPr>
      </w:pPr>
      <w:r>
        <w:rPr>
          <w:rFonts w:ascii="Arial" w:cs="Arial" w:eastAsia="Arial" w:hAnsi="Arial"/>
          <w:sz w:val="12"/>
          <w:szCs w:val="12"/>
          <w:color w:val="auto"/>
        </w:rPr>
        <w:t xml:space="preserve">Emerging growth company </w:t>
      </w:r>
      <w:r>
        <w:rPr>
          <w:rFonts w:ascii="Arial Unicode MS" w:cs="Arial Unicode MS" w:eastAsia="Arial Unicode MS" w:hAnsi="Arial Unicode MS"/>
          <w:sz w:val="12"/>
          <w:szCs w:val="12"/>
          <w:color w:val="auto"/>
        </w:rPr>
        <w:t>☐</w:t>
      </w:r>
    </w:p>
    <w:p>
      <w:pPr>
        <w:spacing w:after="0" w:line="124" w:lineRule="exact"/>
        <w:rPr>
          <w:sz w:val="24"/>
          <w:szCs w:val="24"/>
          <w:color w:val="auto"/>
        </w:rPr>
      </w:pPr>
    </w:p>
    <w:p>
      <w:pPr>
        <w:sectPr>
          <w:pgSz w:w="11900" w:h="16838" w:orient="portrait"/>
          <w:cols w:equalWidth="0" w:num="2">
            <w:col w:w="3466" w:space="720"/>
            <w:col w:w="6040"/>
          </w:cols>
          <w:pgMar w:left="834" w:top="665" w:right="839" w:bottom="1440" w:gutter="0" w:footer="0" w:header="0"/>
          <w:type w:val="continuous"/>
        </w:sectPr>
      </w:pPr>
    </w:p>
    <w:p>
      <w:pPr>
        <w:jc w:val="both"/>
        <w:ind w:left="6"/>
        <w:spacing w:after="0" w:line="168"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3"/>
          <w:szCs w:val="13"/>
          <w:color w:val="auto"/>
        </w:rPr>
        <w:t>☐</w:t>
      </w:r>
    </w:p>
    <w:p>
      <w:pPr>
        <w:spacing w:after="0" w:line="57" w:lineRule="exact"/>
        <w:rPr>
          <w:sz w:val="24"/>
          <w:szCs w:val="24"/>
          <w:color w:val="auto"/>
        </w:rPr>
      </w:pPr>
    </w:p>
    <w:p>
      <w:pPr>
        <w:jc w:val="both"/>
        <w:ind w:left="6"/>
        <w:spacing w:after="0" w:line="168"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3"/>
          <w:szCs w:val="13"/>
          <w:color w:val="auto"/>
        </w:rPr>
        <w:t>☒</w:t>
      </w:r>
    </w:p>
    <w:p>
      <w:pPr>
        <w:spacing w:after="0" w:line="32" w:lineRule="exact"/>
        <w:rPr>
          <w:sz w:val="24"/>
          <w:szCs w:val="24"/>
          <w:color w:val="auto"/>
        </w:rPr>
      </w:pPr>
    </w:p>
    <w:p>
      <w:pPr>
        <w:ind w:left="6"/>
        <w:spacing w:after="0" w:line="175"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Act).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w:t>
      </w:r>
    </w:p>
    <w:p>
      <w:pPr>
        <w:spacing w:after="0" w:line="80" w:lineRule="exact"/>
        <w:rPr>
          <w:sz w:val="24"/>
          <w:szCs w:val="24"/>
          <w:color w:val="auto"/>
        </w:rPr>
      </w:pPr>
    </w:p>
    <w:p>
      <w:pPr>
        <w:jc w:val="both"/>
        <w:ind w:left="6"/>
        <w:spacing w:after="0" w:line="256" w:lineRule="auto"/>
        <w:rPr>
          <w:sz w:val="20"/>
          <w:szCs w:val="20"/>
          <w:color w:val="auto"/>
        </w:rPr>
      </w:pPr>
      <w:r>
        <w:rPr>
          <w:rFonts w:ascii="Arial" w:cs="Arial" w:eastAsia="Arial" w:hAnsi="Arial"/>
          <w:sz w:val="13"/>
          <w:szCs w:val="13"/>
          <w:color w:val="auto"/>
        </w:rPr>
        <w:t>The aggregate market value of the shares of Common Stock held by non-affiliates of the registrant based on the closing price of the Common Stock on the New York Stock Exchange on June 30, 2021 of $78.96 per share was approximately $4,213,210,927 (assuming for this purpose that shares beneficially owned by persons other than officers or directors of the registrant, and their affiliates, are held by non-affiliates).</w:t>
      </w:r>
    </w:p>
    <w:p>
      <w:pPr>
        <w:spacing w:after="0" w:line="62" w:lineRule="exact"/>
        <w:rPr>
          <w:sz w:val="24"/>
          <w:szCs w:val="24"/>
          <w:color w:val="auto"/>
        </w:rPr>
      </w:pPr>
    </w:p>
    <w:p>
      <w:pPr>
        <w:ind w:left="6"/>
        <w:spacing w:after="0"/>
        <w:rPr>
          <w:sz w:val="20"/>
          <w:szCs w:val="20"/>
          <w:color w:val="auto"/>
        </w:rPr>
      </w:pPr>
      <w:r>
        <w:rPr>
          <w:rFonts w:ascii="Arial" w:cs="Arial" w:eastAsia="Arial" w:hAnsi="Arial"/>
          <w:sz w:val="13"/>
          <w:szCs w:val="13"/>
          <w:color w:val="auto"/>
        </w:rPr>
        <w:t>As of January 31, 2022 there were 55,072,494 shares of Common Stock outstanding.</w:t>
      </w:r>
    </w:p>
    <w:p>
      <w:pPr>
        <w:spacing w:after="0" w:line="90" w:lineRule="exact"/>
        <w:rPr>
          <w:sz w:val="24"/>
          <w:szCs w:val="24"/>
          <w:color w:val="auto"/>
        </w:rPr>
      </w:pPr>
    </w:p>
    <w:p>
      <w:pPr>
        <w:jc w:val="center"/>
        <w:ind w:right="-5"/>
        <w:spacing w:after="0"/>
        <w:rPr>
          <w:sz w:val="20"/>
          <w:szCs w:val="20"/>
          <w:color w:val="auto"/>
        </w:rPr>
      </w:pPr>
      <w:r>
        <w:rPr>
          <w:rFonts w:ascii="Arial" w:cs="Arial" w:eastAsia="Arial" w:hAnsi="Arial"/>
          <w:sz w:val="16"/>
          <w:szCs w:val="16"/>
          <w:b w:val="1"/>
          <w:bCs w:val="1"/>
          <w:color w:val="auto"/>
        </w:rPr>
        <w:t>DOCUMENTS INCORPORATED BY REFERENCE</w:t>
      </w:r>
    </w:p>
    <w:p>
      <w:pPr>
        <w:spacing w:after="0" w:line="103" w:lineRule="exact"/>
        <w:rPr>
          <w:sz w:val="24"/>
          <w:szCs w:val="24"/>
          <w:color w:val="auto"/>
        </w:rPr>
      </w:pPr>
    </w:p>
    <w:p>
      <w:pPr>
        <w:jc w:val="both"/>
        <w:ind w:left="6"/>
        <w:spacing w:after="0" w:line="258" w:lineRule="auto"/>
        <w:rPr>
          <w:sz w:val="20"/>
          <w:szCs w:val="20"/>
          <w:color w:val="auto"/>
        </w:rPr>
      </w:pPr>
      <w:r>
        <w:rPr>
          <w:rFonts w:ascii="Arial" w:cs="Arial" w:eastAsia="Arial" w:hAnsi="Arial"/>
          <w:sz w:val="13"/>
          <w:szCs w:val="13"/>
          <w:color w:val="auto"/>
        </w:rPr>
        <w:t>Portions of the registrant’s definitive Proxy Statement for the 2022 Annual Meeting of Stockholders to be filed with the Securities and Exchange Commission are incorporated by reference into Part III of this Form 10-K</w:t>
      </w:r>
      <w:r>
        <w:rPr>
          <w:rFonts w:ascii="Arial" w:cs="Arial" w:eastAsia="Arial" w:hAnsi="Arial"/>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643890</wp:posOffset>
            </wp:positionV>
            <wp:extent cx="649795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43815</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112395</wp:posOffset>
            </wp:positionV>
            <wp:extent cx="64979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ectPr>
          <w:pgSz w:w="11900" w:h="16838" w:orient="portrait"/>
          <w:cols w:equalWidth="0" w:num="1">
            <w:col w:w="10226"/>
          </w:cols>
          <w:pgMar w:left="834" w:top="665" w:right="83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RYMAN HOSPITALITY PROPERTIES, INC.</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2021 ANNUAL REPORT ON FORM 10-K</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Page</w:t>
            </w:r>
          </w:p>
        </w:tc>
      </w:tr>
      <w:tr>
        <w:trPr>
          <w:trHeight w:val="38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40" w:type="dxa"/>
            <w:vAlign w:val="bottom"/>
            <w:gridSpan w:val="13"/>
          </w:tcPr>
          <w:p>
            <w:pPr>
              <w:jc w:val="center"/>
              <w:ind w:right="3380"/>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8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640" w:type="dxa"/>
            <w:vAlign w:val="bottom"/>
            <w:gridSpan w:val="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Item 1.</w:t>
              </w:r>
            </w:hyperlink>
          </w:p>
        </w:tc>
        <w:tc>
          <w:tcPr>
            <w:tcW w:w="3420" w:type="dxa"/>
            <w:vAlign w:val="bottom"/>
            <w:gridSpan w:val="1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Business</w:t>
              </w:r>
            </w:hyperlink>
          </w:p>
        </w:tc>
        <w:tc>
          <w:tcPr>
            <w:tcW w:w="580" w:type="dxa"/>
            <w:vAlign w:val="bottom"/>
            <w:tcBorders>
              <w:top w:val="single" w:sz="8" w:color="0000EE"/>
            </w:tcBorders>
          </w:tcPr>
          <w:p>
            <w:pPr>
              <w:spacing w:after="0"/>
              <w:rPr>
                <w:sz w:val="24"/>
                <w:szCs w:val="24"/>
                <w:color w:val="auto"/>
              </w:rPr>
            </w:pPr>
          </w:p>
        </w:tc>
        <w:tc>
          <w:tcPr>
            <w:tcW w:w="3420" w:type="dxa"/>
            <w:vAlign w:val="bottom"/>
            <w:gridSpan w:val="11"/>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32"/>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 xml:space="preserve">Item </w:t>
              </w:r>
            </w:hyperlink>
            <w:r>
              <w:rPr>
                <w:rFonts w:ascii="Arial" w:cs="Arial" w:eastAsia="Arial" w:hAnsi="Arial"/>
                <w:sz w:val="18"/>
                <w:szCs w:val="18"/>
                <w:color w:val="0000EE"/>
              </w:rPr>
              <w:t xml:space="preserve">1A.Risk </w:t>
            </w:r>
            <w:hyperlink w:anchor="page18">
              <w:r>
                <w:rPr>
                  <w:rFonts w:ascii="Arial" w:cs="Arial" w:eastAsia="Arial" w:hAnsi="Arial"/>
                  <w:sz w:val="18"/>
                  <w:szCs w:val="18"/>
                  <w:color w:val="0000EE"/>
                </w:rPr>
                <w:t>Factors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32"/>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Item 1B.Unresolved Staff Comments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20" w:type="dxa"/>
            <w:vAlign w:val="bottom"/>
          </w:tcPr>
          <w:p>
            <w:pPr>
              <w:spacing w:after="0"/>
              <w:rPr>
                <w:sz w:val="17"/>
                <w:szCs w:val="17"/>
                <w:color w:val="auto"/>
              </w:rPr>
            </w:pPr>
          </w:p>
        </w:tc>
        <w:tc>
          <w:tcPr>
            <w:tcW w:w="6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Item 2.</w:t>
              </w:r>
            </w:hyperlink>
          </w:p>
        </w:tc>
        <w:tc>
          <w:tcPr>
            <w:tcW w:w="20" w:type="dxa"/>
            <w:vAlign w:val="bottom"/>
          </w:tcPr>
          <w:p>
            <w:pPr>
              <w:spacing w:after="0"/>
              <w:rPr>
                <w:sz w:val="17"/>
                <w:szCs w:val="17"/>
                <w:color w:val="auto"/>
              </w:rPr>
            </w:pPr>
          </w:p>
        </w:tc>
        <w:tc>
          <w:tcPr>
            <w:tcW w:w="20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Properties</w:t>
              </w:r>
            </w:hyperlink>
          </w:p>
        </w:tc>
        <w:tc>
          <w:tcPr>
            <w:tcW w:w="5380" w:type="dxa"/>
            <w:vAlign w:val="bottom"/>
            <w:gridSpan w:val="18"/>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gridSpan w:val="5"/>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Item 3.</w:t>
              </w:r>
            </w:hyperlink>
          </w:p>
        </w:tc>
        <w:tc>
          <w:tcPr>
            <w:tcW w:w="7420" w:type="dxa"/>
            <w:vAlign w:val="bottom"/>
            <w:gridSpan w:val="27"/>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Legal Proceedings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gridSpan w:val="5"/>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Item 4.</w:t>
              </w:r>
            </w:hyperlink>
          </w:p>
        </w:tc>
        <w:tc>
          <w:tcPr>
            <w:tcW w:w="7420" w:type="dxa"/>
            <w:vAlign w:val="bottom"/>
            <w:gridSpan w:val="27"/>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Mine Safety Disclosures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412"/>
        </w:trPr>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EE"/>
            </w:tcBorders>
            <w:gridSpan w:val="3"/>
          </w:tcPr>
          <w:p>
            <w:pPr>
              <w:jc w:val="center"/>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PART II</w:t>
              </w:r>
            </w:hyperlink>
          </w:p>
        </w:tc>
        <w:tc>
          <w:tcPr>
            <w:tcW w:w="3380" w:type="dxa"/>
            <w:vAlign w:val="bottom"/>
            <w:gridSpan w:val="10"/>
          </w:tcPr>
          <w:p>
            <w:pPr>
              <w:spacing w:after="0"/>
              <w:rPr>
                <w:sz w:val="24"/>
                <w:szCs w:val="24"/>
                <w:color w:val="auto"/>
              </w:rPr>
            </w:pPr>
          </w:p>
        </w:tc>
        <w:tc>
          <w:tcPr>
            <w:tcW w:w="8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640" w:type="dxa"/>
            <w:vAlign w:val="bottom"/>
            <w:gridSpan w:val="5"/>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5.</w:t>
              </w:r>
            </w:hyperlink>
          </w:p>
        </w:tc>
        <w:tc>
          <w:tcPr>
            <w:tcW w:w="7420" w:type="dxa"/>
            <w:vAlign w:val="bottom"/>
            <w:gridSpan w:val="27"/>
          </w:tcPr>
          <w:p>
            <w:pPr>
              <w:spacing w:after="0"/>
              <w:rPr>
                <w:rFonts w:ascii="Arial" w:cs="Arial" w:eastAsia="Arial" w:hAnsi="Arial"/>
                <w:sz w:val="18"/>
                <w:szCs w:val="18"/>
                <w:color w:val="0000EE"/>
                <w:w w:val="91"/>
              </w:rPr>
            </w:pPr>
            <w:hyperlink w:anchor="page41">
              <w:r>
                <w:rPr>
                  <w:rFonts w:ascii="Arial" w:cs="Arial" w:eastAsia="Arial" w:hAnsi="Arial"/>
                  <w:sz w:val="18"/>
                  <w:szCs w:val="18"/>
                  <w:color w:val="0000EE"/>
                  <w:w w:val="91"/>
                </w:rPr>
                <w:t>Market for Registrant’s Common Equity, Related Stockholder Matters and Issuer Purchases of Equity</w:t>
              </w:r>
            </w:hyperlink>
          </w:p>
        </w:tc>
        <w:tc>
          <w:tcPr>
            <w:tcW w:w="84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718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Securities</w:t>
              </w:r>
            </w:hyperlink>
          </w:p>
        </w:tc>
        <w:tc>
          <w:tcPr>
            <w:tcW w:w="10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20"/>
        </w:trPr>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gridSpan w:val="5"/>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Item 6.</w:t>
              </w:r>
            </w:hyperlink>
          </w:p>
        </w:tc>
        <w:tc>
          <w:tcPr>
            <w:tcW w:w="7420" w:type="dxa"/>
            <w:vAlign w:val="bottom"/>
            <w:gridSpan w:val="27"/>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Reserved</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gridSpan w:val="5"/>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Item 7.</w:t>
              </w:r>
            </w:hyperlink>
          </w:p>
        </w:tc>
        <w:tc>
          <w:tcPr>
            <w:tcW w:w="7420" w:type="dxa"/>
            <w:vAlign w:val="bottom"/>
            <w:gridSpan w:val="27"/>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Management’s Discussion and Analysis of Financial Condition and Results of Operations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8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32"/>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Item 7A.Quantitative and Qualitative Disclosures About Market Risk</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196"/>
        </w:trPr>
        <w:tc>
          <w:tcPr>
            <w:tcW w:w="20" w:type="dxa"/>
            <w:vAlign w:val="bottom"/>
          </w:tcPr>
          <w:p>
            <w:pPr>
              <w:spacing w:after="0"/>
              <w:rPr>
                <w:sz w:val="17"/>
                <w:szCs w:val="17"/>
                <w:color w:val="auto"/>
              </w:rPr>
            </w:pPr>
          </w:p>
        </w:tc>
        <w:tc>
          <w:tcPr>
            <w:tcW w:w="6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Item 8.</w:t>
              </w:r>
            </w:hyperlink>
          </w:p>
        </w:tc>
        <w:tc>
          <w:tcPr>
            <w:tcW w:w="436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Financial Statements and Supplementary Data</w:t>
              </w:r>
            </w:hyperlink>
          </w:p>
        </w:tc>
        <w:tc>
          <w:tcPr>
            <w:tcW w:w="3060" w:type="dxa"/>
            <w:vAlign w:val="bottom"/>
            <w:gridSpan w:val="6"/>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8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gridSpan w:val="5"/>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Item 9.</w:t>
              </w:r>
            </w:hyperlink>
          </w:p>
        </w:tc>
        <w:tc>
          <w:tcPr>
            <w:tcW w:w="7420" w:type="dxa"/>
            <w:vAlign w:val="bottom"/>
            <w:gridSpan w:val="27"/>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Changes in and Disagreements with Accountants on Accounting and Financial Disclosure</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8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2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69">
              <w:r>
                <w:rPr>
                  <w:rFonts w:ascii="Arial" w:cs="Arial" w:eastAsia="Arial" w:hAnsi="Arial"/>
                  <w:sz w:val="18"/>
                  <w:szCs w:val="18"/>
                  <w:color w:val="0000EE"/>
                  <w:w w:val="90"/>
                </w:rPr>
                <w:t>Item 9A.Controls and Procedures</w:t>
              </w:r>
            </w:hyperlink>
          </w:p>
        </w:tc>
        <w:tc>
          <w:tcPr>
            <w:tcW w:w="5640" w:type="dxa"/>
            <w:vAlign w:val="bottom"/>
            <w:gridSpan w:val="20"/>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196"/>
        </w:trPr>
        <w:tc>
          <w:tcPr>
            <w:tcW w:w="20" w:type="dxa"/>
            <w:vAlign w:val="bottom"/>
          </w:tcPr>
          <w:p>
            <w:pPr>
              <w:spacing w:after="0"/>
              <w:rPr>
                <w:sz w:val="17"/>
                <w:szCs w:val="17"/>
                <w:color w:val="auto"/>
              </w:rPr>
            </w:pPr>
          </w:p>
        </w:tc>
        <w:tc>
          <w:tcPr>
            <w:tcW w:w="8060" w:type="dxa"/>
            <w:vAlign w:val="bottom"/>
            <w:gridSpan w:val="32"/>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Item 9B.Other Information</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412"/>
        </w:trPr>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Borders>
              <w:bottom w:val="single" w:sz="8" w:color="0000EE"/>
            </w:tcBorders>
            <w:gridSpan w:val="7"/>
          </w:tcPr>
          <w:p>
            <w:pPr>
              <w:jc w:val="center"/>
              <w:spacing w:after="0"/>
              <w:rPr>
                <w:rFonts w:ascii="Arial" w:cs="Arial" w:eastAsia="Arial" w:hAnsi="Arial"/>
                <w:sz w:val="18"/>
                <w:szCs w:val="18"/>
                <w:b w:val="1"/>
                <w:bCs w:val="1"/>
                <w:color w:val="0000EE"/>
              </w:rPr>
            </w:pPr>
            <w:hyperlink w:anchor="page70">
              <w:r>
                <w:rPr>
                  <w:rFonts w:ascii="Arial" w:cs="Arial" w:eastAsia="Arial" w:hAnsi="Arial"/>
                  <w:sz w:val="18"/>
                  <w:szCs w:val="18"/>
                  <w:b w:val="1"/>
                  <w:bCs w:val="1"/>
                  <w:color w:val="0000EE"/>
                </w:rPr>
                <w:t>PART III</w:t>
              </w:r>
            </w:hyperlink>
          </w:p>
        </w:tc>
        <w:tc>
          <w:tcPr>
            <w:tcW w:w="3340" w:type="dxa"/>
            <w:vAlign w:val="bottom"/>
            <w:gridSpan w:val="8"/>
          </w:tcPr>
          <w:p>
            <w:pPr>
              <w:spacing w:after="0"/>
              <w:rPr>
                <w:sz w:val="24"/>
                <w:szCs w:val="24"/>
                <w:color w:val="auto"/>
              </w:rPr>
            </w:pPr>
          </w:p>
        </w:tc>
        <w:tc>
          <w:tcPr>
            <w:tcW w:w="8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60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Item 10.</w:t>
              </w:r>
            </w:hyperlink>
          </w:p>
        </w:tc>
        <w:tc>
          <w:tcPr>
            <w:tcW w:w="40" w:type="dxa"/>
            <w:vAlign w:val="bottom"/>
            <w:gridSpan w:val="2"/>
          </w:tcPr>
          <w:p>
            <w:pPr>
              <w:spacing w:after="0"/>
              <w:rPr>
                <w:sz w:val="24"/>
                <w:szCs w:val="24"/>
                <w:color w:val="auto"/>
              </w:rPr>
            </w:pPr>
          </w:p>
        </w:tc>
        <w:tc>
          <w:tcPr>
            <w:tcW w:w="410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70">
              <w:r>
                <w:rPr>
                  <w:rFonts w:ascii="Arial" w:cs="Arial" w:eastAsia="Arial" w:hAnsi="Arial"/>
                  <w:sz w:val="18"/>
                  <w:szCs w:val="18"/>
                  <w:color w:val="0000EE"/>
                  <w:w w:val="90"/>
                </w:rPr>
                <w:t>Directors, Executive Officers and Corporate Governance</w:t>
              </w:r>
            </w:hyperlink>
          </w:p>
        </w:tc>
        <w:tc>
          <w:tcPr>
            <w:tcW w:w="3320" w:type="dxa"/>
            <w:vAlign w:val="bottom"/>
            <w:gridSpan w:val="7"/>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196"/>
        </w:trPr>
        <w:tc>
          <w:tcPr>
            <w:tcW w:w="20" w:type="dxa"/>
            <w:vAlign w:val="bottom"/>
          </w:tcPr>
          <w:p>
            <w:pPr>
              <w:spacing w:after="0"/>
              <w:rPr>
                <w:sz w:val="17"/>
                <w:szCs w:val="17"/>
                <w:color w:val="auto"/>
              </w:rPr>
            </w:pPr>
          </w:p>
        </w:tc>
        <w:tc>
          <w:tcPr>
            <w:tcW w:w="640" w:type="dxa"/>
            <w:vAlign w:val="bottom"/>
            <w:gridSpan w:val="5"/>
          </w:tcPr>
          <w:p>
            <w:pPr>
              <w:spacing w:after="0" w:line="196" w:lineRule="exact"/>
              <w:rPr>
                <w:rFonts w:ascii="Arial" w:cs="Arial" w:eastAsia="Arial" w:hAnsi="Arial"/>
                <w:sz w:val="18"/>
                <w:szCs w:val="18"/>
                <w:color w:val="0000EE"/>
                <w:w w:val="95"/>
              </w:rPr>
            </w:pPr>
            <w:hyperlink w:anchor="page71">
              <w:r>
                <w:rPr>
                  <w:rFonts w:ascii="Arial" w:cs="Arial" w:eastAsia="Arial" w:hAnsi="Arial"/>
                  <w:sz w:val="18"/>
                  <w:szCs w:val="18"/>
                  <w:color w:val="0000EE"/>
                  <w:w w:val="95"/>
                </w:rPr>
                <w:t>Item 11.</w:t>
              </w:r>
            </w:hyperlink>
          </w:p>
        </w:tc>
        <w:tc>
          <w:tcPr>
            <w:tcW w:w="7420" w:type="dxa"/>
            <w:vAlign w:val="bottom"/>
            <w:gridSpan w:val="27"/>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Executive Compensation</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340" w:type="dxa"/>
            <w:vAlign w:val="bottom"/>
            <w:gridSpan w:val="6"/>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Item 12.</w:t>
              </w:r>
            </w:hyperlink>
          </w:p>
        </w:tc>
        <w:tc>
          <w:tcPr>
            <w:tcW w:w="40" w:type="dxa"/>
            <w:vAlign w:val="bottom"/>
            <w:gridSpan w:val="2"/>
          </w:tcPr>
          <w:p>
            <w:pPr>
              <w:spacing w:after="0"/>
              <w:rPr>
                <w:sz w:val="17"/>
                <w:szCs w:val="17"/>
                <w:color w:val="auto"/>
              </w:rPr>
            </w:pPr>
          </w:p>
        </w:tc>
        <w:tc>
          <w:tcPr>
            <w:tcW w:w="730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w:anchor="page71">
              <w:r>
                <w:rPr>
                  <w:rFonts w:ascii="Arial" w:cs="Arial" w:eastAsia="Arial" w:hAnsi="Arial"/>
                  <w:sz w:val="18"/>
                  <w:szCs w:val="18"/>
                  <w:color w:val="0000EE"/>
                  <w:w w:val="90"/>
                </w:rPr>
                <w:t>Security Ownership of Certain Beneficial Owners and Management and Related Stockholder Matters</w:t>
              </w:r>
            </w:hyperlink>
          </w:p>
        </w:tc>
        <w:tc>
          <w:tcPr>
            <w:tcW w:w="120" w:type="dxa"/>
            <w:vAlign w:val="bottom"/>
            <w:gridSpan w:val="2"/>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196"/>
        </w:trPr>
        <w:tc>
          <w:tcPr>
            <w:tcW w:w="20" w:type="dxa"/>
            <w:vAlign w:val="bottom"/>
          </w:tcPr>
          <w:p>
            <w:pPr>
              <w:spacing w:after="0"/>
              <w:rPr>
                <w:sz w:val="17"/>
                <w:szCs w:val="17"/>
                <w:color w:val="auto"/>
              </w:rPr>
            </w:pPr>
          </w:p>
        </w:tc>
        <w:tc>
          <w:tcPr>
            <w:tcW w:w="60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Item 13.</w:t>
              </w:r>
            </w:hyperlink>
          </w:p>
        </w:tc>
        <w:tc>
          <w:tcPr>
            <w:tcW w:w="40" w:type="dxa"/>
            <w:vAlign w:val="bottom"/>
            <w:gridSpan w:val="2"/>
          </w:tcPr>
          <w:p>
            <w:pPr>
              <w:spacing w:after="0"/>
              <w:rPr>
                <w:sz w:val="17"/>
                <w:szCs w:val="17"/>
                <w:color w:val="auto"/>
              </w:rPr>
            </w:pPr>
          </w:p>
        </w:tc>
        <w:tc>
          <w:tcPr>
            <w:tcW w:w="546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Certain Relationships and Related Transactions, and Director Independence</w:t>
              </w:r>
            </w:hyperlink>
          </w:p>
        </w:tc>
        <w:tc>
          <w:tcPr>
            <w:tcW w:w="1960" w:type="dxa"/>
            <w:vAlign w:val="bottom"/>
            <w:gridSpan w:val="5"/>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196"/>
        </w:trPr>
        <w:tc>
          <w:tcPr>
            <w:tcW w:w="20" w:type="dxa"/>
            <w:vAlign w:val="bottom"/>
          </w:tcPr>
          <w:p>
            <w:pPr>
              <w:spacing w:after="0"/>
              <w:rPr>
                <w:sz w:val="17"/>
                <w:szCs w:val="17"/>
                <w:color w:val="auto"/>
              </w:rPr>
            </w:pPr>
          </w:p>
        </w:tc>
        <w:tc>
          <w:tcPr>
            <w:tcW w:w="640" w:type="dxa"/>
            <w:vAlign w:val="bottom"/>
            <w:gridSpan w:val="5"/>
          </w:tcPr>
          <w:p>
            <w:pPr>
              <w:spacing w:after="0" w:line="196" w:lineRule="exact"/>
              <w:rPr>
                <w:rFonts w:ascii="Arial" w:cs="Arial" w:eastAsia="Arial" w:hAnsi="Arial"/>
                <w:sz w:val="18"/>
                <w:szCs w:val="18"/>
                <w:color w:val="0000EE"/>
                <w:w w:val="95"/>
              </w:rPr>
            </w:pPr>
            <w:hyperlink w:anchor="page72">
              <w:r>
                <w:rPr>
                  <w:rFonts w:ascii="Arial" w:cs="Arial" w:eastAsia="Arial" w:hAnsi="Arial"/>
                  <w:sz w:val="18"/>
                  <w:szCs w:val="18"/>
                  <w:color w:val="0000EE"/>
                  <w:w w:val="95"/>
                </w:rPr>
                <w:t>Item 14.</w:t>
              </w:r>
            </w:hyperlink>
          </w:p>
        </w:tc>
        <w:tc>
          <w:tcPr>
            <w:tcW w:w="7420" w:type="dxa"/>
            <w:vAlign w:val="bottom"/>
            <w:gridSpan w:val="27"/>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Principal Accountant Fees and Services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412"/>
        </w:trPr>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80" w:type="dxa"/>
            <w:vAlign w:val="bottom"/>
            <w:gridSpan w:val="15"/>
          </w:tcPr>
          <w:p>
            <w:pPr>
              <w:jc w:val="center"/>
              <w:ind w:right="3340"/>
              <w:spacing w:after="0"/>
              <w:rPr>
                <w:rFonts w:ascii="Arial" w:cs="Arial" w:eastAsia="Arial" w:hAnsi="Arial"/>
                <w:sz w:val="18"/>
                <w:szCs w:val="18"/>
                <w:b w:val="1"/>
                <w:bCs w:val="1"/>
                <w:color w:val="0000EE"/>
                <w:w w:val="98"/>
              </w:rPr>
            </w:pPr>
            <w:hyperlink w:anchor="page72">
              <w:r>
                <w:rPr>
                  <w:rFonts w:ascii="Arial" w:cs="Arial" w:eastAsia="Arial" w:hAnsi="Arial"/>
                  <w:sz w:val="18"/>
                  <w:szCs w:val="18"/>
                  <w:b w:val="1"/>
                  <w:bCs w:val="1"/>
                  <w:color w:val="0000EE"/>
                  <w:w w:val="98"/>
                </w:rPr>
                <w:t>PART IV</w:t>
              </w:r>
            </w:hyperlink>
          </w:p>
        </w:tc>
        <w:tc>
          <w:tcPr>
            <w:tcW w:w="8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600" w:type="dxa"/>
            <w:vAlign w:val="bottom"/>
            <w:gridSpan w:val="3"/>
          </w:tcPr>
          <w:p>
            <w:pPr>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Item 15.</w:t>
              </w:r>
            </w:hyperlink>
          </w:p>
        </w:tc>
        <w:tc>
          <w:tcPr>
            <w:tcW w:w="40" w:type="dxa"/>
            <w:vAlign w:val="bottom"/>
            <w:gridSpan w:val="2"/>
          </w:tcPr>
          <w:p>
            <w:pPr>
              <w:spacing w:after="0"/>
              <w:rPr>
                <w:sz w:val="24"/>
                <w:szCs w:val="24"/>
                <w:color w:val="auto"/>
              </w:rPr>
            </w:pPr>
          </w:p>
        </w:tc>
        <w:tc>
          <w:tcPr>
            <w:tcW w:w="3360" w:type="dxa"/>
            <w:vAlign w:val="bottom"/>
            <w:gridSpan w:val="13"/>
          </w:tcPr>
          <w:p>
            <w:pPr>
              <w:spacing w:after="0"/>
              <w:rPr>
                <w:rFonts w:ascii="Arial" w:cs="Arial" w:eastAsia="Arial" w:hAnsi="Arial"/>
                <w:sz w:val="18"/>
                <w:szCs w:val="18"/>
                <w:color w:val="0000EE"/>
                <w:w w:val="95"/>
              </w:rPr>
            </w:pPr>
            <w:hyperlink w:anchor="page72">
              <w:r>
                <w:rPr>
                  <w:rFonts w:ascii="Arial" w:cs="Arial" w:eastAsia="Arial" w:hAnsi="Arial"/>
                  <w:sz w:val="18"/>
                  <w:szCs w:val="18"/>
                  <w:color w:val="0000EE"/>
                  <w:w w:val="95"/>
                </w:rPr>
                <w:t>Exhibits and Financial Statement Schedules</w:t>
              </w:r>
            </w:hyperlink>
          </w:p>
        </w:tc>
        <w:tc>
          <w:tcPr>
            <w:tcW w:w="700" w:type="dxa"/>
            <w:vAlign w:val="bottom"/>
            <w:tcBorders>
              <w:top w:val="single" w:sz="8" w:color="0000EE"/>
            </w:tcBorders>
            <w:gridSpan w:val="5"/>
          </w:tcPr>
          <w:p>
            <w:pPr>
              <w:spacing w:after="0"/>
              <w:rPr>
                <w:sz w:val="24"/>
                <w:szCs w:val="24"/>
                <w:color w:val="auto"/>
              </w:rPr>
            </w:pPr>
          </w:p>
        </w:tc>
        <w:tc>
          <w:tcPr>
            <w:tcW w:w="3360" w:type="dxa"/>
            <w:vAlign w:val="bottom"/>
            <w:gridSpan w:val="9"/>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700" w:type="dxa"/>
            <w:vAlign w:val="bottom"/>
            <w:gridSpan w:val="9"/>
            <w:shd w:val="clear" w:color="auto" w:fill="0000EE"/>
          </w:tcPr>
          <w:p>
            <w:pPr>
              <w:spacing w:after="0" w:line="20" w:lineRule="exact"/>
              <w:rPr>
                <w:sz w:val="1"/>
                <w:szCs w:val="1"/>
                <w:color w:val="auto"/>
              </w:rPr>
            </w:pPr>
          </w:p>
        </w:tc>
        <w:tc>
          <w:tcPr>
            <w:tcW w:w="4260" w:type="dxa"/>
            <w:vAlign w:val="bottom"/>
            <w:gridSpan w:val="1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32"/>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SIGNATURES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1242"/>
        </w:trPr>
        <w:tc>
          <w:tcPr>
            <w:tcW w:w="20" w:type="dxa"/>
            <w:vAlign w:val="bottom"/>
            <w:tcBorders>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ind w:left="60" w:right="99"/>
        <w:spacing w:after="0" w:line="279" w:lineRule="auto"/>
        <w:rPr>
          <w:sz w:val="20"/>
          <w:szCs w:val="20"/>
          <w:color w:val="auto"/>
        </w:rPr>
      </w:pPr>
      <w:r>
        <w:rPr>
          <w:rFonts w:ascii="Arial" w:cs="Arial" w:eastAsia="Arial" w:hAnsi="Arial"/>
          <w:sz w:val="17"/>
          <w:szCs w:val="17"/>
          <w:color w:val="auto"/>
        </w:rPr>
        <w:t>Throughout this report, we refer to Ryman Hospitality Properties, Inc., a Delaware corporation (“Ryman”), together with its subsidiaries, as “we,” “us,” “our,” or the “Company.” For each year discussed, our fiscal year ends on December 31. All of the discussion and analysis in this report should be read with, and is qualified in its entirety by, the Consolidated Financial Statements and related notes included in this Annual Report on Form 10-K.</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This report contains “forward-looking statements” intended to qualify for the safe harbor from liability established by the</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Private Securities Litigation Reform Act of 1995. These forward-looking statements concern our goals, beliefs,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color w:val="auto"/>
        </w:rPr>
        <w:t>expectations, strategies, objectives, plans, future operating results and underlying assumptions, and other statements that</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are not necessarily based on historical facts. Without limitation, you can identify these statements by the fact that they do</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not relate strictly to historical or current facts, and these statements may contain words such as “may,” “will,” “could,”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“should,” “might,” “projects,” “expects,” “believes,” “anticipates,” “intends,” “plans,” “continue,” “estimate,” or “pursue,”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or the negative or other variations thereof or comparable terms. In particular, they include statements relating to, among</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other things, future actions, strategies, future performance, the outcome of contingencies such as legal proceedings and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future financial results. These also include statements regarding (i) the anticipated impact of the novel coronavirus disease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(COVID-19) pandemic on future travel, transient and group demand, our results from operations and liquidity, and efforts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to rebook customers for future dates; (ii) the effect of our election to be taxed as a real estate investment trust (“REIT”) and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maintain REIT status for federal income tax purposes; (iii) the holding of our non-qualifying REIT assets in one or more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taxable REIT subsidiaries (“TRSs”); (iv) the suspension of our dividend and our dividend policy, including the frequency</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and amount of any dividend we may pay; (v) potential growth opportunities, including future expansion of the geographic</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diversity of our existing asset portfolio through acquisitions and investment in joint ventures; (vi) Marriott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7"/>
          <w:szCs w:val="17"/>
          <w:color w:val="auto"/>
        </w:rPr>
        <w:t>International, Inc.’s (“Marriott”) ability to effectively manage our hotels and other properties; (vii) our anticipated capital</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expenditures and investments; (viii) the potential operating and financial restrictions imposed on our activities under</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existing and future financing agreements including our credit facility and other contractual arrangements with third parties,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including management agreements with Marriott; (ix) our use of cash during 2022; (x) our ability to borrow available funds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under our credit facility; (xi) our expectations about successfully amending the agreements governing our indebtedness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should the need arise; (xii) our pending acquisition of the Block 21 complex in Austin, Texas (“Block 21”); and (xiii) any</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other business or operational matters. We have based these forward-looking statements on our current expectations and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projections about future events.</w:t>
      </w:r>
    </w:p>
    <w:p>
      <w:pPr>
        <w:spacing w:after="0" w:line="211" w:lineRule="exact"/>
        <w:rPr>
          <w:sz w:val="20"/>
          <w:szCs w:val="20"/>
          <w:color w:val="auto"/>
        </w:rPr>
      </w:pPr>
    </w:p>
    <w:p>
      <w:pPr>
        <w:ind w:left="60" w:right="99"/>
        <w:spacing w:after="0" w:line="287" w:lineRule="auto"/>
        <w:rPr>
          <w:sz w:val="20"/>
          <w:szCs w:val="20"/>
          <w:color w:val="auto"/>
        </w:rPr>
      </w:pPr>
      <w:r>
        <w:rPr>
          <w:rFonts w:ascii="Arial" w:cs="Arial" w:eastAsia="Arial" w:hAnsi="Arial"/>
          <w:sz w:val="16"/>
          <w:szCs w:val="16"/>
          <w:color w:val="auto"/>
        </w:rPr>
        <w:t>Although we believe that the expectations reflected in such forward-looking statements are based upon reasonable assumptions, beliefs and expectations, our actual results could differ materially from the results anticipated by the forward-looking statements as a result of many known and unknown factors including, but not limited to, those discussed in</w:t>
      </w:r>
    </w:p>
    <w:p>
      <w:pPr>
        <w:spacing w:after="0" w:line="2" w:lineRule="exact"/>
        <w:rPr>
          <w:sz w:val="20"/>
          <w:szCs w:val="20"/>
          <w:color w:val="auto"/>
        </w:rPr>
      </w:pPr>
    </w:p>
    <w:p>
      <w:pPr>
        <w:ind w:left="60" w:right="199"/>
        <w:spacing w:after="0" w:line="271" w:lineRule="auto"/>
        <w:rPr>
          <w:sz w:val="20"/>
          <w:szCs w:val="20"/>
          <w:color w:val="auto"/>
        </w:rPr>
      </w:pPr>
      <w:r>
        <w:rPr>
          <w:rFonts w:ascii="Arial" w:cs="Arial" w:eastAsia="Arial" w:hAnsi="Arial"/>
          <w:sz w:val="17"/>
          <w:szCs w:val="17"/>
          <w:color w:val="auto"/>
        </w:rPr>
        <w:t>Item 1A, “Risk Factors,” Item 7, “Management’s Discussion and Analysis of Financial Condition and Results of Operations,” and elsewhere in this report. Any forward-looking statement made in this Annual Report on Form 10-K speaks only as of the date on which the statement is made. New risks and uncertainties may arise from time to time, and it is impossible for us to predict these events or how they may affect us. We have no duty to, and do not intend to, update or revise the forward-looking statements we make in this report,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 Factors Summary</w:t>
      </w:r>
    </w:p>
    <w:p>
      <w:pPr>
        <w:spacing w:after="0" w:line="229" w:lineRule="exact"/>
        <w:rPr>
          <w:sz w:val="20"/>
          <w:szCs w:val="20"/>
          <w:color w:val="auto"/>
        </w:rPr>
      </w:pPr>
    </w:p>
    <w:p>
      <w:pPr>
        <w:ind w:left="60" w:right="219"/>
        <w:spacing w:after="0" w:line="257" w:lineRule="auto"/>
        <w:rPr>
          <w:sz w:val="20"/>
          <w:szCs w:val="20"/>
          <w:color w:val="auto"/>
        </w:rPr>
      </w:pPr>
      <w:r>
        <w:rPr>
          <w:rFonts w:ascii="Arial" w:cs="Arial" w:eastAsia="Arial" w:hAnsi="Arial"/>
          <w:sz w:val="18"/>
          <w:szCs w:val="18"/>
          <w:color w:val="auto"/>
        </w:rPr>
        <w:t>Our business faces significant risks and uncertainties. If any of the following risks are realized, our business, financial condition and results of operations could be materially and adversely affected. You should carefully review and consider the full discussion of our risk factors in the section titled “Risk Factors” in Part I, Item 1A of this Annual Report on Form 10-K. Set forth below is a summary list of the principal risk factors as of the date of the filing of this Annual Report on Form 10-K:</w:t>
      </w:r>
    </w:p>
    <w:p>
      <w:pPr>
        <w:spacing w:after="0" w:line="188" w:lineRule="exact"/>
        <w:rPr>
          <w:sz w:val="20"/>
          <w:szCs w:val="20"/>
          <w:color w:val="auto"/>
        </w:rPr>
      </w:pPr>
    </w:p>
    <w:p>
      <w:pPr>
        <w:ind w:left="720" w:right="99" w:hanging="319"/>
        <w:spacing w:after="0" w:line="263"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coronavirus (COVID-19) pandemic has had, and may in the future continue to have, a material adverse effect on our financial condition, results of operations, cash flows and our ability to make distributions to our shareholders, and the impact of the COVID-19 pandemic could continue or worsen.</w:t>
      </w:r>
    </w:p>
    <w:p>
      <w:pPr>
        <w:spacing w:after="0" w:line="75" w:lineRule="exact"/>
        <w:rPr>
          <w:rFonts w:ascii="Arial" w:cs="Arial" w:eastAsia="Arial" w:hAnsi="Arial"/>
          <w:sz w:val="18"/>
          <w:szCs w:val="18"/>
          <w:color w:val="auto"/>
        </w:rPr>
      </w:pPr>
    </w:p>
    <w:p>
      <w:pPr>
        <w:ind w:left="720" w:right="99" w:hanging="319"/>
        <w:spacing w:after="0" w:line="25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Marriott or any future third-party hotel manager does not manage our hotel properties or other businesses successfully, our financial condition, results of operations and our ability to service debt and make distributions to our stockholders may be negatively impacted. Further, the operation and management of our current hotel properties, the operation of which generates substantially all our Hospitality segment revenue, is concentrated in Marriott.</w:t>
      </w:r>
    </w:p>
    <w:p>
      <w:pPr>
        <w:spacing w:after="0" w:line="79" w:lineRule="exact"/>
        <w:rPr>
          <w:rFonts w:ascii="Arial" w:cs="Arial" w:eastAsia="Arial" w:hAnsi="Arial"/>
          <w:sz w:val="18"/>
          <w:szCs w:val="18"/>
          <w:color w:val="auto"/>
        </w:rPr>
      </w:pPr>
    </w:p>
    <w:p>
      <w:pPr>
        <w:jc w:val="both"/>
        <w:ind w:left="720" w:right="159" w:hanging="319"/>
        <w:spacing w:after="0" w:line="311" w:lineRule="auto"/>
        <w:tabs>
          <w:tab w:leader="none" w:pos="72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Restrictive covenants and other provisions in our hotel management agreements with third-party hotel managers could limit our ability to sell or lease our hotel properties or refinance our existing debt. In addition, Marriott and any future third-party hotel manager may own or operate hotels that compete with our hotel properties.</w:t>
      </w:r>
    </w:p>
    <w:p>
      <w:pPr>
        <w:spacing w:after="0" w:line="40" w:lineRule="exact"/>
        <w:rPr>
          <w:rFonts w:ascii="Arial" w:cs="Arial" w:eastAsia="Arial" w:hAnsi="Arial"/>
          <w:sz w:val="16"/>
          <w:szCs w:val="16"/>
          <w:color w:val="auto"/>
        </w:rPr>
      </w:pPr>
    </w:p>
    <w:p>
      <w:pPr>
        <w:ind w:left="720" w:right="539" w:hanging="319"/>
        <w:spacing w:after="0" w:line="259"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concentration in the hospitality industry, and in particular the group-oriented meetings sector of the hospitality industry, exposes us to certain risks outside of our and Marriott’s control. In addition, due to the geographic concentration of our current hotel properties, we are subject to a greater degree of risk to certain factors.</w:t>
      </w:r>
    </w:p>
    <w:p>
      <w:pPr>
        <w:spacing w:after="0" w:line="78" w:lineRule="exact"/>
        <w:rPr>
          <w:rFonts w:ascii="Arial" w:cs="Arial" w:eastAsia="Arial" w:hAnsi="Arial"/>
          <w:sz w:val="18"/>
          <w:szCs w:val="18"/>
          <w:color w:val="auto"/>
        </w:rPr>
      </w:pPr>
    </w:p>
    <w:p>
      <w:pPr>
        <w:ind w:left="720" w:right="139" w:hanging="319"/>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hotel business is capital-intensive, and our inability to obtain financing or successfully complete acquisitions or capital improvements, or the disruption associated with them, could limit our growth.</w:t>
      </w:r>
    </w:p>
    <w:p>
      <w:pPr>
        <w:spacing w:after="0" w:line="62"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TRS lessee structure subjects us to the risk of increased hotel operating expenses and the inability of our TRS lessees to make lease payments to us.</w:t>
      </w:r>
    </w:p>
    <w:p>
      <w:pPr>
        <w:spacing w:after="0" w:line="62" w:lineRule="exact"/>
        <w:rPr>
          <w:rFonts w:ascii="Arial" w:cs="Arial" w:eastAsia="Arial" w:hAnsi="Arial"/>
          <w:sz w:val="18"/>
          <w:szCs w:val="18"/>
          <w:color w:val="auto"/>
        </w:rPr>
      </w:pPr>
    </w:p>
    <w:p>
      <w:pPr>
        <w:ind w:left="720" w:right="179" w:hanging="319"/>
        <w:spacing w:after="0" w:line="263"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and our third-party hotel manager rely on information technology in our operations, and any material failure, inadequacy, interruption, or security failure could harm our business. In addition, cyber security incidents could have a disruptive effect on our business.</w:t>
      </w:r>
    </w:p>
    <w:p>
      <w:pPr>
        <w:spacing w:after="0" w:line="75" w:lineRule="exact"/>
        <w:rPr>
          <w:rFonts w:ascii="Arial" w:cs="Arial" w:eastAsia="Arial" w:hAnsi="Arial"/>
          <w:sz w:val="18"/>
          <w:szCs w:val="18"/>
          <w:color w:val="auto"/>
        </w:rPr>
      </w:pPr>
    </w:p>
    <w:p>
      <w:pPr>
        <w:ind w:left="720" w:right="199" w:hanging="319"/>
        <w:spacing w:after="0" w:line="279" w:lineRule="auto"/>
        <w:tabs>
          <w:tab w:leader="none" w:pos="7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real estate assets are subject to numerous risks, including environmental regulations that could impose significant financial liability on us. Illiquidity of real estate investments could significantly impede our ability to respond to adverse changes in the performance of our hotel properties and harm our financial condition. Moreover, compliance with the Americans with Disabilities Act could require us to incur substantial costs.</w:t>
      </w:r>
    </w:p>
    <w:p>
      <w:pPr>
        <w:spacing w:after="0" w:line="63" w:lineRule="exact"/>
        <w:rPr>
          <w:rFonts w:ascii="Arial" w:cs="Arial" w:eastAsia="Arial" w:hAnsi="Arial"/>
          <w:sz w:val="17"/>
          <w:szCs w:val="17"/>
          <w:color w:val="auto"/>
        </w:rPr>
      </w:pPr>
    </w:p>
    <w:p>
      <w:pPr>
        <w:ind w:left="720" w:right="159" w:hanging="319"/>
        <w:spacing w:after="0" w:line="259"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an owner of hotel properties and operator of leisure businesses, we are subject to risks relating to acts of God, outbreaks of pandemic disease, terrorist activity and war. Also, our operating results and ability to service debt and make distributions to our stockholders may be adversely affected by various operating risks common to the lodging industry.</w:t>
      </w:r>
    </w:p>
    <w:p>
      <w:pPr>
        <w:spacing w:after="0" w:line="78" w:lineRule="exact"/>
        <w:rPr>
          <w:rFonts w:ascii="Arial" w:cs="Arial" w:eastAsia="Arial" w:hAnsi="Arial"/>
          <w:sz w:val="18"/>
          <w:szCs w:val="18"/>
          <w:color w:val="auto"/>
        </w:rPr>
      </w:pPr>
    </w:p>
    <w:p>
      <w:pPr>
        <w:ind w:left="720" w:right="79" w:hanging="319"/>
        <w:spacing w:after="0" w:line="296" w:lineRule="auto"/>
        <w:tabs>
          <w:tab w:leader="none" w:pos="72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are subject to risks associated with our hotel managers’ employment of hotel personnel, particularly with hotels whose managers employ unionized labor, which could increase our hotels’ operating costs, reduce the flexibility of our third-party hotel managers to adjust the size of the workforce at our hotel properties and impair our ability to make distributions to our stockholders. Our business could suffer if we or our hotel managers cannot attract and retain qualified personnel or as the result of the loss of the services of our senior executives.</w:t>
      </w:r>
    </w:p>
    <w:p>
      <w:pPr>
        <w:spacing w:after="0" w:line="53" w:lineRule="exact"/>
        <w:rPr>
          <w:rFonts w:ascii="Arial" w:cs="Arial" w:eastAsia="Arial" w:hAnsi="Arial"/>
          <w:sz w:val="16"/>
          <w:szCs w:val="16"/>
          <w:color w:val="auto"/>
        </w:rPr>
      </w:pPr>
    </w:p>
    <w:p>
      <w:pPr>
        <w:ind w:left="720" w:right="179" w:hanging="319"/>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failure to protect the trademarks and intellectual property used in our business could reduce the value of our brand names and harm our business.</w:t>
      </w:r>
    </w:p>
    <w:p>
      <w:pPr>
        <w:spacing w:after="0" w:line="62" w:lineRule="exact"/>
        <w:rPr>
          <w:rFonts w:ascii="Arial" w:cs="Arial" w:eastAsia="Arial" w:hAnsi="Arial"/>
          <w:sz w:val="18"/>
          <w:szCs w:val="18"/>
          <w:color w:val="auto"/>
        </w:rPr>
      </w:pPr>
    </w:p>
    <w:p>
      <w:pPr>
        <w:ind w:left="720" w:right="339" w:hanging="319"/>
        <w:spacing w:after="0" w:line="308" w:lineRule="auto"/>
        <w:tabs>
          <w:tab w:leader="none" w:pos="72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may fail to complete the acquisition of Block 21 on a timely basis or at all, and our financial and operating results may suffer if we are unsuccessful in integrating Block 21 assets with our existing assets.</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259" w:hanging="319"/>
        <w:spacing w:after="0" w:line="311"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we fail to remain qualified as a REIT, we would be subject to tax at corporate income tax rates and would not be able to deduct distributions to stockholders when computing our taxable income. As a REIT, failure to make required distributions to our stockholders would subject us to federal and state corporate income tax.</w:t>
      </w:r>
    </w:p>
    <w:p>
      <w:pPr>
        <w:spacing w:after="0" w:line="40" w:lineRule="exact"/>
        <w:rPr>
          <w:rFonts w:ascii="Arial" w:cs="Arial" w:eastAsia="Arial" w:hAnsi="Arial"/>
          <w:sz w:val="16"/>
          <w:szCs w:val="16"/>
          <w:color w:val="auto"/>
        </w:rPr>
      </w:pPr>
    </w:p>
    <w:p>
      <w:pPr>
        <w:ind w:left="720" w:right="119" w:hanging="319"/>
        <w:spacing w:after="0" w:line="263"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Even though we are conducting our business as a REIT, certain of our business activities will be subject to corporate level income tax, which will continue to reduce our cash flows, and we will have potential deferred and contingent tax liabilities.</w:t>
      </w:r>
    </w:p>
    <w:p>
      <w:pPr>
        <w:spacing w:after="0" w:line="75" w:lineRule="exact"/>
        <w:rPr>
          <w:rFonts w:ascii="Arial" w:cs="Arial" w:eastAsia="Arial" w:hAnsi="Arial"/>
          <w:sz w:val="18"/>
          <w:szCs w:val="18"/>
          <w:color w:val="auto"/>
        </w:rPr>
      </w:pPr>
    </w:p>
    <w:p>
      <w:pPr>
        <w:ind w:left="720" w:right="379" w:hanging="319"/>
        <w:spacing w:after="0" w:line="259"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Complying with REIT requirements may limit our ability to hedge effectively and increase the costs of our hedging, may cause us to incur tax liabilities, and may limit our flexibility or cause us to forego otherwise attractive opportunities. Further, we may be required to borrow funds, sell assets, or issue equity to satisfy our REIT distribution requirements or maintain the asset ownership tests.</w:t>
      </w:r>
    </w:p>
    <w:p>
      <w:pPr>
        <w:spacing w:after="0" w:line="78" w:lineRule="exact"/>
        <w:rPr>
          <w:rFonts w:ascii="Arial" w:cs="Arial" w:eastAsia="Arial" w:hAnsi="Arial"/>
          <w:sz w:val="18"/>
          <w:szCs w:val="18"/>
          <w:color w:val="auto"/>
        </w:rPr>
      </w:pPr>
    </w:p>
    <w:p>
      <w:pPr>
        <w:ind w:left="720" w:right="159" w:hanging="319"/>
        <w:spacing w:after="0" w:line="296"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Legislative or other actions affecting REITs could have a negative effect on us or our stockholders, and even as a REIT, changes in federal, state, or local tax law, interpretations of existing tax law or agreements with tax authorities could affect our profitability and financial condition by increasing our tax costs. Further, U.S. federal tax reform legislation could affect REITs generally, the geographic markets in which we operate, our stock and our results of operations, both positively and negatively in ways that are difficult to anticipate.</w:t>
      </w:r>
    </w:p>
    <w:p>
      <w:pPr>
        <w:spacing w:after="0" w:line="53" w:lineRule="exact"/>
        <w:rPr>
          <w:rFonts w:ascii="Arial" w:cs="Arial" w:eastAsia="Arial" w:hAnsi="Arial"/>
          <w:sz w:val="16"/>
          <w:szCs w:val="16"/>
          <w:color w:val="auto"/>
        </w:rPr>
      </w:pPr>
    </w:p>
    <w:p>
      <w:pPr>
        <w:ind w:left="720" w:right="259" w:hanging="319"/>
        <w:spacing w:after="0" w:line="277"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board of directors to revoke our REIT qualification, without stockholder approval, may cause adverse consequences to our stockholders.</w:t>
      </w:r>
    </w:p>
    <w:p>
      <w:pPr>
        <w:spacing w:after="0" w:line="62" w:lineRule="exact"/>
        <w:rPr>
          <w:rFonts w:ascii="Arial" w:cs="Arial" w:eastAsia="Arial" w:hAnsi="Arial"/>
          <w:sz w:val="18"/>
          <w:szCs w:val="18"/>
          <w:color w:val="auto"/>
        </w:rPr>
      </w:pPr>
    </w:p>
    <w:p>
      <w:pPr>
        <w:ind w:left="720" w:right="419" w:hanging="319"/>
        <w:spacing w:after="0" w:line="342"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planned use of TRSs may cause us to fail to qualify as a REIT, and if our leases of our hotel properties to TRS lessees are not true leases for federal income tax purposes, we may fail to qualify as a REIT.</w:t>
      </w:r>
    </w:p>
    <w:p>
      <w:pPr>
        <w:spacing w:after="0" w:line="15" w:lineRule="exact"/>
        <w:rPr>
          <w:rFonts w:ascii="Arial" w:cs="Arial" w:eastAsia="Arial" w:hAnsi="Arial"/>
          <w:sz w:val="16"/>
          <w:szCs w:val="16"/>
          <w:color w:val="auto"/>
        </w:rPr>
      </w:pPr>
    </w:p>
    <w:p>
      <w:pPr>
        <w:ind w:left="720" w:right="339" w:hanging="319"/>
        <w:spacing w:after="0" w:line="277"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Marriott or any future third-party hotel manager fails to qualify as an “eligible independent contractor,” or if our hotels are not “qualified lodging facilities,” we may fail to qualify as a REIT.</w:t>
      </w:r>
    </w:p>
    <w:p>
      <w:pPr>
        <w:spacing w:after="0" w:line="62" w:lineRule="exact"/>
        <w:rPr>
          <w:rFonts w:ascii="Arial" w:cs="Arial" w:eastAsia="Arial" w:hAnsi="Arial"/>
          <w:sz w:val="18"/>
          <w:szCs w:val="18"/>
          <w:color w:val="auto"/>
        </w:rPr>
      </w:pPr>
    </w:p>
    <w:p>
      <w:pPr>
        <w:ind w:left="720" w:right="339" w:hanging="319"/>
        <w:spacing w:after="0" w:line="263"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dividend is currently suspended, and covenants in our current and future debt instruments may limit our ability to make required distributions to our stockholders in accordance with our announced intended dividend policy.</w:t>
      </w:r>
    </w:p>
    <w:p>
      <w:pPr>
        <w:spacing w:after="0" w:line="75" w:lineRule="exact"/>
        <w:rPr>
          <w:rFonts w:ascii="Arial" w:cs="Arial" w:eastAsia="Arial" w:hAnsi="Arial"/>
          <w:sz w:val="18"/>
          <w:szCs w:val="18"/>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cash distributions are not guaranteed and may fluctuate.</w:t>
      </w:r>
    </w:p>
    <w:p>
      <w:pPr>
        <w:spacing w:after="0" w:line="117" w:lineRule="exact"/>
        <w:rPr>
          <w:rFonts w:ascii="Arial" w:cs="Arial" w:eastAsia="Arial" w:hAnsi="Arial"/>
          <w:sz w:val="18"/>
          <w:szCs w:val="18"/>
          <w:color w:val="auto"/>
        </w:rPr>
      </w:pPr>
    </w:p>
    <w:p>
      <w:pPr>
        <w:ind w:left="720" w:right="139" w:hanging="319"/>
        <w:spacing w:after="0" w:line="259"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invested in, and in the future may invest in, mortgage loans, mezzanine debt, joint ventures or certain minority equity interests over which we may not have significant control, to or for which we may owe significant funding or obligations and for which there is no readily available market, and these investments may not be profitable.</w:t>
      </w:r>
    </w:p>
    <w:p>
      <w:pPr>
        <w:spacing w:after="0" w:line="78" w:lineRule="exact"/>
        <w:rPr>
          <w:rFonts w:ascii="Arial" w:cs="Arial" w:eastAsia="Arial" w:hAnsi="Arial"/>
          <w:sz w:val="18"/>
          <w:szCs w:val="18"/>
          <w:color w:val="auto"/>
        </w:rPr>
      </w:pPr>
    </w:p>
    <w:p>
      <w:pPr>
        <w:ind w:left="720" w:right="79" w:hanging="319"/>
        <w:spacing w:after="0" w:line="286" w:lineRule="auto"/>
        <w:tabs>
          <w:tab w:leader="none" w:pos="7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substantial debt could reduce our cash flow and limit our business activities, and our indebtedness is secured by a substantial portion of our assets. In addition, we could be required to refinance our debt before it matures and there is no assurance that we will be able to refinance our debt on acceptable terms.</w:t>
      </w:r>
    </w:p>
    <w:p>
      <w:pPr>
        <w:spacing w:after="0" w:line="57" w:lineRule="exact"/>
        <w:rPr>
          <w:rFonts w:ascii="Arial" w:cs="Arial" w:eastAsia="Arial" w:hAnsi="Arial"/>
          <w:sz w:val="17"/>
          <w:szCs w:val="17"/>
          <w:color w:val="auto"/>
        </w:rPr>
      </w:pPr>
    </w:p>
    <w:p>
      <w:pPr>
        <w:ind w:left="720" w:right="199" w:hanging="319"/>
        <w:spacing w:after="0" w:line="263"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service our debt and pay other obligations, we will require a significant amount of cash, which may not be available to us. In addition, any replacement of LIBOR as the basis on which interest on our variable-rate debt is calculated may harm our financial results, profitability and cash flows.</w:t>
      </w:r>
    </w:p>
    <w:p>
      <w:pPr>
        <w:spacing w:after="0" w:line="75" w:lineRule="exact"/>
        <w:rPr>
          <w:rFonts w:ascii="Arial" w:cs="Arial" w:eastAsia="Arial" w:hAnsi="Arial"/>
          <w:sz w:val="18"/>
          <w:szCs w:val="18"/>
          <w:color w:val="auto"/>
        </w:rPr>
      </w:pPr>
    </w:p>
    <w:p>
      <w:pPr>
        <w:ind w:left="720" w:right="279" w:hanging="319"/>
        <w:spacing w:after="0" w:line="277"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agreements governing our debt contain various covenants that may limit our ability to operate our business and impair our ability to make distributions to our stockholders.</w:t>
      </w:r>
    </w:p>
    <w:p>
      <w:pPr>
        <w:spacing w:after="0" w:line="62" w:lineRule="exact"/>
        <w:rPr>
          <w:rFonts w:ascii="Arial" w:cs="Arial" w:eastAsia="Arial" w:hAnsi="Arial"/>
          <w:sz w:val="18"/>
          <w:szCs w:val="18"/>
          <w:color w:val="auto"/>
        </w:rPr>
      </w:pPr>
    </w:p>
    <w:p>
      <w:pPr>
        <w:ind w:left="720" w:hanging="319"/>
        <w:spacing w:after="0"/>
        <w:tabs>
          <w:tab w:leader="none" w:pos="72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are a holding company and depend upon our subsidiaries’ cash flow to meet our debt service obligations.</w:t>
      </w:r>
    </w:p>
    <w:p>
      <w:pPr>
        <w:spacing w:after="0" w:line="128" w:lineRule="exact"/>
        <w:rPr>
          <w:rFonts w:ascii="Arial" w:cs="Arial" w:eastAsia="Arial" w:hAnsi="Arial"/>
          <w:sz w:val="17"/>
          <w:szCs w:val="17"/>
          <w:color w:val="auto"/>
        </w:rPr>
      </w:pPr>
    </w:p>
    <w:p>
      <w:pPr>
        <w:ind w:left="720" w:right="79" w:hanging="319"/>
        <w:spacing w:after="0" w:line="277"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ownership limitations in our charter may restrict or prevent stockholders from engaging in certain transfers of our common stock.</w:t>
      </w:r>
    </w:p>
    <w:p>
      <w:pPr>
        <w:spacing w:after="0" w:line="62" w:lineRule="exact"/>
        <w:rPr>
          <w:rFonts w:ascii="Arial" w:cs="Arial" w:eastAsia="Arial" w:hAnsi="Arial"/>
          <w:sz w:val="18"/>
          <w:szCs w:val="18"/>
          <w:color w:val="auto"/>
        </w:rPr>
      </w:pPr>
    </w:p>
    <w:p>
      <w:pPr>
        <w:ind w:left="720" w:right="119" w:hanging="319"/>
        <w:spacing w:after="0" w:line="263"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subject to certain general risks, including, but not limited to, risks related to our environmental, social and governance practices, class actions and other lawsuits, healthcare reform legislation, the market price of our common stock, and our board of directors’ ability to change our major policies.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1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i w:val="1"/>
          <w:iCs w:val="1"/>
          <w:color w:val="auto"/>
        </w:rPr>
        <w:t>Business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0" w:right="79"/>
        <w:spacing w:after="0" w:line="268" w:lineRule="auto"/>
        <w:rPr>
          <w:sz w:val="20"/>
          <w:szCs w:val="20"/>
          <w:color w:val="auto"/>
        </w:rPr>
      </w:pPr>
      <w:r>
        <w:rPr>
          <w:rFonts w:ascii="Arial" w:cs="Arial" w:eastAsia="Arial" w:hAnsi="Arial"/>
          <w:sz w:val="17"/>
          <w:szCs w:val="17"/>
          <w:color w:val="auto"/>
        </w:rPr>
        <w:t>Ryman is the successor to Gaylord Entertainment Company (“Gaylord”), a Delaware corporation originally incorporated in 1956. As part of the plan to restructure our business operations to facilitate our qualification as a REIT for federal income tax purposes, Gaylord merged with and into its wholly-owned subsidiary, Ryman, on October 1, 2012, with Ryman as the surviving corporation, and Ryman succeeded to and began conducting, either directly or indirectly, all of the business conducted by Gaylord immediately prior to the merger. Ryman is a Delaware corporation that began operating as a self-advised and self-administered REIT for federal income tax purposes on January 1, 2013. We specialize in group-oriented, destination hotel assets in urban and resort markets. As a REIT, we generally will not be subject to federal corporate income taxes on that portion of our capital gain or ordinary income from our REIT operations that is distributed to our stockholders. This treatment substantially eliminates the federal “double taxation” on earnings from our REIT operations, or taxation once at the corporate level and again at the stockholder level, that generally results from investment in a regular C corporation. Our non-REIT operations, which consist of the activities of our TRSs that lease or sublease our hotels from our qualified REIT subsidiaries, as well as businesses within our Entertainment segment, continue to be subject, as applicable, to federal and state corporate income taxes.</w:t>
      </w:r>
    </w:p>
    <w:p>
      <w:pPr>
        <w:spacing w:after="0" w:line="186" w:lineRule="exact"/>
        <w:rPr>
          <w:sz w:val="20"/>
          <w:szCs w:val="20"/>
          <w:color w:val="auto"/>
        </w:rPr>
      </w:pPr>
    </w:p>
    <w:p>
      <w:pPr>
        <w:ind w:left="60" w:right="119"/>
        <w:spacing w:after="0" w:line="288" w:lineRule="auto"/>
        <w:rPr>
          <w:sz w:val="20"/>
          <w:szCs w:val="20"/>
          <w:color w:val="auto"/>
        </w:rPr>
      </w:pPr>
      <w:r>
        <w:rPr>
          <w:rFonts w:ascii="Arial" w:cs="Arial" w:eastAsia="Arial" w:hAnsi="Arial"/>
          <w:sz w:val="16"/>
          <w:szCs w:val="16"/>
          <w:color w:val="auto"/>
        </w:rPr>
        <w:t>Our owned assets include a network of five upscale, meetings-focused resorts totaling 9,917 rooms that are managed by Marriott under the Gaylord Hotels brand. These five resorts, which we refer to as our Gaylord Hotels properties, consist of the Gaylord Opryland Resort &amp; Convention Center in Nashville, Tennessee (“Gaylord Opryland”), the Gaylord Palms Resort &amp; Convention Center near Orlando, Florida (“Gaylord Palms”), the Gaylord Texan Resort &amp; Convention Center near Dallas, Texas (“Gaylord Texan”), the Gaylord National Resort &amp; Convention Center near Washington D.C. (“Gaylord National”), and the Gaylord Rockies Resort &amp; Convention Center near Denver, Colorado (“Gaylord Rockies”), which was previously owned by a joint venture (the “Gaylord Rockies joint venture”), in which we owned a 65% interest. On May 7, 2021, we purchased the remaining 35% interest in the Gaylord Rockies joint venture. Our other owned hotel assets managed by Marriott include the Inn at Opryland, an overflow hotel adjacent to Gaylord Opryland, and the AC Hotel at National Harbor, Washington D.C. (“AC Hotel”), an overflow hotel adjacent to Gaylord National.</w:t>
      </w:r>
    </w:p>
    <w:p>
      <w:pPr>
        <w:spacing w:after="0" w:line="168" w:lineRule="exact"/>
        <w:rPr>
          <w:sz w:val="20"/>
          <w:szCs w:val="20"/>
          <w:color w:val="auto"/>
        </w:rPr>
      </w:pPr>
    </w:p>
    <w:p>
      <w:pPr>
        <w:ind w:left="60" w:right="119"/>
        <w:spacing w:after="0" w:line="272" w:lineRule="auto"/>
        <w:rPr>
          <w:sz w:val="20"/>
          <w:szCs w:val="20"/>
          <w:color w:val="auto"/>
        </w:rPr>
      </w:pPr>
      <w:r>
        <w:rPr>
          <w:rFonts w:ascii="Arial" w:cs="Arial" w:eastAsia="Arial" w:hAnsi="Arial"/>
          <w:sz w:val="17"/>
          <w:szCs w:val="17"/>
          <w:color w:val="auto"/>
        </w:rPr>
        <w:t>We also own and operate media and entertainment assets including the Grand Ole Opry, the legendary weekly showcase of country music’s finest performers for 96 years; the Ryman Auditorium, the storied live music venue and former home of the Grand Ole Opry located in downtown Nashville; WSM-AM, the Opry’s radio home; Ole Red, a brand of Blake Shelton-themed bar, music venue and event spaces; and three Nashville-based assets managed by Marriott – Gaylord Springs Golf Links (“Gaylord Springs”), the Wildhorse Saloon, and the General Jackson Showboat (“General Jackson”). We also own a 50% interest in a joint venture that creates and distributes a linear multicast and over-the-top channel dedicated to the country music lifestyle (“Circle”).</w:t>
      </w:r>
    </w:p>
    <w:p>
      <w:pPr>
        <w:spacing w:after="0" w:line="177" w:lineRule="exact"/>
        <w:rPr>
          <w:sz w:val="20"/>
          <w:szCs w:val="20"/>
          <w:color w:val="auto"/>
        </w:rPr>
      </w:pPr>
    </w:p>
    <w:p>
      <w:pPr>
        <w:ind w:left="60" w:right="379"/>
        <w:spacing w:after="0" w:line="287" w:lineRule="auto"/>
        <w:rPr>
          <w:sz w:val="20"/>
          <w:szCs w:val="20"/>
          <w:color w:val="auto"/>
        </w:rPr>
      </w:pPr>
      <w:r>
        <w:rPr>
          <w:rFonts w:ascii="Arial" w:cs="Arial" w:eastAsia="Arial" w:hAnsi="Arial"/>
          <w:sz w:val="16"/>
          <w:szCs w:val="16"/>
          <w:color w:val="auto"/>
        </w:rPr>
        <w:t>Our operations are organized into three principal business segments: (i) Hospitality, which includes our Gaylord Hotels properties, the Inn at Opryland and the AC Hotel; (ii) Entertainment, which includes the Grand Ole Opry, the Ryman Auditorium, WSM-AM, Ole Red, our equity investment in Circle, and our other Nashville-based attractions; and</w:t>
      </w:r>
    </w:p>
    <w:p>
      <w:pPr>
        <w:spacing w:after="0" w:line="2" w:lineRule="exact"/>
        <w:rPr>
          <w:sz w:val="20"/>
          <w:szCs w:val="20"/>
          <w:color w:val="auto"/>
        </w:rPr>
      </w:pPr>
    </w:p>
    <w:p>
      <w:pPr>
        <w:ind w:left="60" w:right="79" w:hanging="10"/>
        <w:spacing w:after="0" w:line="255" w:lineRule="auto"/>
        <w:tabs>
          <w:tab w:leader="none" w:pos="37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Corporate and Other, which includes corporate expenses. These three business segments — Hospitality, Entertainment, and Corporate and Other — represented approximately 84%, 16%, and 0%, respectively, of our total revenues for the fiscal year ended December 31, 2021.</w:t>
      </w:r>
    </w:p>
    <w:p>
      <w:pPr>
        <w:spacing w:after="0" w:line="190" w:lineRule="exact"/>
        <w:rPr>
          <w:sz w:val="20"/>
          <w:szCs w:val="20"/>
          <w:color w:val="auto"/>
        </w:rPr>
      </w:pPr>
    </w:p>
    <w:p>
      <w:pPr>
        <w:ind w:left="60" w:right="139"/>
        <w:spacing w:after="0" w:line="259" w:lineRule="auto"/>
        <w:rPr>
          <w:sz w:val="20"/>
          <w:szCs w:val="20"/>
          <w:color w:val="auto"/>
        </w:rPr>
      </w:pPr>
      <w:r>
        <w:rPr>
          <w:rFonts w:ascii="Arial" w:cs="Arial" w:eastAsia="Arial" w:hAnsi="Arial"/>
          <w:sz w:val="18"/>
          <w:szCs w:val="18"/>
          <w:color w:val="auto"/>
        </w:rPr>
        <w:t>Financial information by business segment and for each of our Gaylord Hotels properties as of December 31, 2021 and for each of the three years then ended appears in Item 7, “Management’s Discussion and Analysis of Financial Condition and Results of Operations,” and in “Note 13 – Financial Reporting by Business Segments” to our consolidated financial statements included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Current Status</w:t>
      </w:r>
    </w:p>
    <w:p>
      <w:pPr>
        <w:spacing w:after="0" w:line="229" w:lineRule="exact"/>
        <w:rPr>
          <w:sz w:val="20"/>
          <w:szCs w:val="20"/>
          <w:color w:val="auto"/>
        </w:rPr>
      </w:pPr>
    </w:p>
    <w:p>
      <w:pPr>
        <w:ind w:left="60" w:right="199"/>
        <w:spacing w:after="0" w:line="272" w:lineRule="auto"/>
        <w:rPr>
          <w:sz w:val="20"/>
          <w:szCs w:val="20"/>
          <w:color w:val="auto"/>
        </w:rPr>
      </w:pPr>
      <w:r>
        <w:rPr>
          <w:rFonts w:ascii="Arial" w:cs="Arial" w:eastAsia="Arial" w:hAnsi="Arial"/>
          <w:sz w:val="17"/>
          <w:szCs w:val="17"/>
          <w:color w:val="auto"/>
        </w:rPr>
        <w:t>Our business has been adversely impacted by the ongoing COVID-19 pandemic. As of the date of this Annual Report on Form 10-K, all of our hotel and entertainment assets are open and operating without capacity restrictions. We have taken steps to conserve our liquidity and contain costs, including suspending our regular quarterly cash dividend payments to stockholders, deferring most non-essential capital projects, including our previously announced expansion at Gaylord Rockies, and obtaining waivers under and amendments to our credit agreement as described below. For more information concerning our operations during the ongoing COVID-19 pandemic, see Item 7, “Management’s Discussion and Analysis of Financial Condition and Results of Operations.”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Long-Term Strategic Plan</w:t>
      </w:r>
    </w:p>
    <w:p>
      <w:pPr>
        <w:spacing w:after="0" w:line="229" w:lineRule="exact"/>
        <w:rPr>
          <w:sz w:val="20"/>
          <w:szCs w:val="20"/>
          <w:color w:val="auto"/>
        </w:rPr>
      </w:pPr>
    </w:p>
    <w:p>
      <w:pPr>
        <w:ind w:left="60" w:right="519"/>
        <w:spacing w:after="0" w:line="277" w:lineRule="auto"/>
        <w:rPr>
          <w:sz w:val="20"/>
          <w:szCs w:val="20"/>
          <w:color w:val="auto"/>
        </w:rPr>
      </w:pPr>
      <w:r>
        <w:rPr>
          <w:rFonts w:ascii="Arial" w:cs="Arial" w:eastAsia="Arial" w:hAnsi="Arial"/>
          <w:sz w:val="18"/>
          <w:szCs w:val="18"/>
          <w:color w:val="auto"/>
        </w:rPr>
        <w:t>Our goal is to be the nation’s premier hospitality REIT for group-oriented, destination hotel assets in urban and resort markets.</w:t>
      </w:r>
    </w:p>
    <w:p>
      <w:pPr>
        <w:spacing w:after="0" w:line="170" w:lineRule="exact"/>
        <w:rPr>
          <w:sz w:val="20"/>
          <w:szCs w:val="20"/>
          <w:color w:val="auto"/>
        </w:rPr>
      </w:pPr>
    </w:p>
    <w:p>
      <w:pPr>
        <w:ind w:left="720" w:right="79" w:hanging="319"/>
        <w:spacing w:after="0" w:line="255"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Existing Hotel Property Design. </w:t>
      </w:r>
      <w:r>
        <w:rPr>
          <w:rFonts w:ascii="Arial" w:cs="Arial" w:eastAsia="Arial" w:hAnsi="Arial"/>
          <w:sz w:val="18"/>
          <w:szCs w:val="18"/>
          <w:color w:val="auto"/>
        </w:rPr>
        <w:t>Our Gaylord Hotels properties focus on the large group meetings and regional</w:t>
      </w:r>
      <w:r>
        <w:rPr>
          <w:rFonts w:ascii="Arial" w:cs="Arial" w:eastAsia="Arial" w:hAnsi="Arial"/>
          <w:sz w:val="18"/>
          <w:szCs w:val="18"/>
          <w:i w:val="1"/>
          <w:iCs w:val="1"/>
          <w:color w:val="auto"/>
        </w:rPr>
        <w:t xml:space="preserve"> </w:t>
      </w:r>
      <w:r>
        <w:rPr>
          <w:rFonts w:ascii="Arial" w:cs="Arial" w:eastAsia="Arial" w:hAnsi="Arial"/>
          <w:sz w:val="18"/>
          <w:szCs w:val="18"/>
          <w:color w:val="auto"/>
        </w:rPr>
        <w:t>leisure transient markets in the United States and incorporate meeting and exhibition space, signature guest rooms, food and beverage offerings, fitness and spa facilities and other attractions within a large hotel property so attendees’ needs are met in one location. This strategy creates a better experience for both meeting planners and guests, and has led to our current Gaylord Hotels properties claiming a place among the leading convention hotels in the country.</w:t>
      </w:r>
    </w:p>
    <w:p>
      <w:pPr>
        <w:spacing w:after="0" w:line="192" w:lineRule="exact"/>
        <w:rPr>
          <w:rFonts w:ascii="Arial" w:cs="Arial" w:eastAsia="Arial" w:hAnsi="Arial"/>
          <w:sz w:val="18"/>
          <w:szCs w:val="18"/>
          <w:color w:val="auto"/>
        </w:rPr>
      </w:pPr>
    </w:p>
    <w:p>
      <w:pPr>
        <w:ind w:left="720" w:right="79" w:hanging="319"/>
        <w:spacing w:after="0" w:line="270" w:lineRule="auto"/>
        <w:tabs>
          <w:tab w:leader="none" w:pos="72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Expansion of Hotel Asset Portfolio. </w:t>
      </w:r>
      <w:r>
        <w:rPr>
          <w:rFonts w:ascii="Arial" w:cs="Arial" w:eastAsia="Arial" w:hAnsi="Arial"/>
          <w:sz w:val="17"/>
          <w:szCs w:val="17"/>
          <w:color w:val="auto"/>
        </w:rPr>
        <w:t>Part of our long-term growth strategy includes acquisitions or developments</w:t>
      </w:r>
      <w:r>
        <w:rPr>
          <w:rFonts w:ascii="Arial" w:cs="Arial" w:eastAsia="Arial" w:hAnsi="Arial"/>
          <w:sz w:val="17"/>
          <w:szCs w:val="17"/>
          <w:i w:val="1"/>
          <w:iCs w:val="1"/>
          <w:color w:val="auto"/>
        </w:rPr>
        <w:t xml:space="preserve"> </w:t>
      </w:r>
      <w:r>
        <w:rPr>
          <w:rFonts w:ascii="Arial" w:cs="Arial" w:eastAsia="Arial" w:hAnsi="Arial"/>
          <w:sz w:val="17"/>
          <w:szCs w:val="17"/>
          <w:color w:val="auto"/>
        </w:rPr>
        <w:t>of other hotels, particularly in the group meetings sector of the hospitality industry, either alone or through joint ventures or alliances with one or more third parties. We will consider attractive investment opportunities which meet our acquisition parameters, specifically, group-oriented large hotels and overflow hotels with existing or potential leisure appeal. We are generally interested in highly accessible upper-upscale or luxury assets with over 400 hotel rooms in urban and resort group destination markets. We also consider assets that possess significant meeting space or present a repositioning opportunity and/or would significantly benefit from capital investment in additional rooms or meeting space. We plan to expand the geographic diversity of our existing asset portfolio through acquisitions.</w:t>
      </w:r>
    </w:p>
    <w:p>
      <w:pPr>
        <w:spacing w:after="0" w:line="180" w:lineRule="exact"/>
        <w:rPr>
          <w:rFonts w:ascii="Arial" w:cs="Arial" w:eastAsia="Arial" w:hAnsi="Arial"/>
          <w:sz w:val="17"/>
          <w:szCs w:val="17"/>
          <w:color w:val="auto"/>
        </w:rPr>
      </w:pPr>
    </w:p>
    <w:p>
      <w:pPr>
        <w:ind w:left="720" w:right="79" w:hanging="319"/>
        <w:spacing w:after="0" w:line="259"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Continued Investment in Our Existing Properties. </w:t>
      </w:r>
      <w:r>
        <w:rPr>
          <w:rFonts w:ascii="Arial" w:cs="Arial" w:eastAsia="Arial" w:hAnsi="Arial"/>
          <w:sz w:val="18"/>
          <w:szCs w:val="18"/>
          <w:color w:val="auto"/>
        </w:rPr>
        <w:t>We continuously evaluate and invest in our current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and consider enhancements or expansions as part of our long-term strategic plan. In 2021, we completed our $158 million expansion of Gaylord Palms and we also completed our renovation of all of the guestrooms at Gaylord National.</w:t>
      </w:r>
    </w:p>
    <w:p>
      <w:pPr>
        <w:spacing w:after="0" w:line="186" w:lineRule="exact"/>
        <w:rPr>
          <w:rFonts w:ascii="Arial" w:cs="Arial" w:eastAsia="Arial" w:hAnsi="Arial"/>
          <w:sz w:val="18"/>
          <w:szCs w:val="18"/>
          <w:color w:val="auto"/>
        </w:rPr>
      </w:pPr>
    </w:p>
    <w:p>
      <w:pPr>
        <w:ind w:left="720" w:right="99" w:hanging="319"/>
        <w:spacing w:after="0" w:line="289" w:lineRule="auto"/>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Leverage Brand Name Awareness. </w:t>
      </w:r>
      <w:r>
        <w:rPr>
          <w:rFonts w:ascii="Arial" w:cs="Arial" w:eastAsia="Arial" w:hAnsi="Arial"/>
          <w:sz w:val="16"/>
          <w:szCs w:val="16"/>
          <w:color w:val="auto"/>
        </w:rPr>
        <w:t>We believe the Grand Ole Opry is one of the most recognized entertainment</w:t>
      </w:r>
      <w:r>
        <w:rPr>
          <w:rFonts w:ascii="Arial" w:cs="Arial" w:eastAsia="Arial" w:hAnsi="Arial"/>
          <w:sz w:val="16"/>
          <w:szCs w:val="16"/>
          <w:i w:val="1"/>
          <w:iCs w:val="1"/>
          <w:color w:val="auto"/>
        </w:rPr>
        <w:t xml:space="preserve"> </w:t>
      </w:r>
      <w:r>
        <w:rPr>
          <w:rFonts w:ascii="Arial" w:cs="Arial" w:eastAsia="Arial" w:hAnsi="Arial"/>
          <w:sz w:val="16"/>
          <w:szCs w:val="16"/>
          <w:color w:val="auto"/>
        </w:rPr>
        <w:t>brands in the United States. We promote the Grand Ole Opry name through various media, including our WSM-AM radio station, the Internet and television, and through performances by the Grand Ole Opry’s members, many of whom are renowned country music artists. As such, we have alliances in place with multiple distribution partners in an effort to foster brand extension. We believe that licensing our brand for products may provide an opportunity to increase revenues and cash flow with relatively little capital investment. We are continuously exploring additional products, such as television specials and retail products, through which we can capitalize on our brand affinity and awareness. To this end, we have invested in six Blake Shelton-themed multi-level bar, music venue and event spaces named after the Shelton hit “Ol’ Red,” and invested in Circle.</w:t>
      </w:r>
    </w:p>
    <w:p>
      <w:pPr>
        <w:spacing w:after="0" w:line="166" w:lineRule="exact"/>
        <w:rPr>
          <w:rFonts w:ascii="Arial" w:cs="Arial" w:eastAsia="Arial" w:hAnsi="Arial"/>
          <w:sz w:val="16"/>
          <w:szCs w:val="16"/>
          <w:color w:val="auto"/>
        </w:rPr>
      </w:pPr>
    </w:p>
    <w:p>
      <w:pPr>
        <w:ind w:left="720" w:right="99" w:hanging="319"/>
        <w:spacing w:after="0" w:line="293" w:lineRule="auto"/>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Short-Term Capital Allocation</w:t>
      </w:r>
      <w:r>
        <w:rPr>
          <w:rFonts w:ascii="Arial" w:cs="Arial" w:eastAsia="Arial" w:hAnsi="Arial"/>
          <w:sz w:val="16"/>
          <w:szCs w:val="16"/>
          <w:color w:val="auto"/>
        </w:rPr>
        <w:t>. Prior to the COVID-19 pandemic, our short-term capital allocation strategy</w:t>
      </w:r>
      <w:r>
        <w:rPr>
          <w:rFonts w:ascii="Arial" w:cs="Arial" w:eastAsia="Arial" w:hAnsi="Arial"/>
          <w:sz w:val="16"/>
          <w:szCs w:val="16"/>
          <w:i w:val="1"/>
          <w:iCs w:val="1"/>
          <w:color w:val="auto"/>
        </w:rPr>
        <w:t xml:space="preserve"> </w:t>
      </w:r>
      <w:r>
        <w:rPr>
          <w:rFonts w:ascii="Arial" w:cs="Arial" w:eastAsia="Arial" w:hAnsi="Arial"/>
          <w:sz w:val="16"/>
          <w:szCs w:val="16"/>
          <w:color w:val="auto"/>
        </w:rPr>
        <w:t>focused on returning capital to stockholders through the payment of dividends, in addition to investing in our assets and operations. However, in March 2020, we suspended our regular quarterly dividend payments. Our board of directors will consider a future dividend as permitted by our credit agreement. Any future dividend is subject to our board of directors’ determinations as to the amount and timing thereof. We are currently focused on managing our business through the COVID-19 pandemic and are limiting our non-essential capital</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499"/>
        <w:spacing w:after="0" w:line="277" w:lineRule="auto"/>
        <w:rPr>
          <w:sz w:val="20"/>
          <w:szCs w:val="20"/>
          <w:color w:val="auto"/>
        </w:rPr>
      </w:pPr>
      <w:r>
        <w:rPr>
          <w:rFonts w:ascii="Arial" w:cs="Arial" w:eastAsia="Arial" w:hAnsi="Arial"/>
          <w:sz w:val="18"/>
          <w:szCs w:val="18"/>
          <w:color w:val="auto"/>
        </w:rPr>
        <w:t>expenditures in compliance with our amended credit agreement. See Item 7, “Management’s Discussion and Analysis of Financial Condition and Results of Operations.”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Description of our Hotel Portfolio</w:t>
      </w:r>
    </w:p>
    <w:p>
      <w:pPr>
        <w:spacing w:after="0" w:line="229" w:lineRule="exact"/>
        <w:rPr>
          <w:sz w:val="20"/>
          <w:szCs w:val="20"/>
          <w:color w:val="auto"/>
        </w:rPr>
      </w:pPr>
    </w:p>
    <w:p>
      <w:pPr>
        <w:ind w:left="60" w:right="139"/>
        <w:spacing w:after="0" w:line="255" w:lineRule="auto"/>
        <w:rPr>
          <w:sz w:val="20"/>
          <w:szCs w:val="20"/>
          <w:color w:val="auto"/>
        </w:rPr>
      </w:pPr>
      <w:r>
        <w:rPr>
          <w:rFonts w:ascii="Arial" w:cs="Arial" w:eastAsia="Arial" w:hAnsi="Arial"/>
          <w:sz w:val="18"/>
          <w:szCs w:val="18"/>
          <w:color w:val="auto"/>
        </w:rPr>
        <w:t>Our Gaylord Hotels properties incorporate meeting, convention and exhibition space with a large hotel property so the attendees never have to leave the location during their meetings. This concept of a self-contained destination dedicated primarily to the meetings industry has placed our Gaylord Hotels properties among the leading convention hotels in the country. Our Gaylord Hotels properties are routinely recognized by many industry and commercial publications, including being named a 2021 STELLA Award Finalist for best hotel chain by Northstar Meetings Group, as well as additional 2021 STELLA awards detailed below.</w:t>
      </w:r>
    </w:p>
    <w:p>
      <w:pPr>
        <w:spacing w:after="0" w:line="192" w:lineRule="exact"/>
        <w:rPr>
          <w:sz w:val="20"/>
          <w:szCs w:val="20"/>
          <w:color w:val="auto"/>
        </w:rPr>
      </w:pPr>
    </w:p>
    <w:p>
      <w:pPr>
        <w:ind w:left="60" w:right="79"/>
        <w:spacing w:after="0" w:line="286" w:lineRule="auto"/>
        <w:rPr>
          <w:sz w:val="20"/>
          <w:szCs w:val="20"/>
          <w:color w:val="auto"/>
        </w:rPr>
      </w:pPr>
      <w:r>
        <w:rPr>
          <w:rFonts w:ascii="Arial" w:cs="Arial" w:eastAsia="Arial" w:hAnsi="Arial"/>
          <w:sz w:val="17"/>
          <w:szCs w:val="17"/>
          <w:color w:val="auto"/>
        </w:rPr>
        <w:t>Marriott is responsible for the day-to-day management of our Gaylord Hotels properties, the Inn at Opryland, and the AC Hotel. We believe that our Gaylord Hotels properties have benefitted and will continue to benefit from Marriott’s expansive sales force and popular frequent traveler program, as well as its ability to manage group business.</w:t>
      </w:r>
    </w:p>
    <w:p>
      <w:pPr>
        <w:spacing w:after="0" w:line="165" w:lineRule="exact"/>
        <w:rPr>
          <w:sz w:val="20"/>
          <w:szCs w:val="20"/>
          <w:color w:val="auto"/>
        </w:rPr>
      </w:pPr>
    </w:p>
    <w:p>
      <w:pPr>
        <w:jc w:val="both"/>
        <w:ind w:left="60" w:right="139"/>
        <w:spacing w:after="0" w:line="263" w:lineRule="auto"/>
        <w:rPr>
          <w:sz w:val="20"/>
          <w:szCs w:val="20"/>
          <w:color w:val="auto"/>
        </w:rPr>
      </w:pPr>
      <w:r>
        <w:rPr>
          <w:rFonts w:ascii="Arial" w:cs="Arial" w:eastAsia="Arial" w:hAnsi="Arial"/>
          <w:sz w:val="18"/>
          <w:szCs w:val="18"/>
          <w:color w:val="auto"/>
        </w:rPr>
        <w:t>Based on our information, publicly-available information, and information and data obtained from Smith Travel Research, the top 10 hotels within the United States with the highest square footage of self-contained exhibit and meeting space as of January 2022 are as follows:</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Total Exhibit and</w:t>
            </w:r>
          </w:p>
        </w:tc>
        <w:tc>
          <w:tcPr>
            <w:tcW w:w="0" w:type="dxa"/>
            <w:vAlign w:val="bottom"/>
          </w:tcPr>
          <w:p>
            <w:pPr>
              <w:spacing w:after="0"/>
              <w:rPr>
                <w:sz w:val="1"/>
                <w:szCs w:val="1"/>
                <w:color w:val="auto"/>
              </w:rPr>
            </w:pPr>
          </w:p>
        </w:tc>
      </w:tr>
      <w:tr>
        <w:trPr>
          <w:trHeight w:val="148"/>
        </w:trPr>
        <w:tc>
          <w:tcPr>
            <w:tcW w:w="4820" w:type="dxa"/>
            <w:vAlign w:val="bottom"/>
            <w:vMerge w:val="restart"/>
          </w:tcPr>
          <w:p>
            <w:pPr>
              <w:spacing w:after="0"/>
              <w:rPr>
                <w:sz w:val="20"/>
                <w:szCs w:val="20"/>
                <w:color w:val="auto"/>
              </w:rPr>
            </w:pPr>
            <w:r>
              <w:rPr>
                <w:rFonts w:ascii="Arial" w:cs="Arial" w:eastAsia="Arial" w:hAnsi="Arial"/>
                <w:sz w:val="14"/>
                <w:szCs w:val="14"/>
                <w:b w:val="1"/>
                <w:bCs w:val="1"/>
                <w:color w:val="auto"/>
              </w:rPr>
              <w:t>Facility (1)</w:t>
            </w:r>
          </w:p>
        </w:tc>
        <w:tc>
          <w:tcPr>
            <w:tcW w:w="160" w:type="dxa"/>
            <w:vAlign w:val="bottom"/>
          </w:tcPr>
          <w:p>
            <w:pPr>
              <w:spacing w:after="0"/>
              <w:rPr>
                <w:sz w:val="12"/>
                <w:szCs w:val="12"/>
                <w:color w:val="auto"/>
              </w:rPr>
            </w:pPr>
          </w:p>
        </w:tc>
        <w:tc>
          <w:tcPr>
            <w:tcW w:w="184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Location</w:t>
            </w:r>
          </w:p>
        </w:tc>
        <w:tc>
          <w:tcPr>
            <w:tcW w:w="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Hotel Rooms</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Meeting Space</w:t>
            </w:r>
          </w:p>
        </w:tc>
        <w:tc>
          <w:tcPr>
            <w:tcW w:w="0" w:type="dxa"/>
            <w:vAlign w:val="bottom"/>
          </w:tcPr>
          <w:p>
            <w:pPr>
              <w:spacing w:after="0"/>
              <w:rPr>
                <w:sz w:val="1"/>
                <w:szCs w:val="1"/>
                <w:color w:val="auto"/>
              </w:rPr>
            </w:pPr>
          </w:p>
        </w:tc>
      </w:tr>
      <w:tr>
        <w:trPr>
          <w:trHeight w:val="171"/>
        </w:trPr>
        <w:tc>
          <w:tcPr>
            <w:tcW w:w="48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9"/>
              </w:rPr>
              <w:t>(sq. ft.)</w:t>
            </w:r>
          </w:p>
        </w:tc>
        <w:tc>
          <w:tcPr>
            <w:tcW w:w="0" w:type="dxa"/>
            <w:vAlign w:val="bottom"/>
          </w:tcPr>
          <w:p>
            <w:pPr>
              <w:spacing w:after="0"/>
              <w:rPr>
                <w:sz w:val="1"/>
                <w:szCs w:val="1"/>
                <w:color w:val="auto"/>
              </w:rPr>
            </w:pPr>
          </w:p>
        </w:tc>
      </w:tr>
      <w:tr>
        <w:trPr>
          <w:trHeight w:val="209"/>
        </w:trPr>
        <w:tc>
          <w:tcPr>
            <w:tcW w:w="4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The Venetian Resort &amp; Casino</w:t>
            </w:r>
          </w:p>
        </w:tc>
        <w:tc>
          <w:tcPr>
            <w:tcW w:w="16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Las Vegas, NV</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4,028</w:t>
            </w: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2,250,000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Mandalay Bay Resort &amp; Casino</w:t>
            </w:r>
          </w:p>
        </w:tc>
        <w:tc>
          <w:tcPr>
            <w:tcW w:w="2000" w:type="dxa"/>
            <w:vAlign w:val="bottom"/>
            <w:gridSpan w:val="3"/>
          </w:tcPr>
          <w:p>
            <w:pPr>
              <w:ind w:left="140"/>
              <w:spacing w:after="0"/>
              <w:rPr>
                <w:sz w:val="20"/>
                <w:szCs w:val="20"/>
                <w:color w:val="auto"/>
              </w:rPr>
            </w:pPr>
            <w:r>
              <w:rPr>
                <w:rFonts w:ascii="Arial" w:cs="Arial" w:eastAsia="Arial" w:hAnsi="Arial"/>
                <w:sz w:val="18"/>
                <w:szCs w:val="18"/>
                <w:color w:val="auto"/>
              </w:rPr>
              <w:t>Las Vegas, NV</w:t>
            </w:r>
          </w:p>
        </w:tc>
        <w:tc>
          <w:tcPr>
            <w:tcW w:w="800" w:type="dxa"/>
            <w:vAlign w:val="bottom"/>
          </w:tcPr>
          <w:p>
            <w:pPr>
              <w:jc w:val="right"/>
              <w:spacing w:after="0"/>
              <w:rPr>
                <w:sz w:val="20"/>
                <w:szCs w:val="20"/>
                <w:color w:val="auto"/>
              </w:rPr>
            </w:pPr>
            <w:r>
              <w:rPr>
                <w:rFonts w:ascii="Arial" w:cs="Arial" w:eastAsia="Arial" w:hAnsi="Arial"/>
                <w:sz w:val="18"/>
                <w:szCs w:val="18"/>
                <w:color w:val="auto"/>
              </w:rPr>
              <w:t>3,209</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2,100,000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Gaylord Opryland Resort &amp; Convention Center</w:t>
            </w:r>
          </w:p>
        </w:tc>
        <w:tc>
          <w:tcPr>
            <w:tcW w:w="2000" w:type="dxa"/>
            <w:vAlign w:val="bottom"/>
            <w:gridSpan w:val="3"/>
            <w:shd w:val="clear" w:color="auto" w:fill="CCEEFF"/>
          </w:tcPr>
          <w:p>
            <w:pPr>
              <w:ind w:left="140"/>
              <w:spacing w:after="0"/>
              <w:rPr>
                <w:sz w:val="20"/>
                <w:szCs w:val="20"/>
                <w:color w:val="auto"/>
              </w:rPr>
            </w:pPr>
            <w:r>
              <w:rPr>
                <w:rFonts w:ascii="Arial" w:cs="Arial" w:eastAsia="Arial" w:hAnsi="Arial"/>
                <w:sz w:val="18"/>
                <w:szCs w:val="18"/>
                <w:b w:val="1"/>
                <w:bCs w:val="1"/>
                <w:color w:val="auto"/>
              </w:rPr>
              <w:t>Nashville, TN</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2,888</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640,000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MGM Grand Las Vegas</w:t>
            </w:r>
          </w:p>
        </w:tc>
        <w:tc>
          <w:tcPr>
            <w:tcW w:w="2000" w:type="dxa"/>
            <w:vAlign w:val="bottom"/>
            <w:gridSpan w:val="3"/>
          </w:tcPr>
          <w:p>
            <w:pPr>
              <w:ind w:left="140"/>
              <w:spacing w:after="0"/>
              <w:rPr>
                <w:sz w:val="20"/>
                <w:szCs w:val="20"/>
                <w:color w:val="auto"/>
              </w:rPr>
            </w:pPr>
            <w:r>
              <w:rPr>
                <w:rFonts w:ascii="Arial" w:cs="Arial" w:eastAsia="Arial" w:hAnsi="Arial"/>
                <w:sz w:val="18"/>
                <w:szCs w:val="18"/>
                <w:color w:val="auto"/>
              </w:rPr>
              <w:t>Las Vegas, NV</w:t>
            </w:r>
          </w:p>
        </w:tc>
        <w:tc>
          <w:tcPr>
            <w:tcW w:w="800" w:type="dxa"/>
            <w:vAlign w:val="bottom"/>
          </w:tcPr>
          <w:p>
            <w:pPr>
              <w:jc w:val="right"/>
              <w:spacing w:after="0"/>
              <w:rPr>
                <w:sz w:val="20"/>
                <w:szCs w:val="20"/>
                <w:color w:val="auto"/>
              </w:rPr>
            </w:pPr>
            <w:r>
              <w:rPr>
                <w:rFonts w:ascii="Arial" w:cs="Arial" w:eastAsia="Arial" w:hAnsi="Arial"/>
                <w:sz w:val="18"/>
                <w:szCs w:val="18"/>
                <w:color w:val="auto"/>
              </w:rPr>
              <w:t>5,044</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602,000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Gaylord National Resort &amp; Convention Center</w:t>
            </w:r>
          </w:p>
        </w:tc>
        <w:tc>
          <w:tcPr>
            <w:tcW w:w="2000" w:type="dxa"/>
            <w:vAlign w:val="bottom"/>
            <w:gridSpan w:val="3"/>
            <w:shd w:val="clear" w:color="auto" w:fill="CCEEFF"/>
          </w:tcPr>
          <w:p>
            <w:pPr>
              <w:ind w:left="140"/>
              <w:spacing w:after="0"/>
              <w:rPr>
                <w:sz w:val="20"/>
                <w:szCs w:val="20"/>
                <w:color w:val="auto"/>
              </w:rPr>
            </w:pPr>
            <w:r>
              <w:rPr>
                <w:rFonts w:ascii="Arial" w:cs="Arial" w:eastAsia="Arial" w:hAnsi="Arial"/>
                <w:sz w:val="18"/>
                <w:szCs w:val="18"/>
                <w:b w:val="1"/>
                <w:bCs w:val="1"/>
                <w:color w:val="auto"/>
              </w:rPr>
              <w:t>National Harbor, MD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1,996</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500,000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b w:val="1"/>
                <w:bCs w:val="1"/>
                <w:color w:val="auto"/>
              </w:rPr>
              <w:t>Gaylord Palms Resort &amp; Convention Center</w:t>
            </w:r>
          </w:p>
        </w:tc>
        <w:tc>
          <w:tcPr>
            <w:tcW w:w="2000" w:type="dxa"/>
            <w:vAlign w:val="bottom"/>
            <w:gridSpan w:val="3"/>
          </w:tcPr>
          <w:p>
            <w:pPr>
              <w:ind w:left="140"/>
              <w:spacing w:after="0"/>
              <w:rPr>
                <w:sz w:val="20"/>
                <w:szCs w:val="20"/>
                <w:color w:val="auto"/>
              </w:rPr>
            </w:pPr>
            <w:r>
              <w:rPr>
                <w:rFonts w:ascii="Arial" w:cs="Arial" w:eastAsia="Arial" w:hAnsi="Arial"/>
                <w:sz w:val="18"/>
                <w:szCs w:val="18"/>
                <w:b w:val="1"/>
                <w:bCs w:val="1"/>
                <w:color w:val="auto"/>
              </w:rPr>
              <w:t>Kissimmee, FL</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1,718</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496,000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Gaylord Texan Resort &amp; Convention Center</w:t>
            </w:r>
          </w:p>
        </w:tc>
        <w:tc>
          <w:tcPr>
            <w:tcW w:w="2000" w:type="dxa"/>
            <w:vAlign w:val="bottom"/>
            <w:gridSpan w:val="3"/>
            <w:shd w:val="clear" w:color="auto" w:fill="CCEEFF"/>
          </w:tcPr>
          <w:p>
            <w:pPr>
              <w:ind w:left="140"/>
              <w:spacing w:after="0"/>
              <w:rPr>
                <w:sz w:val="20"/>
                <w:szCs w:val="20"/>
                <w:color w:val="auto"/>
              </w:rPr>
            </w:pPr>
            <w:r>
              <w:rPr>
                <w:rFonts w:ascii="Arial" w:cs="Arial" w:eastAsia="Arial" w:hAnsi="Arial"/>
                <w:sz w:val="18"/>
                <w:szCs w:val="18"/>
                <w:b w:val="1"/>
                <w:bCs w:val="1"/>
                <w:color w:val="auto"/>
              </w:rPr>
              <w:t>Grapevine, TX</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1,814</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488,000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Marriott Orlando World Center Resort</w:t>
            </w:r>
          </w:p>
        </w:tc>
        <w:tc>
          <w:tcPr>
            <w:tcW w:w="2000" w:type="dxa"/>
            <w:vAlign w:val="bottom"/>
            <w:gridSpan w:val="3"/>
          </w:tcPr>
          <w:p>
            <w:pPr>
              <w:ind w:left="140"/>
              <w:spacing w:after="0"/>
              <w:rPr>
                <w:sz w:val="20"/>
                <w:szCs w:val="20"/>
                <w:color w:val="auto"/>
              </w:rPr>
            </w:pPr>
            <w:r>
              <w:rPr>
                <w:rFonts w:ascii="Arial" w:cs="Arial" w:eastAsia="Arial" w:hAnsi="Arial"/>
                <w:sz w:val="18"/>
                <w:szCs w:val="18"/>
                <w:color w:val="auto"/>
              </w:rPr>
              <w:t>Orlando, FL</w:t>
            </w:r>
          </w:p>
        </w:tc>
        <w:tc>
          <w:tcPr>
            <w:tcW w:w="800" w:type="dxa"/>
            <w:vAlign w:val="bottom"/>
          </w:tcPr>
          <w:p>
            <w:pPr>
              <w:jc w:val="right"/>
              <w:spacing w:after="0"/>
              <w:rPr>
                <w:sz w:val="20"/>
                <w:szCs w:val="20"/>
                <w:color w:val="auto"/>
              </w:rPr>
            </w:pPr>
            <w:r>
              <w:rPr>
                <w:rFonts w:ascii="Arial" w:cs="Arial" w:eastAsia="Arial" w:hAnsi="Arial"/>
                <w:sz w:val="18"/>
                <w:szCs w:val="18"/>
                <w:color w:val="auto"/>
              </w:rPr>
              <w:t>2,009</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Rosen Shingle Creek Resort</w:t>
            </w:r>
          </w:p>
        </w:tc>
        <w:tc>
          <w:tcPr>
            <w:tcW w:w="20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Orlando, FL</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410,000</w:t>
            </w:r>
          </w:p>
        </w:tc>
        <w:tc>
          <w:tcPr>
            <w:tcW w:w="0" w:type="dxa"/>
            <w:vAlign w:val="bottom"/>
          </w:tcPr>
          <w:p>
            <w:pPr>
              <w:spacing w:after="0"/>
              <w:rPr>
                <w:sz w:val="1"/>
                <w:szCs w:val="1"/>
                <w:color w:val="auto"/>
              </w:rPr>
            </w:pPr>
          </w:p>
        </w:tc>
      </w:tr>
      <w:tr>
        <w:trPr>
          <w:trHeight w:val="234"/>
        </w:trPr>
        <w:tc>
          <w:tcPr>
            <w:tcW w:w="4820" w:type="dxa"/>
            <w:vAlign w:val="bottom"/>
          </w:tcPr>
          <w:p>
            <w:pPr>
              <w:spacing w:after="0"/>
              <w:rPr>
                <w:sz w:val="20"/>
                <w:szCs w:val="20"/>
                <w:color w:val="auto"/>
              </w:rPr>
            </w:pPr>
            <w:r>
              <w:rPr>
                <w:rFonts w:ascii="Arial" w:cs="Arial" w:eastAsia="Arial" w:hAnsi="Arial"/>
                <w:sz w:val="18"/>
                <w:szCs w:val="18"/>
                <w:b w:val="1"/>
                <w:bCs w:val="1"/>
                <w:color w:val="auto"/>
              </w:rPr>
              <w:t>Gaylord Rockies Resort &amp; Convention Center</w:t>
            </w:r>
          </w:p>
        </w:tc>
        <w:tc>
          <w:tcPr>
            <w:tcW w:w="2000" w:type="dxa"/>
            <w:vAlign w:val="bottom"/>
            <w:gridSpan w:val="3"/>
          </w:tcPr>
          <w:p>
            <w:pPr>
              <w:ind w:left="140"/>
              <w:spacing w:after="0"/>
              <w:rPr>
                <w:sz w:val="20"/>
                <w:szCs w:val="20"/>
                <w:color w:val="auto"/>
              </w:rPr>
            </w:pPr>
            <w:r>
              <w:rPr>
                <w:rFonts w:ascii="Arial" w:cs="Arial" w:eastAsia="Arial" w:hAnsi="Arial"/>
                <w:sz w:val="18"/>
                <w:szCs w:val="18"/>
                <w:b w:val="1"/>
                <w:bCs w:val="1"/>
                <w:color w:val="auto"/>
              </w:rPr>
              <w:t>Aurora, CO</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1,501</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409,000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6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(1) Bolded facilities are owned by the Company.</w:t>
      </w:r>
    </w:p>
    <w:p>
      <w:pPr>
        <w:spacing w:after="0" w:line="225" w:lineRule="exact"/>
        <w:rPr>
          <w:sz w:val="20"/>
          <w:szCs w:val="20"/>
          <w:color w:val="auto"/>
        </w:rPr>
      </w:pPr>
    </w:p>
    <w:p>
      <w:pPr>
        <w:ind w:left="60" w:right="99"/>
        <w:spacing w:after="0" w:line="268" w:lineRule="auto"/>
        <w:rPr>
          <w:sz w:val="20"/>
          <w:szCs w:val="20"/>
          <w:color w:val="auto"/>
        </w:rPr>
      </w:pPr>
      <w:r>
        <w:rPr>
          <w:rFonts w:ascii="Arial" w:cs="Arial" w:eastAsia="Arial" w:hAnsi="Arial"/>
          <w:sz w:val="17"/>
          <w:szCs w:val="17"/>
          <w:b w:val="1"/>
          <w:bCs w:val="1"/>
          <w:i w:val="1"/>
          <w:iCs w:val="1"/>
          <w:color w:val="auto"/>
        </w:rPr>
        <w:t xml:space="preserve">Gaylord Opryland Resort and Convention Center — Nashville, Tennessee. </w:t>
      </w:r>
      <w:r>
        <w:rPr>
          <w:rFonts w:ascii="Arial" w:cs="Arial" w:eastAsia="Arial" w:hAnsi="Arial"/>
          <w:sz w:val="17"/>
          <w:szCs w:val="17"/>
          <w:color w:val="auto"/>
        </w:rPr>
        <w:t>Gaylord Opryland is one of the leading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convention destinations in the United States based upon number of rooms, exhibit space and conventions held. Designed with lavish gardens and expansive atrium areas, the resort is situated on approximately 172 acres in the Opryland complex. Gaylord Opryland has a number of themed restaurants, retail outlets, and a full-service spa with 27,000 square feet of dedicated space. It also serves as a destination resort for vacationers due to its proximity to the Grand Ole Opry, the Ryman Auditorium, the General Jackson Showboat, and other attractions in the Nashville area. Gaylord Opryland has 2,888 signature guest rooms, four ballrooms with approximately 127,000 square feet, 111 banquet/meeting rooms, and total meeting, exhibit and pre-function space of approximately 640,000 square feet. Gaylord Opryland was named a 2021 STELLA Award Gold Winner for best sustainability initiative by Northstar Meetings Group, a 2021 Award of Excellence Recipient from </w:t>
      </w:r>
      <w:r>
        <w:rPr>
          <w:rFonts w:ascii="Arial" w:cs="Arial" w:eastAsia="Arial" w:hAnsi="Arial"/>
          <w:sz w:val="17"/>
          <w:szCs w:val="17"/>
          <w:i w:val="1"/>
          <w:iCs w:val="1"/>
          <w:color w:val="auto"/>
        </w:rPr>
        <w:t>Corporate &amp; Incentive Travel</w:t>
      </w:r>
      <w:r>
        <w:rPr>
          <w:rFonts w:ascii="Arial" w:cs="Arial" w:eastAsia="Arial" w:hAnsi="Arial"/>
          <w:sz w:val="17"/>
          <w:szCs w:val="17"/>
          <w:color w:val="auto"/>
        </w:rPr>
        <w:t xml:space="preserve"> magazine, and has been recognized as a member of </w:t>
      </w:r>
      <w:r>
        <w:rPr>
          <w:rFonts w:ascii="Arial" w:cs="Arial" w:eastAsia="Arial" w:hAnsi="Arial"/>
          <w:sz w:val="17"/>
          <w:szCs w:val="17"/>
          <w:i w:val="1"/>
          <w:iCs w:val="1"/>
          <w:color w:val="auto"/>
        </w:rPr>
        <w:t>Meeting &amp; Conventions</w:t>
      </w:r>
      <w:r>
        <w:rPr>
          <w:rFonts w:ascii="Arial" w:cs="Arial" w:eastAsia="Arial" w:hAnsi="Arial"/>
          <w:sz w:val="17"/>
          <w:szCs w:val="17"/>
          <w:color w:val="auto"/>
        </w:rPr>
        <w:t>’ Hall of Fame. We opened the indoor sections of SoundWaves, a $90 million luxury indoor/outdoor waterpark with over 200,000 square feet of water attractions and amenities adjacent to Gaylord Opryland in December 2018 and the outdoor sections in May 2019.</w:t>
      </w:r>
    </w:p>
    <w:p>
      <w:pPr>
        <w:spacing w:after="0" w:line="186" w:lineRule="exact"/>
        <w:rPr>
          <w:sz w:val="20"/>
          <w:szCs w:val="20"/>
          <w:color w:val="auto"/>
        </w:rPr>
      </w:pPr>
    </w:p>
    <w:p>
      <w:pPr>
        <w:jc w:val="both"/>
        <w:ind w:left="60" w:right="279"/>
        <w:spacing w:after="0" w:line="327" w:lineRule="auto"/>
        <w:rPr>
          <w:sz w:val="20"/>
          <w:szCs w:val="20"/>
          <w:color w:val="auto"/>
        </w:rPr>
      </w:pPr>
      <w:r>
        <w:rPr>
          <w:rFonts w:ascii="Arial" w:cs="Arial" w:eastAsia="Arial" w:hAnsi="Arial"/>
          <w:sz w:val="15"/>
          <w:szCs w:val="15"/>
          <w:b w:val="1"/>
          <w:bCs w:val="1"/>
          <w:i w:val="1"/>
          <w:iCs w:val="1"/>
          <w:color w:val="auto"/>
        </w:rPr>
        <w:t xml:space="preserve">Gaylord Palms Resort and Convention Center — Kissimmee, Florida. </w:t>
      </w:r>
      <w:r>
        <w:rPr>
          <w:rFonts w:ascii="Arial" w:cs="Arial" w:eastAsia="Arial" w:hAnsi="Arial"/>
          <w:sz w:val="15"/>
          <w:szCs w:val="15"/>
          <w:color w:val="auto"/>
        </w:rPr>
        <w:t>Gaylord Palms has 1,718 signature guest rooms,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five ballrooms with approximately 115,000 square feet, 111 banquet/meeting rooms, and total meeting, exhibit and pre-function space of approximately 496,000 square feet. The resort is situated on a 65-acre site in Osceola County, Florida, which we have leased pursuant to a 75-year ground lease with a 24-year renewal option. The resort is approximately a</w:t>
      </w:r>
    </w:p>
    <w:p>
      <w:pPr>
        <w:sectPr>
          <w:pgSz w:w="11900" w:h="16838" w:orient="portrait"/>
          <w:cols w:equalWidth="0" w:num="1">
            <w:col w:w="9019"/>
          </w:cols>
          <w:pgMar w:left="1440" w:top="517" w:right="1440"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70" w:lineRule="auto"/>
        <w:rPr>
          <w:sz w:val="20"/>
          <w:szCs w:val="20"/>
          <w:color w:val="auto"/>
        </w:rPr>
      </w:pPr>
      <w:r>
        <w:rPr>
          <w:rFonts w:ascii="Arial" w:cs="Arial" w:eastAsia="Arial" w:hAnsi="Arial"/>
          <w:sz w:val="17"/>
          <w:szCs w:val="17"/>
          <w:color w:val="auto"/>
        </w:rPr>
        <w:t xml:space="preserve">five-minute drive from the main gate of the Walt Disney World® Resort complex. Gaylord Palms has a number of themed restaurants, retail outlets, a new resort rapid river, and a full-service spa with 20,000 square feet of dedicated space. Hotel guests also have golf privileges at Celebration Golf Club, located approximately two miles from the property. Gaylord Palms is rated as a AAA Four-Diamond Hotel, was named a 2021 STELLA Award Silver Winner for each of best hotel resort event space, best food and beverage, and best sustainability initiative by Northstar Meetings Group, a 2020 Award of Excellence Recipient from </w:t>
      </w:r>
      <w:r>
        <w:rPr>
          <w:rFonts w:ascii="Arial" w:cs="Arial" w:eastAsia="Arial" w:hAnsi="Arial"/>
          <w:sz w:val="17"/>
          <w:szCs w:val="17"/>
          <w:i w:val="1"/>
          <w:iCs w:val="1"/>
          <w:color w:val="auto"/>
        </w:rPr>
        <w:t>Corporate &amp; Incentive Travel</w:t>
      </w:r>
      <w:r>
        <w:rPr>
          <w:rFonts w:ascii="Arial" w:cs="Arial" w:eastAsia="Arial" w:hAnsi="Arial"/>
          <w:sz w:val="17"/>
          <w:szCs w:val="17"/>
          <w:color w:val="auto"/>
        </w:rPr>
        <w:t xml:space="preserve"> magazine, and has been recognized as a member of </w:t>
      </w:r>
      <w:r>
        <w:rPr>
          <w:rFonts w:ascii="Arial" w:cs="Arial" w:eastAsia="Arial" w:hAnsi="Arial"/>
          <w:sz w:val="17"/>
          <w:szCs w:val="17"/>
          <w:i w:val="1"/>
          <w:iCs w:val="1"/>
          <w:color w:val="auto"/>
        </w:rPr>
        <w:t>Meeting &amp;</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Conventions </w:t>
      </w:r>
      <w:r>
        <w:rPr>
          <w:rFonts w:ascii="Arial" w:cs="Arial" w:eastAsia="Arial" w:hAnsi="Arial"/>
          <w:sz w:val="17"/>
          <w:szCs w:val="17"/>
          <w:color w:val="auto"/>
        </w:rPr>
        <w:t>Hall of Fame. In 2021, we completed construction of a $158 million expansion of Gaylord Palms, which</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an additional 302 guest rooms and 96,000 square feet of meeting space, an expanded resort pool and events lawn, and a new multi-level parking structure.</w:t>
      </w:r>
    </w:p>
    <w:p>
      <w:pPr>
        <w:spacing w:after="0" w:line="181"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b w:val="1"/>
          <w:bCs w:val="1"/>
          <w:i w:val="1"/>
          <w:iCs w:val="1"/>
          <w:color w:val="auto"/>
        </w:rPr>
        <w:t xml:space="preserve">Gaylord Texan Resort and Convention Center — Grapevine, Texas. </w:t>
      </w:r>
      <w:r>
        <w:rPr>
          <w:rFonts w:ascii="Arial" w:cs="Arial" w:eastAsia="Arial" w:hAnsi="Arial"/>
          <w:sz w:val="17"/>
          <w:szCs w:val="17"/>
          <w:color w:val="auto"/>
        </w:rPr>
        <w:t>Gaylord Texan is situated on approximately 85 acres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and is located approximately six minutes from the Dallas/Fort Worth International Airport. Of the 85 acres, we own 75 acres and lease approximately 10 acres pursuant to a ground lease. The hotel features a lavish and expansive atrium, 1,814 signature guest rooms, four ballrooms with approximately 115,000 square feet, 88 banquet/meeting rooms, and total meeting, exhibit and pre-function space of approximately 488,000 square feet. The property also includes a number of themed restaurants, retail outlets, a resort pool, a full-service spa with 25,000 square feet of dedicated space, and an entertainment complex consisting of an approximately 39,000 square foot venue with a performance stage, dance floor, and a two-story outdoor deck. Guests also have access to the adjacent Cowboys Golf Club. Gaylord Texan is rated as a AAA Four-Diamond Hotel, was named a 2021 STELLA Award Silver Winner for best convention center and a Bronze Winner for best décor/design by Northstar Meetings Group, and a 2020 Award of Excellence Recipient from </w:t>
      </w:r>
      <w:r>
        <w:rPr>
          <w:rFonts w:ascii="Arial" w:cs="Arial" w:eastAsia="Arial" w:hAnsi="Arial"/>
          <w:sz w:val="17"/>
          <w:szCs w:val="17"/>
          <w:i w:val="1"/>
          <w:iCs w:val="1"/>
          <w:color w:val="auto"/>
        </w:rPr>
        <w:t>Corporate &amp;</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Incentive Travel </w:t>
      </w:r>
      <w:r>
        <w:rPr>
          <w:rFonts w:ascii="Arial" w:cs="Arial" w:eastAsia="Arial" w:hAnsi="Arial"/>
          <w:sz w:val="17"/>
          <w:szCs w:val="17"/>
          <w:color w:val="auto"/>
        </w:rPr>
        <w:t>magazine.</w:t>
      </w:r>
    </w:p>
    <w:p>
      <w:pPr>
        <w:spacing w:after="0" w:line="182" w:lineRule="exact"/>
        <w:rPr>
          <w:sz w:val="20"/>
          <w:szCs w:val="20"/>
          <w:color w:val="auto"/>
        </w:rPr>
      </w:pPr>
    </w:p>
    <w:p>
      <w:pPr>
        <w:ind w:left="60" w:right="159"/>
        <w:spacing w:after="0" w:line="288" w:lineRule="auto"/>
        <w:rPr>
          <w:sz w:val="20"/>
          <w:szCs w:val="20"/>
          <w:color w:val="auto"/>
        </w:rPr>
      </w:pPr>
      <w:r>
        <w:rPr>
          <w:rFonts w:ascii="Arial" w:cs="Arial" w:eastAsia="Arial" w:hAnsi="Arial"/>
          <w:sz w:val="16"/>
          <w:szCs w:val="16"/>
          <w:b w:val="1"/>
          <w:bCs w:val="1"/>
          <w:i w:val="1"/>
          <w:iCs w:val="1"/>
          <w:color w:val="auto"/>
        </w:rPr>
        <w:t xml:space="preserve">Gaylord National Resort and Convention Center — National Harbor, Maryland. </w:t>
      </w:r>
      <w:r>
        <w:rPr>
          <w:rFonts w:ascii="Arial" w:cs="Arial" w:eastAsia="Arial" w:hAnsi="Arial"/>
          <w:sz w:val="16"/>
          <w:szCs w:val="16"/>
          <w:color w:val="auto"/>
        </w:rPr>
        <w:t>Gaylord National is situated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approximately 42 acres of land located on the Potomac River in Prince George’s County, Maryland, eight miles south of Washington, D.C. The hotel has 1,996 signature guest rooms, four ballrooms with approximately 103,000 square feet, 82 conference and breakout rooms, and total meeting, exhibit and pre-function space of approximately 500,000 square feet. The hotel complex includes an 18-story glass atrium, a 20,000 square foot spa and fitness center, a freestanding 24,000-square foot ballroom building offering 16,000 square feet of meeting space on the banks of the Potomac River that opened in May 2017, and entertainment options such as restaurants, shops, and a two-story rooftop nightclub. Gaylord National is rated as a AAA Four-Diamond Hotel, was named a 2021 STELLA Award Gold Winner for best food and beverage, a Silver Award Winner for best on-site support staff, and a Bronze Award Winner for best décor/design by Northstar Meetings Group, and a 2020 Award of Excellence Recipient from </w:t>
      </w:r>
      <w:r>
        <w:rPr>
          <w:rFonts w:ascii="Arial" w:cs="Arial" w:eastAsia="Arial" w:hAnsi="Arial"/>
          <w:sz w:val="16"/>
          <w:szCs w:val="16"/>
          <w:i w:val="1"/>
          <w:iCs w:val="1"/>
          <w:color w:val="auto"/>
        </w:rPr>
        <w:t>Corporate &amp; Incentive Travel</w:t>
      </w:r>
      <w:r>
        <w:rPr>
          <w:rFonts w:ascii="Arial" w:cs="Arial" w:eastAsia="Arial" w:hAnsi="Arial"/>
          <w:sz w:val="16"/>
          <w:szCs w:val="16"/>
          <w:color w:val="auto"/>
        </w:rPr>
        <w:t xml:space="preserve"> magazine.</w:t>
      </w:r>
    </w:p>
    <w:p>
      <w:pPr>
        <w:spacing w:after="0" w:line="168" w:lineRule="exact"/>
        <w:rPr>
          <w:sz w:val="20"/>
          <w:szCs w:val="20"/>
          <w:color w:val="auto"/>
        </w:rPr>
      </w:pPr>
    </w:p>
    <w:p>
      <w:pPr>
        <w:ind w:left="60" w:right="79"/>
        <w:spacing w:after="0" w:line="270" w:lineRule="auto"/>
        <w:rPr>
          <w:sz w:val="20"/>
          <w:szCs w:val="20"/>
          <w:color w:val="auto"/>
        </w:rPr>
      </w:pPr>
      <w:r>
        <w:rPr>
          <w:rFonts w:ascii="Arial" w:cs="Arial" w:eastAsia="Arial" w:hAnsi="Arial"/>
          <w:sz w:val="17"/>
          <w:szCs w:val="17"/>
          <w:b w:val="1"/>
          <w:bCs w:val="1"/>
          <w:i w:val="1"/>
          <w:iCs w:val="1"/>
          <w:color w:val="auto"/>
        </w:rPr>
        <w:t xml:space="preserve">Gaylord Rockies Resort and Convention Center — Aurora, Colorado. </w:t>
      </w:r>
      <w:r>
        <w:rPr>
          <w:rFonts w:ascii="Arial" w:cs="Arial" w:eastAsia="Arial" w:hAnsi="Arial"/>
          <w:sz w:val="17"/>
          <w:szCs w:val="17"/>
          <w:color w:val="auto"/>
        </w:rPr>
        <w:t>Gaylord Rockies is situated on approximately 85</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acres and is located approximately 10 minutes from Denver International Airport. The hotel features a lavish and expansive atrium, 1,501 signature guest rooms, including 114 suites, four ballrooms with up to approximately 60,000 square feet, up to 81 breakout rooms, indoor meeting, exhibit and pre-function space of approximately 409,000 square feet, and additional outdoor meeting space of approximately 76,000 square feet. The property also includes a number of themed restaurants, retail outlets, a full-service spa, five outdoor event spaces and an indoor/outdoor pool complex. The approximately $800 million hotel project opened on a limited basis in December 2018 and on a fully completed basis in January 2019. Gaylord Rockies is rated as a AAA Four-Diamond Hotel and was awarded a 2021 STELLA Award Finalist for best convention center by Northstar Meetings Group.</w:t>
      </w:r>
    </w:p>
    <w:p>
      <w:pPr>
        <w:spacing w:after="0" w:line="181" w:lineRule="exact"/>
        <w:rPr>
          <w:sz w:val="20"/>
          <w:szCs w:val="20"/>
          <w:color w:val="auto"/>
        </w:rPr>
      </w:pPr>
    </w:p>
    <w:p>
      <w:pPr>
        <w:ind w:left="60" w:right="359"/>
        <w:spacing w:after="0" w:line="277" w:lineRule="auto"/>
        <w:rPr>
          <w:sz w:val="20"/>
          <w:szCs w:val="20"/>
          <w:color w:val="auto"/>
        </w:rPr>
      </w:pPr>
      <w:r>
        <w:rPr>
          <w:rFonts w:ascii="Arial" w:cs="Arial" w:eastAsia="Arial" w:hAnsi="Arial"/>
          <w:sz w:val="18"/>
          <w:szCs w:val="18"/>
          <w:b w:val="1"/>
          <w:bCs w:val="1"/>
          <w:i w:val="1"/>
          <w:iCs w:val="1"/>
          <w:color w:val="auto"/>
        </w:rPr>
        <w:t xml:space="preserve">Inn at Opryland. </w:t>
      </w:r>
      <w:r>
        <w:rPr>
          <w:rFonts w:ascii="Arial" w:cs="Arial" w:eastAsia="Arial" w:hAnsi="Arial"/>
          <w:sz w:val="18"/>
          <w:szCs w:val="18"/>
          <w:color w:val="auto"/>
        </w:rPr>
        <w:t>The Inn at Opryland is located across the street from Gaylord Opryland. The hotel has 303 rooms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14,000 square feet of meeting space.</w:t>
      </w:r>
    </w:p>
    <w:p>
      <w:pPr>
        <w:spacing w:after="0" w:line="170"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b w:val="1"/>
          <w:bCs w:val="1"/>
          <w:i w:val="1"/>
          <w:iCs w:val="1"/>
          <w:color w:val="auto"/>
        </w:rPr>
        <w:t xml:space="preserve">AC Hotel. </w:t>
      </w:r>
      <w:r>
        <w:rPr>
          <w:rFonts w:ascii="Arial" w:cs="Arial" w:eastAsia="Arial" w:hAnsi="Arial"/>
          <w:sz w:val="18"/>
          <w:szCs w:val="18"/>
          <w:color w:val="auto"/>
        </w:rPr>
        <w:t>The AC Hotel is located near Gaylord National. The hotel has 192 rooms and approximately 3,700 square feet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meeting space.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Description of our Entertainment Portfolio</w:t>
      </w:r>
    </w:p>
    <w:p>
      <w:pPr>
        <w:spacing w:after="0" w:line="219" w:lineRule="exact"/>
        <w:rPr>
          <w:sz w:val="20"/>
          <w:szCs w:val="20"/>
          <w:color w:val="auto"/>
        </w:rPr>
      </w:pPr>
    </w:p>
    <w:p>
      <w:pPr>
        <w:ind w:left="60" w:right="99"/>
        <w:spacing w:after="0" w:line="226" w:lineRule="auto"/>
        <w:rPr>
          <w:sz w:val="20"/>
          <w:szCs w:val="20"/>
          <w:color w:val="auto"/>
        </w:rPr>
      </w:pPr>
      <w:r>
        <w:rPr>
          <w:rFonts w:ascii="Arial" w:cs="Arial" w:eastAsia="Arial" w:hAnsi="Arial"/>
          <w:sz w:val="17"/>
          <w:szCs w:val="17"/>
          <w:b w:val="1"/>
          <w:bCs w:val="1"/>
          <w:i w:val="1"/>
          <w:iCs w:val="1"/>
          <w:color w:val="auto"/>
        </w:rPr>
        <w:t xml:space="preserve">The Grand Ole Opry. </w:t>
      </w:r>
      <w:r>
        <w:rPr>
          <w:rFonts w:ascii="Arial" w:cs="Arial" w:eastAsia="Arial" w:hAnsi="Arial"/>
          <w:sz w:val="17"/>
          <w:szCs w:val="17"/>
          <w:color w:val="auto"/>
        </w:rPr>
        <w:t>The Grand Ole Opry, which celebrated its 96</w:t>
      </w:r>
      <w:r>
        <w:rPr>
          <w:rFonts w:ascii="Arial" w:cs="Arial" w:eastAsia="Arial" w:hAnsi="Arial"/>
          <w:sz w:val="25"/>
          <w:szCs w:val="25"/>
          <w:color w:val="auto"/>
          <w:vertAlign w:val="superscript"/>
        </w:rPr>
        <w:t>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anniversary in 2021, is one of the most widely known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platforms for country music in the world. The Opry features a live country music show with performances every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89" w:lineRule="auto"/>
        <w:rPr>
          <w:sz w:val="20"/>
          <w:szCs w:val="20"/>
          <w:color w:val="auto"/>
        </w:rPr>
      </w:pPr>
      <w:r>
        <w:rPr>
          <w:rFonts w:ascii="Arial" w:cs="Arial" w:eastAsia="Arial" w:hAnsi="Arial"/>
          <w:sz w:val="16"/>
          <w:szCs w:val="16"/>
          <w:color w:val="auto"/>
        </w:rPr>
        <w:t>Friday and Saturday night, as well as additional weekly performances on a seasonal basis. The Grand Ole Opry House, home of the Grand Ole Opry, seats approximately 4,400 and is located in the Opryland complex. The Grand Ole Opry moved to the Opry House in 1974 from its most famous home in the Ryman Auditorium in downtown Nashville. Each week, the Grand Ole Opry is broadcast live to millions of country lifestyle consumers on radio via WSM-AM and Sirius/XM Radio and streamed on the Internet. The show has been broadcast since 1925 on WSM-AM, making it the longest running live radio program in the United States. In addition to performances by its members, the Grand Ole Opry presents performances by many other country music artists and other acts. In 2019, we completed construction of an approximately $20 million expansion to the Grand Ole Opry House, which includes a larger retail space, additional food and beverage options, a redesigned box office, VIP lounge area with a backstage tour theater, and additional parking.</w:t>
      </w:r>
    </w:p>
    <w:p>
      <w:pPr>
        <w:spacing w:after="0" w:line="166" w:lineRule="exact"/>
        <w:rPr>
          <w:sz w:val="20"/>
          <w:szCs w:val="20"/>
          <w:color w:val="auto"/>
        </w:rPr>
      </w:pPr>
    </w:p>
    <w:p>
      <w:pPr>
        <w:ind w:left="60" w:right="199"/>
        <w:spacing w:after="0" w:line="293" w:lineRule="auto"/>
        <w:rPr>
          <w:sz w:val="20"/>
          <w:szCs w:val="20"/>
          <w:color w:val="auto"/>
        </w:rPr>
      </w:pPr>
      <w:r>
        <w:rPr>
          <w:rFonts w:ascii="Arial" w:cs="Arial" w:eastAsia="Arial" w:hAnsi="Arial"/>
          <w:sz w:val="16"/>
          <w:szCs w:val="16"/>
          <w:b w:val="1"/>
          <w:bCs w:val="1"/>
          <w:i w:val="1"/>
          <w:iCs w:val="1"/>
          <w:color w:val="auto"/>
        </w:rPr>
        <w:t xml:space="preserve">Ryman Auditorium. </w:t>
      </w:r>
      <w:r>
        <w:rPr>
          <w:rFonts w:ascii="Arial" w:cs="Arial" w:eastAsia="Arial" w:hAnsi="Arial"/>
          <w:sz w:val="16"/>
          <w:szCs w:val="16"/>
          <w:color w:val="auto"/>
        </w:rPr>
        <w:t>The Ryman Auditorium, which was built in 1892 and seats approximately 2,300, is designated 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National Historic Landmark. The former home of the Grand Ole Opry, the Ryman Auditorium was renovated and re-opened in 1994 for concerts and musical productions. The Grand Ole Opry returns to the Ryman Auditorium periodically, most recently from November 2019 to January 2020. Ryman Auditorium was named the 2021 “Theatre of the Year” by Pollstar Concert Industry Awards for the thirteenth time, “Venue of the Year” by the Country Music Association for the fifth consecutive year, and “Venue of the Year – Small Capacity” by the Academy of Country Music for the sixth time.</w:t>
      </w:r>
    </w:p>
    <w:p>
      <w:pPr>
        <w:spacing w:after="0" w:line="164" w:lineRule="exact"/>
        <w:rPr>
          <w:sz w:val="20"/>
          <w:szCs w:val="20"/>
          <w:color w:val="auto"/>
        </w:rPr>
      </w:pPr>
    </w:p>
    <w:p>
      <w:pPr>
        <w:ind w:left="60" w:right="139"/>
        <w:spacing w:after="0" w:line="273" w:lineRule="auto"/>
        <w:rPr>
          <w:sz w:val="20"/>
          <w:szCs w:val="20"/>
          <w:color w:val="auto"/>
        </w:rPr>
      </w:pPr>
      <w:r>
        <w:rPr>
          <w:rFonts w:ascii="Arial" w:cs="Arial" w:eastAsia="Arial" w:hAnsi="Arial"/>
          <w:sz w:val="17"/>
          <w:szCs w:val="17"/>
          <w:b w:val="1"/>
          <w:bCs w:val="1"/>
          <w:i w:val="1"/>
          <w:iCs w:val="1"/>
          <w:color w:val="auto"/>
        </w:rPr>
        <w:t xml:space="preserve">WSM-AM. </w:t>
      </w:r>
      <w:r>
        <w:rPr>
          <w:rFonts w:ascii="Arial" w:cs="Arial" w:eastAsia="Arial" w:hAnsi="Arial"/>
          <w:sz w:val="17"/>
          <w:szCs w:val="17"/>
          <w:color w:val="auto"/>
        </w:rPr>
        <w:t>WSM-AM commenced broadcasting in 1925. The involvement of Ryman’s predecessors with country music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dates back to the creation of the radio program that became The Grand Ole Opry, which has been broadcast live on WSM-AM since 1925. WSM-AM is broadcast from the Gaylord Opryland complex in Nashville and has a country music format. WSM-AM is one of the nation’s “clear channel” stations, meaning that no other station in a 750-mile radius uses the same frequency for night time broadcasts. As a result, the station’s signal, transmitted by a 50,000-watt transmitter, can be heard at night in much of the United States and parts of Canada.</w:t>
      </w:r>
    </w:p>
    <w:p>
      <w:pPr>
        <w:spacing w:after="0" w:line="178" w:lineRule="exact"/>
        <w:rPr>
          <w:sz w:val="20"/>
          <w:szCs w:val="20"/>
          <w:color w:val="auto"/>
        </w:rPr>
      </w:pPr>
    </w:p>
    <w:p>
      <w:pPr>
        <w:ind w:left="60" w:right="319"/>
        <w:spacing w:after="0" w:line="275" w:lineRule="auto"/>
        <w:rPr>
          <w:sz w:val="20"/>
          <w:szCs w:val="20"/>
          <w:color w:val="auto"/>
        </w:rPr>
      </w:pPr>
      <w:r>
        <w:rPr>
          <w:rFonts w:ascii="Arial" w:cs="Arial" w:eastAsia="Arial" w:hAnsi="Arial"/>
          <w:sz w:val="17"/>
          <w:szCs w:val="17"/>
          <w:b w:val="1"/>
          <w:bCs w:val="1"/>
          <w:i w:val="1"/>
          <w:iCs w:val="1"/>
          <w:color w:val="auto"/>
        </w:rPr>
        <w:t xml:space="preserve">Ole Red. </w:t>
      </w:r>
      <w:r>
        <w:rPr>
          <w:rFonts w:ascii="Arial" w:cs="Arial" w:eastAsia="Arial" w:hAnsi="Arial"/>
          <w:sz w:val="17"/>
          <w:szCs w:val="17"/>
          <w:color w:val="auto"/>
        </w:rPr>
        <w:t>In May 2018, we opened our flagship Ole Red location, a multi-level entertainment venue in downtown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Nashville. The 26,000-square foot venue features a two-story bar and restaurant, performance space, private event space and a 6,000-square foot rooftop restaurant and bar. We own additional Ole Red locations in Gatlinburg, Tennessee; Orlando, Florida; and Tishomingo, Oklahoma, and have announced new locations in the Nashville International Airport (scheduled to open in 2022) and in Las Vegas, Nevada (scheduled to open in 2023).</w:t>
      </w:r>
    </w:p>
    <w:p>
      <w:pPr>
        <w:spacing w:after="0" w:line="176" w:lineRule="exact"/>
        <w:rPr>
          <w:sz w:val="20"/>
          <w:szCs w:val="20"/>
          <w:color w:val="auto"/>
        </w:rPr>
      </w:pPr>
    </w:p>
    <w:p>
      <w:pPr>
        <w:ind w:left="60" w:right="79"/>
        <w:spacing w:after="0" w:line="293" w:lineRule="auto"/>
        <w:rPr>
          <w:sz w:val="20"/>
          <w:szCs w:val="20"/>
          <w:color w:val="auto"/>
        </w:rPr>
      </w:pPr>
      <w:r>
        <w:rPr>
          <w:rFonts w:ascii="Arial" w:cs="Arial" w:eastAsia="Arial" w:hAnsi="Arial"/>
          <w:sz w:val="16"/>
          <w:szCs w:val="16"/>
          <w:b w:val="1"/>
          <w:bCs w:val="1"/>
          <w:i w:val="1"/>
          <w:iCs w:val="1"/>
          <w:color w:val="auto"/>
        </w:rPr>
        <w:t xml:space="preserve">The General Jackson Showboat. </w:t>
      </w:r>
      <w:r>
        <w:rPr>
          <w:rFonts w:ascii="Arial" w:cs="Arial" w:eastAsia="Arial" w:hAnsi="Arial"/>
          <w:sz w:val="16"/>
          <w:szCs w:val="16"/>
          <w:color w:val="auto"/>
        </w:rPr>
        <w:t>We own the General Jackson Showboat, a 300-foot, four-deck paddle wheel showboat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Cumberland River, which flows past the Gaylord Opryland complex in Nashville. Its Victorian Theatre can seat 600 people for banquets and 1,000 people for theater-style presentations. The showboat stages Broadway-style shows and other theatrical productions. The General Jackson is one of many sources of entertainment that is available to conventions held at Gaylord Opryland. During the day, it operates cruises, primarily serving tourists visiting the Gaylord Opryland complex and the Nashville area. Marriott manages the day-to-day operations of the General Jackson.</w:t>
      </w:r>
    </w:p>
    <w:p>
      <w:pPr>
        <w:spacing w:after="0" w:line="164" w:lineRule="exact"/>
        <w:rPr>
          <w:sz w:val="20"/>
          <w:szCs w:val="20"/>
          <w:color w:val="auto"/>
        </w:rPr>
      </w:pPr>
    </w:p>
    <w:p>
      <w:pPr>
        <w:jc w:val="both"/>
        <w:ind w:left="60" w:right="79"/>
        <w:spacing w:after="0" w:line="286" w:lineRule="auto"/>
        <w:rPr>
          <w:sz w:val="20"/>
          <w:szCs w:val="20"/>
          <w:color w:val="auto"/>
        </w:rPr>
      </w:pPr>
      <w:r>
        <w:rPr>
          <w:rFonts w:ascii="Arial" w:cs="Arial" w:eastAsia="Arial" w:hAnsi="Arial"/>
          <w:sz w:val="17"/>
          <w:szCs w:val="17"/>
          <w:b w:val="1"/>
          <w:bCs w:val="1"/>
          <w:i w:val="1"/>
          <w:iCs w:val="1"/>
          <w:color w:val="auto"/>
        </w:rPr>
        <w:t xml:space="preserve">Gaylord Springs. </w:t>
      </w:r>
      <w:r>
        <w:rPr>
          <w:rFonts w:ascii="Arial" w:cs="Arial" w:eastAsia="Arial" w:hAnsi="Arial"/>
          <w:sz w:val="17"/>
          <w:szCs w:val="17"/>
          <w:color w:val="auto"/>
        </w:rPr>
        <w:t>Minutes from Gaylord Opryland, Gaylord Springs, our 18-hole championship golf course, was designed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by former U.S. Open and PGA Champion Larry Nelson. The 40,000 square-foot antebellum-style clubhouse offers meeting space for up to 500 guests. Marriott manages the day-to-day operations of Gaylord Springs.</w:t>
      </w:r>
    </w:p>
    <w:p>
      <w:pPr>
        <w:spacing w:after="0" w:line="165" w:lineRule="exact"/>
        <w:rPr>
          <w:sz w:val="20"/>
          <w:szCs w:val="20"/>
          <w:color w:val="auto"/>
        </w:rPr>
      </w:pPr>
    </w:p>
    <w:p>
      <w:pPr>
        <w:ind w:left="60" w:right="139"/>
        <w:spacing w:after="0" w:line="259" w:lineRule="auto"/>
        <w:rPr>
          <w:sz w:val="20"/>
          <w:szCs w:val="20"/>
          <w:color w:val="auto"/>
        </w:rPr>
      </w:pPr>
      <w:r>
        <w:rPr>
          <w:rFonts w:ascii="Arial" w:cs="Arial" w:eastAsia="Arial" w:hAnsi="Arial"/>
          <w:sz w:val="18"/>
          <w:szCs w:val="18"/>
          <w:b w:val="1"/>
          <w:bCs w:val="1"/>
          <w:i w:val="1"/>
          <w:iCs w:val="1"/>
          <w:color w:val="auto"/>
        </w:rPr>
        <w:t xml:space="preserve">The Wildhorse Saloon. </w:t>
      </w:r>
      <w:r>
        <w:rPr>
          <w:rFonts w:ascii="Arial" w:cs="Arial" w:eastAsia="Arial" w:hAnsi="Arial"/>
          <w:sz w:val="18"/>
          <w:szCs w:val="18"/>
          <w:color w:val="auto"/>
        </w:rPr>
        <w:t>Since 1994, we have owned the Wildhorse Saloon, a country music performance venue on historic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Second Avenue in downtown Nashville. The three-story facility includes a dance floor of approximately 2,000 square feet, as well as a restaurant and banquet facility that can accommodate up to 2,000 guests. Marriott manages the day-to-day operations of the Wildhorse Saloon.</w:t>
      </w:r>
    </w:p>
    <w:p>
      <w:pPr>
        <w:spacing w:after="0" w:line="183" w:lineRule="exact"/>
        <w:rPr>
          <w:sz w:val="20"/>
          <w:szCs w:val="20"/>
          <w:color w:val="auto"/>
        </w:rPr>
      </w:pPr>
    </w:p>
    <w:p>
      <w:pPr>
        <w:ind w:left="60" w:right="99"/>
        <w:spacing w:after="0" w:line="292" w:lineRule="auto"/>
        <w:rPr>
          <w:sz w:val="20"/>
          <w:szCs w:val="20"/>
          <w:color w:val="auto"/>
        </w:rPr>
      </w:pPr>
      <w:r>
        <w:rPr>
          <w:rFonts w:ascii="Arial" w:cs="Arial" w:eastAsia="Arial" w:hAnsi="Arial"/>
          <w:sz w:val="16"/>
          <w:szCs w:val="16"/>
          <w:b w:val="1"/>
          <w:bCs w:val="1"/>
          <w:i w:val="1"/>
          <w:iCs w:val="1"/>
          <w:color w:val="auto"/>
        </w:rPr>
        <w:t>Circle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2019, we acquired a 50% equity interest in Circle, a media network dedicated to the country lifestyle consumer.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Circle offers entertainment news, documentaries, movies, and archival, new and licensed programming, as well as Grand Ole Opry performances. We have made $21.0 million in capital contributions through December 31, 2021, and intend to contribute up to an additional $12.0 million through December 31, 2022 for working capital needs. Circle launched its broadcast network on January 1, 2020, with sixteen original shows and two major distribution partnerships. As of February 2022, Circle is available to more than 70% of U.S. television households via over-the-air and cable television and is available through multiple online streaming services covering over 193 million monthly average users.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Corporate and Other Segment</w:t>
      </w:r>
    </w:p>
    <w:p>
      <w:pPr>
        <w:spacing w:after="0" w:line="229" w:lineRule="exact"/>
        <w:rPr>
          <w:sz w:val="20"/>
          <w:szCs w:val="20"/>
          <w:color w:val="auto"/>
        </w:rPr>
      </w:pPr>
    </w:p>
    <w:p>
      <w:pPr>
        <w:ind w:left="60" w:right="519"/>
        <w:spacing w:after="0" w:line="259" w:lineRule="auto"/>
        <w:rPr>
          <w:sz w:val="20"/>
          <w:szCs w:val="20"/>
          <w:color w:val="auto"/>
        </w:rPr>
      </w:pPr>
      <w:r>
        <w:rPr>
          <w:rFonts w:ascii="Arial" w:cs="Arial" w:eastAsia="Arial" w:hAnsi="Arial"/>
          <w:sz w:val="18"/>
          <w:szCs w:val="18"/>
          <w:color w:val="auto"/>
        </w:rPr>
        <w:t>Our Corporate and Other segment includes operating and general and administrative expenses related to the overall management of the Company which are not allocated to the other reportable segments, including certain costs for our retirement plans, equity-based compensation plans, information technology, human resources, accounting, and other administrative expenses.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Corporate History and Structure</w:t>
      </w:r>
    </w:p>
    <w:p>
      <w:pPr>
        <w:spacing w:after="0" w:line="229" w:lineRule="exact"/>
        <w:rPr>
          <w:sz w:val="20"/>
          <w:szCs w:val="20"/>
          <w:color w:val="auto"/>
        </w:rPr>
      </w:pPr>
    </w:p>
    <w:p>
      <w:pPr>
        <w:ind w:left="60" w:right="79"/>
        <w:spacing w:after="0" w:line="272" w:lineRule="auto"/>
        <w:rPr>
          <w:sz w:val="20"/>
          <w:szCs w:val="20"/>
          <w:color w:val="auto"/>
        </w:rPr>
      </w:pPr>
      <w:r>
        <w:rPr>
          <w:rFonts w:ascii="Arial" w:cs="Arial" w:eastAsia="Arial" w:hAnsi="Arial"/>
          <w:sz w:val="17"/>
          <w:szCs w:val="17"/>
          <w:color w:val="auto"/>
        </w:rPr>
        <w:t>We were originally incorporated in 1956 and were reorganized in connection with a 1997 corporate restructuring. Prior to our REIT conversion, we operated as a C corporation. In 2012, we completed restructuring transactions intended to facilitate our qualification as a REIT for federal income tax purposes, which included the merger, effective on October 1, 2012, of our predecessor, Gaylord, with and into its wholly-owned subsidiary, Ryman, with Ryman surviving the merger, at which time Ryman succeeded to and began conducting, directly or indirectly, all of the business conducted by Gaylord immediately prior to the merger. Prior to Marriott’s assumption of the day-to-day management of our hotels and certain of our Nashville attractions, we managed such assets. We elected REIT status effective January 1, 2013.</w:t>
      </w:r>
    </w:p>
    <w:p>
      <w:pPr>
        <w:spacing w:after="0" w:line="177" w:lineRule="exact"/>
        <w:rPr>
          <w:sz w:val="20"/>
          <w:szCs w:val="20"/>
          <w:color w:val="auto"/>
        </w:rPr>
      </w:pPr>
    </w:p>
    <w:p>
      <w:pPr>
        <w:ind w:left="60" w:right="199"/>
        <w:spacing w:after="0" w:line="291" w:lineRule="auto"/>
        <w:rPr>
          <w:sz w:val="20"/>
          <w:szCs w:val="20"/>
          <w:color w:val="auto"/>
        </w:rPr>
      </w:pPr>
      <w:r>
        <w:rPr>
          <w:rFonts w:ascii="Arial" w:cs="Arial" w:eastAsia="Arial" w:hAnsi="Arial"/>
          <w:sz w:val="16"/>
          <w:szCs w:val="16"/>
          <w:color w:val="auto"/>
        </w:rPr>
        <w:t>All of our assets are held by, and all of our operations are conducted through, RHP Hotel Properties, LP, a Delaware limited partnership (the “Operating Partnership”), of which we own, directly or indirectly, 99.3% of the partnership interests (collectively, the “OP Units”), including all of the general partnership interests. The Operating Partnership’s limited partnership agreement provides that the OP Units may be exchanged on a one-for-one basis for shares of our common stock. Under certain circumstances, we may issue such OP Units as consideration to acquire hotel properties. By offering OP Units, the seller of such hotel property could defer federal income tax on any of the seller’s gains on sale, and this tax advantage may enable us to acquire hotel properties in the future which otherwise may not be available for sale.</w:t>
      </w:r>
    </w:p>
    <w:p>
      <w:pPr>
        <w:spacing w:after="0" w:line="166" w:lineRule="exact"/>
        <w:rPr>
          <w:sz w:val="20"/>
          <w:szCs w:val="20"/>
          <w:color w:val="auto"/>
        </w:rPr>
      </w:pPr>
    </w:p>
    <w:p>
      <w:pPr>
        <w:ind w:left="60" w:right="79"/>
        <w:spacing w:after="0" w:line="288" w:lineRule="auto"/>
        <w:rPr>
          <w:sz w:val="20"/>
          <w:szCs w:val="20"/>
          <w:color w:val="auto"/>
        </w:rPr>
      </w:pPr>
      <w:r>
        <w:rPr>
          <w:rFonts w:ascii="Arial" w:cs="Arial" w:eastAsia="Arial" w:hAnsi="Arial"/>
          <w:sz w:val="16"/>
          <w:szCs w:val="16"/>
          <w:color w:val="auto"/>
        </w:rPr>
        <w:t>As a REIT, at least 75% of our gross income for each taxable year must generally be derived from “rents from real property” or other income permitted by the Internal Revenue Code of 1986, as amended (the “Code”). To meet this requirement, our hotel properties are owned or leased by certain subsidiaries of the Operating Partnership, which are disregarded entities for federal income tax purposes, and these subsidiaries lease or sublease our hotels to our TRSs pursuant to leases that contain economic terms which are similar to leases between unrelated parties. The rent that we receive from our TRS lessees qualifies as “rents from real property” as long as the property is operated on behalf of our TRS lessees by a person who qualifies as an “independent contractor” (as defined in the Code) and who is, or is related to a person who is, actively engaged in the trade or business of operating “qualified lodging facilities” (as defined in the Code) for any person unrelated to us and our TRS lessees (an “eligible independent contractor”). Our TRS lessees have engaged Marriott to manage the day-to-day operations of our hotels as an eligible independent contractor.</w:t>
      </w:r>
    </w:p>
    <w:p>
      <w:pPr>
        <w:spacing w:after="0" w:line="168"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color w:val="auto"/>
        </w:rPr>
        <w:t>In addition, we own our Entertainment businesses in TRSs, and certain of those TRSs have engaged Marriott to manage their assets, as described above.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Tax Status</w:t>
      </w:r>
    </w:p>
    <w:p>
      <w:pPr>
        <w:spacing w:after="0" w:line="229" w:lineRule="exact"/>
        <w:rPr>
          <w:sz w:val="20"/>
          <w:szCs w:val="20"/>
          <w:color w:val="auto"/>
        </w:rPr>
      </w:pPr>
    </w:p>
    <w:p>
      <w:pPr>
        <w:ind w:left="60" w:right="79"/>
        <w:spacing w:after="0" w:line="287" w:lineRule="auto"/>
        <w:rPr>
          <w:sz w:val="20"/>
          <w:szCs w:val="20"/>
          <w:color w:val="auto"/>
        </w:rPr>
      </w:pPr>
      <w:r>
        <w:rPr>
          <w:rFonts w:ascii="Arial" w:cs="Arial" w:eastAsia="Arial" w:hAnsi="Arial"/>
          <w:sz w:val="16"/>
          <w:szCs w:val="16"/>
          <w:color w:val="auto"/>
        </w:rPr>
        <w:t>As a REIT, we generally are not subject to corporate federal income tax on that portion of our REIT taxable income that we distribute to our stockholders. In addition to the requirement that 75% of our gross income for each taxable year be derived from “rents from real property” discussed above, we are subject to other organizational and operational requirements including the requirement that we distribute at least 90% of our REIT taxable income each year and the requirement that no more than 50% in value of our outstanding shares may be owned, directly or indirectly, by five or fewer individuals (as defined in the Code to include various kinds of entities). We will be subject to federal and state income tax on our taxable income at regular corporate rates to the extent we distribute less than 100% of our REIT taxable income in any taxable year or if we fail to qualify as a REIT for federal income tax purposes in any taxable year. In that latter event, we will also not be permitted to qualify for treatment as a REIT for federal income tax purposes until the fifth year following any year in which qualification is lost. Our non-REIT operations, which consist of the activities of our TRSs that lease or sublease our hotels from the Operating Partnership, as well as businesses within our Entertainment segment, will continue to be subject, as applicable, to federal and state corporate income taxes.</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Human Capital</w:t>
      </w:r>
    </w:p>
    <w:p>
      <w:pPr>
        <w:spacing w:after="0" w:line="229" w:lineRule="exact"/>
        <w:rPr>
          <w:sz w:val="20"/>
          <w:szCs w:val="20"/>
          <w:color w:val="auto"/>
        </w:rPr>
      </w:pPr>
    </w:p>
    <w:p>
      <w:pPr>
        <w:jc w:val="both"/>
        <w:ind w:left="60" w:right="119"/>
        <w:spacing w:after="0" w:line="275" w:lineRule="auto"/>
        <w:rPr>
          <w:sz w:val="20"/>
          <w:szCs w:val="20"/>
          <w:color w:val="auto"/>
        </w:rPr>
      </w:pPr>
      <w:r>
        <w:rPr>
          <w:rFonts w:ascii="Arial" w:cs="Arial" w:eastAsia="Arial" w:hAnsi="Arial"/>
          <w:sz w:val="17"/>
          <w:szCs w:val="17"/>
          <w:color w:val="auto"/>
        </w:rPr>
        <w:t>We create unique destination and entertainment experiences for our customers. This work requires a strong, people-centric culture that celebrates diversity, provides opportunities for growth and improves the communities we serve. Demonstrating value to our employees is fundamental to the success of our organization. Ultimately, we believe that caring for the people who work in our businesses and communities leads to a more positive experience for our guests and gives us a competitive advantage in the industries in which we operate.</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goal is to employ a highly engaged, high performing and satisfied workforce that is happy and empowered.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Our Workforce</w:t>
      </w:r>
    </w:p>
    <w:p>
      <w:pPr>
        <w:spacing w:after="0" w:line="225" w:lineRule="exact"/>
        <w:rPr>
          <w:sz w:val="20"/>
          <w:szCs w:val="20"/>
          <w:color w:val="auto"/>
        </w:rPr>
      </w:pPr>
    </w:p>
    <w:p>
      <w:pPr>
        <w:ind w:left="60" w:right="79"/>
        <w:spacing w:after="0" w:line="259" w:lineRule="auto"/>
        <w:rPr>
          <w:sz w:val="20"/>
          <w:szCs w:val="20"/>
          <w:color w:val="auto"/>
        </w:rPr>
      </w:pPr>
      <w:r>
        <w:rPr>
          <w:rFonts w:ascii="Arial" w:cs="Arial" w:eastAsia="Arial" w:hAnsi="Arial"/>
          <w:sz w:val="18"/>
          <w:szCs w:val="18"/>
          <w:color w:val="auto"/>
        </w:rPr>
        <w:t>At December 31, 2021, we employed 1,061 people, including 561 full-time and 500 part-time and on-call employees in our Entertainment and Corporate segments. Fifty-six percent of our population identify as female and 44% identify as male. Women held 48% of leadership positions as of December 31, 2021. We do not have any employees in our direct employment represented by collective bargaining agreements.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Our Hotels and Managed Attractions</w:t>
      </w:r>
    </w:p>
    <w:p>
      <w:pPr>
        <w:spacing w:after="0" w:line="225" w:lineRule="exact"/>
        <w:rPr>
          <w:sz w:val="20"/>
          <w:szCs w:val="20"/>
          <w:color w:val="auto"/>
        </w:rPr>
      </w:pPr>
    </w:p>
    <w:p>
      <w:pPr>
        <w:jc w:val="both"/>
        <w:ind w:left="60" w:right="179"/>
        <w:spacing w:after="0" w:line="311" w:lineRule="auto"/>
        <w:rPr>
          <w:sz w:val="20"/>
          <w:szCs w:val="20"/>
          <w:color w:val="auto"/>
        </w:rPr>
      </w:pPr>
      <w:r>
        <w:rPr>
          <w:rFonts w:ascii="Arial" w:cs="Arial" w:eastAsia="Arial" w:hAnsi="Arial"/>
          <w:sz w:val="16"/>
          <w:szCs w:val="16"/>
          <w:color w:val="auto"/>
        </w:rPr>
        <w:t>While our hotel operator, Marriott, is responsible for hiring and managing the workforce at our Gaylord Hotels properties, as well as the Inn at Opryland, the AC Hotel, the General Jackson, Gaylord Springs and the Wildhorse Saloon, we receive periodic updates from Marriott concerning Marriott’s policies, and we believe they reflect our people-first approach.</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Philosophy and Culture</w:t>
      </w:r>
    </w:p>
    <w:p>
      <w:pPr>
        <w:spacing w:after="0" w:line="225" w:lineRule="exact"/>
        <w:rPr>
          <w:sz w:val="20"/>
          <w:szCs w:val="20"/>
          <w:color w:val="auto"/>
        </w:rPr>
      </w:pPr>
    </w:p>
    <w:p>
      <w:pPr>
        <w:ind w:left="60" w:right="99"/>
        <w:spacing w:after="0" w:line="293" w:lineRule="auto"/>
        <w:rPr>
          <w:sz w:val="20"/>
          <w:szCs w:val="20"/>
          <w:color w:val="auto"/>
        </w:rPr>
      </w:pPr>
      <w:r>
        <w:rPr>
          <w:rFonts w:ascii="Arial" w:cs="Arial" w:eastAsia="Arial" w:hAnsi="Arial"/>
          <w:sz w:val="16"/>
          <w:szCs w:val="16"/>
          <w:color w:val="auto"/>
        </w:rPr>
        <w:t>Our people philosophy centers around creating a workplace culture where all employees feel respected, valued and inspired. We celebrate and prioritize diversity and inclusion and position employees for success with the tools and resources they need to thrive. We also actively engage employees in regular opportunities to feel connected to our company’s goals and the communities in which we operate. In 2021, we created a paid Volunteer Time Off program to encourage and enable our full-time employees to give back to our communities. Our Total Wellbeing benefits philosophy includes resources to help employees live happier, healthier lives, while rewarding performance and encouraging retention.</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Programs in place to reinforce our people-centric culture include, among others:</w:t>
      </w:r>
    </w:p>
    <w:p>
      <w:pPr>
        <w:spacing w:after="0" w:line="225" w:lineRule="exact"/>
        <w:rPr>
          <w:sz w:val="20"/>
          <w:szCs w:val="20"/>
          <w:color w:val="auto"/>
        </w:rPr>
      </w:pPr>
    </w:p>
    <w:p>
      <w:pPr>
        <w:ind w:left="720" w:right="79" w:hanging="319"/>
        <w:spacing w:after="0" w:line="287" w:lineRule="auto"/>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Diversity &amp; Inclusion</w:t>
      </w:r>
      <w:r>
        <w:rPr>
          <w:rFonts w:ascii="Arial" w:cs="Arial" w:eastAsia="Arial" w:hAnsi="Arial"/>
          <w:sz w:val="16"/>
          <w:szCs w:val="16"/>
          <w:color w:val="auto"/>
        </w:rPr>
        <w:t>: We are committed to building a more diversified workforce through enhanced recruitment</w:t>
      </w:r>
      <w:r>
        <w:rPr>
          <w:rFonts w:ascii="Arial" w:cs="Arial" w:eastAsia="Arial" w:hAnsi="Arial"/>
          <w:sz w:val="16"/>
          <w:szCs w:val="16"/>
          <w:i w:val="1"/>
          <w:iCs w:val="1"/>
          <w:color w:val="auto"/>
        </w:rPr>
        <w:t xml:space="preserve"> </w:t>
      </w:r>
      <w:r>
        <w:rPr>
          <w:rFonts w:ascii="Arial" w:cs="Arial" w:eastAsia="Arial" w:hAnsi="Arial"/>
          <w:sz w:val="16"/>
          <w:szCs w:val="16"/>
          <w:color w:val="auto"/>
        </w:rPr>
        <w:t>initiatives to attract, employ and develop diverse candidates. This builds on existing relationships with local, diverse community groups and universities, along with enhancing recruiting protocols to identify and recruit diverse candidates for management positions. Additionally, we are focusing on diversity recruitment in our internship program, redesigning both the compensation structure and promotional strategies to recruit often underrepresented students to our workplace. We are also focused on engaging our existing workforce through policies and programs promoting workplace diversity and inclusion. From its creation in 2020, we have continued the work of an employee Diversity Council with cross-organizational representatives who advocate for and monitor the Company’s commitment to diversity and inclusion. We continue to host a regular Diversity Champions meeting, open to all employees seeking to be involved in internal and external diversity and inclusion activities, including volunteer and mentoring opportunities to serve underrepresented youth in our community.</w:t>
      </w:r>
    </w:p>
    <w:p>
      <w:pPr>
        <w:spacing w:after="0" w:line="171" w:lineRule="exact"/>
        <w:rPr>
          <w:rFonts w:ascii="Arial" w:cs="Arial" w:eastAsia="Arial" w:hAnsi="Arial"/>
          <w:sz w:val="16"/>
          <w:szCs w:val="16"/>
          <w:color w:val="auto"/>
        </w:rPr>
      </w:pPr>
    </w:p>
    <w:p>
      <w:pPr>
        <w:ind w:left="720" w:right="159" w:hanging="319"/>
        <w:spacing w:after="0" w:line="301" w:lineRule="auto"/>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Pay Equity</w:t>
      </w:r>
      <w:r>
        <w:rPr>
          <w:rFonts w:ascii="Arial" w:cs="Arial" w:eastAsia="Arial" w:hAnsi="Arial"/>
          <w:sz w:val="16"/>
          <w:szCs w:val="16"/>
          <w:color w:val="auto"/>
        </w:rPr>
        <w:t>: We conduct regular compensation studies with third-party consultants to make our positions</w:t>
      </w:r>
      <w:r>
        <w:rPr>
          <w:rFonts w:ascii="Arial" w:cs="Arial" w:eastAsia="Arial" w:hAnsi="Arial"/>
          <w:sz w:val="16"/>
          <w:szCs w:val="16"/>
          <w:i w:val="1"/>
          <w:iCs w:val="1"/>
          <w:color w:val="auto"/>
        </w:rPr>
        <w:t xml:space="preserve"> </w:t>
      </w:r>
      <w:r>
        <w:rPr>
          <w:rFonts w:ascii="Arial" w:cs="Arial" w:eastAsia="Arial" w:hAnsi="Arial"/>
          <w:sz w:val="16"/>
          <w:szCs w:val="16"/>
          <w:color w:val="auto"/>
        </w:rPr>
        <w:t>competitive for the markets in which we operate, and to address such issues as compensation level differences between male and female or minority and non-minority employees. Due to the challenging labor market in 2021, we conducted comprehensive market and equity analyses for all positions ranging from entry-level to</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spacing w:after="0" w:line="277" w:lineRule="auto"/>
        <w:rPr>
          <w:sz w:val="20"/>
          <w:szCs w:val="20"/>
          <w:color w:val="auto"/>
        </w:rPr>
      </w:pPr>
      <w:r>
        <w:rPr>
          <w:rFonts w:ascii="Arial" w:cs="Arial" w:eastAsia="Arial" w:hAnsi="Arial"/>
          <w:sz w:val="18"/>
          <w:szCs w:val="18"/>
          <w:color w:val="auto"/>
        </w:rPr>
        <w:t>middle management. As a result of this market study, senior leadership approved recommended increases for over 55% of our current headcount.</w:t>
      </w:r>
    </w:p>
    <w:p>
      <w:pPr>
        <w:spacing w:after="0" w:line="170" w:lineRule="exact"/>
        <w:rPr>
          <w:sz w:val="20"/>
          <w:szCs w:val="20"/>
          <w:color w:val="auto"/>
        </w:rPr>
      </w:pPr>
    </w:p>
    <w:p>
      <w:pPr>
        <w:ind w:left="720" w:right="239" w:hanging="319"/>
        <w:spacing w:after="0" w:line="259"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Succession Planning and Performance Management</w:t>
      </w:r>
      <w:r>
        <w:rPr>
          <w:rFonts w:ascii="Arial" w:cs="Arial" w:eastAsia="Arial" w:hAnsi="Arial"/>
          <w:sz w:val="18"/>
          <w:szCs w:val="18"/>
          <w:color w:val="auto"/>
        </w:rPr>
        <w:t>: Our employees receive annual performance reviews. Full-time, exempt employees set annual SMART goals and are evaluated on these goals and core competencies. We also conduct quarterly talent review processes with all departments to identify high-potential individuals and create individualized development plans.</w:t>
      </w:r>
    </w:p>
    <w:p>
      <w:pPr>
        <w:spacing w:after="0" w:line="186" w:lineRule="exact"/>
        <w:rPr>
          <w:rFonts w:ascii="Arial" w:cs="Arial" w:eastAsia="Arial" w:hAnsi="Arial"/>
          <w:sz w:val="18"/>
          <w:szCs w:val="18"/>
          <w:color w:val="auto"/>
        </w:rPr>
      </w:pPr>
    </w:p>
    <w:p>
      <w:pPr>
        <w:ind w:left="720" w:right="179" w:hanging="319"/>
        <w:spacing w:after="0" w:line="290" w:lineRule="auto"/>
        <w:tabs>
          <w:tab w:leader="none" w:pos="72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Training and Development</w:t>
      </w:r>
      <w:r>
        <w:rPr>
          <w:rFonts w:ascii="Arial" w:cs="Arial" w:eastAsia="Arial" w:hAnsi="Arial"/>
          <w:sz w:val="16"/>
          <w:szCs w:val="16"/>
          <w:color w:val="auto"/>
        </w:rPr>
        <w:t>: We conduct robust onboarding, training and development for all levels of employees</w:t>
      </w:r>
      <w:r>
        <w:rPr>
          <w:rFonts w:ascii="Arial" w:cs="Arial" w:eastAsia="Arial" w:hAnsi="Arial"/>
          <w:sz w:val="16"/>
          <w:szCs w:val="16"/>
          <w:i w:val="1"/>
          <w:iCs w:val="1"/>
          <w:color w:val="auto"/>
        </w:rPr>
        <w:t xml:space="preserve"> </w:t>
      </w:r>
      <w:r>
        <w:rPr>
          <w:rFonts w:ascii="Arial" w:cs="Arial" w:eastAsia="Arial" w:hAnsi="Arial"/>
          <w:sz w:val="16"/>
          <w:szCs w:val="16"/>
          <w:color w:val="auto"/>
        </w:rPr>
        <w:t>focused on our guiding principles (Passion, Respect, Winning Attitude, Integrity, Service, Teamwork, Pride, Creativity and Fun). Through our Company-created Ryman Hospitality University, we have a physical training space and online learning portal open to all employees. Courses offered include mandatory annual workplace harassment training for all levels, unconscious bias training for leaders, and development classes for new and emerging leaders. During the pandemic’s operational downtime, we sought professional development opportunities to keep our employees engaged. The Company partnered with Lipscomb University to offer an online leadership development course free to employees who chose to participate.</w:t>
      </w:r>
    </w:p>
    <w:p>
      <w:pPr>
        <w:spacing w:after="0" w:line="165" w:lineRule="exact"/>
        <w:rPr>
          <w:rFonts w:ascii="Arial" w:cs="Arial" w:eastAsia="Arial" w:hAnsi="Arial"/>
          <w:sz w:val="16"/>
          <w:szCs w:val="16"/>
          <w:color w:val="auto"/>
        </w:rPr>
      </w:pPr>
    </w:p>
    <w:p>
      <w:pPr>
        <w:ind w:left="720" w:right="99" w:hanging="319"/>
        <w:spacing w:after="0" w:line="272" w:lineRule="auto"/>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Employee Engagement</w:t>
      </w:r>
      <w:r>
        <w:rPr>
          <w:rFonts w:ascii="Arial" w:cs="Arial" w:eastAsia="Arial" w:hAnsi="Arial"/>
          <w:sz w:val="17"/>
          <w:szCs w:val="17"/>
          <w:color w:val="auto"/>
        </w:rPr>
        <w:t>: The Company provides regular opportunities for employee engagement, including update</w:t>
      </w:r>
      <w:r>
        <w:rPr>
          <w:rFonts w:ascii="Arial" w:cs="Arial" w:eastAsia="Arial" w:hAnsi="Arial"/>
          <w:sz w:val="17"/>
          <w:szCs w:val="17"/>
          <w:i w:val="1"/>
          <w:iCs w:val="1"/>
          <w:color w:val="auto"/>
        </w:rPr>
        <w:t xml:space="preserve"> </w:t>
      </w:r>
      <w:r>
        <w:rPr>
          <w:rFonts w:ascii="Arial" w:cs="Arial" w:eastAsia="Arial" w:hAnsi="Arial"/>
          <w:sz w:val="17"/>
          <w:szCs w:val="17"/>
          <w:color w:val="auto"/>
        </w:rPr>
        <w:t>meetings where full-time employees can hear directly from senior leadership about business performance and vision for the future. The meetings also celebrate employees demonstrating our workplace values. Weekly and monthly newsletter communications reinforce our people-centric culture, while regular communications from senior leaders ensure all employees have first-hand access to company updates between meetings. Two-way communication is encouraged through regular employee satisfaction surveys, senior leader-led Think Tanks and focus groups designed to solicit candid feedback from employees.</w:t>
      </w:r>
    </w:p>
    <w:p>
      <w:pPr>
        <w:spacing w:after="0" w:line="177" w:lineRule="exact"/>
        <w:rPr>
          <w:rFonts w:ascii="Arial" w:cs="Arial" w:eastAsia="Arial" w:hAnsi="Arial"/>
          <w:sz w:val="17"/>
          <w:szCs w:val="17"/>
          <w:color w:val="auto"/>
        </w:rPr>
      </w:pPr>
    </w:p>
    <w:p>
      <w:pPr>
        <w:ind w:left="720" w:right="79" w:hanging="319"/>
        <w:spacing w:after="0" w:line="269" w:lineRule="auto"/>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Total Wellbeing/Total Rewards</w:t>
      </w:r>
      <w:r>
        <w:rPr>
          <w:rFonts w:ascii="Arial" w:cs="Arial" w:eastAsia="Arial" w:hAnsi="Arial"/>
          <w:sz w:val="17"/>
          <w:szCs w:val="17"/>
          <w:color w:val="auto"/>
        </w:rPr>
        <w:t>: We offer a competitive pay and benefits package that includes opportunities for</w:t>
      </w:r>
      <w:r>
        <w:rPr>
          <w:rFonts w:ascii="Arial" w:cs="Arial" w:eastAsia="Arial" w:hAnsi="Arial"/>
          <w:sz w:val="17"/>
          <w:szCs w:val="17"/>
          <w:i w:val="1"/>
          <w:iCs w:val="1"/>
          <w:color w:val="auto"/>
        </w:rPr>
        <w:t xml:space="preserve"> </w:t>
      </w:r>
      <w:r>
        <w:rPr>
          <w:rFonts w:ascii="Arial" w:cs="Arial" w:eastAsia="Arial" w:hAnsi="Arial"/>
          <w:sz w:val="17"/>
          <w:szCs w:val="17"/>
          <w:color w:val="auto"/>
        </w:rPr>
        <w:t>our employees to enrich their lives and plan ahead. Offerings include health plan options for part- and full-time employees, with a generous employer cost-sharing arrangement for full-time employees; a 401(k) plan with employer match; employee assistance programs offering counseling services, financial literacy courses and many other options for employees and their families; tuition reimbursement for full-time employees; on-site wellness events, flu shot clinics and wellness fairs; complimentary tickets for our venue offerings; and on-site fitness classes at our corporate headquarters (currently suspended due to the COVID-19 pandemic). Part- and full-time employees are also eligible for annual performance-based financial bonuses. In 2021, we granted equity awards to all full-time, exempt employees in recognition of the unprecedented challenges that the global pandemic presented when operating our Hotel and Entertainment business segments.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COVID-19 Response</w:t>
      </w:r>
    </w:p>
    <w:p>
      <w:pPr>
        <w:spacing w:after="0" w:line="225"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Our commitment to our strong employee-centric culture has driven our actions from the onset of the COVID-19 pandemic. We began 2021 with approximately 35% of our workforce on furlough due to pandemic-related business disruptions. We returned all of our employees back to active status in May 2021 as vaccines became broadly available and local restrictions began to lift. Our overall retention rate of previously furloughed employees who voluntarily returned to work was 66%. We provided monetary incentives to encourage our workforce to complete their two-dose COVID-19 vaccine series. We also created guidelines that offered flexibility for employees who needed to obtain their vaccine during business hours, and we partnered with our official wellness advisor to conduct on-site vaccine clinics in select locations as vaccine availability increased. We also offered paid opportunities for all employees to hear directly from Vanderbilt Health experts about vaccine safety and efficacy to ensure our workforce had access to the latest information from some of the nation’s top infectious disease experts.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Environmental, Social and Governance (“ESG”)</w:t>
      </w:r>
    </w:p>
    <w:p>
      <w:pPr>
        <w:spacing w:after="0" w:line="229" w:lineRule="exact"/>
        <w:rPr>
          <w:sz w:val="20"/>
          <w:szCs w:val="20"/>
          <w:color w:val="auto"/>
        </w:rPr>
      </w:pPr>
    </w:p>
    <w:p>
      <w:pPr>
        <w:jc w:val="both"/>
        <w:ind w:left="60" w:right="79"/>
        <w:spacing w:after="0" w:line="311" w:lineRule="auto"/>
        <w:rPr>
          <w:sz w:val="20"/>
          <w:szCs w:val="20"/>
          <w:color w:val="auto"/>
        </w:rPr>
      </w:pPr>
      <w:r>
        <w:rPr>
          <w:rFonts w:ascii="Arial" w:cs="Arial" w:eastAsia="Arial" w:hAnsi="Arial"/>
          <w:sz w:val="16"/>
          <w:szCs w:val="16"/>
          <w:color w:val="auto"/>
        </w:rPr>
        <w:t>We have made ESG and diversity, equity and inclusion (“DEI”) a priority throughout our organization and the communities in which we operate. As our portfolio evolves over time, sustainability will continue to increase in significance as we adapt and develop existing assets. We seek to ensure that all future changes to our portfolio, including</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7" w:lineRule="auto"/>
        <w:rPr>
          <w:sz w:val="20"/>
          <w:szCs w:val="20"/>
          <w:color w:val="auto"/>
        </w:rPr>
      </w:pPr>
      <w:r>
        <w:rPr>
          <w:rFonts w:ascii="Arial" w:cs="Arial" w:eastAsia="Arial" w:hAnsi="Arial"/>
          <w:sz w:val="18"/>
          <w:szCs w:val="18"/>
          <w:color w:val="auto"/>
        </w:rPr>
        <w:t>new development, major renovation and on-going operations, are done in a socially and environmentally responsible manner. Our asset management team works directly with Marriott for the Marriott-managed properties to develop a short-and long-term ESG and DEI strategy. We have made firm commitments to strengthen the local communities in which we operate, and our RHP Foundation was established in 2005 to formalize our charitable commitments and to help elevate our impact on local communities.</w:t>
      </w:r>
    </w:p>
    <w:p>
      <w:pPr>
        <w:spacing w:after="0" w:line="188" w:lineRule="exact"/>
        <w:rPr>
          <w:sz w:val="20"/>
          <w:szCs w:val="20"/>
          <w:color w:val="auto"/>
        </w:rPr>
      </w:pPr>
    </w:p>
    <w:p>
      <w:pPr>
        <w:ind w:left="60" w:right="219"/>
        <w:spacing w:after="0" w:line="273" w:lineRule="auto"/>
        <w:rPr>
          <w:sz w:val="20"/>
          <w:szCs w:val="20"/>
          <w:color w:val="auto"/>
        </w:rPr>
      </w:pPr>
      <w:r>
        <w:rPr>
          <w:rFonts w:ascii="Arial" w:cs="Arial" w:eastAsia="Arial" w:hAnsi="Arial"/>
          <w:sz w:val="17"/>
          <w:szCs w:val="17"/>
          <w:color w:val="auto"/>
        </w:rPr>
        <w:t>In July 2021, we published our Sustainability Report, which highlights the environmental and social performance of the Company and includes ongoing initiatives and historical performance in accordance with the Global Reporting Initiative Index and the Sustainability Accounting Standards Board Real Estate Infrastructure Segment Standard. This report is available on our website at https://ir.rymanhp.com/sustainability. The information included in, referenced to, or otherwise accessible through our website, is not incorporated by reference in, or considered to be part of, this Report on Form 10-K or any document unless expressly incorporated by reference therein.</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Hospitality</w:t>
      </w:r>
    </w:p>
    <w:p>
      <w:pPr>
        <w:spacing w:after="0" w:line="225" w:lineRule="exact"/>
        <w:rPr>
          <w:sz w:val="20"/>
          <w:szCs w:val="20"/>
          <w:color w:val="auto"/>
        </w:rPr>
      </w:pPr>
    </w:p>
    <w:p>
      <w:pPr>
        <w:ind w:left="60" w:right="79"/>
        <w:spacing w:after="0" w:line="288" w:lineRule="auto"/>
        <w:rPr>
          <w:sz w:val="20"/>
          <w:szCs w:val="20"/>
          <w:color w:val="auto"/>
        </w:rPr>
      </w:pPr>
      <w:r>
        <w:rPr>
          <w:rFonts w:ascii="Arial" w:cs="Arial" w:eastAsia="Arial" w:hAnsi="Arial"/>
          <w:sz w:val="16"/>
          <w:szCs w:val="16"/>
          <w:color w:val="auto"/>
        </w:rPr>
        <w:t>Our current hotel properties compete with numerous other hotels throughout the United States and abroad, particularly the approximately 100 convention hotels that, on average, have over 1,000 rooms and a significant amount of meeting and exhibit space. We believe that competition among convention hotels is based on, among other things: (i) the hotel’s reputation, (ii) the quality of the hotel’s facility, (iii) the quality and scope of a hotel’s meeting and convention facilities and services, (iv) the desirability of a hotel’s location, (v) travel distance to a hotel for meeting attendees, (vi) a hotel facility’s accessibility to a recognized airport, (vii) the amount of entertainment and recreational options available in and in the vicinity of the hotel, (viii) service levels at the hotel, and (ix) price. Our hotels also compete against large municipal convention centers, including Orlando, Chicago, Atlanta, Dallas, Nashville, Washington, D.C. and Denver. During the COVID-19 pandemic and the anticipated recovery, we believe that our hotels’ expansive spaces and enhanced safety protocols will provide a competitive advantage over other hotels and convention centers.</w:t>
      </w:r>
    </w:p>
    <w:p>
      <w:pPr>
        <w:spacing w:after="0" w:line="168" w:lineRule="exact"/>
        <w:rPr>
          <w:sz w:val="20"/>
          <w:szCs w:val="20"/>
          <w:color w:val="auto"/>
        </w:rPr>
      </w:pPr>
    </w:p>
    <w:p>
      <w:pPr>
        <w:ind w:left="60" w:right="139"/>
        <w:spacing w:after="0" w:line="257" w:lineRule="auto"/>
        <w:rPr>
          <w:sz w:val="20"/>
          <w:szCs w:val="20"/>
          <w:color w:val="auto"/>
        </w:rPr>
      </w:pPr>
      <w:r>
        <w:rPr>
          <w:rFonts w:ascii="Arial" w:cs="Arial" w:eastAsia="Arial" w:hAnsi="Arial"/>
          <w:sz w:val="18"/>
          <w:szCs w:val="18"/>
          <w:color w:val="auto"/>
        </w:rPr>
        <w:t>The hotel business is management and marketing intensive. Our current hotel properties compete with other hotels throughout the United States for high quality management and marketing personnel. We believe that Marriott’s international brand, marketing scale and ability to manage group business have improved our hotels’ competitive position. However, there can be no assurance that Marriott will be able to continue to attract and retain employees with the requisite managerial and marketing skills.</w:t>
      </w:r>
    </w:p>
    <w:p>
      <w:pPr>
        <w:spacing w:after="0" w:line="188" w:lineRule="exact"/>
        <w:rPr>
          <w:sz w:val="20"/>
          <w:szCs w:val="20"/>
          <w:color w:val="auto"/>
        </w:rPr>
      </w:pPr>
    </w:p>
    <w:p>
      <w:pPr>
        <w:ind w:left="60" w:right="119"/>
        <w:spacing w:after="0" w:line="254" w:lineRule="auto"/>
        <w:rPr>
          <w:sz w:val="20"/>
          <w:szCs w:val="20"/>
          <w:color w:val="auto"/>
        </w:rPr>
      </w:pPr>
      <w:r>
        <w:rPr>
          <w:rFonts w:ascii="Arial" w:cs="Arial" w:eastAsia="Arial" w:hAnsi="Arial"/>
          <w:sz w:val="18"/>
          <w:szCs w:val="18"/>
          <w:color w:val="auto"/>
        </w:rPr>
        <w:t>Additionally, as a REIT, we compete for investment opportunities in the hospitality industry, particularly the group-oriented meetings sector of the hospitality industry, with entities that may have substantially greater financial and other resources than we have. These entities generally may be able to accept more risk than we can prudently manage. Our focus on acquiring hotels in the large group meetings sector of the hospitality industry and the competition in this sector may generally limit the number of hotel properties that we are able to acquire. This competition may also increase the bargaining power of property owners seeking to sell to us, making it more difficult for us to acquire new properties on attractive terms.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Entertainment</w:t>
      </w:r>
    </w:p>
    <w:p>
      <w:pPr>
        <w:spacing w:after="0" w:line="225" w:lineRule="exact"/>
        <w:rPr>
          <w:sz w:val="20"/>
          <w:szCs w:val="20"/>
          <w:color w:val="auto"/>
        </w:rPr>
      </w:pPr>
    </w:p>
    <w:p>
      <w:pPr>
        <w:ind w:left="60" w:right="79"/>
        <w:spacing w:after="0" w:line="275" w:lineRule="auto"/>
        <w:rPr>
          <w:sz w:val="20"/>
          <w:szCs w:val="20"/>
          <w:color w:val="auto"/>
        </w:rPr>
      </w:pPr>
      <w:r>
        <w:rPr>
          <w:rFonts w:ascii="Arial" w:cs="Arial" w:eastAsia="Arial" w:hAnsi="Arial"/>
          <w:sz w:val="17"/>
          <w:szCs w:val="17"/>
          <w:color w:val="auto"/>
        </w:rPr>
        <w:t>The Grand Ole Opry and our other entertainment businesses compete with all other forms of entertainment and recreational activities. The success of the Entertainment group is dependent upon certain factors beyond our control, including economic conditions, the amount of available leisure time, transportation cost, public taste and weather conditions. Our radio station competes with numerous other types of entertainment businesses and advertisement media, and success is often dependent on taste and fashion, which may fluctuate from time to time.</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 Agreements</w:t>
      </w:r>
    </w:p>
    <w:p>
      <w:pPr>
        <w:spacing w:after="0" w:line="229" w:lineRule="exact"/>
        <w:rPr>
          <w:sz w:val="20"/>
          <w:szCs w:val="20"/>
          <w:color w:val="auto"/>
        </w:rPr>
      </w:pPr>
    </w:p>
    <w:p>
      <w:pPr>
        <w:ind w:left="60" w:right="199"/>
        <w:spacing w:after="0" w:line="342" w:lineRule="auto"/>
        <w:rPr>
          <w:sz w:val="20"/>
          <w:szCs w:val="20"/>
          <w:color w:val="auto"/>
        </w:rPr>
      </w:pPr>
      <w:r>
        <w:rPr>
          <w:rFonts w:ascii="Arial" w:cs="Arial" w:eastAsia="Arial" w:hAnsi="Arial"/>
          <w:sz w:val="16"/>
          <w:szCs w:val="16"/>
          <w:b w:val="1"/>
          <w:bCs w:val="1"/>
          <w:i w:val="1"/>
          <w:iCs w:val="1"/>
          <w:color w:val="auto"/>
        </w:rPr>
        <w:t xml:space="preserve">Gaylord Hotels. </w:t>
      </w:r>
      <w:r>
        <w:rPr>
          <w:rFonts w:ascii="Arial" w:cs="Arial" w:eastAsia="Arial" w:hAnsi="Arial"/>
          <w:sz w:val="16"/>
          <w:szCs w:val="16"/>
          <w:color w:val="auto"/>
        </w:rPr>
        <w:t>We are a party to a management agreement with Marriott for each of our Gaylord Hotels properties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than Gaylord Rockies, as well as a pooling agreement with Marriott with respect to our Gaylord Hotels properties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84" w:lineRule="auto"/>
        <w:rPr>
          <w:sz w:val="20"/>
          <w:szCs w:val="20"/>
          <w:color w:val="auto"/>
        </w:rPr>
      </w:pPr>
      <w:r>
        <w:rPr>
          <w:rFonts w:ascii="Arial" w:cs="Arial" w:eastAsia="Arial" w:hAnsi="Arial"/>
          <w:sz w:val="16"/>
          <w:szCs w:val="16"/>
          <w:color w:val="auto"/>
        </w:rPr>
        <w:t>other than Gaylord Rockies, on an aggregate basis. Each of the management agreements has a term expiring in 2047, with three automatic 10-year renewal periods (provided the applicable hotel has met certain performance thresholds). Each of the management agreements requires us to pay Marriott a base management fee of approximately 2% of gross revenues from the applicable property for each fiscal year or portion thereof. Additionally, the pooling agreement requires us to pay to Marriott an incentive fee of 10% of the first $15.0 million of pooled available cash flow (which is generally operating profit for the pooled hotels less an owner’s priority) plus 20% of any additional pooled available cash flow over such threshold. The owner’s priority is collectively $240 million, plus certain additional amounts, including 10% of certain non-routine capital expenditures and conversion work, and 10% of replacements of furniture, fixtures, and equipment and routine capital expenditures in excess of a reserve. If one or more of our Gaylord Hotels properties other than Gaylord Rockies were not a “pooled hotel” (i.e., if we cease to own the hotel or we lease the hotel to a third party), the thresholds used to calculate the incentive fee in the pooling agreement will be adjusted, and the incentive fee for the non-pooled hotel will be based on such hotel’s performance. The management agreements and pooling agreement also contain certain restrictions on our incurring indebtedness that encumber our Gaylord Hotels properties other than Gaylord Rockies on an individual or aggregate basis. The management agreements may be terminated earlier than the stated term if certain events occur, including the failure of Marriott to satisfy certain performance standards. The management agreements prohibit us from selling the Gaylord Hotels properties other than Gaylord Rockies to certain persons, including any person who does not, in Marriott’s reasonable judgment, have sufficient financial resources and liquidity to fulfill our obligations under the management agreements, or any person who owns a controlling interest in a hotel brand (e.g., Hilton or Hyatt) totaling at least ten full-service hotels that are not affiliated with a brand but that are marketed and operated as a collective group, if such brand or group of hotels compete with Marriott. In addition, we may not sell a Gaylord Hotels property other than Gaylord Rockies if we are then in breach of the applicable management agreement.</w:t>
      </w:r>
    </w:p>
    <w:p>
      <w:pPr>
        <w:spacing w:after="0" w:line="176" w:lineRule="exact"/>
        <w:rPr>
          <w:sz w:val="20"/>
          <w:szCs w:val="20"/>
          <w:color w:val="auto"/>
        </w:rPr>
      </w:pPr>
    </w:p>
    <w:p>
      <w:pPr>
        <w:ind w:left="60" w:right="59"/>
        <w:spacing w:after="0" w:line="294" w:lineRule="auto"/>
        <w:rPr>
          <w:sz w:val="20"/>
          <w:szCs w:val="20"/>
          <w:color w:val="auto"/>
        </w:rPr>
      </w:pPr>
      <w:r>
        <w:rPr>
          <w:rFonts w:ascii="Arial" w:cs="Arial" w:eastAsia="Arial" w:hAnsi="Arial"/>
          <w:sz w:val="16"/>
          <w:szCs w:val="16"/>
          <w:b w:val="1"/>
          <w:bCs w:val="1"/>
          <w:i w:val="1"/>
          <w:iCs w:val="1"/>
          <w:color w:val="auto"/>
        </w:rPr>
        <w:t>Gaylord Rockies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Marriott manages the day-to-day operations of Gaylord Rockies pursuant to a management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requires us to pay Marriott a base management fee of approximately 3% of gross revenues of Gaylord Rockies for each fiscal year or portion thereof. This management agreement expires in 2049, with two automatic 20-year renewal periods (provided the hotel has met certain performance thresholds). Additionally, this management agreement requires us to pay Marriott an incentive fee of 20% of available cash flow (as defined in the management agreement). The owner’s priority is $81.4 million, plus certain additional amounts, including 10.75% of certain non-routine capital expenditures.</w:t>
      </w:r>
    </w:p>
    <w:p>
      <w:pPr>
        <w:spacing w:after="0" w:line="164" w:lineRule="exact"/>
        <w:rPr>
          <w:sz w:val="20"/>
          <w:szCs w:val="20"/>
          <w:color w:val="auto"/>
        </w:rPr>
      </w:pPr>
    </w:p>
    <w:p>
      <w:pPr>
        <w:ind w:left="60" w:right="139"/>
        <w:spacing w:after="0" w:line="296" w:lineRule="auto"/>
        <w:rPr>
          <w:sz w:val="20"/>
          <w:szCs w:val="20"/>
          <w:color w:val="auto"/>
        </w:rPr>
      </w:pPr>
      <w:r>
        <w:rPr>
          <w:rFonts w:ascii="Arial" w:cs="Arial" w:eastAsia="Arial" w:hAnsi="Arial"/>
          <w:sz w:val="16"/>
          <w:szCs w:val="16"/>
          <w:b w:val="1"/>
          <w:bCs w:val="1"/>
          <w:i w:val="1"/>
          <w:iCs w:val="1"/>
          <w:color w:val="auto"/>
        </w:rPr>
        <w:t xml:space="preserve">Inn at Opryland. </w:t>
      </w:r>
      <w:r>
        <w:rPr>
          <w:rFonts w:ascii="Arial" w:cs="Arial" w:eastAsia="Arial" w:hAnsi="Arial"/>
          <w:sz w:val="16"/>
          <w:szCs w:val="16"/>
          <w:color w:val="auto"/>
        </w:rPr>
        <w:t>Marriott manages the day-to-day operations of the Inn at Opryland pursuant to a management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requires us to pay Marriott a base management fee of approximately 2% of gross revenues for each fiscal year or portion thereof. This management agreement expires in 2022, with five five-year renewal options, so long as neither party terminates the agreement. Additionally, this management agreement requires us to pay to Marriott an incentive fee of 20% of the excess of available cash flow (as defined in the management agreement) over a certain threshold.</w:t>
      </w:r>
    </w:p>
    <w:p>
      <w:pPr>
        <w:spacing w:after="0" w:line="161" w:lineRule="exact"/>
        <w:rPr>
          <w:sz w:val="20"/>
          <w:szCs w:val="20"/>
          <w:color w:val="auto"/>
        </w:rPr>
      </w:pPr>
    </w:p>
    <w:p>
      <w:pPr>
        <w:ind w:left="60" w:right="119"/>
        <w:spacing w:after="0" w:line="257" w:lineRule="auto"/>
        <w:rPr>
          <w:sz w:val="20"/>
          <w:szCs w:val="20"/>
          <w:color w:val="auto"/>
        </w:rPr>
      </w:pPr>
      <w:r>
        <w:rPr>
          <w:rFonts w:ascii="Arial" w:cs="Arial" w:eastAsia="Arial" w:hAnsi="Arial"/>
          <w:sz w:val="18"/>
          <w:szCs w:val="18"/>
          <w:b w:val="1"/>
          <w:bCs w:val="1"/>
          <w:i w:val="1"/>
          <w:iCs w:val="1"/>
          <w:color w:val="auto"/>
        </w:rPr>
        <w:t xml:space="preserve">AC Hotel. </w:t>
      </w:r>
      <w:r>
        <w:rPr>
          <w:rFonts w:ascii="Arial" w:cs="Arial" w:eastAsia="Arial" w:hAnsi="Arial"/>
          <w:sz w:val="18"/>
          <w:szCs w:val="18"/>
          <w:color w:val="auto"/>
        </w:rPr>
        <w:t>Marriott manages the day-to-day operations of the AC Hotel pursuant to a management agreement that requires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 to pay Marriott a base management fee of 7% of gross revenues. This management agreement expires in 2040, with two ten-year renewal options so long as neither party terminates the agreement. Additionally, this management agreement requires us to pay to Marriott an incentive fee of 20% of the excess of available cash flow (as defined in the management agreement) over a certain threshold.</w:t>
      </w:r>
    </w:p>
    <w:p>
      <w:pPr>
        <w:spacing w:after="0" w:line="188" w:lineRule="exact"/>
        <w:rPr>
          <w:sz w:val="20"/>
          <w:szCs w:val="20"/>
          <w:color w:val="auto"/>
        </w:rPr>
      </w:pPr>
    </w:p>
    <w:p>
      <w:pPr>
        <w:ind w:left="60" w:right="239"/>
        <w:spacing w:after="0" w:line="254" w:lineRule="auto"/>
        <w:rPr>
          <w:sz w:val="20"/>
          <w:szCs w:val="20"/>
          <w:color w:val="auto"/>
        </w:rPr>
      </w:pPr>
      <w:r>
        <w:rPr>
          <w:rFonts w:ascii="Arial" w:cs="Arial" w:eastAsia="Arial" w:hAnsi="Arial"/>
          <w:sz w:val="18"/>
          <w:szCs w:val="18"/>
          <w:b w:val="1"/>
          <w:bCs w:val="1"/>
          <w:i w:val="1"/>
          <w:iCs w:val="1"/>
          <w:color w:val="auto"/>
        </w:rPr>
        <w:t xml:space="preserve">Certain Nashville Attractions. </w:t>
      </w:r>
      <w:r>
        <w:rPr>
          <w:rFonts w:ascii="Arial" w:cs="Arial" w:eastAsia="Arial" w:hAnsi="Arial"/>
          <w:sz w:val="18"/>
          <w:szCs w:val="18"/>
          <w:color w:val="auto"/>
        </w:rPr>
        <w:t>Marriott manages the General Jackson, the Wildhorse Saloon, and Gaylord Springs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management agreements. Each of these management agreements requires us to pay Marriott a base management fee of approximately 2% of total revenues. Additionally, the management agreements require us to pay to Marriott an incentive fee of 20% of the excess of available cash flow (as defined in the management agreements) over a certain threshold. The management agreements for the General Jackson and the Wildhorse Saloon expired in 2017, with five one-year renewal options, the fifth of which was exercised in 2021. The management agreement for Gaylord Springs expires in 2022.</w:t>
      </w:r>
    </w:p>
    <w:p>
      <w:pPr>
        <w:spacing w:after="0" w:line="195" w:lineRule="exact"/>
        <w:rPr>
          <w:sz w:val="20"/>
          <w:szCs w:val="20"/>
          <w:color w:val="auto"/>
        </w:rPr>
      </w:pPr>
    </w:p>
    <w:p>
      <w:pPr>
        <w:ind w:left="60" w:right="379"/>
        <w:spacing w:after="0" w:line="342" w:lineRule="auto"/>
        <w:rPr>
          <w:sz w:val="20"/>
          <w:szCs w:val="20"/>
          <w:color w:val="auto"/>
        </w:rPr>
      </w:pPr>
      <w:r>
        <w:rPr>
          <w:rFonts w:ascii="Arial" w:cs="Arial" w:eastAsia="Arial" w:hAnsi="Arial"/>
          <w:sz w:val="16"/>
          <w:szCs w:val="16"/>
          <w:color w:val="auto"/>
        </w:rPr>
        <w:t>Total base management fees incurred during 2021, 2020 and 2019 were $17.6 million, $10.3 million and $31.6 million, respectively. Total incentive fees incurred during 2021, 2020 and 2019 were $0.3 million, $0, and $12.6 million,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99"/>
        <w:spacing w:after="0" w:line="286" w:lineRule="auto"/>
        <w:rPr>
          <w:sz w:val="20"/>
          <w:szCs w:val="20"/>
          <w:color w:val="auto"/>
        </w:rPr>
      </w:pPr>
      <w:r>
        <w:rPr>
          <w:rFonts w:ascii="Arial" w:cs="Arial" w:eastAsia="Arial" w:hAnsi="Arial"/>
          <w:sz w:val="17"/>
          <w:szCs w:val="17"/>
          <w:color w:val="auto"/>
        </w:rPr>
        <w:t>respectively. Management fees are presented in the accompanying financial information net of the amortization of the deferred management rights proceeds discussed further in “Note 5 – Deferred Management Rights Proceeds” to our consolidated financial statements included in this Annual Report on Form 10-K.</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ind w:left="60" w:right="199"/>
        <w:spacing w:after="0" w:line="263" w:lineRule="auto"/>
        <w:rPr>
          <w:sz w:val="20"/>
          <w:szCs w:val="20"/>
          <w:color w:val="auto"/>
        </w:rPr>
      </w:pPr>
      <w:r>
        <w:rPr>
          <w:rFonts w:ascii="Arial" w:cs="Arial" w:eastAsia="Arial" w:hAnsi="Arial"/>
          <w:sz w:val="18"/>
          <w:szCs w:val="18"/>
          <w:color w:val="auto"/>
        </w:rPr>
        <w:t>Portions of our business are seasonal in nature. The group convention business at our Gaylord Hotels properties is subject to reduced levels of demand during the year-end holiday periods. We are not experiencing typical seasonal trends during the ongoing COVID-19 pandemic.</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Regulation and Legislation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Hospitality</w:t>
      </w:r>
    </w:p>
    <w:p>
      <w:pPr>
        <w:spacing w:after="0" w:line="225"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Our current hotel properties are subject to certain federal, state, and local governmental laws and regulations including, without limitation, capacity restrictions, labor regulations, health and safety laws and environmental regulations applicable to hotel and restaurant operations. The hotels are also subject to the requirements of the Americans with Disabilities Act and similar state laws, as well as regulations pursuant thereto. We believe that our hotel properties and our attractions are in substantial compliance with such regulations. In addition, the sale of alcoholic beverages by a hotel requires a license and is subject to regulation by the applicable state and local authorities. The agencies involved have the power to limit, condition, suspend or revoke any such license, and any disciplinary action or revocation could have an adverse effect upon the results of operations of our Hospitality segment. Pursuant to management agreements with Marriott, we do not control many of these activities at our hotel properties, and we rely on Marriott to comply with all such federal, state and local governmental laws and regulations with respect to such properties. However, under the terms of our management agreements with Marriott, we may be required to bear the cost of any capital expenditures necessary to comply with a legal requirement.</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Entertainment</w:t>
      </w:r>
    </w:p>
    <w:p>
      <w:pPr>
        <w:spacing w:after="0" w:line="225" w:lineRule="exact"/>
        <w:rPr>
          <w:sz w:val="20"/>
          <w:szCs w:val="20"/>
          <w:color w:val="auto"/>
        </w:rPr>
      </w:pPr>
    </w:p>
    <w:p>
      <w:pPr>
        <w:ind w:left="60" w:right="139"/>
        <w:spacing w:after="0" w:line="287" w:lineRule="auto"/>
        <w:rPr>
          <w:sz w:val="20"/>
          <w:szCs w:val="20"/>
          <w:color w:val="auto"/>
        </w:rPr>
      </w:pPr>
      <w:r>
        <w:rPr>
          <w:rFonts w:ascii="Arial" w:cs="Arial" w:eastAsia="Arial" w:hAnsi="Arial"/>
          <w:sz w:val="16"/>
          <w:szCs w:val="16"/>
          <w:color w:val="auto"/>
        </w:rPr>
        <w:t>WSM-AM is subject to regulation under the Communications Act of 1934, as amended. Under the Communications Act, the Federal Communications Commission (“FCC”), among other things, assigns frequency bands for broadcasting; determines the frequencies, location, and signal strength of stations; issues, renews, revokes, and modifies station licenses; regulates equipment used by stations; and adopts and implements regulations and policies that directly or indirectly affect the ownership, operation, and other practices of broadcasting stations. Licenses issued for radio stations have terms of eight years. Radio broadcast licenses are renewable upon application to the FCC and in the past have been renewed except in rare cases. Competing applications will not be accepted at the time of license renewal, and will not be entertained at all unless the FCC first concludes that renewal of the license would not serve the public interest. A station will be entitled to renewal in the absence of serious violations of the Communications Act or FCC regulations or other violations which constitute a pattern of abuse. WSM-AM’s current radio station license will expire in August 2028; however, we are not aware of any reason why WSM-AM’s radio station license should not be renewed.</w:t>
      </w:r>
    </w:p>
    <w:p>
      <w:pPr>
        <w:spacing w:after="0" w:line="172" w:lineRule="exact"/>
        <w:rPr>
          <w:sz w:val="20"/>
          <w:szCs w:val="20"/>
          <w:color w:val="auto"/>
        </w:rPr>
      </w:pPr>
    </w:p>
    <w:p>
      <w:pPr>
        <w:jc w:val="both"/>
        <w:ind w:left="60" w:right="259"/>
        <w:spacing w:after="0" w:line="263" w:lineRule="auto"/>
        <w:rPr>
          <w:sz w:val="20"/>
          <w:szCs w:val="20"/>
          <w:color w:val="auto"/>
        </w:rPr>
      </w:pPr>
      <w:r>
        <w:rPr>
          <w:rFonts w:ascii="Arial" w:cs="Arial" w:eastAsia="Arial" w:hAnsi="Arial"/>
          <w:sz w:val="18"/>
          <w:szCs w:val="18"/>
          <w:color w:val="auto"/>
        </w:rPr>
        <w:t>Circle is subject to U.S. federal regulation of broadcast media, including FCC regulations on programming networks and content distributors. These include regulations related to closed captioning, advertising restrictions, obscenity restrictions and pricing, among others.</w:t>
      </w:r>
    </w:p>
    <w:p>
      <w:pPr>
        <w:spacing w:after="0" w:line="184" w:lineRule="exact"/>
        <w:rPr>
          <w:sz w:val="20"/>
          <w:szCs w:val="20"/>
          <w:color w:val="auto"/>
        </w:rPr>
      </w:pPr>
    </w:p>
    <w:p>
      <w:pPr>
        <w:ind w:left="60" w:right="99"/>
        <w:spacing w:after="0" w:line="254" w:lineRule="auto"/>
        <w:rPr>
          <w:sz w:val="20"/>
          <w:szCs w:val="20"/>
          <w:color w:val="auto"/>
        </w:rPr>
      </w:pPr>
      <w:r>
        <w:rPr>
          <w:rFonts w:ascii="Arial" w:cs="Arial" w:eastAsia="Arial" w:hAnsi="Arial"/>
          <w:sz w:val="18"/>
          <w:szCs w:val="18"/>
          <w:color w:val="auto"/>
        </w:rPr>
        <w:t>Our entertainment attractions are also subject to the requirements of the Americans with Disabilities Act and similar state laws, as well as the laws and regulatory activities associated with the sale of alcoholic beverages described above. Pursuant to management agreements with Marriott, we do not control many of these activities with respect to the General Jackson Showboat, Gaylord Springs, and the Wildhorse Saloon, and we rely on Marriott to comply with all such federal, state and local governmental laws and regulations with respect to such businesses. However, under the terms of our management agreements with Marriott, we may be required to bear the cost of any capital expenditures necessary to comply with a legal requirement.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ind w:left="60" w:right="119"/>
        <w:spacing w:after="0" w:line="254" w:lineRule="auto"/>
        <w:rPr>
          <w:sz w:val="20"/>
          <w:szCs w:val="20"/>
          <w:color w:val="auto"/>
        </w:rPr>
      </w:pPr>
      <w:r>
        <w:rPr>
          <w:rFonts w:ascii="Arial" w:cs="Arial" w:eastAsia="Arial" w:hAnsi="Arial"/>
          <w:sz w:val="18"/>
          <w:szCs w:val="18"/>
          <w:color w:val="auto"/>
        </w:rPr>
        <w:t>Our web site address is www.rymanhp.com. We make available free of charge through our web site our Annual Reports on Form 10-K, Quarterly Reports on Form 10-Q, Current Reports on Form 8-K, definitive proxy statements, and all amendments to those reports as soon as reasonably practicable after such material is electronically filed with or furnished to the Securities and Exchange Commission (the “SEC”). The information provided on our web site is not part of this report, and is therefore not incorporated by reference unless such information is otherwise specifically referenced elsewhere in this report. The public may also read and copy any materials that we file with the SEC on their website at www.sec.gov.</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29" w:lineRule="exact"/>
        <w:rPr>
          <w:sz w:val="20"/>
          <w:szCs w:val="20"/>
          <w:color w:val="auto"/>
        </w:rPr>
      </w:pPr>
    </w:p>
    <w:p>
      <w:pPr>
        <w:ind w:left="60" w:right="199"/>
        <w:spacing w:after="0" w:line="263" w:lineRule="auto"/>
        <w:rPr>
          <w:sz w:val="20"/>
          <w:szCs w:val="20"/>
          <w:color w:val="auto"/>
        </w:rPr>
      </w:pPr>
      <w:r>
        <w:rPr>
          <w:rFonts w:ascii="Arial" w:cs="Arial" w:eastAsia="Arial" w:hAnsi="Arial"/>
          <w:sz w:val="18"/>
          <w:szCs w:val="18"/>
          <w:color w:val="auto"/>
        </w:rPr>
        <w:t>The following table sets forth certain information regarding the executive officers of the Company at January 1, 2022. All officers serve at the discretion of the Board of Directors (subject to, in the case of officers who have entered into employment agreements with the Company, the terms of such employment agreements).</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19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8"/>
              </w:rPr>
              <w:t>AGE</w:t>
            </w:r>
          </w:p>
        </w:tc>
        <w:tc>
          <w:tcPr>
            <w:tcW w:w="220" w:type="dxa"/>
            <w:vAlign w:val="bottom"/>
          </w:tcPr>
          <w:p>
            <w:pPr>
              <w:spacing w:after="0"/>
              <w:rPr>
                <w:sz w:val="14"/>
                <w:szCs w:val="14"/>
                <w:color w:val="auto"/>
              </w:rPr>
            </w:pPr>
          </w:p>
        </w:tc>
        <w:tc>
          <w:tcPr>
            <w:tcW w:w="6240" w:type="dxa"/>
            <w:vAlign w:val="bottom"/>
          </w:tcPr>
          <w:p>
            <w:pPr>
              <w:ind w:left="276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1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Colin V. Reed</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74</w:t>
            </w:r>
          </w:p>
        </w:tc>
        <w:tc>
          <w:tcPr>
            <w:tcW w:w="220" w:type="dxa"/>
            <w:vAlign w:val="bottom"/>
            <w:tcBorders>
              <w:top w:val="single" w:sz="8" w:color="CCEEFF"/>
            </w:tcBorders>
            <w:shd w:val="clear" w:color="auto" w:fill="CCEEFF"/>
          </w:tcPr>
          <w:p>
            <w:pPr>
              <w:spacing w:after="0"/>
              <w:rPr>
                <w:sz w:val="18"/>
                <w:szCs w:val="18"/>
                <w:color w:val="auto"/>
              </w:rPr>
            </w:pPr>
          </w:p>
        </w:tc>
        <w:tc>
          <w:tcPr>
            <w:tcW w:w="6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 of the Board of Directors and Chief Executive Officer</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Mark Fioravanti</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6460" w:type="dxa"/>
            <w:vAlign w:val="bottom"/>
            <w:gridSpan w:val="2"/>
          </w:tcPr>
          <w:p>
            <w:pPr>
              <w:ind w:left="220"/>
              <w:spacing w:after="0"/>
              <w:rPr>
                <w:sz w:val="20"/>
                <w:szCs w:val="20"/>
                <w:color w:val="auto"/>
              </w:rPr>
            </w:pPr>
            <w:r>
              <w:rPr>
                <w:rFonts w:ascii="Arial" w:cs="Arial" w:eastAsia="Arial" w:hAnsi="Arial"/>
                <w:sz w:val="18"/>
                <w:szCs w:val="18"/>
                <w:color w:val="auto"/>
              </w:rPr>
              <w:t>Director, President and Chief Financial Officer</w:t>
            </w:r>
          </w:p>
        </w:tc>
      </w:tr>
      <w:tr>
        <w:trPr>
          <w:trHeight w:val="216"/>
        </w:trPr>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Patrick Chaffin</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6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Executive Vice President and Chief Operating Officer - Hotels</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Scott J. Lynn</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646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 General Counsel and Secretary</w:t>
            </w:r>
          </w:p>
        </w:tc>
      </w:tr>
      <w:tr>
        <w:trPr>
          <w:trHeight w:val="216"/>
        </w:trPr>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Jennifer Hutcheson</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6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Executive Vice President, Corporate Controller and Chief Accounting Officer</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additional information with respect to the above-named executive officers.</w:t>
      </w:r>
    </w:p>
    <w:p>
      <w:pPr>
        <w:spacing w:after="0" w:line="225" w:lineRule="exact"/>
        <w:rPr>
          <w:sz w:val="20"/>
          <w:szCs w:val="20"/>
          <w:color w:val="auto"/>
        </w:rPr>
      </w:pPr>
    </w:p>
    <w:p>
      <w:pPr>
        <w:ind w:left="60" w:right="59"/>
        <w:spacing w:after="0" w:line="291" w:lineRule="auto"/>
        <w:rPr>
          <w:sz w:val="20"/>
          <w:szCs w:val="20"/>
          <w:color w:val="auto"/>
        </w:rPr>
      </w:pPr>
      <w:r>
        <w:rPr>
          <w:rFonts w:ascii="Arial" w:cs="Arial" w:eastAsia="Arial" w:hAnsi="Arial"/>
          <w:sz w:val="16"/>
          <w:szCs w:val="16"/>
          <w:i w:val="1"/>
          <w:iCs w:val="1"/>
          <w:color w:val="auto"/>
        </w:rPr>
        <w:t xml:space="preserve">Colin V. Reed </w:t>
      </w:r>
      <w:r>
        <w:rPr>
          <w:rFonts w:ascii="Arial" w:cs="Arial" w:eastAsia="Arial" w:hAnsi="Arial"/>
          <w:sz w:val="16"/>
          <w:szCs w:val="16"/>
          <w:color w:val="auto"/>
        </w:rPr>
        <w:t>has served as Chief Executive Officer and a director of the Company since April 2001, and Mr. Reed was</w:t>
      </w:r>
      <w:r>
        <w:rPr>
          <w:rFonts w:ascii="Arial" w:cs="Arial" w:eastAsia="Arial" w:hAnsi="Arial"/>
          <w:sz w:val="16"/>
          <w:szCs w:val="16"/>
          <w:i w:val="1"/>
          <w:iCs w:val="1"/>
          <w:color w:val="auto"/>
        </w:rPr>
        <w:t xml:space="preserve"> </w:t>
      </w:r>
      <w:r>
        <w:rPr>
          <w:rFonts w:ascii="Arial" w:cs="Arial" w:eastAsia="Arial" w:hAnsi="Arial"/>
          <w:sz w:val="16"/>
          <w:szCs w:val="16"/>
          <w:color w:val="auto"/>
        </w:rPr>
        <w:t>also elected Chairman of the Board of Directors of the Company in May 2005. Until November 2008, and again from November 2012 to March 2015, Mr. Reed also served as President of the Company. Prior to joining the Company, Mr. Reed had served as a member of the three-executive Office of the President of Harrah’s Entertainment, Inc. (now Caesar’s Entertainment) since May 1999, and he had served as Harrah’s Chief Financial Officer since April 1997. Mr. Reed also was a director of Harrah’s from 1998 to May 2001. Mr. Reed served in a variety of other management positions with Harrah’s and its predecessor, Holiday Corp., since 1977. Mr. Reed is a director of First Horizon National Corporation.</w:t>
      </w:r>
    </w:p>
    <w:p>
      <w:pPr>
        <w:spacing w:after="0" w:line="166" w:lineRule="exact"/>
        <w:rPr>
          <w:sz w:val="20"/>
          <w:szCs w:val="20"/>
          <w:color w:val="auto"/>
        </w:rPr>
      </w:pPr>
    </w:p>
    <w:p>
      <w:pPr>
        <w:ind w:left="60" w:right="259"/>
        <w:spacing w:after="0" w:line="269" w:lineRule="auto"/>
        <w:rPr>
          <w:sz w:val="20"/>
          <w:szCs w:val="20"/>
          <w:color w:val="auto"/>
        </w:rPr>
      </w:pPr>
      <w:r>
        <w:rPr>
          <w:rFonts w:ascii="Arial" w:cs="Arial" w:eastAsia="Arial" w:hAnsi="Arial"/>
          <w:sz w:val="17"/>
          <w:szCs w:val="17"/>
          <w:i w:val="1"/>
          <w:iCs w:val="1"/>
          <w:color w:val="auto"/>
        </w:rPr>
        <w:t xml:space="preserve">Mark Fioravanti </w:t>
      </w:r>
      <w:r>
        <w:rPr>
          <w:rFonts w:ascii="Arial" w:cs="Arial" w:eastAsia="Arial" w:hAnsi="Arial"/>
          <w:sz w:val="17"/>
          <w:szCs w:val="17"/>
          <w:color w:val="auto"/>
        </w:rPr>
        <w:t>is President and Chief Financial Officer of the Company, a position he has held since March 2015. In</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 as of February 2022, Mr. Fioravanti is a director of the Company. Prior to that time, Mr. Fioravanti served as Executive Vice President and Chief Financial Officer of the Company. Until June 2009, Mr. Fioravanti served as Senior Vice President of Finance and Treasurer of the Company, a position he had held since June 2007. Prior to such time, Mr. Fioravanti had served as Executive Vice President of the Company and President of ResortQuest International since March 2004. From August 2002 to March 2004, Mr. Fioravanti was the Company’s Senior Vice President of Marketing. Prior to joining the Company in August 2002, Mr. Fioravanti spent nine years in a variety of roles with casino operator Harrah’s Entertainment, Inc., where he was most recently Vice President of Finance and Administration of Harrah’s New Orleans. Mr. Fioravanti graduated from The Ohio State University, where he earned his B.S. degree. He also holds an MBA from the University of Tennessee.</w:t>
      </w:r>
    </w:p>
    <w:p>
      <w:pPr>
        <w:spacing w:after="0" w:line="185" w:lineRule="exact"/>
        <w:rPr>
          <w:sz w:val="20"/>
          <w:szCs w:val="20"/>
          <w:color w:val="auto"/>
        </w:rPr>
      </w:pPr>
    </w:p>
    <w:p>
      <w:pPr>
        <w:ind w:left="60" w:right="119"/>
        <w:spacing w:after="0" w:line="290" w:lineRule="auto"/>
        <w:rPr>
          <w:sz w:val="20"/>
          <w:szCs w:val="20"/>
          <w:color w:val="auto"/>
        </w:rPr>
      </w:pPr>
      <w:r>
        <w:rPr>
          <w:rFonts w:ascii="Arial" w:cs="Arial" w:eastAsia="Arial" w:hAnsi="Arial"/>
          <w:sz w:val="16"/>
          <w:szCs w:val="16"/>
          <w:i w:val="1"/>
          <w:iCs w:val="1"/>
          <w:color w:val="auto"/>
        </w:rPr>
        <w:t xml:space="preserve">Patrick Chaffin </w:t>
      </w:r>
      <w:r>
        <w:rPr>
          <w:rFonts w:ascii="Arial" w:cs="Arial" w:eastAsia="Arial" w:hAnsi="Arial"/>
          <w:sz w:val="16"/>
          <w:szCs w:val="16"/>
          <w:color w:val="auto"/>
        </w:rPr>
        <w:t>is Executive Vice President and Chief Operating Officer – Hotels of the Company, a position he has held</w:t>
      </w:r>
      <w:r>
        <w:rPr>
          <w:rFonts w:ascii="Arial" w:cs="Arial" w:eastAsia="Arial" w:hAnsi="Arial"/>
          <w:sz w:val="16"/>
          <w:szCs w:val="16"/>
          <w:i w:val="1"/>
          <w:iCs w:val="1"/>
          <w:color w:val="auto"/>
        </w:rPr>
        <w:t xml:space="preserve"> </w:t>
      </w:r>
      <w:r>
        <w:rPr>
          <w:rFonts w:ascii="Arial" w:cs="Arial" w:eastAsia="Arial" w:hAnsi="Arial"/>
          <w:sz w:val="16"/>
          <w:szCs w:val="16"/>
          <w:color w:val="auto"/>
        </w:rPr>
        <w:t>since May 2019. In this role, Mr. Chaffin leads our asset management function, state and local government relations, product enhancement and site selection for our hotel portfolio’s growth. From April 2018 to May 2019, he was Executive Vice President of Asset Management for the Company. From January 2013 to March 2018, he was the Senior Vice President of Asset Management. From January 2007 to December 2012, he led the strategic planning, operations analysis and investor relations functions for Gaylord Entertainment. Prior to its sale in June 2007, Mr. Chaffin served as the head of finance for ResortQuest International, formerly a division of Gaylord Entertainment. Prior to joining Gaylord Entertainment in January 2005, Mr. Chaffin worked for General Motors Corporation for 9 years serving in a variety of</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color w:val="auto"/>
        </w:rPr>
        <w:t>corporate and manufacturing positions. Mr. Chaffin earned a B.S. degree from Lipscomb University and an MBA from the Owen Graduate School of Management at Vanderbilt University.</w:t>
      </w:r>
    </w:p>
    <w:p>
      <w:pPr>
        <w:spacing w:after="0" w:line="170" w:lineRule="exact"/>
        <w:rPr>
          <w:sz w:val="20"/>
          <w:szCs w:val="20"/>
          <w:color w:val="auto"/>
        </w:rPr>
      </w:pPr>
    </w:p>
    <w:p>
      <w:pPr>
        <w:ind w:left="60" w:right="119"/>
        <w:spacing w:after="0" w:line="273" w:lineRule="auto"/>
        <w:rPr>
          <w:sz w:val="20"/>
          <w:szCs w:val="20"/>
          <w:color w:val="auto"/>
        </w:rPr>
      </w:pPr>
      <w:r>
        <w:rPr>
          <w:rFonts w:ascii="Arial" w:cs="Arial" w:eastAsia="Arial" w:hAnsi="Arial"/>
          <w:sz w:val="17"/>
          <w:szCs w:val="17"/>
          <w:i w:val="1"/>
          <w:iCs w:val="1"/>
          <w:color w:val="auto"/>
        </w:rPr>
        <w:t xml:space="preserve">Scott J. Lynn </w:t>
      </w:r>
      <w:r>
        <w:rPr>
          <w:rFonts w:ascii="Arial" w:cs="Arial" w:eastAsia="Arial" w:hAnsi="Arial"/>
          <w:sz w:val="17"/>
          <w:szCs w:val="17"/>
          <w:color w:val="auto"/>
        </w:rPr>
        <w:t>is the Executive Vice President, General Counsel and Secretary of the Company, a position he has held since</w:t>
      </w:r>
      <w:r>
        <w:rPr>
          <w:rFonts w:ascii="Arial" w:cs="Arial" w:eastAsia="Arial" w:hAnsi="Arial"/>
          <w:sz w:val="17"/>
          <w:szCs w:val="17"/>
          <w:i w:val="1"/>
          <w:iCs w:val="1"/>
          <w:color w:val="auto"/>
        </w:rPr>
        <w:t xml:space="preserve"> </w:t>
      </w:r>
      <w:r>
        <w:rPr>
          <w:rFonts w:ascii="Arial" w:cs="Arial" w:eastAsia="Arial" w:hAnsi="Arial"/>
          <w:sz w:val="17"/>
          <w:szCs w:val="17"/>
          <w:color w:val="auto"/>
        </w:rPr>
        <w:t>May 2018. From January 2013 to April 2018, he was the Company’s Senior Vice President, General Counsel and Secretary. From August 2003 to January 2013, he served as the Company’s Associate General Counsel. From May 2002 to August 2003, Mr. Lynn was Senior Counsel at Progeny Marketing Innovations, a subsidiary of Cendant Corporation. From August 1998 to May 2002, Mr. Lynn was an associate at the law firm of Stokes &amp; Bartholomew, P.A. Mr. Lynn is a graduate of the Vanderbilt University School of Law and Tennessee Technological University.</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 xml:space="preserve">Jennifer Hutcheson </w:t>
      </w:r>
      <w:r>
        <w:rPr>
          <w:rFonts w:ascii="Arial" w:cs="Arial" w:eastAsia="Arial" w:hAnsi="Arial"/>
          <w:sz w:val="16"/>
          <w:szCs w:val="16"/>
          <w:color w:val="auto"/>
        </w:rPr>
        <w:t>is the Executive Vice President, Corporate Controller and Chief Accounting Officer of the Company, a</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position she has held since March 2020. From May 2018 to February 2020, she was Senior Vice President, Corporate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Controller and Chief Accounting Officer. From January 2013 to April 2018, she was the Senior Vice President and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Corporate Controller of the Company. From March 2006 to December 2012, she served as the Company’s Vice President</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of Accounting and Tax. From May 2004 to March 2006, she served as the Company’s Director of Corporate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color w:val="auto"/>
        </w:rPr>
        <w:t>Accounting. From August 2002 to April 2004, she was the Corporate Accounting Manager at Private Business Inc. Prior to</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that time, she was an auditor with Ernst &amp; Young LLP and Arthur Andersen. Ms. Hutcheson, who is a certified public</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accountant, has a B.S. degree in accounting from Tennessee Technological University and an MBA from the Owen</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Graduate School of Management at Vanderbilt University.</w:t>
      </w:r>
    </w:p>
    <w:p>
      <w:pPr>
        <w:spacing w:after="0" w:line="207" w:lineRule="exact"/>
        <w:rPr>
          <w:sz w:val="20"/>
          <w:szCs w:val="20"/>
          <w:color w:val="auto"/>
        </w:rPr>
      </w:pPr>
    </w:p>
    <w:p>
      <w:pPr>
        <w:ind w:left="6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9" w:lineRule="exact"/>
        <w:rPr>
          <w:sz w:val="20"/>
          <w:szCs w:val="20"/>
          <w:color w:val="auto"/>
        </w:rPr>
      </w:pPr>
    </w:p>
    <w:p>
      <w:pPr>
        <w:jc w:val="both"/>
        <w:ind w:left="60" w:right="139"/>
        <w:spacing w:after="0" w:line="287" w:lineRule="auto"/>
        <w:rPr>
          <w:sz w:val="20"/>
          <w:szCs w:val="20"/>
          <w:color w:val="auto"/>
        </w:rPr>
      </w:pPr>
      <w:r>
        <w:rPr>
          <w:rFonts w:ascii="Arial" w:cs="Arial" w:eastAsia="Arial" w:hAnsi="Arial"/>
          <w:sz w:val="16"/>
          <w:szCs w:val="16"/>
          <w:color w:val="auto"/>
        </w:rPr>
        <w:t>You should carefully consider the following specific risk factors as well as the other information contained or incorporated by reference in this Annual Report on Form 10-K as these are important factors, among others, that could cause our actual results to differ from our expected or historical results. It is not possible to predict or identify all such factors.</w:t>
      </w:r>
    </w:p>
    <w:p>
      <w:pPr>
        <w:spacing w:after="0" w:line="2" w:lineRule="exact"/>
        <w:rPr>
          <w:sz w:val="20"/>
          <w:szCs w:val="20"/>
          <w:color w:val="auto"/>
        </w:rPr>
      </w:pPr>
    </w:p>
    <w:p>
      <w:pPr>
        <w:ind w:left="60" w:right="299"/>
        <w:spacing w:after="0" w:line="253" w:lineRule="auto"/>
        <w:rPr>
          <w:sz w:val="20"/>
          <w:szCs w:val="20"/>
          <w:color w:val="auto"/>
        </w:rPr>
      </w:pPr>
      <w:r>
        <w:rPr>
          <w:rFonts w:ascii="Arial" w:cs="Arial" w:eastAsia="Arial" w:hAnsi="Arial"/>
          <w:sz w:val="18"/>
          <w:szCs w:val="18"/>
          <w:color w:val="auto"/>
        </w:rPr>
        <w:t>Consequently, you should not consider any such list to be a complete statement of all our potential risks or uncertainties. Some statements in the “Business” section and elsewhere in this Annual Report on Form 10-K are “forward-looking statements” and are qualified by the cautionary language regarding such statements. See “Forward-Looking Statements” above.</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Relating to Our Business</w:t>
      </w:r>
    </w:p>
    <w:p>
      <w:pPr>
        <w:spacing w:after="0" w:line="229" w:lineRule="exact"/>
        <w:rPr>
          <w:sz w:val="20"/>
          <w:szCs w:val="20"/>
          <w:color w:val="auto"/>
        </w:rPr>
      </w:pPr>
    </w:p>
    <w:p>
      <w:pPr>
        <w:jc w:val="both"/>
        <w:ind w:left="60" w:right="179"/>
        <w:spacing w:after="0" w:line="263" w:lineRule="auto"/>
        <w:rPr>
          <w:sz w:val="20"/>
          <w:szCs w:val="20"/>
          <w:color w:val="auto"/>
        </w:rPr>
      </w:pPr>
      <w:r>
        <w:rPr>
          <w:rFonts w:ascii="Arial" w:cs="Arial" w:eastAsia="Arial" w:hAnsi="Arial"/>
          <w:sz w:val="18"/>
          <w:szCs w:val="18"/>
          <w:b w:val="1"/>
          <w:bCs w:val="1"/>
          <w:i w:val="1"/>
          <w:iCs w:val="1"/>
          <w:color w:val="auto"/>
        </w:rPr>
        <w:t>The coronavirus (COVID-19) pandemic has had, and may in the future continue to have, a material adverse effect on our financial condition, results of operations, cash flows and our ability to make distributions to our shareholders, and the COVID-19 pandemic could continue or worsen.</w:t>
      </w:r>
    </w:p>
    <w:p>
      <w:pPr>
        <w:spacing w:after="0" w:line="184" w:lineRule="exact"/>
        <w:rPr>
          <w:sz w:val="20"/>
          <w:szCs w:val="20"/>
          <w:color w:val="auto"/>
        </w:rPr>
      </w:pPr>
    </w:p>
    <w:p>
      <w:pPr>
        <w:ind w:left="60" w:right="79"/>
        <w:spacing w:after="0" w:line="271" w:lineRule="auto"/>
        <w:rPr>
          <w:sz w:val="20"/>
          <w:szCs w:val="20"/>
          <w:color w:val="auto"/>
        </w:rPr>
      </w:pPr>
      <w:r>
        <w:rPr>
          <w:rFonts w:ascii="Arial" w:cs="Arial" w:eastAsia="Arial" w:hAnsi="Arial"/>
          <w:sz w:val="17"/>
          <w:szCs w:val="17"/>
          <w:color w:val="auto"/>
        </w:rPr>
        <w:t>COVID-19 has been and continues to be a complex and evolving situation, with governments, public institutions and other organizations imposing or recommending, and businesses and individuals implementing, at various times and to varying degrees, restrictions on various activities or other actions to combat its spread. There has also been, at times, a substantial reduction in economic activity in the United States as a result of the COVID-19 pandemic. Despite the significant recovery of our business from performance levels seen in 2020, COVID-19 has drastically reduced travel and demand for hotel rooms, group meetings and live entertainment performances, which has and will continue to impact our financial condition, results of operations and cash flows. The COVID-19 pandemic has caused, and further outbreaks of COVID-19 may in the future continue to cause, significant disruption to our business.</w:t>
      </w:r>
    </w:p>
    <w:p>
      <w:pPr>
        <w:spacing w:after="0" w:line="178" w:lineRule="exact"/>
        <w:rPr>
          <w:sz w:val="20"/>
          <w:szCs w:val="20"/>
          <w:color w:val="auto"/>
        </w:rPr>
      </w:pPr>
    </w:p>
    <w:p>
      <w:pPr>
        <w:ind w:left="60" w:right="119"/>
        <w:spacing w:after="0" w:line="290" w:lineRule="auto"/>
        <w:rPr>
          <w:sz w:val="20"/>
          <w:szCs w:val="20"/>
          <w:color w:val="auto"/>
        </w:rPr>
      </w:pPr>
      <w:r>
        <w:rPr>
          <w:rFonts w:ascii="Arial" w:cs="Arial" w:eastAsia="Arial" w:hAnsi="Arial"/>
          <w:sz w:val="16"/>
          <w:szCs w:val="16"/>
          <w:color w:val="auto"/>
        </w:rPr>
        <w:t>The extent to which COVID-19 impacts our financial condition, results of operations and cash flows in the future will depend on numerous evolving factors that we may not be able to accurately predict or assess. The potential effects of the COVID-19 pandemic also could intensify or otherwise affect many of our other risk factors that are included in “Part I, Item 1A, Risk Factors” of this Annual Report on Form 10-K and our subsequent filings, including, but not limited to, risks inherent in the hospitality industry, macroeconomic factors beyond our control, competition for hotel guests and qualified personnel, meeting customers and customers to our entertainment assets, risks related to doing business with third parties, including vendors and suppliers, performance of our information technology systems and risks related to our indebtedness. Because the COVID-19 pandemic is unprecedented and continuously evolving, we are unable to</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color w:val="auto"/>
        </w:rPr>
        <w:t>accurately predict or assess the other potential impacts to our risk factors contained herein and that are further described in this Annual Report on Form 10-K.</w:t>
      </w:r>
    </w:p>
    <w:p>
      <w:pPr>
        <w:spacing w:after="0" w:line="170" w:lineRule="exact"/>
        <w:rPr>
          <w:sz w:val="20"/>
          <w:szCs w:val="20"/>
          <w:color w:val="auto"/>
        </w:rPr>
      </w:pPr>
    </w:p>
    <w:p>
      <w:pPr>
        <w:ind w:left="60" w:right="99"/>
        <w:spacing w:after="0" w:line="288" w:lineRule="auto"/>
        <w:rPr>
          <w:sz w:val="20"/>
          <w:szCs w:val="20"/>
          <w:color w:val="auto"/>
        </w:rPr>
      </w:pPr>
      <w:r>
        <w:rPr>
          <w:rFonts w:ascii="Arial" w:cs="Arial" w:eastAsia="Arial" w:hAnsi="Arial"/>
          <w:sz w:val="16"/>
          <w:szCs w:val="16"/>
          <w:color w:val="auto"/>
        </w:rPr>
        <w:t>While we were successful in obtaining waivers of the financial covenants in the agreements governing our indebtedness, as well as other favorable modifications, these modifications to the agreements governing our indebtedness also increased the interest rates under our Revolver and Term Loan A, and imposed additional restrictions on debt, investments, dividends, share repurchases and capital expenditures, and included a minimum liquidity requirement, which will increase our interest costs and impose constraints on the manner in which we do business. The restrictions in these agreements may prevent us from taking advantage of opportunities available to us. In the future, our access to and cost of financing will depend on, among other things, global economic conditions, the availability of sufficient amounts of financing, our prospects and our credit ratings. Certain of our credit ratings were downgraded during 2020, and if our credit ratings were to be further downgraded, or general market conditions were to ascribe higher risk to our rating levels, our industry or us, our access to capital and the cost and terms of any debt financing would be negatively affected.</w:t>
      </w:r>
    </w:p>
    <w:p>
      <w:pPr>
        <w:spacing w:after="0" w:line="168" w:lineRule="exact"/>
        <w:rPr>
          <w:sz w:val="20"/>
          <w:szCs w:val="20"/>
          <w:color w:val="auto"/>
        </w:rPr>
      </w:pPr>
    </w:p>
    <w:p>
      <w:pPr>
        <w:ind w:left="60" w:right="119"/>
        <w:spacing w:after="0" w:line="275" w:lineRule="auto"/>
        <w:rPr>
          <w:sz w:val="20"/>
          <w:szCs w:val="20"/>
          <w:color w:val="auto"/>
        </w:rPr>
      </w:pPr>
      <w:r>
        <w:rPr>
          <w:rFonts w:ascii="Arial" w:cs="Arial" w:eastAsia="Arial" w:hAnsi="Arial"/>
          <w:sz w:val="17"/>
          <w:szCs w:val="17"/>
          <w:color w:val="auto"/>
        </w:rPr>
        <w:t>Operational changes we have made or in the future may make in response to the COVID-19 pandemic, such as additional safety and cleaning protocols, vaccine mandates and measures taken to reduce operating costs and improve efficiency, may negatively impact our business, our brand reputation and our ability to attract and retain qualified personnel. We could still experience long-term impacts on our operating costs as a result of steps we have taken or may in the future take to counteract outbreaks of COVID-19 or other communicable diseases.</w:t>
      </w:r>
    </w:p>
    <w:p>
      <w:pPr>
        <w:spacing w:after="0" w:line="176" w:lineRule="exact"/>
        <w:rPr>
          <w:sz w:val="20"/>
          <w:szCs w:val="20"/>
          <w:color w:val="auto"/>
        </w:rPr>
      </w:pPr>
    </w:p>
    <w:p>
      <w:pPr>
        <w:ind w:left="60" w:right="59"/>
        <w:spacing w:after="0" w:line="289" w:lineRule="auto"/>
        <w:rPr>
          <w:sz w:val="20"/>
          <w:szCs w:val="20"/>
          <w:color w:val="auto"/>
        </w:rPr>
      </w:pPr>
      <w:r>
        <w:rPr>
          <w:rFonts w:ascii="Arial" w:cs="Arial" w:eastAsia="Arial" w:hAnsi="Arial"/>
          <w:sz w:val="16"/>
          <w:szCs w:val="16"/>
          <w:color w:val="auto"/>
        </w:rPr>
        <w:t>For our managed assets, we will rely on Marriott to operate these assets in a manner consistent with its obligations under its management agreements with us and to increase business levels at our properties, whether by rebooking cancelled stays for future periods or otherwise. Further, room bookings for future periods may yet be cancelled as a result of the COVID-19 pandemic, and we cannot assure you that Marriott will be successful in increasing business levels at our properties or rebooking cancellations for future periods or that groups that have already rebooked to future periods will fulfill their stays. COVID-19 negatively impacted, and in the future may continue to negatively impact, our occupancy, RevPAR and Total RevPAR and other metrics at our Gaylord Hotels properties, and those and other declines in performance indicators and financial performance may worsen. We cannot predict the pace of recovery of our Gaylord Hotels properties and other assets, or the timing of a return, if any, to pre-pandemic demand, occupancy or business mix.</w:t>
      </w:r>
    </w:p>
    <w:p>
      <w:pPr>
        <w:spacing w:after="0" w:line="166" w:lineRule="exact"/>
        <w:rPr>
          <w:sz w:val="20"/>
          <w:szCs w:val="20"/>
          <w:color w:val="auto"/>
        </w:rPr>
      </w:pPr>
    </w:p>
    <w:p>
      <w:pPr>
        <w:jc w:val="both"/>
        <w:ind w:left="60" w:right="299"/>
        <w:spacing w:after="0" w:line="286" w:lineRule="auto"/>
        <w:rPr>
          <w:sz w:val="20"/>
          <w:szCs w:val="20"/>
          <w:color w:val="auto"/>
        </w:rPr>
      </w:pPr>
      <w:r>
        <w:rPr>
          <w:rFonts w:ascii="Arial" w:cs="Arial" w:eastAsia="Arial" w:hAnsi="Arial"/>
          <w:sz w:val="17"/>
          <w:szCs w:val="17"/>
          <w:color w:val="auto"/>
        </w:rPr>
        <w:t>The COVID-19 pandemic has resulted in significant financial market volatility and uncertainty, including on the market price of our common stock. A continuation or worsening of the levels of market disruption and volatility seen during the pandemic could have an adverse effect on the market price of our common stock or our debt securities.</w:t>
      </w:r>
    </w:p>
    <w:p>
      <w:pPr>
        <w:spacing w:after="0" w:line="165" w:lineRule="exact"/>
        <w:rPr>
          <w:sz w:val="20"/>
          <w:szCs w:val="20"/>
          <w:color w:val="auto"/>
        </w:rPr>
      </w:pPr>
    </w:p>
    <w:p>
      <w:pPr>
        <w:ind w:left="60" w:right="179"/>
        <w:spacing w:after="0" w:line="254" w:lineRule="auto"/>
        <w:rPr>
          <w:sz w:val="20"/>
          <w:szCs w:val="20"/>
          <w:color w:val="auto"/>
        </w:rPr>
      </w:pPr>
      <w:r>
        <w:rPr>
          <w:rFonts w:ascii="Arial" w:cs="Arial" w:eastAsia="Arial" w:hAnsi="Arial"/>
          <w:sz w:val="18"/>
          <w:szCs w:val="18"/>
          <w:color w:val="auto"/>
        </w:rPr>
        <w:t>The extent of the effects of the COVID-19 pandemic on our business and the hospitality industry at large remains highly uncertain and will ultimately depend on future developments, including, but not limited to, the duration and severity of outbreaks of COVID-19 variants, whether or not a recession occurs in the United States or globally, the state of the financial markets and the length of time it takes for demand and pricing to recover and stabilize, particularly in the large group meeting segment of the lodging industry, and normal economic and operating conditions to resume. Given the uncertainty as to the severity of future outbreaks of additional COVID-19 variants, we are presently unable to estimate the full impact to our future business, results of operations, cash flows, financial condition or ability to make distributions to our stockholders.</w:t>
      </w:r>
    </w:p>
    <w:p>
      <w:pPr>
        <w:spacing w:after="0" w:line="192" w:lineRule="exact"/>
        <w:rPr>
          <w:sz w:val="20"/>
          <w:szCs w:val="20"/>
          <w:color w:val="auto"/>
        </w:rPr>
      </w:pPr>
    </w:p>
    <w:p>
      <w:pPr>
        <w:ind w:left="60" w:right="219"/>
        <w:spacing w:after="0" w:line="263" w:lineRule="auto"/>
        <w:rPr>
          <w:sz w:val="20"/>
          <w:szCs w:val="20"/>
          <w:color w:val="auto"/>
        </w:rPr>
      </w:pPr>
      <w:r>
        <w:rPr>
          <w:rFonts w:ascii="Arial" w:cs="Arial" w:eastAsia="Arial" w:hAnsi="Arial"/>
          <w:sz w:val="18"/>
          <w:szCs w:val="18"/>
          <w:b w:val="1"/>
          <w:bCs w:val="1"/>
          <w:i w:val="1"/>
          <w:iCs w:val="1"/>
          <w:color w:val="auto"/>
        </w:rPr>
        <w:t>If Marriott or any future third-party hotel manager does not manage our hotel properties or other businesses successfully, our financial condition, results of operations and our ability to service debt and make distributions to our stockholders may be negatively impacted.</w:t>
      </w:r>
    </w:p>
    <w:p>
      <w:pPr>
        <w:spacing w:after="0" w:line="184" w:lineRule="exact"/>
        <w:rPr>
          <w:sz w:val="20"/>
          <w:szCs w:val="20"/>
          <w:color w:val="auto"/>
        </w:rPr>
      </w:pPr>
    </w:p>
    <w:p>
      <w:pPr>
        <w:ind w:left="60" w:right="179"/>
        <w:spacing w:after="0" w:line="293" w:lineRule="auto"/>
        <w:rPr>
          <w:sz w:val="20"/>
          <w:szCs w:val="20"/>
          <w:color w:val="auto"/>
        </w:rPr>
      </w:pPr>
      <w:r>
        <w:rPr>
          <w:rFonts w:ascii="Arial" w:cs="Arial" w:eastAsia="Arial" w:hAnsi="Arial"/>
          <w:sz w:val="16"/>
          <w:szCs w:val="16"/>
          <w:color w:val="auto"/>
        </w:rPr>
        <w:t>Due to federal income tax laws that restrict REITs from operating and managing hotels, we do not operate or manage the day-to-day functions of any of our hotel properties as a REIT. We lease or sublease our hotel properties to TRSs, and such TRS lessees have engaged Marriott as a third-party hotel manager pursuant to hotel management agreements. Marriott manages the day-to-day operations of our Gaylord Hotels properties, as well as the Inn at Opryland and the AC Hotel. We will identify third-party hotel managers to operate and manage any hotels that we acquire in the future. Our third-party hotel managers are responsible for the day-to-day management of our hotel properties, including, but not</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88" w:lineRule="auto"/>
        <w:rPr>
          <w:sz w:val="20"/>
          <w:szCs w:val="20"/>
          <w:color w:val="auto"/>
        </w:rPr>
      </w:pPr>
      <w:r>
        <w:rPr>
          <w:rFonts w:ascii="Arial" w:cs="Arial" w:eastAsia="Arial" w:hAnsi="Arial"/>
          <w:sz w:val="16"/>
          <w:szCs w:val="16"/>
          <w:color w:val="auto"/>
        </w:rPr>
        <w:t>limited to, implementing significant operating decisions, setting rates for rooms and meeting space, controlling revenue and expenditures, collecting accounts receivable, and recruiting, employing and supervising employees at our hotel properties. We do not have the authority to require our third-party hotel managers to operate our hotel properties in a particular manner, although we have consent and approval rights for certain matters under our hotel management agreements with Marriott, subject to the limitations described therein. As a result, our financial condition, results of operations and our ability to service debt and make distributions to our stockholders are largely dependent on the ability of our third-party hotel managers to operate our hotel properties successfully. Any failure by our third-party hotel managers to provide quality services and amenities or to maintain and protect a quality brand name and reputation could have a negative impact on their ability to operate and manage our hotel properties successfully and could negatively impact our financial condition, results of operations and our ability to service debt and make distributions to our stockholders.</w:t>
      </w:r>
    </w:p>
    <w:p>
      <w:pPr>
        <w:spacing w:after="0" w:line="168" w:lineRule="exact"/>
        <w:rPr>
          <w:sz w:val="20"/>
          <w:szCs w:val="20"/>
          <w:color w:val="auto"/>
        </w:rPr>
      </w:pPr>
    </w:p>
    <w:p>
      <w:pPr>
        <w:jc w:val="both"/>
        <w:ind w:left="60" w:right="219"/>
        <w:spacing w:after="0" w:line="259" w:lineRule="auto"/>
        <w:rPr>
          <w:sz w:val="20"/>
          <w:szCs w:val="20"/>
          <w:color w:val="auto"/>
        </w:rPr>
      </w:pPr>
      <w:r>
        <w:rPr>
          <w:rFonts w:ascii="Arial" w:cs="Arial" w:eastAsia="Arial" w:hAnsi="Arial"/>
          <w:sz w:val="18"/>
          <w:szCs w:val="18"/>
          <w:color w:val="auto"/>
        </w:rPr>
        <w:t>We cannot assure you that our third-party hotel managers will operate and manage our hotel properties in a manner that is consistent with their obligations under the hotel management agreements, that our third-party hotel managers will not be negligent in their performance or engage in other criminal or fraudulent activity, or that they will not otherwise default on their management obligations to us.</w:t>
      </w:r>
    </w:p>
    <w:p>
      <w:pPr>
        <w:spacing w:after="0" w:line="187" w:lineRule="exact"/>
        <w:rPr>
          <w:sz w:val="20"/>
          <w:szCs w:val="20"/>
          <w:color w:val="auto"/>
        </w:rPr>
      </w:pPr>
    </w:p>
    <w:p>
      <w:pPr>
        <w:ind w:left="60" w:right="99"/>
        <w:spacing w:after="0" w:line="269" w:lineRule="auto"/>
        <w:rPr>
          <w:sz w:val="20"/>
          <w:szCs w:val="20"/>
          <w:color w:val="auto"/>
        </w:rPr>
      </w:pPr>
      <w:r>
        <w:rPr>
          <w:rFonts w:ascii="Arial" w:cs="Arial" w:eastAsia="Arial" w:hAnsi="Arial"/>
          <w:sz w:val="17"/>
          <w:szCs w:val="17"/>
          <w:color w:val="auto"/>
        </w:rPr>
        <w:t>Even if we believe our hotel properties are being operated inefficiently or in a manner that does not result in satisfactory operational metrics, we will have limited ability to require our third-party hotel managers to change their method of operation of our hotel properties. We generally will attempt to resolve issues with third-party hotel managers through discussions and negotiations. However, if we are unable to reach satisfactory results through discussions and negotiations, we may choose to litigate the dispute or submit the matter to third-party dispute resolution or arbitration. We would be able to seek redress only if a third-party hotel manager violates the terms of the applicable hotel management agreement, and then only to the extent of the remedies provided for under the terms of the hotel management agreement. Additionally, in the event we need to replace any of our third-party hotel managers, we may experience significant business disruptions at the affected hotel properties, and may be liable, under certain circumstances, for significant damages and/or be required to make certain payments to our third-party managers.</w:t>
      </w:r>
    </w:p>
    <w:p>
      <w:pPr>
        <w:spacing w:after="0" w:line="185"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b w:val="1"/>
          <w:bCs w:val="1"/>
          <w:i w:val="1"/>
          <w:iCs w:val="1"/>
          <w:color w:val="auto"/>
        </w:rPr>
        <w:t>The operation and management of our current hotel properties, the operation of which generates substantially all our Hospitality segment revenue, is concentrated in Marriott.</w:t>
      </w:r>
    </w:p>
    <w:p>
      <w:pPr>
        <w:spacing w:after="0" w:line="170"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Our current hotel properties, the operation of which generates substantially all our Hospitality segment revenue, are operated and managed by Marriott. As a result, our operational risk is concentrated in one third-party hotel manager, which makes us more vulnerable economically to any weakness of Marriott than if we entered into hotel management agreements with several third-party hotel managers. We cannot assure you that Marriott will satisfy its obligations to us or successfully operate and manage our current hotel properties. Any adverse developments in Marriott’s business and affairs, financial strength or ability to operate and manage our current hotel properties successfully could materially reduce our revenues and net income, which could in turn reduce the amount of distributions to our stockholders. Additionally, we rely on the resources of and financial information provided by Marriott to report the financial results of our hotel properties. A failure by Marriott to accurately report the financial results of our hotel properties could materially affect our understanding of the hotel properties’ performance as well as our ability to accurately report on the hotel properties’ performance. Further, Marriott now owns the Gaylord Hotels brand and trademarks, and a failure on their part to maintain quality standards could harm the brand and damage our business.</w:t>
      </w:r>
    </w:p>
    <w:p>
      <w:pPr>
        <w:spacing w:after="0" w:line="179" w:lineRule="exact"/>
        <w:rPr>
          <w:sz w:val="20"/>
          <w:szCs w:val="20"/>
          <w:color w:val="auto"/>
        </w:rPr>
      </w:pPr>
    </w:p>
    <w:p>
      <w:pPr>
        <w:ind w:left="60" w:right="79"/>
        <w:spacing w:after="0" w:line="296" w:lineRule="auto"/>
        <w:rPr>
          <w:sz w:val="20"/>
          <w:szCs w:val="20"/>
          <w:color w:val="auto"/>
        </w:rPr>
      </w:pPr>
      <w:r>
        <w:rPr>
          <w:rFonts w:ascii="Arial" w:cs="Arial" w:eastAsia="Arial" w:hAnsi="Arial"/>
          <w:sz w:val="16"/>
          <w:szCs w:val="16"/>
          <w:color w:val="auto"/>
        </w:rPr>
        <w:t>Revenue growth and cost synergies for our hotel operations are largely dependent on the efforts of Marriott. Prior to the COVID-19 pandemic, Marriott’s efforts to leverage its rewards program, customer channels and brands, as well as its management of demand for rooms, meeting space and banquets, resulted in revenue growth and Marriott’s efforts to reduce hotel-level costs yielded cost savings. There can be no assurance that improvements in revenue or cost savings can be achieved by Marriott during a recovery or after the COVID-19 pandemic ends or that they thereafter can be sustained.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308" w:lineRule="auto"/>
        <w:rPr>
          <w:sz w:val="20"/>
          <w:szCs w:val="20"/>
          <w:color w:val="auto"/>
        </w:rPr>
      </w:pPr>
      <w:r>
        <w:rPr>
          <w:rFonts w:ascii="Arial" w:cs="Arial" w:eastAsia="Arial" w:hAnsi="Arial"/>
          <w:sz w:val="17"/>
          <w:szCs w:val="17"/>
          <w:b w:val="1"/>
          <w:bCs w:val="1"/>
          <w:i w:val="1"/>
          <w:iCs w:val="1"/>
          <w:color w:val="auto"/>
        </w:rPr>
        <w:t>Restrictive covenants and other provisions in our hotel management agreements with third-party hotel managers could limit our ability to sell or lease our hotel properties or refinance our existing debt.</w:t>
      </w:r>
    </w:p>
    <w:p>
      <w:pPr>
        <w:spacing w:after="0" w:line="146" w:lineRule="exact"/>
        <w:rPr>
          <w:sz w:val="20"/>
          <w:szCs w:val="20"/>
          <w:color w:val="auto"/>
        </w:rPr>
      </w:pPr>
    </w:p>
    <w:p>
      <w:pPr>
        <w:ind w:left="60" w:right="99"/>
        <w:spacing w:after="0" w:line="272" w:lineRule="auto"/>
        <w:rPr>
          <w:sz w:val="20"/>
          <w:szCs w:val="20"/>
          <w:color w:val="auto"/>
        </w:rPr>
      </w:pPr>
      <w:r>
        <w:rPr>
          <w:rFonts w:ascii="Arial" w:cs="Arial" w:eastAsia="Arial" w:hAnsi="Arial"/>
          <w:sz w:val="17"/>
          <w:szCs w:val="17"/>
          <w:color w:val="auto"/>
        </w:rPr>
        <w:t>Our hotel management agreements with Marriott contain, and we anticipate that hotel management agreements with our future third-party hotel managers will contain, restrictive covenants that limit our flexibility to sell or lease our hotel properties. For example, we may not sell or lease our current hotel properties to a competitor of Marriott (as defined in our management agreements with Marriott), and any purchaser or lessee must have, in Marriott’s judgment, sufficient financial resources and liquidity to fulfill our obligations under the hotel management agreements. Such restrictions on our ability to sell or lease our hotel properties could negatively affect the marketability of our hotel properties and restrict our ability to refinance our existing debt secured by our hotel properties.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Marriott and any future third-party hotel manager may own or operate hotels that compete with our hotel properties.</w:t>
      </w:r>
    </w:p>
    <w:p>
      <w:pPr>
        <w:spacing w:after="0" w:line="248" w:lineRule="exact"/>
        <w:rPr>
          <w:sz w:val="20"/>
          <w:szCs w:val="20"/>
          <w:color w:val="auto"/>
        </w:rPr>
      </w:pPr>
    </w:p>
    <w:p>
      <w:pPr>
        <w:ind w:left="60" w:right="139"/>
        <w:spacing w:after="0" w:line="254" w:lineRule="auto"/>
        <w:rPr>
          <w:sz w:val="20"/>
          <w:szCs w:val="20"/>
          <w:color w:val="auto"/>
        </w:rPr>
      </w:pPr>
      <w:r>
        <w:rPr>
          <w:rFonts w:ascii="Arial" w:cs="Arial" w:eastAsia="Arial" w:hAnsi="Arial"/>
          <w:sz w:val="18"/>
          <w:szCs w:val="18"/>
          <w:color w:val="auto"/>
        </w:rPr>
        <w:t>Our third-party hotel managers may own or operate hotels that compete with our current hotel properties and any hotel properties that we acquire, which may result in a conflict of interest. For example, Marriott and its affiliates own, have invested in, operate, and have provided credit support or operating guarantees to hotels that compete or will compete with our current hotel properties, including the Marriott Orlando World Center, which competes with Gaylord Palms, and the Washington Marriott Marquis, which competes with Gaylord National. As a result, our third-party hotel managers may make decisions regarding competing hotel properties that are not or would not be in our best interest. In addition, such third-party hotel managers’ operation of other hotels may divert attention away from the operation and management of our hotel properties.</w:t>
      </w:r>
    </w:p>
    <w:p>
      <w:pPr>
        <w:spacing w:after="0" w:line="192" w:lineRule="exact"/>
        <w:rPr>
          <w:sz w:val="20"/>
          <w:szCs w:val="20"/>
          <w:color w:val="auto"/>
        </w:rPr>
      </w:pPr>
    </w:p>
    <w:p>
      <w:pPr>
        <w:ind w:left="60" w:right="399"/>
        <w:spacing w:after="0" w:line="277" w:lineRule="auto"/>
        <w:rPr>
          <w:sz w:val="20"/>
          <w:szCs w:val="20"/>
          <w:color w:val="auto"/>
        </w:rPr>
      </w:pPr>
      <w:r>
        <w:rPr>
          <w:rFonts w:ascii="Arial" w:cs="Arial" w:eastAsia="Arial" w:hAnsi="Arial"/>
          <w:sz w:val="18"/>
          <w:szCs w:val="18"/>
          <w:b w:val="1"/>
          <w:bCs w:val="1"/>
          <w:i w:val="1"/>
          <w:iCs w:val="1"/>
          <w:color w:val="auto"/>
        </w:rPr>
        <w:t>Our concentration in the hospitality industry, and in particular the group-oriented meetings sector of the hospitality industry, exposes us to certain risks outside of our and Marriott’s control.</w:t>
      </w:r>
    </w:p>
    <w:p>
      <w:pPr>
        <w:spacing w:after="0" w:line="170" w:lineRule="exact"/>
        <w:rPr>
          <w:sz w:val="20"/>
          <w:szCs w:val="20"/>
          <w:color w:val="auto"/>
        </w:rPr>
      </w:pPr>
    </w:p>
    <w:p>
      <w:pPr>
        <w:ind w:left="60" w:right="119"/>
        <w:spacing w:after="0" w:line="257" w:lineRule="auto"/>
        <w:rPr>
          <w:sz w:val="20"/>
          <w:szCs w:val="20"/>
          <w:color w:val="auto"/>
        </w:rPr>
      </w:pPr>
      <w:r>
        <w:rPr>
          <w:rFonts w:ascii="Arial" w:cs="Arial" w:eastAsia="Arial" w:hAnsi="Arial"/>
          <w:sz w:val="18"/>
          <w:szCs w:val="18"/>
          <w:color w:val="auto"/>
        </w:rPr>
        <w:t>Our primary business is hotel-related, and our current hotel properties, the operation of which generates substantially all our Hospitality segment revenue, are concentrated in the group-oriented meetings sector of the hospitality industry. Therefore, a downturn in the lodging industry, in general, and the group-oriented meetings sector, in particular, would have a material adverse effect on our financial condition, results of operations, the market price of our common stock and our ability to service debt and make distributions to our stockholders.</w:t>
      </w:r>
    </w:p>
    <w:p>
      <w:pPr>
        <w:spacing w:after="0" w:line="188" w:lineRule="exact"/>
        <w:rPr>
          <w:sz w:val="20"/>
          <w:szCs w:val="20"/>
          <w:color w:val="auto"/>
        </w:rPr>
      </w:pPr>
    </w:p>
    <w:p>
      <w:pPr>
        <w:jc w:val="both"/>
        <w:ind w:left="60" w:right="219"/>
        <w:spacing w:after="0" w:line="263" w:lineRule="auto"/>
        <w:rPr>
          <w:sz w:val="20"/>
          <w:szCs w:val="20"/>
          <w:color w:val="auto"/>
        </w:rPr>
      </w:pPr>
      <w:r>
        <w:rPr>
          <w:rFonts w:ascii="Arial" w:cs="Arial" w:eastAsia="Arial" w:hAnsi="Arial"/>
          <w:sz w:val="18"/>
          <w:szCs w:val="18"/>
          <w:color w:val="auto"/>
        </w:rPr>
        <w:t>The group-oriented meetings sector has suffered during the COVID-19 pandemic, and while we believe meeting planners will continue to rebook large group meetings to future periods, there can be no assurance as to the timing and pace of our recovery.</w:t>
      </w:r>
    </w:p>
    <w:p>
      <w:pPr>
        <w:spacing w:after="0" w:line="184" w:lineRule="exact"/>
        <w:rPr>
          <w:sz w:val="20"/>
          <w:szCs w:val="20"/>
          <w:color w:val="auto"/>
        </w:rPr>
      </w:pPr>
    </w:p>
    <w:p>
      <w:pPr>
        <w:ind w:left="60" w:right="219"/>
        <w:spacing w:after="0" w:line="263" w:lineRule="auto"/>
        <w:rPr>
          <w:sz w:val="20"/>
          <w:szCs w:val="20"/>
          <w:color w:val="auto"/>
        </w:rPr>
      </w:pPr>
      <w:r>
        <w:rPr>
          <w:rFonts w:ascii="Arial" w:cs="Arial" w:eastAsia="Arial" w:hAnsi="Arial"/>
          <w:sz w:val="18"/>
          <w:szCs w:val="18"/>
          <w:color w:val="auto"/>
        </w:rPr>
        <w:t>The ability of Marriott to successfully operate and manage our current hotel properties and convention business is subject to factors beyond our and their control, which could reduce the revenue and operating income of these properties. These factors include:</w:t>
      </w:r>
    </w:p>
    <w:p>
      <w:pPr>
        <w:spacing w:after="0" w:line="184" w:lineRule="exact"/>
        <w:rPr>
          <w:sz w:val="20"/>
          <w:szCs w:val="20"/>
          <w:color w:val="auto"/>
        </w:rPr>
      </w:pPr>
    </w:p>
    <w:p>
      <w:pPr>
        <w:ind w:left="720" w:right="719" w:hanging="319"/>
        <w:spacing w:after="0" w:line="308" w:lineRule="auto"/>
        <w:tabs>
          <w:tab w:leader="none" w:pos="7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desirability and perceived attractiveness of the Nashville, Tennessee; Orlando, Florida; Dallas, Texas; Washington D.C. and Denver, Colorado areas as tourist and convention destinations;</w:t>
      </w:r>
    </w:p>
    <w:p>
      <w:pPr>
        <w:spacing w:after="0" w:line="146" w:lineRule="exact"/>
        <w:rPr>
          <w:rFonts w:ascii="Arial" w:cs="Arial" w:eastAsia="Arial" w:hAnsi="Arial"/>
          <w:sz w:val="17"/>
          <w:szCs w:val="17"/>
          <w:color w:val="auto"/>
        </w:rPr>
      </w:pPr>
    </w:p>
    <w:p>
      <w:pPr>
        <w:ind w:left="720" w:right="459" w:hanging="319"/>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changes in the national economy, its effects on us and our customers and in the levels of tourism and convention business that affect our current hotel properties;</w:t>
      </w:r>
    </w:p>
    <w:p>
      <w:pPr>
        <w:spacing w:after="0" w:line="170" w:lineRule="exact"/>
        <w:rPr>
          <w:rFonts w:ascii="Arial" w:cs="Arial" w:eastAsia="Arial" w:hAnsi="Arial"/>
          <w:sz w:val="18"/>
          <w:szCs w:val="18"/>
          <w:color w:val="auto"/>
        </w:rPr>
      </w:pPr>
    </w:p>
    <w:p>
      <w:pPr>
        <w:ind w:left="720" w:right="99" w:hanging="319"/>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governmental group business, which has decreased at times in the past due to uncertainty surrounding the U.S. government budget;</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Marriott’s ability to attract group convention business;</w:t>
      </w:r>
    </w:p>
    <w:p>
      <w:pPr>
        <w:spacing w:after="0" w:line="225" w:lineRule="exact"/>
        <w:rPr>
          <w:rFonts w:ascii="Arial" w:cs="Arial" w:eastAsia="Arial" w:hAnsi="Arial"/>
          <w:sz w:val="18"/>
          <w:szCs w:val="18"/>
          <w:color w:val="auto"/>
        </w:rPr>
      </w:pPr>
    </w:p>
    <w:p>
      <w:pPr>
        <w:ind w:left="720" w:right="799" w:hanging="319"/>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Marriott’s ability to contract for and collect attrition and cancellation fees from groups that do not fulfill minimum stay or spending requirements;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opening of other new hotels could impact the group convention business at our current hotel properties;</w:t>
      </w:r>
    </w:p>
    <w:p>
      <w:pPr>
        <w:spacing w:after="0" w:line="236" w:lineRule="exact"/>
        <w:rPr>
          <w:rFonts w:ascii="Arial" w:cs="Arial" w:eastAsia="Arial" w:hAnsi="Arial"/>
          <w:sz w:val="17"/>
          <w:szCs w:val="17"/>
          <w:color w:val="auto"/>
        </w:rPr>
      </w:pPr>
    </w:p>
    <w:p>
      <w:pPr>
        <w:ind w:left="720" w:right="119" w:hanging="319"/>
        <w:spacing w:after="0" w:line="342" w:lineRule="auto"/>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highly competitive nature of the hotel, tourism and convention business in which our hotel properties operate, including the fact that we compete for convention business with publicly-financed civic convention centers;</w:t>
      </w:r>
    </w:p>
    <w:p>
      <w:pPr>
        <w:spacing w:after="0" w:line="123" w:lineRule="exact"/>
        <w:rPr>
          <w:rFonts w:ascii="Arial" w:cs="Arial" w:eastAsia="Arial" w:hAnsi="Arial"/>
          <w:sz w:val="16"/>
          <w:szCs w:val="16"/>
          <w:color w:val="auto"/>
        </w:rPr>
      </w:pPr>
    </w:p>
    <w:p>
      <w:pPr>
        <w:ind w:left="720" w:right="179" w:hanging="319"/>
        <w:spacing w:after="0" w:line="308" w:lineRule="auto"/>
        <w:tabs>
          <w:tab w:leader="none" w:pos="7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susceptibility of group convention business to reduced levels of demand during the year-end holiday periods, which Marriott may not be able to offset by attracting sufficient general tourism guests;</w:t>
      </w:r>
    </w:p>
    <w:p>
      <w:pPr>
        <w:spacing w:after="0" w:line="146" w:lineRule="exact"/>
        <w:rPr>
          <w:rFonts w:ascii="Arial" w:cs="Arial" w:eastAsia="Arial" w:hAnsi="Arial"/>
          <w:sz w:val="17"/>
          <w:szCs w:val="17"/>
          <w:color w:val="auto"/>
        </w:rPr>
      </w:pPr>
    </w:p>
    <w:p>
      <w:pPr>
        <w:ind w:left="720" w:right="139" w:hanging="319"/>
        <w:spacing w:after="0" w:line="277"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financial condition of the airline and other transportation-related industries and the resulting impact on travel; and</w:t>
      </w:r>
    </w:p>
    <w:p>
      <w:pPr>
        <w:spacing w:after="0" w:line="170" w:lineRule="exact"/>
        <w:rPr>
          <w:rFonts w:ascii="Arial" w:cs="Arial" w:eastAsia="Arial" w:hAnsi="Arial"/>
          <w:sz w:val="18"/>
          <w:szCs w:val="18"/>
          <w:color w:val="auto"/>
        </w:rPr>
      </w:pPr>
    </w:p>
    <w:p>
      <w:pPr>
        <w:ind w:left="720" w:right="119" w:hanging="319"/>
        <w:spacing w:after="0" w:line="257"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increases in our operating costs due to labor costs associated with labor shortages, wage increases, any increases in the federal minimum wage rate, workers’ compensation, healthcare-related costs (including those related to the Affordable Care Act or other health care reform efforts), and organized labor activities, the last of which, in addition to increasing labor costs, could cause a diversion of business from our hotels involved in labor negotiations and loss of group business.</w:t>
      </w:r>
    </w:p>
    <w:p>
      <w:pPr>
        <w:spacing w:after="0" w:line="188" w:lineRule="exact"/>
        <w:rPr>
          <w:sz w:val="20"/>
          <w:szCs w:val="20"/>
          <w:color w:val="auto"/>
        </w:rPr>
      </w:pPr>
    </w:p>
    <w:p>
      <w:pPr>
        <w:ind w:left="60" w:right="199"/>
        <w:spacing w:after="0" w:line="263" w:lineRule="auto"/>
        <w:rPr>
          <w:sz w:val="20"/>
          <w:szCs w:val="20"/>
          <w:color w:val="auto"/>
        </w:rPr>
      </w:pPr>
      <w:r>
        <w:rPr>
          <w:rFonts w:ascii="Arial" w:cs="Arial" w:eastAsia="Arial" w:hAnsi="Arial"/>
          <w:sz w:val="18"/>
          <w:szCs w:val="18"/>
          <w:color w:val="auto"/>
        </w:rPr>
        <w:t>These factors could reduce the revenues and net operating profits of our TRS lessees, which in turn could adversely affect our financial condition, results of operations, the market price of our common stock and our ability to service debt and make distributions to our stockholders.</w:t>
      </w:r>
    </w:p>
    <w:p>
      <w:pPr>
        <w:spacing w:after="0" w:line="184"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b w:val="1"/>
          <w:bCs w:val="1"/>
          <w:i w:val="1"/>
          <w:iCs w:val="1"/>
          <w:color w:val="auto"/>
        </w:rPr>
        <w:t>Due to the geographic concentration of our current hotel properties, we are subject to a greater degree of risk to certain factors.</w:t>
      </w:r>
    </w:p>
    <w:p>
      <w:pPr>
        <w:spacing w:after="0" w:line="170"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color w:val="auto"/>
        </w:rPr>
        <w:t>Due to the geographic concentration of our current hotel properties, we are subject to a greater degree of risk to factors including:</w:t>
      </w:r>
    </w:p>
    <w:p>
      <w:pPr>
        <w:spacing w:after="0" w:line="170" w:lineRule="exact"/>
        <w:rPr>
          <w:sz w:val="20"/>
          <w:szCs w:val="20"/>
          <w:color w:val="auto"/>
        </w:rPr>
      </w:pP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local economic and competitive conditions;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natural and other disasters;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decline in air passenger travel due to higher ticket costs or fears concerning air travel;</w:t>
      </w:r>
    </w:p>
    <w:p>
      <w:pPr>
        <w:spacing w:after="0" w:line="225" w:lineRule="exact"/>
        <w:rPr>
          <w:rFonts w:ascii="Arial" w:cs="Arial" w:eastAsia="Arial" w:hAnsi="Arial"/>
          <w:sz w:val="18"/>
          <w:szCs w:val="18"/>
          <w:color w:val="auto"/>
        </w:rPr>
      </w:pPr>
    </w:p>
    <w:p>
      <w:pPr>
        <w:ind w:left="720" w:right="99" w:hanging="319"/>
        <w:spacing w:after="0" w:line="277"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decline in the attractiveness of the areas in which our hotels are located as a convention and tourism destination; and</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decrease in convention and meeting business at any of our properties.</w:t>
      </w:r>
    </w:p>
    <w:p>
      <w:pPr>
        <w:spacing w:after="0" w:line="225"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color w:val="auto"/>
        </w:rPr>
        <w:t>Any of these could negatively affect our financial condition, results of operations and our ability to service debt and make distributions to our stockholders.</w:t>
      </w:r>
    </w:p>
    <w:p>
      <w:pPr>
        <w:spacing w:after="0" w:line="170" w:lineRule="exact"/>
        <w:rPr>
          <w:sz w:val="20"/>
          <w:szCs w:val="20"/>
          <w:color w:val="auto"/>
        </w:rPr>
      </w:pPr>
    </w:p>
    <w:p>
      <w:pPr>
        <w:ind w:left="60" w:right="379"/>
        <w:spacing w:after="0" w:line="308" w:lineRule="auto"/>
        <w:rPr>
          <w:sz w:val="20"/>
          <w:szCs w:val="20"/>
          <w:color w:val="auto"/>
        </w:rPr>
      </w:pPr>
      <w:r>
        <w:rPr>
          <w:rFonts w:ascii="Arial" w:cs="Arial" w:eastAsia="Arial" w:hAnsi="Arial"/>
          <w:sz w:val="17"/>
          <w:szCs w:val="17"/>
          <w:b w:val="1"/>
          <w:bCs w:val="1"/>
          <w:i w:val="1"/>
          <w:iCs w:val="1"/>
          <w:color w:val="auto"/>
        </w:rPr>
        <w:t>The hotel business is capital-intensive, and our inability to obtain financing or successfully complete acquisitions or capital improvements, or the disruption associated with them, could limit our growth.</w:t>
      </w:r>
    </w:p>
    <w:p>
      <w:pPr>
        <w:spacing w:after="0" w:line="146" w:lineRule="exact"/>
        <w:rPr>
          <w:sz w:val="20"/>
          <w:szCs w:val="20"/>
          <w:color w:val="auto"/>
        </w:rPr>
      </w:pPr>
    </w:p>
    <w:p>
      <w:pPr>
        <w:ind w:left="60" w:right="79"/>
        <w:spacing w:after="0" w:line="290" w:lineRule="auto"/>
        <w:rPr>
          <w:sz w:val="20"/>
          <w:szCs w:val="20"/>
          <w:color w:val="auto"/>
        </w:rPr>
      </w:pPr>
      <w:r>
        <w:rPr>
          <w:rFonts w:ascii="Arial" w:cs="Arial" w:eastAsia="Arial" w:hAnsi="Arial"/>
          <w:sz w:val="16"/>
          <w:szCs w:val="16"/>
          <w:color w:val="auto"/>
        </w:rPr>
        <w:t>Acquisitions of hotels will require significant capital expenditures, and hotels that we acquire may need renovations and capital improvements at the time of acquisition. All of our hotel properties will require periodic capital expenditures and renovation to remain competitive. We may also undertake hotel expansions or new features at our existing hotel properties that involve significant capital expenditures, such as our Gaylord Palms expansion. If any hotels that we acquire are subject to franchise agreements, the franchisors of these hotels may also require periodic capital improvements as a condition to our maintaining the franchise licenses. We may not be able to fund capital improvements or acquisitions solely from cash provided from our operating activities because we must distribute at least 90% of our REIT taxable income (determined before the deduction for dividends paid and net of capital gains) each year to maintain</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5" w:lineRule="auto"/>
        <w:rPr>
          <w:sz w:val="20"/>
          <w:szCs w:val="20"/>
          <w:color w:val="auto"/>
        </w:rPr>
      </w:pPr>
      <w:r>
        <w:rPr>
          <w:rFonts w:ascii="Arial" w:cs="Arial" w:eastAsia="Arial" w:hAnsi="Arial"/>
          <w:sz w:val="18"/>
          <w:szCs w:val="18"/>
          <w:color w:val="auto"/>
        </w:rPr>
        <w:t>our qualification as a REIT for federal income tax purposes. As a result, our ability to fund acquisitions or capital expenditures through any retained earnings or operating cash flow will be limited. Consequently, we will rely upon the availability of debt or equity capital to fund hotel acquisitions and improvements. Our ability to grow through acquisitions will be limited if we cannot obtain satisfactory debt or equity financing, which will depend on market conditions. We cannot assure you that we will be able to obtain additional equity or debt financing or that we will be able to obtain such financing on favorable terms.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addition, capital improvements may give rise to the following risks:</w:t>
      </w:r>
    </w:p>
    <w:p>
      <w:pPr>
        <w:spacing w:after="0" w:line="225" w:lineRule="exact"/>
        <w:rPr>
          <w:sz w:val="20"/>
          <w:szCs w:val="20"/>
          <w:color w:val="auto"/>
        </w:rPr>
      </w:pPr>
    </w:p>
    <w:p>
      <w:pPr>
        <w:ind w:left="720" w:hanging="31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possible environmental problems;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construction cost overruns and delays, including those associated with the availability of material and labor;</w:t>
      </w:r>
    </w:p>
    <w:p>
      <w:pPr>
        <w:spacing w:after="0" w:line="236" w:lineRule="exact"/>
        <w:rPr>
          <w:rFonts w:ascii="Arial" w:cs="Arial" w:eastAsia="Arial" w:hAnsi="Arial"/>
          <w:sz w:val="17"/>
          <w:szCs w:val="17"/>
          <w:color w:val="auto"/>
        </w:rPr>
      </w:pPr>
    </w:p>
    <w:p>
      <w:pPr>
        <w:ind w:left="720" w:right="259" w:hanging="319"/>
        <w:spacing w:after="0" w:line="277"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possibility that revenues will be reduced while rooms, restaurants or other facilities are out of service due to capital improvement projects;</w:t>
      </w:r>
    </w:p>
    <w:p>
      <w:pPr>
        <w:spacing w:after="0" w:line="170" w:lineRule="exact"/>
        <w:rPr>
          <w:rFonts w:ascii="Arial" w:cs="Arial" w:eastAsia="Arial" w:hAnsi="Arial"/>
          <w:sz w:val="18"/>
          <w:szCs w:val="18"/>
          <w:color w:val="auto"/>
        </w:rPr>
      </w:pPr>
    </w:p>
    <w:p>
      <w:pPr>
        <w:ind w:left="720" w:right="319" w:hanging="319"/>
        <w:spacing w:after="0" w:line="277"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possible shortage of available cash to fund capital improvements and the related possibility that financing for these capital improvements may not be available to us on attractive terms; and</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uncertainties as to market demand or a loss of market demand after capital improvements have begun.</w:t>
      </w:r>
    </w:p>
    <w:p>
      <w:pPr>
        <w:spacing w:after="0" w:line="225" w:lineRule="exact"/>
        <w:rPr>
          <w:sz w:val="20"/>
          <w:szCs w:val="20"/>
          <w:color w:val="auto"/>
        </w:rPr>
      </w:pPr>
    </w:p>
    <w:p>
      <w:pPr>
        <w:ind w:left="60" w:right="119"/>
        <w:spacing w:after="0" w:line="342" w:lineRule="auto"/>
        <w:rPr>
          <w:sz w:val="20"/>
          <w:szCs w:val="20"/>
          <w:color w:val="auto"/>
        </w:rPr>
      </w:pPr>
      <w:r>
        <w:rPr>
          <w:rFonts w:ascii="Arial" w:cs="Arial" w:eastAsia="Arial" w:hAnsi="Arial"/>
          <w:sz w:val="16"/>
          <w:szCs w:val="16"/>
          <w:color w:val="auto"/>
        </w:rPr>
        <w:t>The costs of renovations and capital improvements could adversely affect our financial condition, results of operations, the market price of our common stock and our ability to service debt and make distributions to our stockholders.</w:t>
      </w:r>
    </w:p>
    <w:p>
      <w:pPr>
        <w:spacing w:after="0" w:line="124" w:lineRule="exact"/>
        <w:rPr>
          <w:sz w:val="20"/>
          <w:szCs w:val="20"/>
          <w:color w:val="auto"/>
        </w:rPr>
      </w:pPr>
    </w:p>
    <w:p>
      <w:pPr>
        <w:ind w:left="60" w:right="519"/>
        <w:spacing w:after="0" w:line="277" w:lineRule="auto"/>
        <w:rPr>
          <w:sz w:val="20"/>
          <w:szCs w:val="20"/>
          <w:color w:val="auto"/>
        </w:rPr>
      </w:pPr>
      <w:r>
        <w:rPr>
          <w:rFonts w:ascii="Arial" w:cs="Arial" w:eastAsia="Arial" w:hAnsi="Arial"/>
          <w:sz w:val="18"/>
          <w:szCs w:val="18"/>
          <w:b w:val="1"/>
          <w:bCs w:val="1"/>
          <w:i w:val="1"/>
          <w:iCs w:val="1"/>
          <w:color w:val="auto"/>
        </w:rPr>
        <w:t>Our TRS lessee structure subjects us to the risk of increased hotel operating expenses and the inability of our TRS lessees to make lease payments to us.</w:t>
      </w:r>
    </w:p>
    <w:p>
      <w:pPr>
        <w:spacing w:after="0" w:line="170" w:lineRule="exact"/>
        <w:rPr>
          <w:sz w:val="20"/>
          <w:szCs w:val="20"/>
          <w:color w:val="auto"/>
        </w:rPr>
      </w:pPr>
    </w:p>
    <w:p>
      <w:pPr>
        <w:ind w:left="60" w:right="119"/>
        <w:spacing w:after="0" w:line="291" w:lineRule="auto"/>
        <w:rPr>
          <w:sz w:val="20"/>
          <w:szCs w:val="20"/>
          <w:color w:val="auto"/>
        </w:rPr>
      </w:pPr>
      <w:r>
        <w:rPr>
          <w:rFonts w:ascii="Arial" w:cs="Arial" w:eastAsia="Arial" w:hAnsi="Arial"/>
          <w:sz w:val="16"/>
          <w:szCs w:val="16"/>
          <w:color w:val="auto"/>
        </w:rPr>
        <w:t>Our leases with our TRS lessees require our TRS lessees to make lease payments to us based in part on gross revenues from our hotel properties. Our operating risks include decreases in revenues at our hotel properties and increases in operating expenses of our hotel properties. Decreases in revenues or increases in operating expenses could adversely affect our TRS lessees’ ability to make lease payments due under the leases, including, but not limited to, increases in wage and benefit costs, repair and maintenance expenses, property taxes, insurance costs, and other operating expenses. Increases in those operating expenses can have a significant adverse impact on our financial condition, results of operations, the market price of our common stock, and our ability to service debt and make distributions to our stockholders.</w:t>
      </w:r>
    </w:p>
    <w:p>
      <w:pPr>
        <w:spacing w:after="0" w:line="166" w:lineRule="exact"/>
        <w:rPr>
          <w:sz w:val="20"/>
          <w:szCs w:val="20"/>
          <w:color w:val="auto"/>
        </w:rPr>
      </w:pPr>
    </w:p>
    <w:p>
      <w:pPr>
        <w:ind w:left="60" w:right="79"/>
        <w:spacing w:after="0" w:line="279" w:lineRule="auto"/>
        <w:rPr>
          <w:sz w:val="20"/>
          <w:szCs w:val="20"/>
          <w:color w:val="auto"/>
        </w:rPr>
      </w:pPr>
      <w:r>
        <w:rPr>
          <w:rFonts w:ascii="Arial" w:cs="Arial" w:eastAsia="Arial" w:hAnsi="Arial"/>
          <w:sz w:val="17"/>
          <w:szCs w:val="17"/>
          <w:color w:val="auto"/>
        </w:rPr>
        <w:t>In addition, our TRS lessees’ ability to make lease payments will be affected by factors beyond their control, such as changes in general economic conditions, the level of demand for hotels and the related services of our hotel properties, competition in the lodging and hospitality industry, the third-party managers’ ability to maintain and increase gross revenue at our hotel properties and other factors relating to the operations of our hotel properties.</w:t>
      </w:r>
    </w:p>
    <w:p>
      <w:pPr>
        <w:spacing w:after="0" w:line="171" w:lineRule="exact"/>
        <w:rPr>
          <w:sz w:val="20"/>
          <w:szCs w:val="20"/>
          <w:color w:val="auto"/>
        </w:rPr>
      </w:pPr>
    </w:p>
    <w:p>
      <w:pPr>
        <w:ind w:left="60" w:right="539"/>
        <w:spacing w:after="0" w:line="277" w:lineRule="auto"/>
        <w:rPr>
          <w:sz w:val="20"/>
          <w:szCs w:val="20"/>
          <w:color w:val="auto"/>
        </w:rPr>
      </w:pPr>
      <w:r>
        <w:rPr>
          <w:rFonts w:ascii="Arial" w:cs="Arial" w:eastAsia="Arial" w:hAnsi="Arial"/>
          <w:sz w:val="18"/>
          <w:szCs w:val="18"/>
          <w:b w:val="1"/>
          <w:bCs w:val="1"/>
          <w:i w:val="1"/>
          <w:iCs w:val="1"/>
          <w:color w:val="auto"/>
        </w:rPr>
        <w:t>We and our third-party hotel manager rely on information technology in our operations, and any material failure, inadequacy, interruption, or security failure could harm our business.</w:t>
      </w:r>
    </w:p>
    <w:p>
      <w:pPr>
        <w:spacing w:after="0" w:line="170" w:lineRule="exact"/>
        <w:rPr>
          <w:sz w:val="20"/>
          <w:szCs w:val="20"/>
          <w:color w:val="auto"/>
        </w:rPr>
      </w:pPr>
    </w:p>
    <w:p>
      <w:pPr>
        <w:ind w:left="60" w:right="79"/>
        <w:spacing w:after="0" w:line="289" w:lineRule="auto"/>
        <w:rPr>
          <w:sz w:val="20"/>
          <w:szCs w:val="20"/>
          <w:color w:val="auto"/>
        </w:rPr>
      </w:pPr>
      <w:r>
        <w:rPr>
          <w:rFonts w:ascii="Arial" w:cs="Arial" w:eastAsia="Arial" w:hAnsi="Arial"/>
          <w:sz w:val="16"/>
          <w:szCs w:val="16"/>
          <w:color w:val="auto"/>
        </w:rPr>
        <w:t>We and our third-party hotel manager rely on information technology systems, including networks and the Internet, to process, transmit, and store electronic information, and to manage or support a variety of business processes, including financial transactions and records, personal identifying information, reservations, billing and operating data. Our businesses require collection of large volumes of internal and customer data, including credit card numbers and other personally identifiable information of our customers in various information systems and those of our service providers. The integrity and protection of customer, employee, and company data is critical to us. If that data is inaccurate or incomplete, we or the hotel managers could make faulty decisions. Customers and employees also have a high expectation that we and our third-party service providers and processors will adequately protect their personal information. The regulatory environment surrounding information, security and privacy is also increasingly demanding</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8" w:lineRule="auto"/>
        <w:rPr>
          <w:sz w:val="20"/>
          <w:szCs w:val="20"/>
          <w:color w:val="auto"/>
        </w:rPr>
      </w:pPr>
      <w:r>
        <w:rPr>
          <w:rFonts w:ascii="Arial" w:cs="Arial" w:eastAsia="Arial" w:hAnsi="Arial"/>
          <w:sz w:val="17"/>
          <w:szCs w:val="17"/>
          <w:color w:val="auto"/>
        </w:rPr>
        <w:t>and evolving. For example, in June 2018, the State of California enacted the California Consumer Privacy Act (the “CCPA”), which became effective in January 2020, requiring companies that process information on California residents to, among other things, provide new disclosures and options to consumers about data collection, use and sharing policies. Our existing systems may be unable to satisfy changing regulatory requirements and employee and customer expectations, or may require significant additional investments or time to do so. Despite implementation of various measures designed to protect our information systems and records, including those we maintain with our service providers, we, the hotel managers and/or our third-party service providers may be subject to security breaches, system failures, viruses, operator error, unauthorized or inadvertent releases of data. A significant theft, loss, or fraudulent use of customer, employee, or company data maintained by us or by a service provider or failure to comply with the various U.S. and international laws and regulations applicable to the protection of such data, including the CCPA, or with Payment Card Industry (PCI) data security standards, could divert our attention, adversely impact our reputation, result in remedial and other fines or litigation, cause us to incur substantial liabilities or costs, result in a loss of valuable data, or a loss of consumer confidence. A breach in the security of our information systems or those of our service providers, or the unauthorized use of such data by us or our third-party providers, could lead to an interruption in the operation of our systems, resulting in operational inefficiencies and a loss of profits.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Cyber security incidents could have a disruptive effect on our business.</w:t>
      </w:r>
    </w:p>
    <w:p>
      <w:pPr>
        <w:spacing w:after="0" w:line="225" w:lineRule="exact"/>
        <w:rPr>
          <w:sz w:val="20"/>
          <w:szCs w:val="20"/>
          <w:color w:val="auto"/>
        </w:rPr>
      </w:pPr>
    </w:p>
    <w:p>
      <w:pPr>
        <w:ind w:left="60" w:right="79"/>
        <w:spacing w:after="0" w:line="284" w:lineRule="auto"/>
        <w:rPr>
          <w:sz w:val="20"/>
          <w:szCs w:val="20"/>
          <w:color w:val="auto"/>
        </w:rPr>
      </w:pPr>
      <w:r>
        <w:rPr>
          <w:rFonts w:ascii="Arial" w:cs="Arial" w:eastAsia="Arial" w:hAnsi="Arial"/>
          <w:sz w:val="16"/>
          <w:szCs w:val="16"/>
          <w:color w:val="auto"/>
        </w:rPr>
        <w:t>While we have implemented security measures to safeguard our systems and data, our measures or the measures of our service providers or hotel manager may not be sufficient to maintain the confidentiality, integrity, or availability of the data collected, stored, and used to manage our Gaylord Hotels properties. Efforts to hack or circumvent security measures, efforts to gain unauthorized access to data, failure of systems or software to operate as designed or intended, viruses, “ransomware” or other malware, “phishing” or other types of business email compromises, operator error, or inadvertent releases of data may materially impact our information systems and records of those of our owners, licensees, or service providers. Our reliance on computer, Internet-based, and mobile systems and communications, and the frequency and sophistication of efforts by third parties to gain unauthorized access to such systems, have greatly increased in recent years. Like most large multinational corporations, our hotel manager and its service providers have experienced cyber-attacks, and attempts to disrupt access to their systems and data or those of properties our hotel manager manages and the frequency and sophistication of such efforts could continue to increase. Although some of these efforts may not be successful or impactful, a significant theft, loss, loss of access to, or fraudulent use of guest, associate, owner, licensee, or company data could adversely impact our reputation and could result in remedial and other expenses, fines, or litigation. Depending on the nature and scope of the event, compromises in the security of our information systems or those of our owners, licensees, or service providers or other disruptions in data services could lead to an interruption in the operation of our systems or our hotel manager’s systems, resulting in operational inefficiencies and a loss of profits, and negative publicity, resulting in tangible adverse effects on our business, including consumer boycotts, cancellations, lost sales or litigation, all of which could affect our market share, reputation, business, financial condition, or results of operations. In addition, although we or our manager carry cyber/privacy liability insurance that is designed to protect us against certain losses related to cyber risks, that insurance coverage may not be sufficient to cover all losses or all types of claims that may arise in connection with cyber-attacks, security compromises, and other related incidents. Furthermore, in the future such insurance may not be available on commercially reasonable terms, or at all.</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real estate assets are subject to numerous risks.</w:t>
      </w:r>
    </w:p>
    <w:p>
      <w:pPr>
        <w:spacing w:after="0" w:line="225" w:lineRule="exact"/>
        <w:rPr>
          <w:sz w:val="20"/>
          <w:szCs w:val="20"/>
          <w:color w:val="auto"/>
        </w:rPr>
      </w:pPr>
    </w:p>
    <w:p>
      <w:pPr>
        <w:ind w:left="60" w:right="79"/>
        <w:spacing w:after="0" w:line="288" w:lineRule="auto"/>
        <w:rPr>
          <w:sz w:val="20"/>
          <w:szCs w:val="20"/>
          <w:color w:val="auto"/>
        </w:rPr>
      </w:pPr>
      <w:r>
        <w:rPr>
          <w:rFonts w:ascii="Arial" w:cs="Arial" w:eastAsia="Arial" w:hAnsi="Arial"/>
          <w:sz w:val="16"/>
          <w:szCs w:val="16"/>
          <w:color w:val="auto"/>
        </w:rPr>
        <w:t>Because we own hotels and attractions properties, we are subject to the risks that generally relate to investments in real property. The investment returns available from equity investments in real estate depend in large part on the amount of income earned and capital appreciation generated by the related properties, as well as the expenses incurred. In addition, a variety of other factors affect income from properties and real estate values, including governmental regulations, insurance, zoning, tax and eminent domain laws, interest rate levels and the availability of financing. For example, new or existing real estate zoning or tax laws can make it more expensive and/or time-consuming to develop real property or expand, modify or renovate properties. When interest rates increase, the cost of acquiring, developing, expanding or renovating real property increases, particularly as the cost of borrowing increases, and real property values may decrease as the number of potential buyers decreases. Similarly, as financing becomes less available, it becomes more difficult both to acquire and to sell real property. Finally, governments can, under eminent domain laws, take real property.</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57" w:lineRule="auto"/>
        <w:rPr>
          <w:sz w:val="20"/>
          <w:szCs w:val="20"/>
          <w:color w:val="auto"/>
        </w:rPr>
      </w:pPr>
      <w:r>
        <w:rPr>
          <w:rFonts w:ascii="Arial" w:cs="Arial" w:eastAsia="Arial" w:hAnsi="Arial"/>
          <w:sz w:val="18"/>
          <w:szCs w:val="18"/>
          <w:color w:val="auto"/>
        </w:rPr>
        <w:t>Sometimes this taking is for less compensation than the owner believes the property is worth. Any of these factors could have a material adverse impact on our results of operations or financial condition. In addition, equity real estate investments, such as the investments we hold and any additional properties that we may acquire, are relatively difficult to sell quickly. If our properties do not generate revenue sufficient to meet operating expenses, including debt service and capital expenditures, our income will be reduced.</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Our properties are subject to environmental regulations that could impose significant financial liability on us.</w:t>
      </w:r>
    </w:p>
    <w:p>
      <w:pPr>
        <w:spacing w:after="0" w:line="237" w:lineRule="exact"/>
        <w:rPr>
          <w:sz w:val="20"/>
          <w:szCs w:val="20"/>
          <w:color w:val="auto"/>
        </w:rPr>
      </w:pPr>
    </w:p>
    <w:p>
      <w:pPr>
        <w:ind w:left="60" w:right="59"/>
        <w:spacing w:after="0" w:line="284" w:lineRule="auto"/>
        <w:rPr>
          <w:sz w:val="20"/>
          <w:szCs w:val="20"/>
          <w:color w:val="auto"/>
        </w:rPr>
      </w:pPr>
      <w:r>
        <w:rPr>
          <w:rFonts w:ascii="Arial" w:cs="Arial" w:eastAsia="Arial" w:hAnsi="Arial"/>
          <w:sz w:val="16"/>
          <w:szCs w:val="16"/>
          <w:color w:val="auto"/>
        </w:rPr>
        <w:t>Environmental laws, ordinances and regulations of various federal, state, local and foreign governments regulate certain of our properties and could make us liable for the costs of removing or cleaning up hazardous or toxic substances on, under or in the properties we currently own or operate or those we previously owned or operated. Those laws could impose liability without regard to whether we knew of, or were responsible for, the presence of hazardous or toxic substances. The presence of hazardous or toxic substances, or the failure to properly clean up such substances when present, could jeopardize our ability to develop, use, sell or rent the real property or to borrow using the real property as collateral. If we arrange for the disposal or treatment of hazardous or toxic wastes, we could be liable for the costs of removing or cleaning up wastes at the disposal or treatment facility, even if we never owned or operated that facility. Other laws, ordinances and regulations could require us to manage, abate or remove lead- or asbestos-containing materials. Similarly, the operation and closure of storage tanks are often regulated by federal, state, local and foreign laws. Finally, certain laws, ordinances and regulations, particularly those governing the management or preservation of wetlands, coastal zones and threatened or endangered species, could limit our ability to develop, use, sell or rent our real property. Existing governmental laws and regulations may be revised or new laws and regulations relating to climate change, air quality or other environmental and health concerns may be adopted or become applicable to us, which could affect the operations of our hotels and/or result in significant additional expense and operating restrictions. The costs to clean up a contaminated property, to defend a claim, or to comply with environmental laws could be material and could adversely affect our financial condition, results of operations, the market price of our common stock and our ability to make distributions to our stockholders. Additionally, because we rely on third-party managers to operate our hotel properties and certain attractions, we have limited control over ensuring compliance at those locations with applicable environmental laws or regulations or approving certain remediation action taken by the manager to resolve such issues.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Compliance with the Americans with Disabilities Act could require us to incur substantial costs.</w:t>
      </w:r>
    </w:p>
    <w:p>
      <w:pPr>
        <w:spacing w:after="0" w:line="225" w:lineRule="exact"/>
        <w:rPr>
          <w:sz w:val="20"/>
          <w:szCs w:val="20"/>
          <w:color w:val="auto"/>
        </w:rPr>
      </w:pPr>
    </w:p>
    <w:p>
      <w:pPr>
        <w:ind w:left="60" w:right="79"/>
        <w:spacing w:after="0" w:line="268" w:lineRule="auto"/>
        <w:rPr>
          <w:sz w:val="20"/>
          <w:szCs w:val="20"/>
          <w:color w:val="auto"/>
        </w:rPr>
      </w:pPr>
      <w:r>
        <w:rPr>
          <w:rFonts w:ascii="Arial" w:cs="Arial" w:eastAsia="Arial" w:hAnsi="Arial"/>
          <w:sz w:val="17"/>
          <w:szCs w:val="17"/>
          <w:color w:val="auto"/>
        </w:rPr>
        <w:t>Under the Americans with Disabilities Act of 1990, as amended (the “ADA”), all public accommodations must meet various federal requirements related to access and use by disabled persons. Compliance with the ADA’s requirements could require removal of access barriers, and non-compliance could result in the U.S. government imposing fines or in private litigants winning damages. Although we believe that our hotel properties substantially comply with present requirements of the ADA, we may be subject to audits or investigations of all of our hotels to determine our compliance, and one or more hotels may not be fully compliant with the ADA. Noncompliance with the ADA could result in the incurrence of additional costs to attain compliance. The obligation to make readily achievable accommodations is an ongoing one, and we will continue to assess our hotel properties and to make alterations as appropriate in this respect. If we are required to make substantial modifications to our hotel properties, whether to comply with the ADA or other changes in governmental rules and regulations, our financial condition, results of operations, the market price of our common stock and amount of cash available for debt service or distributions to our stockholders could be adversely affected. Additionally, because we rely on third-party managers to operate our hotel properties and certain attractions, we have limited control over ensuring compliance at those locations with applicable ADA requirements or approving certain remediation action taken by the manager to resolve such issues.</w:t>
      </w:r>
    </w:p>
    <w:p>
      <w:pPr>
        <w:spacing w:after="0" w:line="184" w:lineRule="exact"/>
        <w:rPr>
          <w:sz w:val="20"/>
          <w:szCs w:val="20"/>
          <w:color w:val="auto"/>
        </w:rPr>
      </w:pPr>
    </w:p>
    <w:p>
      <w:pPr>
        <w:ind w:left="60" w:right="619"/>
        <w:spacing w:after="0" w:line="277" w:lineRule="auto"/>
        <w:rPr>
          <w:sz w:val="20"/>
          <w:szCs w:val="20"/>
          <w:color w:val="auto"/>
        </w:rPr>
      </w:pPr>
      <w:r>
        <w:rPr>
          <w:rFonts w:ascii="Arial" w:cs="Arial" w:eastAsia="Arial" w:hAnsi="Arial"/>
          <w:sz w:val="18"/>
          <w:szCs w:val="18"/>
          <w:b w:val="1"/>
          <w:bCs w:val="1"/>
          <w:i w:val="1"/>
          <w:iCs w:val="1"/>
          <w:color w:val="auto"/>
        </w:rPr>
        <w:t>As an owner of hotel properties and operator of leisure businesses, we are subject to risks relating to acts of God, outbreaks of pandemic disease, terrorist activity and war.</w:t>
      </w:r>
    </w:p>
    <w:p>
      <w:pPr>
        <w:spacing w:after="0" w:line="170" w:lineRule="exact"/>
        <w:rPr>
          <w:sz w:val="20"/>
          <w:szCs w:val="20"/>
          <w:color w:val="auto"/>
        </w:rPr>
      </w:pPr>
    </w:p>
    <w:p>
      <w:pPr>
        <w:ind w:left="60" w:right="59"/>
        <w:spacing w:after="0" w:line="296" w:lineRule="auto"/>
        <w:rPr>
          <w:sz w:val="20"/>
          <w:szCs w:val="20"/>
          <w:color w:val="auto"/>
        </w:rPr>
      </w:pPr>
      <w:r>
        <w:rPr>
          <w:rFonts w:ascii="Arial" w:cs="Arial" w:eastAsia="Arial" w:hAnsi="Arial"/>
          <w:sz w:val="16"/>
          <w:szCs w:val="16"/>
          <w:color w:val="auto"/>
        </w:rPr>
        <w:t>Our operating income and ability to make distributions to our stockholders may be reduced by acts of God, outbreaks of pandemic disease, or acts of terrorism in locations where we own and/or operate significant properties and areas of the world from which we draw a large number of customers. Gaylord Opryland, which is located adjacent to the Cumberland River and is protected by levees built to sustain a 100-year flood, suffered flood damage on May 3, 2010 as the river rose to levels that over-topped the levees. The per occurrence flood insurance limit for our Gaylord Opryland</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hotel is now $350 million. We have also completed enhancements to the levees that protect the hotel to increase the height of the levees. While we believe these steps are reasonable given the likelihood of flood damage at Gaylord Opryland, there can be no assurances that flooding will not occur at Gaylord Opryland in the future. Some types of losses, such as from flood, earthquake, tornado, terrorism and environmental hazards, may be either uninsurable, subject to sublimit, or too expensive to justify insuring against. Should an uninsured loss or a loss in excess of insured limits occur, we could lose all or a portion of the capital we have invested in a hotel, as well as the anticipated future revenue from the hotel. In that event, we might nevertheless remain obligated for any mortgage debt or other financial obligations related to the property. Similarly, outbreaks of pandemic disease, wars (including the potential for war), terrorist activity (including threats of terrorist activity), political unrest and other forms of civil strife as well as geopolitical uncertainty, may cause our future results to differ materially from anticipated results.</w:t>
      </w:r>
    </w:p>
    <w:p>
      <w:pPr>
        <w:spacing w:after="0" w:line="185" w:lineRule="exact"/>
        <w:rPr>
          <w:sz w:val="20"/>
          <w:szCs w:val="20"/>
          <w:color w:val="auto"/>
        </w:rPr>
      </w:pPr>
    </w:p>
    <w:p>
      <w:pPr>
        <w:ind w:left="60" w:right="179"/>
        <w:spacing w:after="0" w:line="259" w:lineRule="auto"/>
        <w:rPr>
          <w:sz w:val="20"/>
          <w:szCs w:val="20"/>
          <w:color w:val="auto"/>
        </w:rPr>
      </w:pPr>
      <w:r>
        <w:rPr>
          <w:rFonts w:ascii="Arial" w:cs="Arial" w:eastAsia="Arial" w:hAnsi="Arial"/>
          <w:sz w:val="18"/>
          <w:szCs w:val="18"/>
          <w:b w:val="1"/>
          <w:bCs w:val="1"/>
          <w:i w:val="1"/>
          <w:iCs w:val="1"/>
          <w:color w:val="auto"/>
        </w:rPr>
        <w:t>We are subject to risks associated with our hotel managers’ employment of hotel personnel, particularly with hotels whose managers employ unionized labor, which could increase our hotels’ operating costs, reduce the flexibility of our third-party hotel managers to adjust the size of the workforce at our hotel properties and impair our ability to make distributions to our stockholders.</w:t>
      </w:r>
    </w:p>
    <w:p>
      <w:pPr>
        <w:spacing w:after="0" w:line="187" w:lineRule="exact"/>
        <w:rPr>
          <w:sz w:val="20"/>
          <w:szCs w:val="20"/>
          <w:color w:val="auto"/>
        </w:rPr>
      </w:pPr>
    </w:p>
    <w:p>
      <w:pPr>
        <w:ind w:left="60" w:right="119"/>
        <w:spacing w:after="0" w:line="269" w:lineRule="auto"/>
        <w:rPr>
          <w:sz w:val="20"/>
          <w:szCs w:val="20"/>
          <w:color w:val="auto"/>
        </w:rPr>
      </w:pPr>
      <w:r>
        <w:rPr>
          <w:rFonts w:ascii="Arial" w:cs="Arial" w:eastAsia="Arial" w:hAnsi="Arial"/>
          <w:sz w:val="17"/>
          <w:szCs w:val="17"/>
          <w:color w:val="auto"/>
        </w:rPr>
        <w:t>Our third-party hotel managers are responsible for hiring and maintaining the labor force at each of our hotel properties. Although we do not employ or manage employees at our hotel properties, we are subject to many of the costs and risks generally associated with the hotel labor force, including at those of our hotels with unionized labor. From time to time, hotel operations may be disrupted as a result of strikes, lockouts, public demonstrations or other negative actions and publicity. We also may incur increased legal costs and indirect labor costs as a result of contract disputes or other events. The resolution of labor disputes or re-negotiated labor contracts could lead to increased labor costs, either by increases in wages or benefits or by changes in work rules that raise hotel operating costs. Furthermore, labor agreements may limit the ability of our third-party hotel managers to reduce the size of hotel workforces during an economic downturn because collective bargaining agreements are negotiated between the third-party hotel managers and labor unions. We do not have the ability to control the outcome of these negotiations.</w:t>
      </w:r>
    </w:p>
    <w:p>
      <w:pPr>
        <w:spacing w:after="0" w:line="185"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b w:val="1"/>
          <w:bCs w:val="1"/>
          <w:i w:val="1"/>
          <w:iCs w:val="1"/>
          <w:color w:val="auto"/>
        </w:rPr>
        <w:t>Our operating costs could increase if we and our hotel managers cannot attract and retain talented personnel or as the result of the loss of the services of our senior executives.</w:t>
      </w:r>
    </w:p>
    <w:p>
      <w:pPr>
        <w:spacing w:after="0" w:line="170" w:lineRule="exact"/>
        <w:rPr>
          <w:sz w:val="20"/>
          <w:szCs w:val="20"/>
          <w:color w:val="auto"/>
        </w:rPr>
      </w:pPr>
    </w:p>
    <w:p>
      <w:pPr>
        <w:ind w:left="60" w:right="179"/>
        <w:spacing w:after="0" w:line="287" w:lineRule="auto"/>
        <w:rPr>
          <w:sz w:val="20"/>
          <w:szCs w:val="20"/>
          <w:color w:val="auto"/>
        </w:rPr>
      </w:pPr>
      <w:r>
        <w:rPr>
          <w:rFonts w:ascii="Arial" w:cs="Arial" w:eastAsia="Arial" w:hAnsi="Arial"/>
          <w:sz w:val="16"/>
          <w:szCs w:val="16"/>
          <w:color w:val="auto"/>
        </w:rPr>
        <w:t>We and our third-party hotel managers compete with other companies both within and outside of the hospitality and entertainment industries for personnel. We and our hotel managers have experienced challenges hiring qualified personnel due to various factors, such as increasing wage expectations and competition for labor from other industries, and these circumstances could continue or worsen in the future to an extent and for durations that we are not able to predict. If we and our hotel managers cannot recruit, train, develop and retain sufficient numbers of associates, we could experience significant negative impacts to our operations, including low employee morale, high employee turnover and low guest satisfaction. Insufficient numbers of personnel could also limit our ability to grow and expand our businesses. Labor shortages have resulted in and could continue to result in higher wages and initial hiring costs, increasing our labor costs and those of our third-party hotel managers, which could reduce our profits and ultimately impair our ability to make distributions to our stockholders. In addition, the efforts and ability of our senior executives are important elements of maintaining our competitive position and driving future growth, and the loss of the services of one or more of our senior executives could result in challenges executing our business strategies or other adverse effects on our business.</w:t>
      </w:r>
    </w:p>
    <w:p>
      <w:pPr>
        <w:spacing w:after="0" w:line="168"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b w:val="1"/>
          <w:bCs w:val="1"/>
          <w:i w:val="1"/>
          <w:iCs w:val="1"/>
          <w:color w:val="auto"/>
        </w:rPr>
        <w:t>Any failure to protect the trademarks and intellectual property used in our business could reduce the value of our brand names and harm our business.</w:t>
      </w:r>
    </w:p>
    <w:p>
      <w:pPr>
        <w:spacing w:after="0" w:line="170" w:lineRule="exact"/>
        <w:rPr>
          <w:sz w:val="20"/>
          <w:szCs w:val="20"/>
          <w:color w:val="auto"/>
        </w:rPr>
      </w:pPr>
    </w:p>
    <w:p>
      <w:pPr>
        <w:ind w:left="60" w:right="699"/>
        <w:spacing w:after="0" w:line="308" w:lineRule="auto"/>
        <w:rPr>
          <w:sz w:val="20"/>
          <w:szCs w:val="20"/>
          <w:color w:val="auto"/>
        </w:rPr>
      </w:pPr>
      <w:r>
        <w:rPr>
          <w:rFonts w:ascii="Arial" w:cs="Arial" w:eastAsia="Arial" w:hAnsi="Arial"/>
          <w:sz w:val="17"/>
          <w:szCs w:val="17"/>
          <w:color w:val="auto"/>
        </w:rPr>
        <w:t>Third-party infringement of the Gaylord Hotels marks now owned by Marriott or the marks we own and use in our entertainment business, or the failure to enforce rights to the marks, could be damaging to our business.</w:t>
      </w:r>
    </w:p>
    <w:p>
      <w:pPr>
        <w:spacing w:after="0" w:line="146" w:lineRule="exact"/>
        <w:rPr>
          <w:sz w:val="20"/>
          <w:szCs w:val="20"/>
          <w:color w:val="auto"/>
        </w:rPr>
      </w:pPr>
    </w:p>
    <w:p>
      <w:pPr>
        <w:ind w:left="60" w:right="179"/>
        <w:spacing w:after="0" w:line="301" w:lineRule="auto"/>
        <w:rPr>
          <w:sz w:val="20"/>
          <w:szCs w:val="20"/>
          <w:color w:val="auto"/>
        </w:rPr>
      </w:pPr>
      <w:r>
        <w:rPr>
          <w:rFonts w:ascii="Arial" w:cs="Arial" w:eastAsia="Arial" w:hAnsi="Arial"/>
          <w:sz w:val="16"/>
          <w:szCs w:val="16"/>
          <w:color w:val="auto"/>
        </w:rPr>
        <w:t>The reputation and perception of the brands we use is critical to our success. If trademarks or intellectual property are misappropriated or used without authorization, the value of those brands, their reputation, our competitive advantages and our goodwill could be harmed. We regularly apply to register our trademarks in the United States. However, we cannot be certain that those trademark registrations will be granted or that the steps we take to protect our trademarks or</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color w:val="auto"/>
        </w:rPr>
        <w:t>intellectual property in the United States will be adequate to prevent others, including third parties or former employees, from copying or using our trademarks or intellectual property without authorization. Our intellectual property is also vulnerable to unauthorized use in some countries outside the United States, where local laws may not adequately protect it. Marriott owns and maintains the marks used in the Gaylord Hotels operations.</w:t>
      </w:r>
    </w:p>
    <w:p>
      <w:pPr>
        <w:spacing w:after="0" w:line="187" w:lineRule="exact"/>
        <w:rPr>
          <w:sz w:val="20"/>
          <w:szCs w:val="20"/>
          <w:color w:val="auto"/>
        </w:rPr>
      </w:pPr>
    </w:p>
    <w:p>
      <w:pPr>
        <w:ind w:left="60" w:right="79"/>
        <w:spacing w:after="0" w:line="301" w:lineRule="auto"/>
        <w:rPr>
          <w:sz w:val="20"/>
          <w:szCs w:val="20"/>
          <w:color w:val="auto"/>
        </w:rPr>
      </w:pPr>
      <w:r>
        <w:rPr>
          <w:rFonts w:ascii="Arial" w:cs="Arial" w:eastAsia="Arial" w:hAnsi="Arial"/>
          <w:sz w:val="16"/>
          <w:szCs w:val="16"/>
          <w:color w:val="auto"/>
        </w:rPr>
        <w:t>Monitoring the unauthorized use of our intellectual property is difficult. As we have in the past, we may need to resort to litigation to enforce our intellectual property rights. Litigation of this type could be costly, force us to divert our resources, lead to counterclaims or other claims against us, or otherwise harm our business. Any failure to maintain and protect trademarks and other intellectual property used in our business could reduce the value of our brands and harm our business.</w:t>
      </w:r>
    </w:p>
    <w:p>
      <w:pPr>
        <w:spacing w:after="0" w:line="157" w:lineRule="exact"/>
        <w:rPr>
          <w:sz w:val="20"/>
          <w:szCs w:val="20"/>
          <w:color w:val="auto"/>
        </w:rPr>
      </w:pPr>
    </w:p>
    <w:p>
      <w:pPr>
        <w:ind w:left="60" w:right="799"/>
        <w:spacing w:after="0" w:line="277" w:lineRule="auto"/>
        <w:rPr>
          <w:sz w:val="20"/>
          <w:szCs w:val="20"/>
          <w:color w:val="auto"/>
        </w:rPr>
      </w:pPr>
      <w:r>
        <w:rPr>
          <w:rFonts w:ascii="Arial" w:cs="Arial" w:eastAsia="Arial" w:hAnsi="Arial"/>
          <w:sz w:val="18"/>
          <w:szCs w:val="18"/>
          <w:b w:val="1"/>
          <w:bCs w:val="1"/>
          <w:i w:val="1"/>
          <w:iCs w:val="1"/>
          <w:color w:val="auto"/>
        </w:rPr>
        <w:t>Illiquidity of real estate investments could significantly impede our ability to respond to adverse changes in the performance of our hotel properties and harm our financial condition.</w:t>
      </w:r>
    </w:p>
    <w:p>
      <w:pPr>
        <w:spacing w:after="0" w:line="170" w:lineRule="exact"/>
        <w:rPr>
          <w:sz w:val="20"/>
          <w:szCs w:val="20"/>
          <w:color w:val="auto"/>
        </w:rPr>
      </w:pPr>
    </w:p>
    <w:p>
      <w:pPr>
        <w:ind w:left="60" w:right="239"/>
        <w:spacing w:after="0" w:line="263" w:lineRule="auto"/>
        <w:rPr>
          <w:sz w:val="20"/>
          <w:szCs w:val="20"/>
          <w:color w:val="auto"/>
        </w:rPr>
      </w:pPr>
      <w:r>
        <w:rPr>
          <w:rFonts w:ascii="Arial" w:cs="Arial" w:eastAsia="Arial" w:hAnsi="Arial"/>
          <w:sz w:val="18"/>
          <w:szCs w:val="18"/>
          <w:color w:val="auto"/>
        </w:rPr>
        <w:t>Because real estate investments are relatively illiquid, our ability to promptly sell one or more of our hotel properties in response to changing economic, financial and investment conditions may be limited. The real estate market is affected by many factors that are beyond our control, including:</w:t>
      </w:r>
    </w:p>
    <w:p>
      <w:pPr>
        <w:spacing w:after="0" w:line="184" w:lineRule="exact"/>
        <w:rPr>
          <w:sz w:val="20"/>
          <w:szCs w:val="20"/>
          <w:color w:val="auto"/>
        </w:rPr>
      </w:pPr>
    </w:p>
    <w:p>
      <w:pPr>
        <w:ind w:left="720" w:hanging="319"/>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 changes in international, national, regional and local economic and market conditions;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interest rates and in the availability, cost and terms of debt financing;</w:t>
      </w:r>
    </w:p>
    <w:p>
      <w:pPr>
        <w:spacing w:after="0" w:line="225" w:lineRule="exact"/>
        <w:rPr>
          <w:rFonts w:ascii="Arial" w:cs="Arial" w:eastAsia="Arial" w:hAnsi="Arial"/>
          <w:sz w:val="18"/>
          <w:szCs w:val="18"/>
          <w:color w:val="auto"/>
        </w:rPr>
      </w:pPr>
    </w:p>
    <w:p>
      <w:pPr>
        <w:ind w:left="720" w:right="519" w:hanging="319"/>
        <w:spacing w:after="0" w:line="277"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governmental laws and regulations, fiscal policies and zoning ordinances and the related costs of compliance with laws and regulations, fiscal policies and ordinances;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ongoing need for capital improvements, particularly in older structures;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operating expenses; and</w:t>
      </w:r>
    </w:p>
    <w:p>
      <w:pPr>
        <w:spacing w:after="0" w:line="225" w:lineRule="exact"/>
        <w:rPr>
          <w:rFonts w:ascii="Arial" w:cs="Arial" w:eastAsia="Arial" w:hAnsi="Arial"/>
          <w:sz w:val="18"/>
          <w:szCs w:val="18"/>
          <w:color w:val="auto"/>
        </w:rPr>
      </w:pPr>
    </w:p>
    <w:p>
      <w:pPr>
        <w:ind w:left="720" w:right="119" w:hanging="319"/>
        <w:spacing w:after="0" w:line="308" w:lineRule="auto"/>
        <w:tabs>
          <w:tab w:leader="none" w:pos="7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civil unrest, acts of God, including earthquakes, tornadoes, floods and other natural disasters, which may result in uninsured losses, and acts of war or terrorism, including the consequences of the terrorist acts.</w:t>
      </w:r>
    </w:p>
    <w:p>
      <w:pPr>
        <w:spacing w:after="0" w:line="146" w:lineRule="exact"/>
        <w:rPr>
          <w:sz w:val="20"/>
          <w:szCs w:val="20"/>
          <w:color w:val="auto"/>
        </w:rPr>
      </w:pPr>
    </w:p>
    <w:p>
      <w:pPr>
        <w:ind w:left="60" w:right="119"/>
        <w:spacing w:after="0" w:line="254" w:lineRule="auto"/>
        <w:rPr>
          <w:sz w:val="20"/>
          <w:szCs w:val="20"/>
          <w:color w:val="auto"/>
        </w:rPr>
      </w:pPr>
      <w:r>
        <w:rPr>
          <w:rFonts w:ascii="Arial" w:cs="Arial" w:eastAsia="Arial" w:hAnsi="Arial"/>
          <w:sz w:val="18"/>
          <w:szCs w:val="18"/>
          <w:color w:val="auto"/>
        </w:rPr>
        <w:t>We may decide in the future to sell one or more of our hotel properties. We cannot predict whether we will be able to sell any hotel property for the price or on the terms set by us, or whether any price or other terms offered by a prospective purchaser would be acceptable to us. We also cannot predict the length of time needed to find a willing purchaser and to close the sale of a hotel property. Further, as a REIT, we are subject to a 100% excise tax on net income derived from prohibited transactions, including the sale of property (other than foreclosure property) held primarily for sale to customers in the ordinary course. There can be no assurances that the IRS will not contend that the sale of a hotel is subject to this 100% excise tax.</w:t>
      </w:r>
    </w:p>
    <w:p>
      <w:pPr>
        <w:spacing w:after="0" w:line="195" w:lineRule="exact"/>
        <w:rPr>
          <w:sz w:val="20"/>
          <w:szCs w:val="20"/>
          <w:color w:val="auto"/>
        </w:rPr>
      </w:pPr>
    </w:p>
    <w:p>
      <w:pPr>
        <w:ind w:left="60" w:right="159"/>
        <w:spacing w:after="0" w:line="272" w:lineRule="auto"/>
        <w:rPr>
          <w:sz w:val="20"/>
          <w:szCs w:val="20"/>
          <w:color w:val="auto"/>
        </w:rPr>
      </w:pPr>
      <w:r>
        <w:rPr>
          <w:rFonts w:ascii="Arial" w:cs="Arial" w:eastAsia="Arial" w:hAnsi="Arial"/>
          <w:sz w:val="17"/>
          <w:szCs w:val="17"/>
          <w:color w:val="auto"/>
        </w:rPr>
        <w:t>We may be required to expend funds to correct defects or to make improvements before a hotel property can be sold. We cannot assure you that we will have funds available to correct those defects or to make those improvements. In acquiring a hotel, we may agree to lock-out provisions that materially restrict us from selling that hotel for a period of time or impose other restrictions, such as a limitation on the amount of debt that can be placed or repaid on that hotel. These factors and any others that would impede our ability to respond to adverse changes in the performance of our hotel properties could have a material adverse effect on our operating results and financial condition, as well as the amount of cash available for distributions to our stockholders.</w:t>
      </w:r>
    </w:p>
    <w:p>
      <w:pPr>
        <w:spacing w:after="0" w:line="177"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b w:val="1"/>
          <w:bCs w:val="1"/>
          <w:i w:val="1"/>
          <w:iCs w:val="1"/>
          <w:color w:val="auto"/>
        </w:rPr>
        <w:t>Our operating results and ability to service debt and make distributions to our stockholders may be adversely affected by various operating risks common to the lodging industry.</w:t>
      </w:r>
    </w:p>
    <w:p>
      <w:pPr>
        <w:spacing w:after="0" w:line="170" w:lineRule="exact"/>
        <w:rPr>
          <w:sz w:val="20"/>
          <w:szCs w:val="20"/>
          <w:color w:val="auto"/>
        </w:rPr>
      </w:pPr>
    </w:p>
    <w:p>
      <w:pPr>
        <w:ind w:left="60" w:right="719"/>
        <w:spacing w:after="0" w:line="342" w:lineRule="auto"/>
        <w:rPr>
          <w:sz w:val="20"/>
          <w:szCs w:val="20"/>
          <w:color w:val="auto"/>
        </w:rPr>
      </w:pPr>
      <w:r>
        <w:rPr>
          <w:rFonts w:ascii="Arial" w:cs="Arial" w:eastAsia="Arial" w:hAnsi="Arial"/>
          <w:sz w:val="16"/>
          <w:szCs w:val="16"/>
          <w:color w:val="auto"/>
        </w:rPr>
        <w:t>Our hotel properties have different economic characteristics than many other real estate assets, and a hotel REIT is structured differently than many other types of REITs. A typical office property owner, for example, has long-term</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93" w:lineRule="auto"/>
        <w:rPr>
          <w:sz w:val="20"/>
          <w:szCs w:val="20"/>
          <w:color w:val="auto"/>
        </w:rPr>
      </w:pPr>
      <w:r>
        <w:rPr>
          <w:rFonts w:ascii="Arial" w:cs="Arial" w:eastAsia="Arial" w:hAnsi="Arial"/>
          <w:sz w:val="16"/>
          <w:szCs w:val="16"/>
          <w:color w:val="auto"/>
        </w:rPr>
        <w:t>leases with third-party tenants, which provide a relatively stable long-term stream of revenue. Our TRS lessees, on the other hand, do not enter into a lease with a third-party hotel manager. Instead, our TRS lessees engage our third-party managers pursuant to hotel management agreements and pay the third-party hotel managers fees for managing our hotel properties. The TRS lessees receive all the operating profit or losses at our hotel properties, net of fees and reimbursements. Moreover, virtually all hotel guests stay at a hotel for only a few nights at a time, so the rate and occupancy at each of our hotel properties may change every day. As a result, we may have highly volatile earnings.</w:t>
      </w:r>
    </w:p>
    <w:p>
      <w:pPr>
        <w:spacing w:after="0" w:line="164"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color w:val="auto"/>
        </w:rPr>
        <w:t>In addition, our hotel properties are subject to various operating risks common to the lodging industry, many of which are beyond our or a manager’s control, including the following:</w:t>
      </w:r>
    </w:p>
    <w:p>
      <w:pPr>
        <w:spacing w:after="0" w:line="170" w:lineRule="exact"/>
        <w:rPr>
          <w:sz w:val="20"/>
          <w:szCs w:val="20"/>
          <w:color w:val="auto"/>
        </w:rPr>
      </w:pPr>
    </w:p>
    <w:p>
      <w:pPr>
        <w:ind w:left="720" w:hanging="319"/>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competition from other hotel properties and publicly-financed civic convention centers in our markets;</w:t>
      </w:r>
    </w:p>
    <w:p>
      <w:pPr>
        <w:spacing w:after="0" w:line="225" w:lineRule="exact"/>
        <w:rPr>
          <w:rFonts w:ascii="Arial" w:cs="Arial" w:eastAsia="Arial" w:hAnsi="Arial"/>
          <w:sz w:val="18"/>
          <w:szCs w:val="18"/>
          <w:color w:val="auto"/>
        </w:rPr>
      </w:pPr>
    </w:p>
    <w:p>
      <w:pPr>
        <w:ind w:left="720" w:right="739" w:hanging="319"/>
        <w:spacing w:after="0" w:line="277"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over-building of hotels in our markets, which could adversely affect occupancy and revenues at our hotel properties;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dependence on business and commercial travelers and tourism;</w:t>
      </w:r>
    </w:p>
    <w:p>
      <w:pPr>
        <w:spacing w:after="0" w:line="225" w:lineRule="exact"/>
        <w:rPr>
          <w:rFonts w:ascii="Arial" w:cs="Arial" w:eastAsia="Arial" w:hAnsi="Arial"/>
          <w:sz w:val="18"/>
          <w:szCs w:val="18"/>
          <w:color w:val="auto"/>
        </w:rPr>
      </w:pPr>
    </w:p>
    <w:p>
      <w:pPr>
        <w:ind w:left="720" w:right="459" w:hanging="319"/>
        <w:spacing w:after="0" w:line="277"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increases in energy costs and other expenses affecting travel, which may affect travel patterns and reduce the number of business and commercial travelers and tourists;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increases in operating costs due to inflation and other factors that may not be offset by increased room rates;</w:t>
      </w:r>
    </w:p>
    <w:p>
      <w:pPr>
        <w:spacing w:after="0" w:line="248" w:lineRule="exact"/>
        <w:rPr>
          <w:rFonts w:ascii="Arial" w:cs="Arial" w:eastAsia="Arial" w:hAnsi="Arial"/>
          <w:sz w:val="16"/>
          <w:szCs w:val="16"/>
          <w:color w:val="auto"/>
        </w:rPr>
      </w:pPr>
    </w:p>
    <w:p>
      <w:pPr>
        <w:ind w:left="720" w:hanging="319"/>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interest rates and in the availability, cost and terms of debt financing;</w:t>
      </w:r>
    </w:p>
    <w:p>
      <w:pPr>
        <w:spacing w:after="0" w:line="225" w:lineRule="exact"/>
        <w:rPr>
          <w:rFonts w:ascii="Arial" w:cs="Arial" w:eastAsia="Arial" w:hAnsi="Arial"/>
          <w:sz w:val="18"/>
          <w:szCs w:val="18"/>
          <w:color w:val="auto"/>
        </w:rPr>
      </w:pPr>
    </w:p>
    <w:p>
      <w:pPr>
        <w:ind w:left="720" w:right="519" w:hanging="319"/>
        <w:spacing w:after="0" w:line="277"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governmental laws and regulations, fiscal policies and zoning ordinances and the related costs of compliance with laws and regulations, fiscal policies and ordinances;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effects of international, national, regional and local economic and market conditions;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the use of Internet travel intermediaries by consumers;</w:t>
      </w:r>
    </w:p>
    <w:p>
      <w:pPr>
        <w:spacing w:after="0" w:line="225" w:lineRule="exact"/>
        <w:rPr>
          <w:rFonts w:ascii="Arial" w:cs="Arial" w:eastAsia="Arial" w:hAnsi="Arial"/>
          <w:sz w:val="18"/>
          <w:szCs w:val="18"/>
          <w:color w:val="auto"/>
        </w:rPr>
      </w:pPr>
    </w:p>
    <w:p>
      <w:pPr>
        <w:ind w:left="720" w:right="179" w:hanging="319"/>
        <w:spacing w:after="0" w:line="257"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unforeseen events beyond our control, such as terrorist attacks, travel-related health concerns including pandemics and epidemics (including a widespread outbreak of new COVID-19 variants in the United States), political instability, regional hostilities, imposition of taxes or surcharges by regulatory authorities, travel-related accidents and unusual weather patterns, including natural disasters, such as hurricanes, earthquakes and tornadoes;</w:t>
      </w:r>
    </w:p>
    <w:p>
      <w:pPr>
        <w:spacing w:after="0" w:line="187" w:lineRule="exact"/>
        <w:rPr>
          <w:rFonts w:ascii="Arial" w:cs="Arial" w:eastAsia="Arial" w:hAnsi="Arial"/>
          <w:sz w:val="18"/>
          <w:szCs w:val="18"/>
          <w:color w:val="auto"/>
        </w:rPr>
      </w:pPr>
    </w:p>
    <w:p>
      <w:pPr>
        <w:ind w:left="720" w:hanging="319"/>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effects of a downturn in the lodging industry;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generally associated with the ownership of hotels and real estate.</w:t>
      </w:r>
    </w:p>
    <w:p>
      <w:pPr>
        <w:spacing w:after="0" w:line="225"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color w:val="auto"/>
        </w:rPr>
        <w:t>These factors could reduce the net operating profits of our TRS lessees, which in turn could adversely affect the amount and frequency of distributions we make to our stockholders and our ability to service our debt.</w:t>
      </w:r>
    </w:p>
    <w:p>
      <w:pPr>
        <w:spacing w:after="0" w:line="170" w:lineRule="exact"/>
        <w:rPr>
          <w:sz w:val="20"/>
          <w:szCs w:val="20"/>
          <w:color w:val="auto"/>
        </w:rPr>
      </w:pPr>
    </w:p>
    <w:p>
      <w:pPr>
        <w:ind w:left="60" w:right="259"/>
        <w:spacing w:after="0" w:line="308" w:lineRule="auto"/>
        <w:rPr>
          <w:sz w:val="20"/>
          <w:szCs w:val="20"/>
          <w:color w:val="auto"/>
        </w:rPr>
      </w:pPr>
      <w:r>
        <w:rPr>
          <w:rFonts w:ascii="Arial" w:cs="Arial" w:eastAsia="Arial" w:hAnsi="Arial"/>
          <w:sz w:val="17"/>
          <w:szCs w:val="17"/>
          <w:b w:val="1"/>
          <w:bCs w:val="1"/>
          <w:i w:val="1"/>
          <w:iCs w:val="1"/>
          <w:color w:val="auto"/>
        </w:rPr>
        <w:t>We may fail to complete the acquisition of Block 21 on a timely basis or at all, and our financial and operating results may suffer if we are unsuccessful in integrating Block 21 assets with our existing assets.</w:t>
      </w:r>
    </w:p>
    <w:p>
      <w:pPr>
        <w:spacing w:after="0" w:line="146" w:lineRule="exact"/>
        <w:rPr>
          <w:sz w:val="20"/>
          <w:szCs w:val="20"/>
          <w:color w:val="auto"/>
        </w:rPr>
      </w:pPr>
    </w:p>
    <w:p>
      <w:pPr>
        <w:ind w:left="60" w:right="139"/>
        <w:spacing w:after="0" w:line="273" w:lineRule="auto"/>
        <w:rPr>
          <w:sz w:val="20"/>
          <w:szCs w:val="20"/>
          <w:color w:val="auto"/>
        </w:rPr>
      </w:pPr>
      <w:r>
        <w:rPr>
          <w:rFonts w:ascii="Arial" w:cs="Arial" w:eastAsia="Arial" w:hAnsi="Arial"/>
          <w:sz w:val="17"/>
          <w:szCs w:val="17"/>
          <w:color w:val="auto"/>
        </w:rPr>
        <w:t>In October 2021, we entered into an agreement to purchase Block 21, a mixed-use entertainment, lodging, office and retail complex located in Austin, Texas, for $260 million, which includes the assumption of approximately $135 million of existing mortgage debt (collectively, the “Block 21 Acquisition”). Although we expect to complete the Block 21 Acquisition in first quarter 2022, the completion of the Block 21 Acquisition is subject to customary closing requirements and conditions and there can be no assurance that the Block 21 Acquisition will be completed on the anticipated schedule or at all. If we fail to consummate the Block 21 Acquisition or should the completion of the Block</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6" w:lineRule="auto"/>
        <w:rPr>
          <w:sz w:val="20"/>
          <w:szCs w:val="20"/>
          <w:color w:val="auto"/>
        </w:rPr>
      </w:pPr>
      <w:r>
        <w:rPr>
          <w:rFonts w:ascii="Arial" w:cs="Arial" w:eastAsia="Arial" w:hAnsi="Arial"/>
          <w:sz w:val="16"/>
          <w:szCs w:val="16"/>
          <w:color w:val="auto"/>
        </w:rPr>
        <w:t>21 Acquisition be significantly delayed, we will have expended significant resources without realizing all or a portion of the intended economic benefits of the Block 21 Acquisition. Even if we consummate the Block 21 Acquisition, we may not realize the intended economic benefits. Any failure to complete the Block 21 Acquisition could have a negative impact on our business, financial condition, results of operations and our ability to make distributions to our stockholders. In addition, if we are unable to successfully integrate the assets acquired in the Block 21 Acquisition with our existing assets in an efficient and effective manner following the completions of the Block 21 Acquisition, the anticipated benefits of the Block 21 Acquisition may not be realized fully, or at all, or may take longer to realize than expected. Further, the integration of the Block 21 assets with our existing assets will require the dedication of significant management resources, which may distract management’s attention from day-to-day business operations. Austin, Texas is a new market for us, and our relative unfamiliarity with the market may result in additional time and expense to gain familiarity with the market and maximize operations. An inability to realize the full extent of the anticipated benefits of the Block 21 Acquisition or any delays encountered in the integration process could have an adverse effect on our business, financial condition, results of operations and our ability to make distributions to our stockholders.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Relating to Our Status as a REIT</w:t>
      </w:r>
    </w:p>
    <w:p>
      <w:pPr>
        <w:spacing w:after="0" w:line="229"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b w:val="1"/>
          <w:bCs w:val="1"/>
          <w:i w:val="1"/>
          <w:iCs w:val="1"/>
          <w:color w:val="auto"/>
        </w:rPr>
        <w:t>If we fail to remain qualified as a REIT, we would be subject to tax at corporate income tax rates and would not be able to deduct distributions to stockholders when computing our taxable income.</w:t>
      </w:r>
    </w:p>
    <w:p>
      <w:pPr>
        <w:spacing w:after="0" w:line="170" w:lineRule="exact"/>
        <w:rPr>
          <w:sz w:val="20"/>
          <w:szCs w:val="20"/>
          <w:color w:val="auto"/>
        </w:rPr>
      </w:pPr>
    </w:p>
    <w:p>
      <w:pPr>
        <w:ind w:left="60" w:right="359"/>
        <w:spacing w:after="0" w:line="277" w:lineRule="auto"/>
        <w:rPr>
          <w:sz w:val="20"/>
          <w:szCs w:val="20"/>
          <w:color w:val="auto"/>
        </w:rPr>
      </w:pPr>
      <w:r>
        <w:rPr>
          <w:rFonts w:ascii="Arial" w:cs="Arial" w:eastAsia="Arial" w:hAnsi="Arial"/>
          <w:sz w:val="18"/>
          <w:szCs w:val="18"/>
          <w:color w:val="auto"/>
        </w:rPr>
        <w:t>If, in any taxable year, we fail to qualify for taxation as a REIT, and are not entitled to relief under the Internal Revenue Code of 1986, as amended (the “Code”):</w:t>
      </w:r>
    </w:p>
    <w:p>
      <w:pPr>
        <w:spacing w:after="0" w:line="170" w:lineRule="exact"/>
        <w:rPr>
          <w:sz w:val="20"/>
          <w:szCs w:val="20"/>
          <w:color w:val="auto"/>
        </w:rPr>
      </w:pPr>
    </w:p>
    <w:p>
      <w:pPr>
        <w:ind w:left="720" w:hanging="319"/>
        <w:spacing w:after="0"/>
        <w:tabs>
          <w:tab w:leader="none" w:pos="7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would not be allowed a deduction for distributions to stockholders in computing our taxable income; and</w:t>
      </w:r>
    </w:p>
    <w:p>
      <w:pPr>
        <w:spacing w:after="0" w:line="236" w:lineRule="exact"/>
        <w:rPr>
          <w:rFonts w:ascii="Arial" w:cs="Arial" w:eastAsia="Arial" w:hAnsi="Arial"/>
          <w:sz w:val="17"/>
          <w:szCs w:val="17"/>
          <w:color w:val="auto"/>
        </w:rPr>
      </w:pPr>
    </w:p>
    <w:p>
      <w:pPr>
        <w:ind w:left="720" w:hanging="319"/>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would be subject to federal and state income tax on our taxable income at regular corporate rates.</w:t>
      </w:r>
    </w:p>
    <w:p>
      <w:pPr>
        <w:spacing w:after="0" w:line="225"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color w:val="auto"/>
        </w:rPr>
        <w:t>Any such corporate tax liability could be substantial and would reduce the amount of cash available for other purposes. This adverse impact could last for five or more years. Unless we are entitled to relief under certain statutory provisions, we would be taxable as a C corporation beginning in the year in which the failure occurs, and we would not be allowed to re-elect to be taxed as a REIT for the following four years.</w:t>
      </w:r>
    </w:p>
    <w:p>
      <w:pPr>
        <w:spacing w:after="0" w:line="187" w:lineRule="exact"/>
        <w:rPr>
          <w:sz w:val="20"/>
          <w:szCs w:val="20"/>
          <w:color w:val="auto"/>
        </w:rPr>
      </w:pPr>
    </w:p>
    <w:p>
      <w:pPr>
        <w:ind w:left="60" w:right="279"/>
        <w:spacing w:after="0" w:line="342" w:lineRule="auto"/>
        <w:rPr>
          <w:sz w:val="20"/>
          <w:szCs w:val="20"/>
          <w:color w:val="auto"/>
        </w:rPr>
      </w:pPr>
      <w:r>
        <w:rPr>
          <w:rFonts w:ascii="Arial" w:cs="Arial" w:eastAsia="Arial" w:hAnsi="Arial"/>
          <w:sz w:val="16"/>
          <w:szCs w:val="16"/>
          <w:color w:val="auto"/>
        </w:rPr>
        <w:t>If we fail to qualify for taxation as a REIT, we may need to borrow additional funds or liquidate certain assets to pay any additional tax liability. Accordingly, funds available for investment or distribution to stockholders would be reduced.</w:t>
      </w:r>
    </w:p>
    <w:p>
      <w:pPr>
        <w:spacing w:after="0" w:line="124" w:lineRule="exact"/>
        <w:rPr>
          <w:sz w:val="20"/>
          <w:szCs w:val="20"/>
          <w:color w:val="auto"/>
        </w:rPr>
      </w:pPr>
    </w:p>
    <w:p>
      <w:pPr>
        <w:ind w:left="60" w:right="299"/>
        <w:spacing w:after="0" w:line="301" w:lineRule="auto"/>
        <w:rPr>
          <w:sz w:val="20"/>
          <w:szCs w:val="20"/>
          <w:color w:val="auto"/>
        </w:rPr>
      </w:pPr>
      <w:r>
        <w:rPr>
          <w:rFonts w:ascii="Arial" w:cs="Arial" w:eastAsia="Arial" w:hAnsi="Arial"/>
          <w:sz w:val="16"/>
          <w:szCs w:val="16"/>
          <w:color w:val="auto"/>
        </w:rPr>
        <w:t>REIT qualification involves the application of highly technical and complex provisions of the Code to our operations, as well as various factual determinations concerning matters and circumstances not entirely within our control. There are limited judicial or administrative interpretations of these provisions. Although we plan to operate in a manner consistent with the REIT qualification rules, we cannot assure you that we will so qualify or remain so qualified.</w:t>
      </w:r>
    </w:p>
    <w:p>
      <w:pPr>
        <w:spacing w:after="0" w:line="157" w:lineRule="exact"/>
        <w:rPr>
          <w:sz w:val="20"/>
          <w:szCs w:val="20"/>
          <w:color w:val="auto"/>
        </w:rPr>
      </w:pPr>
    </w:p>
    <w:p>
      <w:pPr>
        <w:ind w:left="60" w:right="379"/>
        <w:spacing w:after="0" w:line="277" w:lineRule="auto"/>
        <w:rPr>
          <w:sz w:val="20"/>
          <w:szCs w:val="20"/>
          <w:color w:val="auto"/>
        </w:rPr>
      </w:pPr>
      <w:r>
        <w:rPr>
          <w:rFonts w:ascii="Arial" w:cs="Arial" w:eastAsia="Arial" w:hAnsi="Arial"/>
          <w:sz w:val="18"/>
          <w:szCs w:val="18"/>
          <w:b w:val="1"/>
          <w:bCs w:val="1"/>
          <w:i w:val="1"/>
          <w:iCs w:val="1"/>
          <w:color w:val="auto"/>
        </w:rPr>
        <w:t>As a REIT, failure to make required distributions to our stockholders would subject us to federal and state corporate income tax.</w:t>
      </w:r>
    </w:p>
    <w:p>
      <w:pPr>
        <w:spacing w:after="0" w:line="170" w:lineRule="exact"/>
        <w:rPr>
          <w:sz w:val="20"/>
          <w:szCs w:val="20"/>
          <w:color w:val="auto"/>
        </w:rPr>
      </w:pPr>
    </w:p>
    <w:p>
      <w:pPr>
        <w:ind w:left="60" w:right="59"/>
        <w:spacing w:after="0" w:line="269" w:lineRule="auto"/>
        <w:rPr>
          <w:sz w:val="20"/>
          <w:szCs w:val="20"/>
          <w:color w:val="auto"/>
        </w:rPr>
      </w:pPr>
      <w:r>
        <w:rPr>
          <w:rFonts w:ascii="Arial" w:cs="Arial" w:eastAsia="Arial" w:hAnsi="Arial"/>
          <w:sz w:val="17"/>
          <w:szCs w:val="17"/>
          <w:color w:val="auto"/>
        </w:rPr>
        <w:t>Prior to 2012, we had not paid a cash distribution on our common stock since 1999. Beginning in 2013 we declared, and we intend to continue to declare when appropriate, regular quarterly distributions, the amount of which will be determined, and will be subject to adjustment, by our board of directors. Our board of directors formerly maintained a dividend policy pursuant to which we paid a quarterly cash dividend in an amount equal to an annualized payment of at least 50% of adjusted funds from operations (as defined by us) less maintenance capital expenditures or 100% of REIT taxable income on an annual basis, whichever is greater. Our dividend policy may be altered at any time by our board of directors, and certain provisions of our debt agreements may prohibit us from paying dividends in accordance with the policy. In 2020, we suspended our regular quarterly dividend, and our regular quarterly dividend currently remains suspended. To qualify as a REIT, we are generally required to distribute at least 90% of our REIT taxable income (determined without regard to the dividends paid deduction and excluding net capital gains) each year to our stockholders. If our cash available for distribution falls short of our estimates, we may be unable to maintain the proposed quarterly distributions that approximate our taxable income and may fail to qualify for taxation as a REIT. In</w:t>
      </w:r>
    </w:p>
    <w:p>
      <w:pPr>
        <w:sectPr>
          <w:pgSz w:w="11900" w:h="16838" w:orient="portrait"/>
          <w:cols w:equalWidth="0" w:num="1">
            <w:col w:w="9019"/>
          </w:cols>
          <w:pgMar w:left="1440" w:top="517" w:right="1440"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3" w:lineRule="auto"/>
        <w:rPr>
          <w:sz w:val="20"/>
          <w:szCs w:val="20"/>
          <w:color w:val="auto"/>
        </w:rPr>
      </w:pPr>
      <w:r>
        <w:rPr>
          <w:rFonts w:ascii="Arial" w:cs="Arial" w:eastAsia="Arial" w:hAnsi="Arial"/>
          <w:sz w:val="18"/>
          <w:szCs w:val="18"/>
          <w:color w:val="auto"/>
        </w:rPr>
        <w:t>addition, our cash flows from operations may be insufficient to fund required distributions as a result of differences in timing between the actual receipt of income and the recognition of income for federal and state income tax purposes, or the effect of nondeductible expenditures.</w:t>
      </w:r>
    </w:p>
    <w:p>
      <w:pPr>
        <w:spacing w:after="0" w:line="184"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color w:val="auto"/>
        </w:rPr>
        <w:t>To the extent that we satisfy the 90% distribution requirement, but distribute less than 100% of our REIT taxable income, we will be subject to federal and state corporate income tax on our undistributed taxable income. In addition, we will be subject to a 4% nondeductible excise tax if the actual amount that we pay out to our stockholders for a calendar year is less than a minimum amount specified under the Code.</w:t>
      </w:r>
    </w:p>
    <w:p>
      <w:pPr>
        <w:spacing w:after="0" w:line="187" w:lineRule="exact"/>
        <w:rPr>
          <w:sz w:val="20"/>
          <w:szCs w:val="20"/>
          <w:color w:val="auto"/>
        </w:rPr>
      </w:pPr>
    </w:p>
    <w:p>
      <w:pPr>
        <w:jc w:val="both"/>
        <w:ind w:left="60" w:right="239"/>
        <w:spacing w:after="0" w:line="263" w:lineRule="auto"/>
        <w:rPr>
          <w:sz w:val="20"/>
          <w:szCs w:val="20"/>
          <w:color w:val="auto"/>
        </w:rPr>
      </w:pPr>
      <w:r>
        <w:rPr>
          <w:rFonts w:ascii="Arial" w:cs="Arial" w:eastAsia="Arial" w:hAnsi="Arial"/>
          <w:sz w:val="18"/>
          <w:szCs w:val="18"/>
          <w:b w:val="1"/>
          <w:bCs w:val="1"/>
          <w:i w:val="1"/>
          <w:iCs w:val="1"/>
          <w:color w:val="auto"/>
        </w:rPr>
        <w:t>Even though we are conducting our business as a REIT, certain of our business activities will be subject to corporate level income tax, which will continue to reduce our cash flows, and we will have potential deferred and contingent tax liabilities.</w:t>
      </w:r>
    </w:p>
    <w:p>
      <w:pPr>
        <w:spacing w:after="0" w:line="184" w:lineRule="exact"/>
        <w:rPr>
          <w:sz w:val="20"/>
          <w:szCs w:val="20"/>
          <w:color w:val="auto"/>
        </w:rPr>
      </w:pPr>
    </w:p>
    <w:p>
      <w:pPr>
        <w:ind w:left="60" w:right="219"/>
        <w:spacing w:after="0" w:line="301" w:lineRule="auto"/>
        <w:rPr>
          <w:sz w:val="20"/>
          <w:szCs w:val="20"/>
          <w:color w:val="auto"/>
        </w:rPr>
      </w:pPr>
      <w:r>
        <w:rPr>
          <w:rFonts w:ascii="Arial" w:cs="Arial" w:eastAsia="Arial" w:hAnsi="Arial"/>
          <w:sz w:val="16"/>
          <w:szCs w:val="16"/>
          <w:color w:val="auto"/>
        </w:rPr>
        <w:t>Even though we are conducting our business as a REIT, we may be subject to certain federal, state, and local taxes on our income and assets, taxes on any undistributed income, and state or local income, franchise, property and transfer taxes. In addition, we could in certain circumstances be required to pay an excise or penalty tax, which could be significant in amount, to utilize one or more relief provisions under the Code to maintain qualification for taxation as a REIT.</w:t>
      </w:r>
    </w:p>
    <w:p>
      <w:pPr>
        <w:spacing w:after="0" w:line="157" w:lineRule="exact"/>
        <w:rPr>
          <w:sz w:val="20"/>
          <w:szCs w:val="20"/>
          <w:color w:val="auto"/>
        </w:rPr>
      </w:pPr>
    </w:p>
    <w:p>
      <w:pPr>
        <w:ind w:left="60" w:right="99"/>
        <w:spacing w:after="0" w:line="293" w:lineRule="auto"/>
        <w:rPr>
          <w:sz w:val="20"/>
          <w:szCs w:val="20"/>
          <w:color w:val="auto"/>
        </w:rPr>
      </w:pPr>
      <w:r>
        <w:rPr>
          <w:rFonts w:ascii="Arial" w:cs="Arial" w:eastAsia="Arial" w:hAnsi="Arial"/>
          <w:sz w:val="16"/>
          <w:szCs w:val="16"/>
          <w:color w:val="auto"/>
        </w:rPr>
        <w:t>Our business related to the non-real estate assets of our Hospitality segment and the assets of our Entertainment segment is conducted through wholly-owned TRSs because these activities could generate non-qualifying REIT income as historically structured and operated. Those TRS assets and operations continue to be subject, as applicable, to federal and state corporate income taxes in the jurisdictions in which those assets and operations are located. Any of these taxes would decrease our earnings and our available cash. In addition, net operating losses in any of our TRSs generally will not provide any tax benefit, except for use against current or future taxable income in the TRSs.</w:t>
      </w:r>
    </w:p>
    <w:p>
      <w:pPr>
        <w:spacing w:after="0" w:line="164"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b w:val="1"/>
          <w:bCs w:val="1"/>
          <w:i w:val="1"/>
          <w:iCs w:val="1"/>
          <w:color w:val="auto"/>
        </w:rPr>
        <w:t>Complying with REIT requirements may limit our ability to hedge effectively and increase the costs of our hedging, and may cause us to incur tax liabilities.</w:t>
      </w:r>
    </w:p>
    <w:p>
      <w:pPr>
        <w:spacing w:after="0" w:line="170" w:lineRule="exact"/>
        <w:rPr>
          <w:sz w:val="20"/>
          <w:szCs w:val="20"/>
          <w:color w:val="auto"/>
        </w:rPr>
      </w:pPr>
    </w:p>
    <w:p>
      <w:pPr>
        <w:ind w:left="60" w:right="119"/>
        <w:spacing w:after="0" w:line="270" w:lineRule="auto"/>
        <w:rPr>
          <w:sz w:val="20"/>
          <w:szCs w:val="20"/>
          <w:color w:val="auto"/>
        </w:rPr>
      </w:pPr>
      <w:r>
        <w:rPr>
          <w:rFonts w:ascii="Arial" w:cs="Arial" w:eastAsia="Arial" w:hAnsi="Arial"/>
          <w:sz w:val="17"/>
          <w:szCs w:val="17"/>
          <w:color w:val="auto"/>
        </w:rPr>
        <w:t>The REIT provisions of the Code limit our ability to hedge liabilities. Generally, income from hedging transactions that we enter into to manage risk of interest rate changes with respect to borrowings made or to be made to acquire or carry real estate assets and income from certain currency hedging transactions related to any non-U.S. operations do not constitute “gross income” for purposes of the REIT gross income tests. To the extent that we enter into other types of hedging transactions, the income from those transactions is likely to be treated as non-qualifying income for purposes of the REIT gross income tests. As a result of these rules, we may need to limit our use of advantageous hedging techniques or implement those hedges through a TRS. This could increase the cost of our hedging activities because our TRSs would be subject to tax on income or gains resulting from hedges entered into by them or expose us to greater risks associated with changes in interest rates than we would otherwise want to bear.</w:t>
      </w:r>
    </w:p>
    <w:p>
      <w:pPr>
        <w:spacing w:after="0" w:line="181" w:lineRule="exact"/>
        <w:rPr>
          <w:sz w:val="20"/>
          <w:szCs w:val="20"/>
          <w:color w:val="auto"/>
        </w:rPr>
      </w:pPr>
    </w:p>
    <w:p>
      <w:pPr>
        <w:ind w:left="60" w:right="139"/>
        <w:spacing w:after="0" w:line="308" w:lineRule="auto"/>
        <w:rPr>
          <w:sz w:val="20"/>
          <w:szCs w:val="20"/>
          <w:color w:val="auto"/>
        </w:rPr>
      </w:pPr>
      <w:r>
        <w:rPr>
          <w:rFonts w:ascii="Arial" w:cs="Arial" w:eastAsia="Arial" w:hAnsi="Arial"/>
          <w:sz w:val="17"/>
          <w:szCs w:val="17"/>
          <w:b w:val="1"/>
          <w:bCs w:val="1"/>
          <w:i w:val="1"/>
          <w:iCs w:val="1"/>
          <w:color w:val="auto"/>
        </w:rPr>
        <w:t>U.S. federal tax reform legislation could affect REITs generally, the geographic markets in which we operate, our stock and our results of operations, both positively and negatively in ways that are difficult to anticipate.</w:t>
      </w:r>
    </w:p>
    <w:p>
      <w:pPr>
        <w:spacing w:after="0" w:line="146" w:lineRule="exact"/>
        <w:rPr>
          <w:sz w:val="20"/>
          <w:szCs w:val="20"/>
          <w:color w:val="auto"/>
        </w:rPr>
      </w:pPr>
    </w:p>
    <w:p>
      <w:pPr>
        <w:ind w:left="60" w:right="99"/>
        <w:spacing w:after="0" w:line="291" w:lineRule="auto"/>
        <w:rPr>
          <w:sz w:val="20"/>
          <w:szCs w:val="20"/>
          <w:color w:val="auto"/>
        </w:rPr>
      </w:pPr>
      <w:r>
        <w:rPr>
          <w:rFonts w:ascii="Arial" w:cs="Arial" w:eastAsia="Arial" w:hAnsi="Arial"/>
          <w:sz w:val="16"/>
          <w:szCs w:val="16"/>
          <w:color w:val="auto"/>
        </w:rPr>
        <w:t>In 2017, the U.S. Congress passed tax reform legislation that made significant changes to corporate and individual tax rates and the calculations of taxes, as well as international tax rules for U.S. domestic corporations. In addition, it is uncertain if and to what extent various states will conform to this legislation. As a REIT, we are generally not required to pay federal taxes otherwise applicable to regular corporations (except for income related to our TRSs) if we comply with the various tax regulations governing REITs. Stockholders, however, are generally required to pay taxes on REIT dividends. Tax reform legislation will continue to affect the way in which dividends paid on shares of our common stock are taxed and could impact our stock price or how stockholders and potential investors view an investment in REITs generally.</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Legislative or other actions affecting REITs could have a negative effect on us or our stockholders.</w:t>
      </w:r>
    </w:p>
    <w:p>
      <w:pPr>
        <w:spacing w:after="0" w:line="225" w:lineRule="exact"/>
        <w:rPr>
          <w:sz w:val="20"/>
          <w:szCs w:val="20"/>
          <w:color w:val="auto"/>
        </w:rPr>
      </w:pPr>
    </w:p>
    <w:p>
      <w:pPr>
        <w:ind w:left="60" w:right="79"/>
        <w:spacing w:after="0" w:line="254" w:lineRule="auto"/>
        <w:rPr>
          <w:sz w:val="20"/>
          <w:szCs w:val="20"/>
          <w:color w:val="auto"/>
        </w:rPr>
      </w:pPr>
      <w:r>
        <w:rPr>
          <w:rFonts w:ascii="Arial" w:cs="Arial" w:eastAsia="Arial" w:hAnsi="Arial"/>
          <w:sz w:val="18"/>
          <w:szCs w:val="18"/>
          <w:color w:val="auto"/>
        </w:rPr>
        <w:t>At any time, the federal income tax laws governing REITs or the administrative interpretations of those laws may be amended. Federal and state tax laws are constantly under review by persons involved in the legislative process, the IRS, the United States Department of the Treasury and state taxing authorities. Changes to the tax laws, regulations and administrative interpretations, which may have retroactive application, could adversely affect us. We cannot predict with certainty whether, when, in what forms, or with what effective dates, the tax laws, regulations and administrative interpretations applicable to us may be changed. Accordingly, we cannot assure you that any such change will not significantly affect our ability to qualify for taxation as a REIT or the federal income tax consequences to us of such qualification.</w:t>
      </w:r>
    </w:p>
    <w:p>
      <w:pPr>
        <w:spacing w:after="0" w:line="192" w:lineRule="exact"/>
        <w:rPr>
          <w:sz w:val="20"/>
          <w:szCs w:val="20"/>
          <w:color w:val="auto"/>
        </w:rPr>
      </w:pPr>
    </w:p>
    <w:p>
      <w:pPr>
        <w:ind w:left="60" w:right="359"/>
        <w:spacing w:after="0" w:line="342" w:lineRule="auto"/>
        <w:rPr>
          <w:sz w:val="20"/>
          <w:szCs w:val="20"/>
          <w:color w:val="auto"/>
        </w:rPr>
      </w:pPr>
      <w:r>
        <w:rPr>
          <w:rFonts w:ascii="Arial" w:cs="Arial" w:eastAsia="Arial" w:hAnsi="Arial"/>
          <w:sz w:val="16"/>
          <w:szCs w:val="16"/>
          <w:b w:val="1"/>
          <w:bCs w:val="1"/>
          <w:i w:val="1"/>
          <w:iCs w:val="1"/>
          <w:color w:val="auto"/>
        </w:rPr>
        <w:t>Even as a REIT, changes in federal, state, or local tax law, interpretations of existing tax law or agreements with tax authorities could affect our profitability and financial condition by increasing our tax costs.</w:t>
      </w:r>
    </w:p>
    <w:p>
      <w:pPr>
        <w:spacing w:after="0" w:line="124" w:lineRule="exact"/>
        <w:rPr>
          <w:sz w:val="20"/>
          <w:szCs w:val="20"/>
          <w:color w:val="auto"/>
        </w:rPr>
      </w:pPr>
    </w:p>
    <w:p>
      <w:pPr>
        <w:ind w:left="60" w:right="79"/>
        <w:spacing w:after="0" w:line="271" w:lineRule="auto"/>
        <w:rPr>
          <w:sz w:val="20"/>
          <w:szCs w:val="20"/>
          <w:color w:val="auto"/>
        </w:rPr>
      </w:pPr>
      <w:r>
        <w:rPr>
          <w:rFonts w:ascii="Arial" w:cs="Arial" w:eastAsia="Arial" w:hAnsi="Arial"/>
          <w:sz w:val="17"/>
          <w:szCs w:val="17"/>
          <w:color w:val="auto"/>
        </w:rPr>
        <w:t>We are subject to taxation at the federal, state and local levels in the United States. Our future tax rates could be affected by changes in the composition of earnings in jurisdictions with differing tax rates, changes in the valuation of our deferred tax assets and liabilities, or changes in determinations regarding the jurisdictions in which we are subject to tax. From time to time, the U.S. federal, state and local governments make substantive changes to tax rules and the application thereof, which could result in materially higher corporate taxes than would be incurred under existing tax law or interpretations and could adversely impact profitability. State and local tax authorities have increased their efforts to increase revenues through changes in tax law and audits. Such changes and proposals, if enacted, could increase our future effective income tax rates, as well as other taxes, including property taxes.</w:t>
      </w:r>
    </w:p>
    <w:p>
      <w:pPr>
        <w:spacing w:after="0" w:line="178"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b w:val="1"/>
          <w:bCs w:val="1"/>
          <w:i w:val="1"/>
          <w:iCs w:val="1"/>
          <w:color w:val="auto"/>
        </w:rPr>
        <w:t>The ability of our board of directors to revoke our REIT qualification, without stockholder approval, may cause adverse consequences to our stockholders.</w:t>
      </w:r>
    </w:p>
    <w:p>
      <w:pPr>
        <w:spacing w:after="0" w:line="170" w:lineRule="exact"/>
        <w:rPr>
          <w:sz w:val="20"/>
          <w:szCs w:val="20"/>
          <w:color w:val="auto"/>
        </w:rPr>
      </w:pPr>
    </w:p>
    <w:p>
      <w:pPr>
        <w:ind w:left="60" w:right="99"/>
        <w:spacing w:after="0" w:line="255" w:lineRule="auto"/>
        <w:rPr>
          <w:sz w:val="20"/>
          <w:szCs w:val="20"/>
          <w:color w:val="auto"/>
        </w:rPr>
      </w:pPr>
      <w:r>
        <w:rPr>
          <w:rFonts w:ascii="Arial" w:cs="Arial" w:eastAsia="Arial" w:hAnsi="Arial"/>
          <w:sz w:val="18"/>
          <w:szCs w:val="18"/>
          <w:color w:val="auto"/>
        </w:rPr>
        <w:t>Our Amended and Restated Articles of Incorporation (“Charter”) provides that the board of directors may revoke or otherwise terminate the REIT election, without the approval of our stockholders, if it determines that it is no longer in our best interest to continue to qualify as a REIT. If we cease to be a REIT, we will not be allowed a tax deduction with respect to distributions to our stockholders in computing our taxable income, and we will be subject to federal and state income tax at regular corporate rates and state and local taxes, which may have adverse consequences on our stock price, distributions, and total return to our stockholders.</w:t>
      </w:r>
    </w:p>
    <w:p>
      <w:pPr>
        <w:spacing w:after="0" w:line="192" w:lineRule="exact"/>
        <w:rPr>
          <w:sz w:val="20"/>
          <w:szCs w:val="20"/>
          <w:color w:val="auto"/>
        </w:rPr>
      </w:pPr>
    </w:p>
    <w:p>
      <w:pPr>
        <w:ind w:left="60" w:right="699"/>
        <w:spacing w:after="0" w:line="277" w:lineRule="auto"/>
        <w:rPr>
          <w:sz w:val="20"/>
          <w:szCs w:val="20"/>
          <w:color w:val="auto"/>
        </w:rPr>
      </w:pPr>
      <w:r>
        <w:rPr>
          <w:rFonts w:ascii="Arial" w:cs="Arial" w:eastAsia="Arial" w:hAnsi="Arial"/>
          <w:sz w:val="18"/>
          <w:szCs w:val="18"/>
          <w:b w:val="1"/>
          <w:bCs w:val="1"/>
          <w:i w:val="1"/>
          <w:iCs w:val="1"/>
          <w:color w:val="auto"/>
        </w:rPr>
        <w:t>We may be required to borrow funds, sell assets, or issue equity to satisfy our REIT distribution requirements or maintain the asset ownership tests.</w:t>
      </w:r>
    </w:p>
    <w:p>
      <w:pPr>
        <w:spacing w:after="0" w:line="170" w:lineRule="exact"/>
        <w:rPr>
          <w:sz w:val="20"/>
          <w:szCs w:val="20"/>
          <w:color w:val="auto"/>
        </w:rPr>
      </w:pPr>
    </w:p>
    <w:p>
      <w:pPr>
        <w:ind w:left="60" w:right="119"/>
        <w:spacing w:after="0" w:line="254" w:lineRule="auto"/>
        <w:rPr>
          <w:sz w:val="20"/>
          <w:szCs w:val="20"/>
          <w:color w:val="auto"/>
        </w:rPr>
      </w:pPr>
      <w:r>
        <w:rPr>
          <w:rFonts w:ascii="Arial" w:cs="Arial" w:eastAsia="Arial" w:hAnsi="Arial"/>
          <w:sz w:val="18"/>
          <w:szCs w:val="18"/>
          <w:color w:val="auto"/>
        </w:rPr>
        <w:t>To meet the REIT distribution requirements and maintain our qualification and taxation as a REIT, we may need to borrow funds, sell assets or issue equity, even if the then-prevailing market conditions are not favorable for these borrowings, sales or offerings. Any insufficiency of our cash flows to cover our REIT distribution requirements could adversely impact our ability to raise short- and long-term debt, to sell assets, or to offer equity securities to fund distributions required to maintain our qualification and taxation as a REIT. Furthermore, the REIT distribution requirements may increase the financing we need to fund capital expenditures, future growth and expansion initiatives. This would increase our total leverage.</w:t>
      </w:r>
    </w:p>
    <w:p>
      <w:pPr>
        <w:spacing w:after="0" w:line="195" w:lineRule="exact"/>
        <w:rPr>
          <w:sz w:val="20"/>
          <w:szCs w:val="20"/>
          <w:color w:val="auto"/>
        </w:rPr>
      </w:pPr>
    </w:p>
    <w:p>
      <w:pPr>
        <w:ind w:left="60" w:right="99"/>
        <w:spacing w:after="0" w:line="279" w:lineRule="auto"/>
        <w:rPr>
          <w:sz w:val="20"/>
          <w:szCs w:val="20"/>
          <w:color w:val="auto"/>
        </w:rPr>
      </w:pPr>
      <w:r>
        <w:rPr>
          <w:rFonts w:ascii="Arial" w:cs="Arial" w:eastAsia="Arial" w:hAnsi="Arial"/>
          <w:sz w:val="17"/>
          <w:szCs w:val="17"/>
          <w:color w:val="auto"/>
        </w:rPr>
        <w:t>In addition, if we fail to comply with certain REIT asset ownership tests at the end of any calendar quarter, we must correct the failure within 30 days after the end of the calendar quarter or qualify for certain statutory relief provisions to avoid losing our REIT qualification. As a result, we may be required to liquidate otherwise attractive assets. These actions may reduce our income and amounts available for distribution to our stockholders.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Complying with REIT requirements may limit our flexibility or cause us to forego otherwise attractive opportunities.</w:t>
      </w:r>
    </w:p>
    <w:p>
      <w:pPr>
        <w:spacing w:after="0" w:line="248" w:lineRule="exact"/>
        <w:rPr>
          <w:sz w:val="20"/>
          <w:szCs w:val="20"/>
          <w:color w:val="auto"/>
        </w:rPr>
      </w:pPr>
    </w:p>
    <w:p>
      <w:pPr>
        <w:ind w:left="60" w:right="79"/>
        <w:spacing w:after="0" w:line="311" w:lineRule="auto"/>
        <w:rPr>
          <w:sz w:val="20"/>
          <w:szCs w:val="20"/>
          <w:color w:val="auto"/>
        </w:rPr>
      </w:pPr>
      <w:r>
        <w:rPr>
          <w:rFonts w:ascii="Arial" w:cs="Arial" w:eastAsia="Arial" w:hAnsi="Arial"/>
          <w:sz w:val="16"/>
          <w:szCs w:val="16"/>
          <w:color w:val="auto"/>
        </w:rPr>
        <w:t>To qualify as a REIT for federal income tax purposes, we must continually satisfy tests concerning, among other things, the sources of our income, the nature and diversification of our assets, the amounts we distribute to our stockholders and the ownership of our common stock. Thus, compliance with these tests will require us to refrain from certain activities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96" w:lineRule="auto"/>
        <w:rPr>
          <w:sz w:val="20"/>
          <w:szCs w:val="20"/>
          <w:color w:val="auto"/>
        </w:rPr>
      </w:pPr>
      <w:r>
        <w:rPr>
          <w:rFonts w:ascii="Arial" w:cs="Arial" w:eastAsia="Arial" w:hAnsi="Arial"/>
          <w:sz w:val="16"/>
          <w:szCs w:val="16"/>
          <w:color w:val="auto"/>
        </w:rPr>
        <w:t>and may hinder our ability to make certain attractive investments, including the purchase of non-qualifying assets, the expansion of non-real estate activities, and investments in the businesses to be conducted by our TRSs, and to that extent limit our opportunities and our flexibility to change our business strategy. Furthermore, acquisition opportunities may be adversely affected if we need or require the target company to comply with some REIT requirements prior to closing. In addition, as a REIT, we may face investor pressures to forego growth opportunities that are not immediately accretive.</w:t>
      </w:r>
    </w:p>
    <w:p>
      <w:pPr>
        <w:spacing w:after="0" w:line="161" w:lineRule="exact"/>
        <w:rPr>
          <w:sz w:val="20"/>
          <w:szCs w:val="20"/>
          <w:color w:val="auto"/>
        </w:rPr>
      </w:pPr>
    </w:p>
    <w:p>
      <w:pPr>
        <w:ind w:left="60" w:right="99"/>
        <w:spacing w:after="0" w:line="287" w:lineRule="auto"/>
        <w:rPr>
          <w:sz w:val="20"/>
          <w:szCs w:val="20"/>
          <w:color w:val="auto"/>
        </w:rPr>
      </w:pPr>
      <w:r>
        <w:rPr>
          <w:rFonts w:ascii="Arial" w:cs="Arial" w:eastAsia="Arial" w:hAnsi="Arial"/>
          <w:sz w:val="16"/>
          <w:szCs w:val="16"/>
          <w:color w:val="auto"/>
        </w:rPr>
        <w:t>We hold our non-qualifying REIT assets in one or more TRSs. These non-qualifying REIT assets consist primarily of non-real estate assets related to our Hospitality segment and the assets related to our Entertainment segment as historically structured and operated. We conduct a significant portion of our business activities through these TRSs. Under the Code, no more than 25% of the value of the assets of a REIT may be represented by securities of one or more TRSs and other non-qualifying assets and no more than 20% of the value of the assets of a REIT may be represented by securities of one or more TRSs. These limitations may affect our ability to make additional investments in our Entertainment segment as historically structured and operated or in other non-REIT qualifying operations or assets. To meet our annual distribution requirements, we may be required to distribute amounts that may otherwise be used for our operations, including amounts that may otherwise be invested in future acquisitions, capital expenditures or repayment of debt, and it is possible that we might be required to borrow funds, sell assets or issue equity to fund these distributions, even if the then-prevailing market conditions are not favorable for these borrowings, sales or offerings.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planned use of TRSs may cause us to fail to qualify as a REIT.</w:t>
      </w:r>
    </w:p>
    <w:p>
      <w:pPr>
        <w:spacing w:after="0" w:line="225" w:lineRule="exact"/>
        <w:rPr>
          <w:sz w:val="20"/>
          <w:szCs w:val="20"/>
          <w:color w:val="auto"/>
        </w:rPr>
      </w:pPr>
    </w:p>
    <w:p>
      <w:pPr>
        <w:ind w:left="60" w:right="79"/>
        <w:spacing w:after="0" w:line="255" w:lineRule="auto"/>
        <w:rPr>
          <w:sz w:val="20"/>
          <w:szCs w:val="20"/>
          <w:color w:val="auto"/>
        </w:rPr>
      </w:pPr>
      <w:r>
        <w:rPr>
          <w:rFonts w:ascii="Arial" w:cs="Arial" w:eastAsia="Arial" w:hAnsi="Arial"/>
          <w:sz w:val="18"/>
          <w:szCs w:val="18"/>
          <w:color w:val="auto"/>
        </w:rPr>
        <w:t>The net income of our TRSs is not required to be distributed to us, and income that is not distributed to us generally will not be subject to the REIT income distribution requirement. However, there may be limitations on our ability to accumulate earnings in our TRSs and the accumulation or reinvestment of significant earnings in our TRSs could result in adverse tax treatment. In particular, if the accumulation of cash in our TRSs causes the fair market value of our securities in our TRSs and certain other non-qualifying assets to exceed 25% of the fair market value of our assets, we would fail to qualify as a REIT.</w:t>
      </w:r>
    </w:p>
    <w:p>
      <w:pPr>
        <w:spacing w:after="0" w:line="192"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b w:val="1"/>
          <w:bCs w:val="1"/>
          <w:i w:val="1"/>
          <w:iCs w:val="1"/>
          <w:color w:val="auto"/>
        </w:rPr>
        <w:t>If our leases of our hotel properties to TRS lessees are not true leases for federal income tax purposes, we may fail to qualify as a REIT.</w:t>
      </w:r>
    </w:p>
    <w:p>
      <w:pPr>
        <w:spacing w:after="0" w:line="170" w:lineRule="exact"/>
        <w:rPr>
          <w:sz w:val="20"/>
          <w:szCs w:val="20"/>
          <w:color w:val="auto"/>
        </w:rPr>
      </w:pPr>
    </w:p>
    <w:p>
      <w:pPr>
        <w:ind w:left="60" w:right="119"/>
        <w:spacing w:after="0" w:line="275" w:lineRule="auto"/>
        <w:rPr>
          <w:sz w:val="20"/>
          <w:szCs w:val="20"/>
          <w:color w:val="auto"/>
        </w:rPr>
      </w:pPr>
      <w:r>
        <w:rPr>
          <w:rFonts w:ascii="Arial" w:cs="Arial" w:eastAsia="Arial" w:hAnsi="Arial"/>
          <w:sz w:val="17"/>
          <w:szCs w:val="17"/>
          <w:color w:val="auto"/>
        </w:rPr>
        <w:t>In order for the lease payments by our TRS lessees to our property-owning subsidiaries to qualify for purposes of the gross income tests, the lease or sublease must be considered a true lease for federal income tax purposes and must not be treated as a service contract, joint venture, or some other type of arrangement. We believe we have structured our leases and subleases of our hotel properties to our TRS lessees so that the leases will be considered true leases for federal income tax purposes, but there can be no assurance that the IRS will agree with this characterization.</w:t>
      </w:r>
    </w:p>
    <w:p>
      <w:pPr>
        <w:spacing w:after="0" w:line="176" w:lineRule="exact"/>
        <w:rPr>
          <w:sz w:val="20"/>
          <w:szCs w:val="20"/>
          <w:color w:val="auto"/>
        </w:rPr>
      </w:pPr>
    </w:p>
    <w:p>
      <w:pPr>
        <w:ind w:left="60" w:right="379"/>
        <w:spacing w:after="0" w:line="277" w:lineRule="auto"/>
        <w:rPr>
          <w:sz w:val="20"/>
          <w:szCs w:val="20"/>
          <w:color w:val="auto"/>
        </w:rPr>
      </w:pPr>
      <w:r>
        <w:rPr>
          <w:rFonts w:ascii="Arial" w:cs="Arial" w:eastAsia="Arial" w:hAnsi="Arial"/>
          <w:sz w:val="18"/>
          <w:szCs w:val="18"/>
          <w:b w:val="1"/>
          <w:bCs w:val="1"/>
          <w:i w:val="1"/>
          <w:iCs w:val="1"/>
          <w:color w:val="auto"/>
        </w:rPr>
        <w:t>If Marriott or any future third-party hotel manager fails to qualify as an “eligible independent contractor,” or if our hotels are not “qualified lodging facilities,” we may fail to qualify as a REIT.</w:t>
      </w:r>
    </w:p>
    <w:p>
      <w:pPr>
        <w:spacing w:after="0" w:line="170" w:lineRule="exact"/>
        <w:rPr>
          <w:sz w:val="20"/>
          <w:szCs w:val="20"/>
          <w:color w:val="auto"/>
        </w:rPr>
      </w:pPr>
    </w:p>
    <w:p>
      <w:pPr>
        <w:ind w:left="60" w:right="139"/>
        <w:spacing w:after="0" w:line="287" w:lineRule="auto"/>
        <w:rPr>
          <w:sz w:val="20"/>
          <w:szCs w:val="20"/>
          <w:color w:val="auto"/>
        </w:rPr>
      </w:pPr>
      <w:r>
        <w:rPr>
          <w:rFonts w:ascii="Arial" w:cs="Arial" w:eastAsia="Arial" w:hAnsi="Arial"/>
          <w:sz w:val="16"/>
          <w:szCs w:val="16"/>
          <w:color w:val="auto"/>
        </w:rPr>
        <w:t>Rent paid by a lessee or sublessee that is a “related party tenant” of ours will not be qualifying income for purposes of the two gross income tests applicable to REITs. An exception is provided, however, for leases of “qualified lodging facilities” to a TRS so long as the hotels are managed by an “eligible independent contractor” and certain other requirements are satisfied. We lease or sublease our hotel properties to TRS lessees, and such TRS lessees have engaged Marriott as a third-party hotel manager. We believe Marriott and any other third-party hotel manager that our TRS lessees may engage in the future will qualify as “eligible independent contractors” for federal income tax purposes. Among other requirements, to qualify as an “eligible independent contractor,” the third-party hotel manager must not own, directly or through its stockholders, more than 35% of our outstanding shares, and no person or group of persons can own more than 35% of our outstanding shares and the shares (or ownership interest) of the third-party hotel manager, taking into account certain ownership attribution rules. The ownership attribution rules that apply for purposes of these 35% thresholds are complex, and monitoring actual and constructive ownership of our shares by the third-party hotel manager and their owners may not be practical. Accordingly, there can be no assurance that these ownership limits will not be exceeded.</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89" w:lineRule="auto"/>
        <w:rPr>
          <w:sz w:val="20"/>
          <w:szCs w:val="20"/>
          <w:color w:val="auto"/>
        </w:rPr>
      </w:pPr>
      <w:r>
        <w:rPr>
          <w:rFonts w:ascii="Arial" w:cs="Arial" w:eastAsia="Arial" w:hAnsi="Arial"/>
          <w:sz w:val="16"/>
          <w:szCs w:val="16"/>
          <w:color w:val="auto"/>
        </w:rPr>
        <w:t>In addition, for a third-party hotel manager to qualify as an “eligible independent contractor,” such company or a related person must be actively engaged in the trade or business of operating “qualified lodging facilities” (as defined below) for one or more persons not related to the REIT or its TRSs at each time that such company enters into a hotel management contract with a TRS lessee. We believe that Marriott operates “qualified lodging facilities” for certain persons who are not related to us or our TRSs, and Marriott has agreed in the hotel management agreements that it, or its affiliates, are eligible independent contractors and will maintain such status. However, no assurances can be provided that Marriott or any other hotel managers that we may engage in the future will in fact comply with this requirement. Failure to comply with this requirement would require us to find other third-party hotel managers for future contracts, and, if we hired a third-party hotel manager without knowledge of the failure, it could jeopardize our status as a REIT.</w:t>
      </w:r>
    </w:p>
    <w:p>
      <w:pPr>
        <w:spacing w:after="0" w:line="166" w:lineRule="exact"/>
        <w:rPr>
          <w:sz w:val="20"/>
          <w:szCs w:val="20"/>
          <w:color w:val="auto"/>
        </w:rPr>
      </w:pPr>
    </w:p>
    <w:p>
      <w:pPr>
        <w:ind w:left="60" w:right="99"/>
        <w:spacing w:after="0" w:line="290" w:lineRule="auto"/>
        <w:rPr>
          <w:sz w:val="20"/>
          <w:szCs w:val="20"/>
          <w:color w:val="auto"/>
        </w:rPr>
      </w:pPr>
      <w:r>
        <w:rPr>
          <w:rFonts w:ascii="Arial" w:cs="Arial" w:eastAsia="Arial" w:hAnsi="Arial"/>
          <w:sz w:val="16"/>
          <w:szCs w:val="16"/>
          <w:color w:val="auto"/>
        </w:rPr>
        <w:t>Finally, each property with respect to which our TRS lessees pay rent must be a “qualified lodging facility.” A “qualified lodging facility” is a hotel, motel or other establishment more than one-half of the dwelling units in which are used on a transient basis, including customary amenities and facilities, provided that no wagering activities are conducted at or in connection with such facility by any person who is engaged in the business of accepting wagers and who is legally authorized to engage in such business at or in connection with such facility. We believe that our current hotel properties are “qualified lodging facilities.” Although we intend to monitor future acquisitions and improvements of properties, REIT provisions of the Code provide only limited guidance for making determinations under the requirements for “qualified lodging facilities,” and there can be no assurance that these requirements will be satisfied.</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Relating to Our Capital Structure</w:t>
      </w:r>
    </w:p>
    <w:p>
      <w:pPr>
        <w:spacing w:after="0" w:line="229" w:lineRule="exact"/>
        <w:rPr>
          <w:sz w:val="20"/>
          <w:szCs w:val="20"/>
          <w:color w:val="auto"/>
        </w:rPr>
      </w:pPr>
    </w:p>
    <w:p>
      <w:pPr>
        <w:ind w:left="60" w:right="199"/>
        <w:spacing w:after="0" w:line="381" w:lineRule="auto"/>
        <w:rPr>
          <w:sz w:val="20"/>
          <w:szCs w:val="20"/>
          <w:color w:val="auto"/>
        </w:rPr>
      </w:pPr>
      <w:r>
        <w:rPr>
          <w:rFonts w:ascii="Arial" w:cs="Arial" w:eastAsia="Arial" w:hAnsi="Arial"/>
          <w:sz w:val="15"/>
          <w:szCs w:val="15"/>
          <w:b w:val="1"/>
          <w:bCs w:val="1"/>
          <w:i w:val="1"/>
          <w:iCs w:val="1"/>
          <w:color w:val="auto"/>
        </w:rPr>
        <w:t>Our dividend is currently suspended, and covenants in our current and future debt instruments may limit our ability to make required distributions to our stockholders in accordance with our announced intended dividend policy.</w:t>
      </w:r>
    </w:p>
    <w:p>
      <w:pPr>
        <w:spacing w:after="0" w:line="100" w:lineRule="exact"/>
        <w:rPr>
          <w:sz w:val="20"/>
          <w:szCs w:val="20"/>
          <w:color w:val="auto"/>
        </w:rPr>
      </w:pPr>
    </w:p>
    <w:p>
      <w:pPr>
        <w:ind w:left="60" w:right="199"/>
        <w:spacing w:after="0" w:line="296" w:lineRule="auto"/>
        <w:rPr>
          <w:sz w:val="20"/>
          <w:szCs w:val="20"/>
          <w:color w:val="auto"/>
        </w:rPr>
      </w:pPr>
      <w:r>
        <w:rPr>
          <w:rFonts w:ascii="Arial" w:cs="Arial" w:eastAsia="Arial" w:hAnsi="Arial"/>
          <w:sz w:val="16"/>
          <w:szCs w:val="16"/>
          <w:color w:val="auto"/>
        </w:rPr>
        <w:t>Our credit facility imposes, and future financing agreements are likely to impose, operating and financial restrictions on our activities, including restrictions on the payment of dividends. These restrictions are currently in place, and these restrictions currently permit only the payment of dividends as necessary to maintain our REIT status and payment of a dividend of $0.01 per share each quarter, and may prevent us from making distributions to our stockholders in accordance with any announced intended dividend policy. Our dividend was suspended in March 2020.</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cash distributions are not guaranteed and may fluctuate.</w:t>
      </w:r>
    </w:p>
    <w:p>
      <w:pPr>
        <w:spacing w:after="0" w:line="225" w:lineRule="exact"/>
        <w:rPr>
          <w:sz w:val="20"/>
          <w:szCs w:val="20"/>
          <w:color w:val="auto"/>
        </w:rPr>
      </w:pPr>
    </w:p>
    <w:p>
      <w:pPr>
        <w:ind w:left="60" w:right="119"/>
        <w:spacing w:after="0" w:line="268" w:lineRule="auto"/>
        <w:rPr>
          <w:sz w:val="20"/>
          <w:szCs w:val="20"/>
          <w:color w:val="auto"/>
        </w:rPr>
      </w:pPr>
      <w:r>
        <w:rPr>
          <w:rFonts w:ascii="Arial" w:cs="Arial" w:eastAsia="Arial" w:hAnsi="Arial"/>
          <w:sz w:val="17"/>
          <w:szCs w:val="17"/>
          <w:color w:val="auto"/>
        </w:rPr>
        <w:t>A REIT generally is required to distribute at least 90% of its REIT taxable income to its stockholders. Generally, our board of directors, in its sole discretion, will determine on a quarterly basis the amount of cash to be distributed to our stockholders based on a number of factors including, but not limited to, our results of operations, cash flow and capital requirements, economic conditions, tax considerations, borrowing capacity and other factors, including debt covenant restrictions that may impose limitations on cash payments and plans for future acquisitions and divestitures. Our board of directors formerly maintained a dividend policy pursuant to which we paid a quarterly cash dividend based on an annualized amount of at least 50% of adjusted funds from operations (as defined by us) less maintenance capital expenditures or 100% of REIT taxable income on an annual basis, whichever is greater. As part of the actions taken to preserve liquidity in light of the COVID-19 pandemic, in March 2020, our board of directors suspended our regular quarterly dividend payments, and our board of directors will consider a future dividend as permitted by our credit agreement, which currently permits payment of dividends as necessary to maintain our REIT status and permits us to pay a dividend of $0.01 per share each quarter. The dividend policy may be altered at any time by our board of directors (as otherwise permitted by our credit agreement) and certain provisions of our agreements governing our other indebtedness may prohibit us from paying dividends in accordance with the prior policy. Consequently, our distribution levels may be minimal and may fluctuate.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9" w:lineRule="auto"/>
        <w:rPr>
          <w:sz w:val="20"/>
          <w:szCs w:val="20"/>
          <w:color w:val="auto"/>
        </w:rPr>
      </w:pPr>
      <w:r>
        <w:rPr>
          <w:rFonts w:ascii="Arial" w:cs="Arial" w:eastAsia="Arial" w:hAnsi="Arial"/>
          <w:sz w:val="18"/>
          <w:szCs w:val="18"/>
          <w:b w:val="1"/>
          <w:bCs w:val="1"/>
          <w:i w:val="1"/>
          <w:iCs w:val="1"/>
          <w:color w:val="auto"/>
        </w:rPr>
        <w:t>We have invested in, and in the future may invest in, mortgage loans, mezzanine debt, joint ventures, such as our Circle investment, or certain minority equity interests over which we may not have significant control, to or for which we may owe significant funding or obligations and for which there is no readily available market, and these investments may not be profitable.</w:t>
      </w:r>
    </w:p>
    <w:p>
      <w:pPr>
        <w:spacing w:after="0" w:line="187" w:lineRule="exact"/>
        <w:rPr>
          <w:sz w:val="20"/>
          <w:szCs w:val="20"/>
          <w:color w:val="auto"/>
        </w:rPr>
      </w:pPr>
    </w:p>
    <w:p>
      <w:pPr>
        <w:ind w:left="60" w:right="79"/>
        <w:spacing w:after="0" w:line="286" w:lineRule="auto"/>
        <w:rPr>
          <w:sz w:val="20"/>
          <w:szCs w:val="20"/>
          <w:color w:val="auto"/>
        </w:rPr>
      </w:pPr>
      <w:r>
        <w:rPr>
          <w:rFonts w:ascii="Arial" w:cs="Arial" w:eastAsia="Arial" w:hAnsi="Arial"/>
          <w:sz w:val="16"/>
          <w:szCs w:val="16"/>
          <w:color w:val="auto"/>
        </w:rPr>
        <w:t>We may invest with third parties through partnerships, joint ventures or other entities, by acquiring non-controlling interests in or sharing responsibility for managing the affairs of a property, partnership, joint venture or other entity. Further, we may invest in mortgage loans or mezzanine financing for a property. These types of investments may not be liquid and we may have little or no rights, or ability, to exercise the direction or control of the respective enterprises. In connection with these investments, we may have obligations under certain guarantees related to such investments. The ultimate value of any debt investments, joint ventures or minority investments will be dependent upon the efforts of others over an extended period of time. The nature of our interests and the absence of a readily available market for those interests restrict our ability to dispose of them. Our lack of control over the management of any business in which we are a creditor, joint owner or minority investor and the lack of a readily available market to sell our interest in these businesses may cause us to recognize a loss on our investment in these businesses or to incur costs or liabilities that we do not control, but for which we may be required to contribute capital or satisfy financial commitments. These arrangements are subject to uncertainties and risks, including those related to credit risk, conflicting joint venture partner interests, including with respect to competition in other markets, and to our joint venture partners failing to meet their financial or other obligations.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substantial debt could reduce our cash flow and limit our business activities.</w:t>
      </w:r>
    </w:p>
    <w:p>
      <w:pPr>
        <w:spacing w:after="0" w:line="225" w:lineRule="exact"/>
        <w:rPr>
          <w:sz w:val="20"/>
          <w:szCs w:val="20"/>
          <w:color w:val="auto"/>
        </w:rPr>
      </w:pPr>
    </w:p>
    <w:p>
      <w:pPr>
        <w:ind w:left="60" w:right="339"/>
        <w:spacing w:after="0" w:line="263" w:lineRule="auto"/>
        <w:rPr>
          <w:sz w:val="20"/>
          <w:szCs w:val="20"/>
          <w:color w:val="auto"/>
        </w:rPr>
      </w:pPr>
      <w:r>
        <w:rPr>
          <w:rFonts w:ascii="Arial" w:cs="Arial" w:eastAsia="Arial" w:hAnsi="Arial"/>
          <w:sz w:val="18"/>
          <w:szCs w:val="18"/>
          <w:color w:val="auto"/>
        </w:rPr>
        <w:t>We currently have a significant amount of debt. At December 31, 2021, we had approximately $2.9 billion of total debt. We may incur additional debt in connection with any additional hotel acquisitions, development, investment in new projects, renovations, or capital improvement.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substantial amount of debt could have important consequences. For example, it could:</w:t>
      </w:r>
    </w:p>
    <w:p>
      <w:pPr>
        <w:spacing w:after="0" w:line="225" w:lineRule="exact"/>
        <w:rPr>
          <w:sz w:val="20"/>
          <w:szCs w:val="20"/>
          <w:color w:val="auto"/>
        </w:rPr>
      </w:pPr>
    </w:p>
    <w:p>
      <w:pPr>
        <w:ind w:left="720" w:hanging="319"/>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225" w:lineRule="exact"/>
        <w:rPr>
          <w:rFonts w:ascii="Arial" w:cs="Arial" w:eastAsia="Arial" w:hAnsi="Arial"/>
          <w:sz w:val="18"/>
          <w:szCs w:val="18"/>
          <w:color w:val="auto"/>
        </w:rPr>
      </w:pPr>
    </w:p>
    <w:p>
      <w:pPr>
        <w:ind w:left="720" w:right="159" w:hanging="319"/>
        <w:spacing w:after="0" w:line="311" w:lineRule="auto"/>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require us to dedicate a substantial portion of our cash flow from operations to make interest and principal payments on our debt, thereby limiting the availability of our cash flow to make distributions to our stockholders and to fund future capital expenditures, working capital and other general corporate requirements;</w:t>
      </w:r>
    </w:p>
    <w:p>
      <w:pPr>
        <w:spacing w:after="0" w:line="148" w:lineRule="exact"/>
        <w:rPr>
          <w:rFonts w:ascii="Arial" w:cs="Arial" w:eastAsia="Arial" w:hAnsi="Arial"/>
          <w:sz w:val="16"/>
          <w:szCs w:val="16"/>
          <w:color w:val="auto"/>
        </w:rPr>
      </w:pPr>
    </w:p>
    <w:p>
      <w:pPr>
        <w:ind w:left="720" w:right="79" w:hanging="319"/>
        <w:spacing w:after="0" w:line="277"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hospitality industry, which may place us at a competitive disadvantage compared with competitors that are less leveraged;</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 our ability to borrow additional funds, even when necessary to maintain adequate liquidity; and</w:t>
      </w:r>
    </w:p>
    <w:p>
      <w:pPr>
        <w:spacing w:after="0" w:line="225" w:lineRule="exact"/>
        <w:rPr>
          <w:rFonts w:ascii="Arial" w:cs="Arial" w:eastAsia="Arial" w:hAnsi="Arial"/>
          <w:sz w:val="18"/>
          <w:szCs w:val="18"/>
          <w:color w:val="auto"/>
        </w:rPr>
      </w:pPr>
    </w:p>
    <w:p>
      <w:pPr>
        <w:ind w:left="720" w:right="199" w:hanging="319"/>
        <w:spacing w:after="0" w:line="277"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 our ability to obtain additional financing for various projects, including possible expansions of our existing properties and acquisitions of additional properties.</w:t>
      </w:r>
    </w:p>
    <w:p>
      <w:pPr>
        <w:spacing w:after="0" w:line="170" w:lineRule="exact"/>
        <w:rPr>
          <w:sz w:val="20"/>
          <w:szCs w:val="20"/>
          <w:color w:val="auto"/>
        </w:rPr>
      </w:pPr>
    </w:p>
    <w:p>
      <w:pPr>
        <w:ind w:left="60" w:right="399"/>
        <w:spacing w:after="0" w:line="301" w:lineRule="auto"/>
        <w:rPr>
          <w:sz w:val="20"/>
          <w:szCs w:val="20"/>
          <w:color w:val="auto"/>
        </w:rPr>
      </w:pPr>
      <w:r>
        <w:rPr>
          <w:rFonts w:ascii="Arial" w:cs="Arial" w:eastAsia="Arial" w:hAnsi="Arial"/>
          <w:sz w:val="16"/>
          <w:szCs w:val="16"/>
          <w:color w:val="auto"/>
        </w:rPr>
        <w:t>In addition, the terms of our credit facility allow, and instruments governing any new debt may allow, us to incur substantial amounts of additional debt subject to certain limitations. Any such additional debt could increase the risks associated with our substantial leverage. At the time any principal amount of our indebtedness is due, we may not have cash available to pay this amount, and we may not be able to refinance our indebtedness on favorable terms, or at all.</w:t>
      </w:r>
    </w:p>
    <w:p>
      <w:pPr>
        <w:spacing w:after="0" w:line="157"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b w:val="1"/>
          <w:bCs w:val="1"/>
          <w:i w:val="1"/>
          <w:iCs w:val="1"/>
          <w:color w:val="auto"/>
        </w:rPr>
        <w:t>We could be required to refinance our debt before it matures and there is no assurance that we will be able to refinance our debt on acceptable terms.</w:t>
      </w:r>
    </w:p>
    <w:p>
      <w:pPr>
        <w:spacing w:after="0" w:line="170" w:lineRule="exact"/>
        <w:rPr>
          <w:sz w:val="20"/>
          <w:szCs w:val="20"/>
          <w:color w:val="auto"/>
        </w:rPr>
      </w:pPr>
    </w:p>
    <w:p>
      <w:pPr>
        <w:jc w:val="both"/>
        <w:ind w:left="60" w:right="179"/>
        <w:spacing w:after="0" w:line="311" w:lineRule="auto"/>
        <w:rPr>
          <w:sz w:val="20"/>
          <w:szCs w:val="20"/>
          <w:color w:val="auto"/>
        </w:rPr>
      </w:pPr>
      <w:r>
        <w:rPr>
          <w:rFonts w:ascii="Arial" w:cs="Arial" w:eastAsia="Arial" w:hAnsi="Arial"/>
          <w:sz w:val="16"/>
          <w:szCs w:val="16"/>
          <w:color w:val="auto"/>
        </w:rPr>
        <w:t>Our ability to refinance each of our agreements governing our indebtedness on acceptable terms will be dependent upon a number of factors, including our degree of leverage, the value of our assets, borrowing restrictions which may be imposed by lenders and conditions in the credit markets at the time we refinance. In addition, although we have been</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69" w:lineRule="auto"/>
        <w:rPr>
          <w:sz w:val="20"/>
          <w:szCs w:val="20"/>
          <w:color w:val="auto"/>
        </w:rPr>
      </w:pPr>
      <w:r>
        <w:rPr>
          <w:rFonts w:ascii="Arial" w:cs="Arial" w:eastAsia="Arial" w:hAnsi="Arial"/>
          <w:sz w:val="17"/>
          <w:szCs w:val="17"/>
          <w:color w:val="auto"/>
        </w:rPr>
        <w:t>successful in negotiating amendments to our credit agreement, which waive the financial covenants imposed by the credit agreement through March 31, 2022, and in negotiating an amendment to the Gaylord Rockies term loan, which provides for other favorable modifications, we may be unsuccessful in negotiating any further amendments or modifications to the agreements governing our indebtedness as we may deem necessary in response to the COVID-19 pandemic. To the extent the COVID-19 pandemic continues or our business levels do not recover to pre-pandemic levels or we are otherwise unable to refinance our debt on acceptable terms, we may be forced to choose from a number of unfavorable options, including agreeing to otherwise unfavorable financing terms, selling one or more hotel properties at unattractive prices or on disadvantageous terms, or defaulting on mortgages and allowing our lenders to foreclose. Any one of these options could have a material adverse effect on our business, financial condition, results of operations and our ability to make distributions to our stockholders.</w:t>
      </w:r>
    </w:p>
    <w:p>
      <w:pPr>
        <w:spacing w:after="0" w:line="185"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b w:val="1"/>
          <w:bCs w:val="1"/>
          <w:i w:val="1"/>
          <w:iCs w:val="1"/>
          <w:color w:val="auto"/>
        </w:rPr>
        <w:t>To service our debt and pay other obligations, we will require a significant amount of cash, which may not be available to us.</w:t>
      </w:r>
    </w:p>
    <w:p>
      <w:pPr>
        <w:spacing w:after="0" w:line="170"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Our ability to make payments on, or repay or refinance, our debt, including our obligations under our senior notes and any future debt we may incur, and to fund planned capital expenditures will depend largely upon our future operating performance and our ability to generate cash from operations. Our future performance, to a certain extent, is subject to general economic, financial, competitive, legislative, regulatory and other factors that are beyond our control, including pace of economic recovery from the COVID-19 pandemic. In addition, our ability to borrow funds in the future to make payments on our debt and other obligations will depend on the satisfaction of the covenants and financial ratios in our senior credit facility and our other debt agreements, including other agreements we may enter into in the future. Our business may not generate sufficient cash flow from operations or we may not have future borrowings available to us under our credit facility or from other sources in an amount sufficient to enable us to pay our debt or to fund our other liquidity needs.</w:t>
      </w:r>
    </w:p>
    <w:p>
      <w:pPr>
        <w:spacing w:after="0" w:line="194" w:lineRule="exact"/>
        <w:rPr>
          <w:sz w:val="20"/>
          <w:szCs w:val="20"/>
          <w:color w:val="auto"/>
        </w:rPr>
      </w:pPr>
    </w:p>
    <w:p>
      <w:pPr>
        <w:ind w:left="60" w:right="379"/>
        <w:spacing w:after="0" w:line="277" w:lineRule="auto"/>
        <w:rPr>
          <w:sz w:val="20"/>
          <w:szCs w:val="20"/>
          <w:color w:val="auto"/>
        </w:rPr>
      </w:pPr>
      <w:r>
        <w:rPr>
          <w:rFonts w:ascii="Arial" w:cs="Arial" w:eastAsia="Arial" w:hAnsi="Arial"/>
          <w:sz w:val="18"/>
          <w:szCs w:val="18"/>
          <w:b w:val="1"/>
          <w:bCs w:val="1"/>
          <w:i w:val="1"/>
          <w:iCs w:val="1"/>
          <w:color w:val="auto"/>
        </w:rPr>
        <w:t>The agreements governing our debt contain various covenants that may limit our ability to operate our business and impair our ability to make distributions to our stockholders.</w:t>
      </w:r>
    </w:p>
    <w:p>
      <w:pPr>
        <w:spacing w:after="0" w:line="170" w:lineRule="exact"/>
        <w:rPr>
          <w:sz w:val="20"/>
          <w:szCs w:val="20"/>
          <w:color w:val="auto"/>
        </w:rPr>
      </w:pPr>
    </w:p>
    <w:p>
      <w:pPr>
        <w:ind w:left="60" w:right="119"/>
        <w:spacing w:after="0" w:line="254" w:lineRule="auto"/>
        <w:rPr>
          <w:sz w:val="20"/>
          <w:szCs w:val="20"/>
          <w:color w:val="auto"/>
        </w:rPr>
      </w:pPr>
      <w:r>
        <w:rPr>
          <w:rFonts w:ascii="Arial" w:cs="Arial" w:eastAsia="Arial" w:hAnsi="Arial"/>
          <w:sz w:val="18"/>
          <w:szCs w:val="18"/>
          <w:color w:val="auto"/>
        </w:rPr>
        <w:t>Our existing financial agreements, including our credit facility and term loan B impose, and future financing agreements are likely to impose, operating and financial restrictions on our activities, including our ability to make distributions to any stockholder. Our credit facility has required and in the future will require us to comply with or maintain certain financial tests and ratios, including minimum fixed charge coverage ratio, minimum implied debt service coverage ratio and maximum funded debt to asset value ratio, and we expect will require us to comply with these tests in the future (subject to the covenant waiver described in Part II, Item 7, “Management’s Discussion and Analysis of Financial Condition and Results of Operations” for this Annual Report on Form 10-K). Our financial agreements prohibit or limit our ability to, among other things:</w:t>
      </w:r>
    </w:p>
    <w:p>
      <w:pPr>
        <w:spacing w:after="0" w:line="192" w:lineRule="exact"/>
        <w:rPr>
          <w:sz w:val="20"/>
          <w:szCs w:val="20"/>
          <w:color w:val="auto"/>
        </w:rPr>
      </w:pPr>
    </w:p>
    <w:p>
      <w:pPr>
        <w:ind w:left="720" w:hanging="31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 additional debt, issue guarantees of debt and issue preferred stock;</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sell equity interests in our restricted subsidiaries;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redeem and/or prepay certain debt;</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 dividends on our stock to our stockholders or repurchase our stock or other equity interests;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enter new lines of business;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engage in consolidations, mergers and acquisitions;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enter into transactions with affiliates; or</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agree to restrictions on our subsidiaries’ ability to pay dividends and make other distributions to us.</w:t>
      </w:r>
    </w:p>
    <w:p>
      <w:pPr>
        <w:spacing w:after="0" w:line="225" w:lineRule="exact"/>
        <w:rPr>
          <w:sz w:val="20"/>
          <w:szCs w:val="20"/>
          <w:color w:val="auto"/>
        </w:rPr>
      </w:pPr>
    </w:p>
    <w:p>
      <w:pPr>
        <w:ind w:left="60" w:right="79"/>
        <w:spacing w:after="0" w:line="342" w:lineRule="auto"/>
        <w:rPr>
          <w:sz w:val="20"/>
          <w:szCs w:val="20"/>
          <w:color w:val="auto"/>
        </w:rPr>
      </w:pPr>
      <w:r>
        <w:rPr>
          <w:rFonts w:ascii="Arial" w:cs="Arial" w:eastAsia="Arial" w:hAnsi="Arial"/>
          <w:sz w:val="16"/>
          <w:szCs w:val="16"/>
          <w:color w:val="auto"/>
        </w:rPr>
        <w:t>If we fail to comply with these covenants, we would be in default under our credit facility and the indentures governing our senior unsecured notes, and the outstanding principal and accrued interest on such debt would become due and payable.</w:t>
      </w:r>
    </w:p>
    <w:p>
      <w:pPr>
        <w:spacing w:after="0" w:line="124"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Various risks, uncertainties and events beyond our control, including those related to the COVID-19 pandemic, could affect our ability to comply with these covenants and maintain applicable financial tests and ratios. Failure to comply with any of the covenants in our existing or future financing agreements could result in a default under those agreements and under other agreements containing cross-default provisions. A default would permit lenders to accelerate the maturity for the debt under these agreements and to foreclose upon any collateral securing the debt, including, in the case of our existing credit facility, our Gaylord Hotels properties, other than Gaylord Rockies, and in the case of the Gaylord Rockies term loan, Gaylord Rockies. Under these circumstances, we might not have sufficient funds or other resources to satisfy all of our obligations. In addition, the limitations imposed by financing agreements on our ability to pay dividends, incur additional debt and to take other actions might significantly impair our ability to obtain other financing and to make distributions to our stockholders in accordance with any dividend policy.</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indebtedness is secured by a substantial portion of our assets.</w:t>
      </w:r>
    </w:p>
    <w:p>
      <w:pPr>
        <w:spacing w:after="0" w:line="225" w:lineRule="exact"/>
        <w:rPr>
          <w:sz w:val="20"/>
          <w:szCs w:val="20"/>
          <w:color w:val="auto"/>
        </w:rPr>
      </w:pPr>
    </w:p>
    <w:p>
      <w:pPr>
        <w:ind w:left="60" w:right="59"/>
        <w:spacing w:after="0" w:line="272" w:lineRule="auto"/>
        <w:rPr>
          <w:sz w:val="20"/>
          <w:szCs w:val="20"/>
          <w:color w:val="auto"/>
        </w:rPr>
      </w:pPr>
      <w:r>
        <w:rPr>
          <w:rFonts w:ascii="Arial" w:cs="Arial" w:eastAsia="Arial" w:hAnsi="Arial"/>
          <w:sz w:val="17"/>
          <w:szCs w:val="17"/>
          <w:color w:val="auto"/>
        </w:rPr>
        <w:t>Subject to applicable laws and certain agreed-upon exceptions, our $700 million revolving credit facility, $300 million term loan A, and $500 million term loan B are secured by liens on the substantial majority of our assets, including mortgages on each of our Gaylord Hotels properties, other than Gaylord Rockies. The Gaylord Rockies’ $800 million term loan is secured by liens on the substantial majority of Gaylord Rockies assets. In the event of a default under our credit facility, or if we experience insolvency, liquidation, dissolution or reorganization, the holders of our secured debt instruments would first be entitled to payment from their collateral security, and only then would holders of our unsecured debt be entitled to payment from our remaining assets.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We are a holding company and depend upon our subsidiaries’ cash flow to meet our debt service obligations.</w:t>
      </w:r>
    </w:p>
    <w:p>
      <w:pPr>
        <w:spacing w:after="0" w:line="237" w:lineRule="exact"/>
        <w:rPr>
          <w:sz w:val="20"/>
          <w:szCs w:val="20"/>
          <w:color w:val="auto"/>
        </w:rPr>
      </w:pPr>
    </w:p>
    <w:p>
      <w:pPr>
        <w:ind w:left="60" w:right="139"/>
        <w:spacing w:after="0" w:line="272" w:lineRule="auto"/>
        <w:rPr>
          <w:sz w:val="20"/>
          <w:szCs w:val="20"/>
          <w:color w:val="auto"/>
        </w:rPr>
      </w:pPr>
      <w:r>
        <w:rPr>
          <w:rFonts w:ascii="Arial" w:cs="Arial" w:eastAsia="Arial" w:hAnsi="Arial"/>
          <w:sz w:val="17"/>
          <w:szCs w:val="17"/>
          <w:color w:val="auto"/>
        </w:rPr>
        <w:t>We are a holding company and we conduct our operations through our subsidiaries, including our TRSs. As a result, our ability to meet our debt service obligations substantially depends upon our subsidiaries’ cash flows and payments of funds to us by our subsidiaries as dividends, loans, advances, leases or other payments. The payment of dividends and/or making of loans, advances, leases or other payments by our subsidiaries will be subject to the approval of those subsidiaries’ boards. Our subsidiaries’ ability to pay such dividends and/or make such loans, advances, leases or other payments may also be restricted by, among other things, applicable laws and regulations, current and future debt agreements and management agreements into which our subsidiaries may enter.</w:t>
      </w:r>
    </w:p>
    <w:p>
      <w:pPr>
        <w:spacing w:after="0" w:line="177" w:lineRule="exact"/>
        <w:rPr>
          <w:sz w:val="20"/>
          <w:szCs w:val="20"/>
          <w:color w:val="auto"/>
        </w:rPr>
      </w:pPr>
    </w:p>
    <w:p>
      <w:pPr>
        <w:ind w:left="60" w:right="739"/>
        <w:spacing w:after="0" w:line="277" w:lineRule="auto"/>
        <w:rPr>
          <w:sz w:val="20"/>
          <w:szCs w:val="20"/>
          <w:color w:val="auto"/>
        </w:rPr>
      </w:pPr>
      <w:r>
        <w:rPr>
          <w:rFonts w:ascii="Arial" w:cs="Arial" w:eastAsia="Arial" w:hAnsi="Arial"/>
          <w:sz w:val="18"/>
          <w:szCs w:val="18"/>
          <w:b w:val="1"/>
          <w:bCs w:val="1"/>
          <w:i w:val="1"/>
          <w:iCs w:val="1"/>
          <w:color w:val="auto"/>
        </w:rPr>
        <w:t>Any replacement of LIBOR as the basis on which interest on our variable-rate debt is calculated may harm our financial results, profitability and cash flows.</w:t>
      </w:r>
    </w:p>
    <w:p>
      <w:pPr>
        <w:spacing w:after="0" w:line="170" w:lineRule="exact"/>
        <w:rPr>
          <w:sz w:val="20"/>
          <w:szCs w:val="20"/>
          <w:color w:val="auto"/>
        </w:rPr>
      </w:pPr>
    </w:p>
    <w:p>
      <w:pPr>
        <w:ind w:left="60" w:right="139"/>
        <w:spacing w:after="0" w:line="288" w:lineRule="auto"/>
        <w:rPr>
          <w:sz w:val="20"/>
          <w:szCs w:val="20"/>
          <w:color w:val="auto"/>
        </w:rPr>
      </w:pPr>
      <w:r>
        <w:rPr>
          <w:rFonts w:ascii="Arial" w:cs="Arial" w:eastAsia="Arial" w:hAnsi="Arial"/>
          <w:sz w:val="16"/>
          <w:szCs w:val="16"/>
          <w:color w:val="auto"/>
        </w:rPr>
        <w:t>At December 31, 2021, we had $1.7 billion of variable interest rate debt that was indexed to the London Inter-Bank Offered Rate (“LIBOR”). The United Kingdom’s Financial Conduct Authority (“FCA”), which regulates LIBOR, announced on July 27, 2017 that it intends to stop persuading or compelling banks to submit LIBOR quotations after 2021 (the “FCA Announcement”). The FCA Announcement indicates that the continuation of LIBOR on the current basis cannot and will not be assured after 2021, and LIBOR may cease to exist or otherwise be unsuitable for use as a benchmark. Recent proposals for LIBOR reforms may result in the establishment of new methods for calculating LIBOR or the establishment of one or more alternative benchmark rates. Although the agreements governing our indebtedness provide for successor base rates, as applicable, the successor base rates may be related to LIBOR, and the consequences of any potential cessation, modification or other reform of LIBOR cannot be predicted at this time. If LIBOR ceases to exist, we may need to amend the agreements governing our indebtedness, and we cannot predict what alternative interest</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59"/>
        <w:spacing w:after="0" w:line="263" w:lineRule="auto"/>
        <w:rPr>
          <w:sz w:val="20"/>
          <w:szCs w:val="20"/>
          <w:color w:val="auto"/>
        </w:rPr>
      </w:pPr>
      <w:r>
        <w:rPr>
          <w:rFonts w:ascii="Arial" w:cs="Arial" w:eastAsia="Arial" w:hAnsi="Arial"/>
          <w:sz w:val="18"/>
          <w:szCs w:val="18"/>
          <w:color w:val="auto"/>
        </w:rPr>
        <w:t>rate(s) will be negotiated with our counterparties. As a result, our interest expense may increase, our ability to refinance some or all of our existing indebtedness and/or interest rate swaps may be impacted and our available cash flow may be adversely affected.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Our organizational documents and Delaware law could make it difficult for a third party to acquire control of us.</w:t>
      </w:r>
    </w:p>
    <w:p>
      <w:pPr>
        <w:spacing w:after="0" w:line="248" w:lineRule="exact"/>
        <w:rPr>
          <w:sz w:val="20"/>
          <w:szCs w:val="20"/>
          <w:color w:val="auto"/>
        </w:rPr>
      </w:pPr>
    </w:p>
    <w:p>
      <w:pPr>
        <w:jc w:val="both"/>
        <w:ind w:left="60" w:right="519"/>
        <w:spacing w:after="0" w:line="286" w:lineRule="auto"/>
        <w:rPr>
          <w:sz w:val="20"/>
          <w:szCs w:val="20"/>
          <w:color w:val="auto"/>
        </w:rPr>
      </w:pPr>
      <w:r>
        <w:rPr>
          <w:rFonts w:ascii="Arial" w:cs="Arial" w:eastAsia="Arial" w:hAnsi="Arial"/>
          <w:sz w:val="17"/>
          <w:szCs w:val="17"/>
          <w:color w:val="auto"/>
        </w:rPr>
        <w:t>Our Charter and our Amended and Restated Bylaws contain provisions that could delay, deter or prevent a change in control of our company or our management. These provisions could also discourage proxy contests and make it more difficult for stockholders to elect directors and take other corporate actions. These provisions:</w:t>
      </w:r>
    </w:p>
    <w:p>
      <w:pPr>
        <w:spacing w:after="0" w:line="165" w:lineRule="exact"/>
        <w:rPr>
          <w:sz w:val="20"/>
          <w:szCs w:val="20"/>
          <w:color w:val="auto"/>
        </w:rPr>
      </w:pPr>
    </w:p>
    <w:p>
      <w:pPr>
        <w:ind w:left="720" w:right="259" w:hanging="319"/>
        <w:spacing w:after="0" w:line="277"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impose restrictions on transfer and ownership of our common stock that are designed to assist us in maintaining our status as a REIT;</w:t>
      </w:r>
    </w:p>
    <w:p>
      <w:pPr>
        <w:spacing w:after="0" w:line="170" w:lineRule="exact"/>
        <w:rPr>
          <w:rFonts w:ascii="Arial" w:cs="Arial" w:eastAsia="Arial" w:hAnsi="Arial"/>
          <w:sz w:val="18"/>
          <w:szCs w:val="18"/>
          <w:color w:val="auto"/>
        </w:rPr>
      </w:pPr>
    </w:p>
    <w:p>
      <w:pPr>
        <w:ind w:left="720" w:right="119" w:hanging="319"/>
        <w:spacing w:after="0" w:line="308" w:lineRule="auto"/>
        <w:tabs>
          <w:tab w:leader="none" w:pos="7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authorize us to issue “blank check” preferred stock, which is preferred stock that can be created and issued by our board of directors, without stockholder approval, with rights senior to those of common stock;</w:t>
      </w:r>
    </w:p>
    <w:p>
      <w:pPr>
        <w:spacing w:after="0" w:line="146" w:lineRule="exact"/>
        <w:rPr>
          <w:rFonts w:ascii="Arial" w:cs="Arial" w:eastAsia="Arial" w:hAnsi="Arial"/>
          <w:sz w:val="17"/>
          <w:szCs w:val="17"/>
          <w:color w:val="auto"/>
        </w:rPr>
      </w:pPr>
    </w:p>
    <w:p>
      <w:pPr>
        <w:ind w:left="720" w:right="339" w:hanging="319"/>
        <w:spacing w:after="0" w:line="277"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advance notice requirements for submitting nominations for election to our board of directors and for proposing matters that can be acted upon by stockholders at meetings;</w:t>
      </w:r>
    </w:p>
    <w:p>
      <w:pPr>
        <w:spacing w:after="0" w:line="170" w:lineRule="exact"/>
        <w:rPr>
          <w:rFonts w:ascii="Arial" w:cs="Arial" w:eastAsia="Arial" w:hAnsi="Arial"/>
          <w:sz w:val="18"/>
          <w:szCs w:val="18"/>
          <w:color w:val="auto"/>
        </w:rPr>
      </w:pPr>
    </w:p>
    <w:p>
      <w:pPr>
        <w:ind w:left="720" w:right="739" w:hanging="319"/>
        <w:spacing w:after="0" w:line="277"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that special meetings of stockholders may be called only by our chairman or by a majority of the members of our board of directors;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prohibit stockholder actions taken on written consent; and</w:t>
      </w:r>
    </w:p>
    <w:p>
      <w:pPr>
        <w:spacing w:after="0" w:line="225" w:lineRule="exact"/>
        <w:rPr>
          <w:rFonts w:ascii="Arial" w:cs="Arial" w:eastAsia="Arial" w:hAnsi="Arial"/>
          <w:sz w:val="18"/>
          <w:szCs w:val="18"/>
          <w:color w:val="auto"/>
        </w:rPr>
      </w:pPr>
    </w:p>
    <w:p>
      <w:pPr>
        <w:ind w:left="720" w:right="179" w:hanging="319"/>
        <w:spacing w:after="0" w:line="277"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impose restrictions on ownership of common stock by certain persons (including non-United States persons) due to our ownership of a radio station.</w:t>
      </w:r>
    </w:p>
    <w:p>
      <w:pPr>
        <w:spacing w:after="0" w:line="170" w:lineRule="exact"/>
        <w:rPr>
          <w:sz w:val="20"/>
          <w:szCs w:val="20"/>
          <w:color w:val="auto"/>
        </w:rPr>
      </w:pPr>
    </w:p>
    <w:p>
      <w:pPr>
        <w:ind w:left="60" w:right="119"/>
        <w:spacing w:after="0" w:line="279" w:lineRule="auto"/>
        <w:rPr>
          <w:sz w:val="20"/>
          <w:szCs w:val="20"/>
          <w:color w:val="auto"/>
        </w:rPr>
      </w:pPr>
      <w:r>
        <w:rPr>
          <w:rFonts w:ascii="Arial" w:cs="Arial" w:eastAsia="Arial" w:hAnsi="Arial"/>
          <w:sz w:val="17"/>
          <w:szCs w:val="17"/>
          <w:color w:val="auto"/>
        </w:rPr>
        <w:t>We are subject to anti-takeover provisions under Delaware law, which could also delay or prevent a change of control. Together, our Charter, Amended and Restated Bylaws, and Delaware law may discourage transactions that otherwise could provide for the payment of a premium over prevailing market prices for our common stock, and also could limit the price that investors are willing to pay in the future for shares of our common stock.</w:t>
      </w:r>
    </w:p>
    <w:p>
      <w:pPr>
        <w:spacing w:after="0" w:line="171"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b w:val="1"/>
          <w:bCs w:val="1"/>
          <w:i w:val="1"/>
          <w:iCs w:val="1"/>
          <w:color w:val="auto"/>
        </w:rPr>
        <w:t>The ownership limitations in our Charter may restrict or prevent stockholders from engaging in certain transfers of our common stock.</w:t>
      </w:r>
    </w:p>
    <w:p>
      <w:pPr>
        <w:spacing w:after="0" w:line="170" w:lineRule="exact"/>
        <w:rPr>
          <w:sz w:val="20"/>
          <w:szCs w:val="20"/>
          <w:color w:val="auto"/>
        </w:rPr>
      </w:pPr>
    </w:p>
    <w:p>
      <w:pPr>
        <w:ind w:left="60" w:right="119"/>
        <w:spacing w:after="0" w:line="287" w:lineRule="auto"/>
        <w:rPr>
          <w:sz w:val="20"/>
          <w:szCs w:val="20"/>
          <w:color w:val="auto"/>
        </w:rPr>
      </w:pPr>
      <w:r>
        <w:rPr>
          <w:rFonts w:ascii="Arial" w:cs="Arial" w:eastAsia="Arial" w:hAnsi="Arial"/>
          <w:sz w:val="16"/>
          <w:szCs w:val="16"/>
          <w:color w:val="auto"/>
        </w:rPr>
        <w:t>To qualify and remain qualified as a REIT, no more than 50% in value of our outstanding shares may be owned, directly or indirectly, by five or fewer individuals (as defined in the Code to include various kinds of entities) during the last half of any taxable year. To assist us in qualifying as a REIT, our Charter contains a share ownership limit. Generally, any of our shares owned by affiliated owners will be added together for purposes of the share ownership limit. This share ownership limit provides that (subject to certain exceptions) no person may beneficially own, or be deemed to own by virtue of the attribution provisions of the Code, more than 9.8%, in value or in number of shares, whichever is more restrictive, of the outstanding shares of our capital stock, or any class or series of our capital stock. If anyone transfers shares in a manner that would violate the share ownership limit or prevent us from qualifying as a REIT, those shares instead will be transferred to a trust for the benefit of a charitable beneficiary and will be either redeemed by us or sold to a person whose ownership of the shares will not violate the share ownership limit or we will consider the transfer to be null and void from the outset, and the intended transferee of those shares will be deemed never to have owned the shares.</w:t>
      </w:r>
    </w:p>
    <w:p>
      <w:pPr>
        <w:spacing w:after="0" w:line="172" w:lineRule="exact"/>
        <w:rPr>
          <w:sz w:val="20"/>
          <w:szCs w:val="20"/>
          <w:color w:val="auto"/>
        </w:rPr>
      </w:pPr>
    </w:p>
    <w:p>
      <w:pPr>
        <w:ind w:left="60" w:right="119"/>
        <w:spacing w:after="0" w:line="296" w:lineRule="auto"/>
        <w:rPr>
          <w:sz w:val="20"/>
          <w:szCs w:val="20"/>
          <w:color w:val="auto"/>
        </w:rPr>
      </w:pPr>
      <w:r>
        <w:rPr>
          <w:rFonts w:ascii="Arial" w:cs="Arial" w:eastAsia="Arial" w:hAnsi="Arial"/>
          <w:sz w:val="16"/>
          <w:szCs w:val="16"/>
          <w:color w:val="auto"/>
        </w:rPr>
        <w:t>Our Charter also prohibits the ownership of shares by any person or entity if such ownership would violate or otherwise be inconsistent with federal communications laws or regulations pertaining to the ownership of television or radio stations, cable television or other radio authorizations by (i) foreign persons or entities, (ii) persons or entities having interests in television or radio broadcast stations, newspapers or cable television systems, and (iii) entities seeking direct or indirect control of us without prior federal regulatory approval. In the event of a transfer that would result in a</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4" w:lineRule="auto"/>
        <w:rPr>
          <w:sz w:val="20"/>
          <w:szCs w:val="20"/>
          <w:color w:val="auto"/>
        </w:rPr>
      </w:pPr>
      <w:r>
        <w:rPr>
          <w:rFonts w:ascii="Arial" w:cs="Arial" w:eastAsia="Arial" w:hAnsi="Arial"/>
          <w:sz w:val="18"/>
          <w:szCs w:val="18"/>
          <w:color w:val="auto"/>
        </w:rPr>
        <w:t>violation or inconsistency with federal communications laws or regulations we may refuse to permit the transfer, suspend the rights of share ownership as necessary to prohibit the violation or inconsistency, or redeem the shares. Anyone who acquires shares in violation of the share ownership limit or the other restrictions on transfer in our Charter bears the risk of suffering a financial loss when the shares are redeemed or sold if the market price of our shares falls between the date of purchase and the date of redemption or sale. In addition, these ownership limitations may prevent an acquisition of control of us by a third party without the approval of our board of directors, even if our stockholders believe the change of control is in their interest.</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are subject to risks related to our environmental, social and governance practices.</w:t>
      </w:r>
    </w:p>
    <w:p>
      <w:pPr>
        <w:spacing w:after="0" w:line="225" w:lineRule="exact"/>
        <w:rPr>
          <w:sz w:val="20"/>
          <w:szCs w:val="20"/>
          <w:color w:val="auto"/>
        </w:rPr>
      </w:pPr>
    </w:p>
    <w:p>
      <w:pPr>
        <w:ind w:left="60" w:right="79"/>
        <w:spacing w:after="0" w:line="288" w:lineRule="auto"/>
        <w:rPr>
          <w:sz w:val="20"/>
          <w:szCs w:val="20"/>
          <w:color w:val="auto"/>
        </w:rPr>
      </w:pPr>
      <w:r>
        <w:rPr>
          <w:rFonts w:ascii="Arial" w:cs="Arial" w:eastAsia="Arial" w:hAnsi="Arial"/>
          <w:sz w:val="16"/>
          <w:szCs w:val="16"/>
          <w:color w:val="auto"/>
        </w:rPr>
        <w:t>Many factors influence our reputation including the perception held by our customers and other key stakeholders and the communities in which we do business, and the perception held by customers of Marriott or any future third-party hotel manager. The lodging and entertainment industries in which we operate face increasing scrutiny related to environmental, social and governance activities and risk of damage to our reputation if we fail to act responsibly or comply with regulatory requirements in a number of areas, such as safety and security, environmental stewardship and sustainability, climate change, diversity, human rights, philanthropy and support for local communities. The continuing evolution of social media presents new challenges and requires us to keep pace with new developments and trends. Negative posts or comments about us, the properties we own, the businesses we operate, and Marriott or any future third-party hotel manager on any social networking or user-generated review website, including travel and vacation property websites, could affect consumer opinions of us, and we cannot guarantee that we will timely or adequately redress such instances.</w:t>
      </w:r>
    </w:p>
    <w:p>
      <w:pPr>
        <w:spacing w:after="0" w:line="168"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b w:val="1"/>
          <w:bCs w:val="1"/>
          <w:i w:val="1"/>
          <w:iCs w:val="1"/>
          <w:color w:val="auto"/>
        </w:rPr>
        <w:t>Hospitality companies have been the target of class actions and other lawsuits alleging violations of federal and state law and other claims, and we may be subject to legal claims.</w:t>
      </w:r>
    </w:p>
    <w:p>
      <w:pPr>
        <w:spacing w:after="0" w:line="170" w:lineRule="exact"/>
        <w:rPr>
          <w:sz w:val="20"/>
          <w:szCs w:val="20"/>
          <w:color w:val="auto"/>
        </w:rPr>
      </w:pPr>
    </w:p>
    <w:p>
      <w:pPr>
        <w:ind w:left="60" w:right="139"/>
        <w:spacing w:after="0" w:line="269" w:lineRule="auto"/>
        <w:rPr>
          <w:sz w:val="20"/>
          <w:szCs w:val="20"/>
          <w:color w:val="auto"/>
        </w:rPr>
      </w:pPr>
      <w:r>
        <w:rPr>
          <w:rFonts w:ascii="Arial" w:cs="Arial" w:eastAsia="Arial" w:hAnsi="Arial"/>
          <w:sz w:val="17"/>
          <w:szCs w:val="17"/>
          <w:color w:val="auto"/>
        </w:rPr>
        <w:t>Our operating income and profits may be reduced by legal or governmental proceedings brought by or on behalf of our employees, customers or other third parties. In recent years, a number of hospitality companies have been subject to lawsuits, including class action lawsuits, alleging violations of federal and state law regarding workplace and employment matters, discrimination, customer privacy breaches and other alleged violations of law. A number of these lawsuits have resulted in the payment of substantial damages by the defendants. Similar lawsuits have been instituted against us from time to time and were resolved in an immaterial manner, but we cannot assure you that we will not incur substantial damages and expenses resulting from future lawsuits of this type or other claims, which could have a material adverse effect on our business, financial condition and results of operations. Additionally, because we rely on third-party managers to operate our hotel properties and certain attractions, we have limited control over defending lawsuits of this type or other claims.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Health care reform efforts could adversely affect our results of operations.</w:t>
      </w:r>
    </w:p>
    <w:p>
      <w:pPr>
        <w:spacing w:after="0" w:line="225" w:lineRule="exact"/>
        <w:rPr>
          <w:sz w:val="20"/>
          <w:szCs w:val="20"/>
          <w:color w:val="auto"/>
        </w:rPr>
      </w:pPr>
    </w:p>
    <w:p>
      <w:pPr>
        <w:ind w:left="60" w:right="159"/>
        <w:spacing w:after="0" w:line="254" w:lineRule="auto"/>
        <w:rPr>
          <w:sz w:val="20"/>
          <w:szCs w:val="20"/>
          <w:color w:val="auto"/>
        </w:rPr>
      </w:pPr>
      <w:r>
        <w:rPr>
          <w:rFonts w:ascii="Arial" w:cs="Arial" w:eastAsia="Arial" w:hAnsi="Arial"/>
          <w:sz w:val="18"/>
          <w:szCs w:val="18"/>
          <w:color w:val="auto"/>
        </w:rPr>
        <w:t>In recent years, the U.S. Congress and certain state governments have considered and enacted legislation and regulations intended to effect major change within the U.S. healthcare system, including changes intended to increase access to health insurance and changes that may directly or indirectly impact the costs and operations of employers, even those that are not participants in the healthcare industry. For example, the Patient Protection and Affordable Care Act, as amended by the Health Care and Education Reconciliation Act of 2010 (collectively, the “Affordable Care Act”), includes a requirement, known as the “employer mandate,” that large employers make health insurance coverage available to employees or pay a penalty.</w:t>
      </w:r>
    </w:p>
    <w:p>
      <w:pPr>
        <w:spacing w:after="0" w:line="195" w:lineRule="exact"/>
        <w:rPr>
          <w:sz w:val="20"/>
          <w:szCs w:val="20"/>
          <w:color w:val="auto"/>
        </w:rPr>
      </w:pPr>
    </w:p>
    <w:p>
      <w:pPr>
        <w:ind w:left="60" w:right="199"/>
        <w:spacing w:after="0" w:line="255" w:lineRule="auto"/>
        <w:rPr>
          <w:sz w:val="20"/>
          <w:szCs w:val="20"/>
          <w:color w:val="auto"/>
        </w:rPr>
      </w:pPr>
      <w:r>
        <w:rPr>
          <w:rFonts w:ascii="Arial" w:cs="Arial" w:eastAsia="Arial" w:hAnsi="Arial"/>
          <w:sz w:val="18"/>
          <w:szCs w:val="18"/>
          <w:color w:val="auto"/>
        </w:rPr>
        <w:t>We anticipate that Congress and state governments will continue to review and assess alternative health care delivery and payment systems and may in the future propose or adopt legislation, regulations and policies resulting in fundamental changes in the health care system. For example, some members of Congress have suggested expanding the coverage of government-funded insurance programs, including single-payor models (such reforms are often referred to as “Medicare for All”). In addition, private payors and other healthcare industry participants may introduce financial or delivery system reforms.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72" w:lineRule="auto"/>
        <w:rPr>
          <w:sz w:val="20"/>
          <w:szCs w:val="20"/>
          <w:color w:val="auto"/>
        </w:rPr>
      </w:pPr>
      <w:r>
        <w:rPr>
          <w:rFonts w:ascii="Arial" w:cs="Arial" w:eastAsia="Arial" w:hAnsi="Arial"/>
          <w:sz w:val="17"/>
          <w:szCs w:val="17"/>
          <w:color w:val="auto"/>
        </w:rPr>
        <w:t>At this time, pursuant to our management agreements, our third-party managers may pass certain health care costs for employees working at our properties through to us. As such, the provisions of the Affordable Care Act or subsequent reform efforts may significantly raise our and our third-party managers’ employee health benefits costs and/or alter the benefits we or our third-party managers are required to provide to our respective employees. If we or our third-party hotel managers are not able to limit or offset future cost increases, those costs could have an adverse effect on our results of operations. As a result, health reform efforts may have an adverse effect on our business, results of operations, cash flow, capital resources and liquidity.</w:t>
      </w:r>
    </w:p>
    <w:p>
      <w:pPr>
        <w:spacing w:after="0" w:line="177"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b w:val="1"/>
          <w:bCs w:val="1"/>
          <w:i w:val="1"/>
          <w:iCs w:val="1"/>
          <w:color w:val="auto"/>
        </w:rPr>
        <w:t>The ability of our board of directors to change our major policies without the consent of stockholders may not be in our stockholders’ interest.</w:t>
      </w:r>
    </w:p>
    <w:p>
      <w:pPr>
        <w:spacing w:after="0" w:line="170" w:lineRule="exact"/>
        <w:rPr>
          <w:sz w:val="20"/>
          <w:szCs w:val="20"/>
          <w:color w:val="auto"/>
        </w:rPr>
      </w:pPr>
    </w:p>
    <w:p>
      <w:pPr>
        <w:ind w:left="60" w:right="99"/>
        <w:spacing w:after="0" w:line="273" w:lineRule="auto"/>
        <w:rPr>
          <w:sz w:val="20"/>
          <w:szCs w:val="20"/>
          <w:color w:val="auto"/>
        </w:rPr>
      </w:pPr>
      <w:r>
        <w:rPr>
          <w:rFonts w:ascii="Arial" w:cs="Arial" w:eastAsia="Arial" w:hAnsi="Arial"/>
          <w:sz w:val="17"/>
          <w:szCs w:val="17"/>
          <w:color w:val="auto"/>
        </w:rPr>
        <w:t>Our board of directors determines our major policies, including any policies and guidelines we may maintain from time to time relating to our acquisitions, leverage, financing, growth, qualification as a REIT and distributions to our stockholders. Our board of directors may amend or revise these and other policies and guidelines from time to time without the vote or consent of our stockholders. Accordingly, our stockholders will have limited control over changes in our policies and those changes could adversely affect our financial condition, results of operations, the market price of our common stock and our ability to make distributions to our stockholders.</w:t>
      </w:r>
    </w:p>
    <w:p>
      <w:pPr>
        <w:spacing w:after="0" w:line="178" w:lineRule="exact"/>
        <w:rPr>
          <w:sz w:val="20"/>
          <w:szCs w:val="20"/>
          <w:color w:val="auto"/>
        </w:rPr>
      </w:pPr>
    </w:p>
    <w:p>
      <w:pPr>
        <w:ind w:left="60" w:right="519"/>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may vary substantially based on changes in market interest rates and other factors.</w:t>
      </w:r>
    </w:p>
    <w:p>
      <w:pPr>
        <w:spacing w:after="0" w:line="170" w:lineRule="exact"/>
        <w:rPr>
          <w:sz w:val="20"/>
          <w:szCs w:val="20"/>
          <w:color w:val="auto"/>
        </w:rPr>
      </w:pPr>
    </w:p>
    <w:p>
      <w:pPr>
        <w:ind w:left="60" w:right="219"/>
        <w:spacing w:after="0" w:line="296" w:lineRule="auto"/>
        <w:rPr>
          <w:sz w:val="20"/>
          <w:szCs w:val="20"/>
          <w:color w:val="auto"/>
        </w:rPr>
      </w:pPr>
      <w:r>
        <w:rPr>
          <w:rFonts w:ascii="Arial" w:cs="Arial" w:eastAsia="Arial" w:hAnsi="Arial"/>
          <w:sz w:val="16"/>
          <w:szCs w:val="16"/>
          <w:color w:val="auto"/>
        </w:rPr>
        <w:t>The trading prices of equity securities issued by REITs have historically been affected by changes in market interest rates and other factors. One of the factors that may influence the market price of our common stock is the annual yield from distributions on our common stock as compared to yields on other financial instruments. An increase in market interest rates, or a decrease in our distributions to stockholders, may lead prospective purchasers of our shares to demand a higher annual yield and choose other investments, which could reduce the market price of our common stock.</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factors that could affect the market price of our common stock include the following:</w:t>
      </w:r>
    </w:p>
    <w:p>
      <w:pPr>
        <w:spacing w:after="0" w:line="225" w:lineRule="exact"/>
        <w:rPr>
          <w:sz w:val="20"/>
          <w:szCs w:val="20"/>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actual or anticipated variations in our quarterly results of operations;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market valuations of companies in the hotel or real estate industries;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expectations of future financial performance or changes in estimates of securities analysts;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in stock market prices and volumes;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issuances of common stock or other securities in the future;</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disputes with our hotel managers;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addition or departure of key personnel;</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by us or our competitors of acquisitions, investments or strategic alliances; and</w:t>
      </w:r>
    </w:p>
    <w:p>
      <w:pPr>
        <w:spacing w:after="0" w:line="225" w:lineRule="exact"/>
        <w:rPr>
          <w:rFonts w:ascii="Arial" w:cs="Arial" w:eastAsia="Arial" w:hAnsi="Arial"/>
          <w:sz w:val="18"/>
          <w:szCs w:val="18"/>
          <w:color w:val="auto"/>
        </w:rPr>
      </w:pPr>
    </w:p>
    <w:p>
      <w:pPr>
        <w:ind w:left="720" w:right="219" w:hanging="319"/>
        <w:spacing w:after="0" w:line="257"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unforeseen events beyond our control, such as terrorist attacks, travel related health concerns including pandemics and epidemics (including widespread outbreaks of new COVID-19 variants in the United States), political instability, regional hostilities, increases in fuel prices, imposition of taxes or surcharges by regulatory authorities, travel related accidents and unusual weather patterns, including natural disasters, such as hurricanes, earthquakes or tornadoes.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214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86"/>
              </w:rPr>
              <w:t>Unresolved Staff Comments</w:t>
            </w:r>
          </w:p>
        </w:tc>
        <w:tc>
          <w:tcPr>
            <w:tcW w:w="1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None.</w:t>
            </w:r>
          </w:p>
        </w:tc>
        <w:tc>
          <w:tcPr>
            <w:tcW w:w="2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21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Properties</w:t>
            </w:r>
          </w:p>
        </w:tc>
        <w:tc>
          <w:tcPr>
            <w:tcW w:w="1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Hospitality Segment</w:t>
            </w:r>
          </w:p>
        </w:tc>
        <w:tc>
          <w:tcPr>
            <w:tcW w:w="1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140" w:type="dxa"/>
            <w:vAlign w:val="bottom"/>
            <w:vMerge w:val="restart"/>
          </w:tcPr>
          <w:p>
            <w:pPr>
              <w:spacing w:after="0"/>
              <w:rPr>
                <w:sz w:val="20"/>
                <w:szCs w:val="20"/>
                <w:color w:val="auto"/>
              </w:rPr>
            </w:pPr>
            <w:r>
              <w:rPr>
                <w:rFonts w:ascii="Arial" w:cs="Arial" w:eastAsia="Arial" w:hAnsi="Arial"/>
                <w:sz w:val="14"/>
                <w:szCs w:val="14"/>
                <w:b w:val="1"/>
                <w:bCs w:val="1"/>
                <w:color w:val="auto"/>
              </w:rPr>
              <w:t>Hotel</w:t>
            </w:r>
          </w:p>
        </w:tc>
        <w:tc>
          <w:tcPr>
            <w:tcW w:w="2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20" w:type="dxa"/>
            <w:vAlign w:val="bottom"/>
            <w:vMerge w:val="restart"/>
          </w:tcPr>
          <w:p>
            <w:pPr>
              <w:ind w:left="1380"/>
              <w:spacing w:after="0"/>
              <w:rPr>
                <w:sz w:val="20"/>
                <w:szCs w:val="20"/>
                <w:color w:val="auto"/>
              </w:rPr>
            </w:pPr>
            <w:r>
              <w:rPr>
                <w:rFonts w:ascii="Arial" w:cs="Arial" w:eastAsia="Arial" w:hAnsi="Arial"/>
                <w:sz w:val="14"/>
                <w:szCs w:val="14"/>
                <w:b w:val="1"/>
                <w:bCs w:val="1"/>
                <w:color w:val="auto"/>
              </w:rPr>
              <w:t>Location</w:t>
            </w:r>
          </w:p>
        </w:tc>
        <w:tc>
          <w:tcPr>
            <w:tcW w:w="160" w:type="dxa"/>
            <w:vAlign w:val="bottom"/>
            <w:vMerge w:val="restart"/>
          </w:tcPr>
          <w:p>
            <w:pPr>
              <w:spacing w:after="0"/>
              <w:rPr>
                <w:sz w:val="24"/>
                <w:szCs w:val="24"/>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8"/>
              </w:rPr>
              <w:t>Rooms</w:t>
            </w:r>
          </w:p>
        </w:tc>
        <w:tc>
          <w:tcPr>
            <w:tcW w:w="140" w:type="dxa"/>
            <w:vAlign w:val="bottom"/>
            <w:vMerge w:val="restart"/>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w w:val="95"/>
              </w:rPr>
              <w:t>Meeting, Exhibit and</w:t>
            </w:r>
          </w:p>
        </w:tc>
        <w:tc>
          <w:tcPr>
            <w:tcW w:w="0" w:type="dxa"/>
            <w:vAlign w:val="bottom"/>
          </w:tcPr>
          <w:p>
            <w:pPr>
              <w:spacing w:after="0"/>
              <w:rPr>
                <w:sz w:val="1"/>
                <w:szCs w:val="1"/>
                <w:color w:val="auto"/>
              </w:rPr>
            </w:pPr>
          </w:p>
        </w:tc>
      </w:tr>
      <w:tr>
        <w:trPr>
          <w:trHeight w:val="171"/>
        </w:trPr>
        <w:tc>
          <w:tcPr>
            <w:tcW w:w="1140" w:type="dxa"/>
            <w:vAlign w:val="bottom"/>
            <w:tcBorders>
              <w:bottom w:val="single" w:sz="8" w:color="auto"/>
            </w:tcBorders>
            <w:vMerge w:val="continue"/>
          </w:tcPr>
          <w:p>
            <w:pPr>
              <w:spacing w:after="0"/>
              <w:rPr>
                <w:sz w:val="14"/>
                <w:szCs w:val="14"/>
                <w:color w:val="auto"/>
              </w:rPr>
            </w:pPr>
          </w:p>
        </w:tc>
        <w:tc>
          <w:tcPr>
            <w:tcW w:w="214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32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vMerge w:val="continue"/>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Pre-Function Space</w:t>
            </w:r>
          </w:p>
        </w:tc>
        <w:tc>
          <w:tcPr>
            <w:tcW w:w="0" w:type="dxa"/>
            <w:vAlign w:val="bottom"/>
          </w:tcPr>
          <w:p>
            <w:pPr>
              <w:spacing w:after="0"/>
              <w:rPr>
                <w:sz w:val="1"/>
                <w:szCs w:val="1"/>
                <w:color w:val="auto"/>
              </w:rPr>
            </w:pPr>
          </w:p>
        </w:tc>
      </w:tr>
      <w:tr>
        <w:trPr>
          <w:trHeight w:val="42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Gaylord Opryland</w:t>
            </w:r>
          </w:p>
        </w:tc>
        <w:tc>
          <w:tcPr>
            <w:tcW w:w="36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Nashville, TN</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2,888</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640,000</w:t>
            </w:r>
          </w:p>
        </w:tc>
        <w:tc>
          <w:tcPr>
            <w:tcW w:w="0" w:type="dxa"/>
            <w:vAlign w:val="bottom"/>
          </w:tcPr>
          <w:p>
            <w:pPr>
              <w:spacing w:after="0"/>
              <w:rPr>
                <w:sz w:val="1"/>
                <w:szCs w:val="1"/>
                <w:color w:val="auto"/>
              </w:rPr>
            </w:pPr>
          </w:p>
        </w:tc>
      </w:tr>
      <w:tr>
        <w:trPr>
          <w:trHeight w:val="432"/>
        </w:trPr>
        <w:tc>
          <w:tcPr>
            <w:tcW w:w="3280" w:type="dxa"/>
            <w:vAlign w:val="bottom"/>
            <w:gridSpan w:val="2"/>
          </w:tcPr>
          <w:p>
            <w:pPr>
              <w:spacing w:after="0"/>
              <w:rPr>
                <w:sz w:val="20"/>
                <w:szCs w:val="20"/>
                <w:color w:val="auto"/>
              </w:rPr>
            </w:pPr>
            <w:r>
              <w:rPr>
                <w:rFonts w:ascii="Arial" w:cs="Arial" w:eastAsia="Arial" w:hAnsi="Arial"/>
                <w:sz w:val="18"/>
                <w:szCs w:val="18"/>
                <w:color w:val="auto"/>
              </w:rPr>
              <w:t>Gaylord National</w:t>
            </w:r>
          </w:p>
        </w:tc>
        <w:tc>
          <w:tcPr>
            <w:tcW w:w="3640" w:type="dxa"/>
            <w:vAlign w:val="bottom"/>
            <w:gridSpan w:val="3"/>
          </w:tcPr>
          <w:p>
            <w:pPr>
              <w:ind w:left="140"/>
              <w:spacing w:after="0"/>
              <w:rPr>
                <w:sz w:val="20"/>
                <w:szCs w:val="20"/>
                <w:color w:val="auto"/>
              </w:rPr>
            </w:pPr>
            <w:r>
              <w:rPr>
                <w:rFonts w:ascii="Arial" w:cs="Arial" w:eastAsia="Arial" w:hAnsi="Arial"/>
                <w:sz w:val="18"/>
                <w:szCs w:val="18"/>
                <w:color w:val="auto"/>
                <w:w w:val="98"/>
              </w:rPr>
              <w:t>National Harbor, MD (Washington, DC area)</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1,996</w:t>
            </w:r>
          </w:p>
        </w:tc>
        <w:tc>
          <w:tcPr>
            <w:tcW w:w="1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432"/>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w w:val="94"/>
              </w:rPr>
              <w:t>Gaylord Palms</w:t>
            </w:r>
          </w:p>
        </w:tc>
        <w:tc>
          <w:tcPr>
            <w:tcW w:w="2140" w:type="dxa"/>
            <w:vAlign w:val="bottom"/>
            <w:shd w:val="clear" w:color="auto" w:fill="CCEEFF"/>
          </w:tcPr>
          <w:p>
            <w:pPr>
              <w:spacing w:after="0"/>
              <w:rPr>
                <w:sz w:val="24"/>
                <w:szCs w:val="24"/>
                <w:color w:val="auto"/>
              </w:rPr>
            </w:pPr>
          </w:p>
        </w:tc>
        <w:tc>
          <w:tcPr>
            <w:tcW w:w="36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Kissimmee, FL (Orlando area)</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1,718</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496,000</w:t>
            </w: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w w:val="94"/>
              </w:rPr>
              <w:t>Gaylord Texan</w:t>
            </w:r>
          </w:p>
        </w:tc>
        <w:tc>
          <w:tcPr>
            <w:tcW w:w="2140" w:type="dxa"/>
            <w:vAlign w:val="bottom"/>
          </w:tcPr>
          <w:p>
            <w:pPr>
              <w:spacing w:after="0"/>
              <w:rPr>
                <w:sz w:val="24"/>
                <w:szCs w:val="24"/>
                <w:color w:val="auto"/>
              </w:rPr>
            </w:pPr>
          </w:p>
        </w:tc>
        <w:tc>
          <w:tcPr>
            <w:tcW w:w="3640" w:type="dxa"/>
            <w:vAlign w:val="bottom"/>
            <w:gridSpan w:val="3"/>
          </w:tcPr>
          <w:p>
            <w:pPr>
              <w:ind w:left="140"/>
              <w:spacing w:after="0"/>
              <w:rPr>
                <w:sz w:val="20"/>
                <w:szCs w:val="20"/>
                <w:color w:val="auto"/>
              </w:rPr>
            </w:pPr>
            <w:r>
              <w:rPr>
                <w:rFonts w:ascii="Arial" w:cs="Arial" w:eastAsia="Arial" w:hAnsi="Arial"/>
                <w:sz w:val="18"/>
                <w:szCs w:val="18"/>
                <w:color w:val="auto"/>
              </w:rPr>
              <w:t>Grapevine, TX (Dallas area)</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1,814</w:t>
            </w:r>
          </w:p>
        </w:tc>
        <w:tc>
          <w:tcPr>
            <w:tcW w:w="1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488,000</w:t>
            </w:r>
          </w:p>
        </w:tc>
        <w:tc>
          <w:tcPr>
            <w:tcW w:w="0" w:type="dxa"/>
            <w:vAlign w:val="bottom"/>
          </w:tcPr>
          <w:p>
            <w:pPr>
              <w:spacing w:after="0"/>
              <w:rPr>
                <w:sz w:val="1"/>
                <w:szCs w:val="1"/>
                <w:color w:val="auto"/>
              </w:rPr>
            </w:pPr>
          </w:p>
        </w:tc>
      </w:tr>
      <w:tr>
        <w:trPr>
          <w:trHeight w:val="432"/>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Gaylord Rockies</w:t>
            </w:r>
          </w:p>
        </w:tc>
        <w:tc>
          <w:tcPr>
            <w:tcW w:w="36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Aurora, CO (Denver area)</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1,501</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409,000</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w w:val="90"/>
              </w:rPr>
              <w:t>Inn at Opryland</w:t>
            </w:r>
          </w:p>
        </w:tc>
        <w:tc>
          <w:tcPr>
            <w:tcW w:w="2140" w:type="dxa"/>
            <w:vAlign w:val="bottom"/>
          </w:tcPr>
          <w:p>
            <w:pPr>
              <w:spacing w:after="0"/>
              <w:rPr>
                <w:sz w:val="18"/>
                <w:szCs w:val="18"/>
                <w:color w:val="auto"/>
              </w:rPr>
            </w:pPr>
          </w:p>
        </w:tc>
        <w:tc>
          <w:tcPr>
            <w:tcW w:w="3640" w:type="dxa"/>
            <w:vAlign w:val="bottom"/>
            <w:gridSpan w:val="3"/>
          </w:tcPr>
          <w:p>
            <w:pPr>
              <w:ind w:left="140"/>
              <w:spacing w:after="0"/>
              <w:rPr>
                <w:sz w:val="20"/>
                <w:szCs w:val="20"/>
                <w:color w:val="auto"/>
              </w:rPr>
            </w:pPr>
            <w:r>
              <w:rPr>
                <w:rFonts w:ascii="Arial" w:cs="Arial" w:eastAsia="Arial" w:hAnsi="Arial"/>
                <w:sz w:val="18"/>
                <w:szCs w:val="18"/>
                <w:color w:val="auto"/>
              </w:rPr>
              <w:t>Nashville, TN</w:t>
            </w:r>
          </w:p>
        </w:tc>
        <w:tc>
          <w:tcPr>
            <w:tcW w:w="500" w:type="dxa"/>
            <w:vAlign w:val="bottom"/>
          </w:tcPr>
          <w:p>
            <w:pPr>
              <w:jc w:val="right"/>
              <w:spacing w:after="0"/>
              <w:rPr>
                <w:sz w:val="20"/>
                <w:szCs w:val="20"/>
                <w:color w:val="auto"/>
              </w:rPr>
            </w:pPr>
            <w:r>
              <w:rPr>
                <w:rFonts w:ascii="Arial" w:cs="Arial" w:eastAsia="Arial" w:hAnsi="Arial"/>
                <w:sz w:val="18"/>
                <w:szCs w:val="18"/>
                <w:color w:val="auto"/>
              </w:rPr>
              <w:t>303</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14,000</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AC Hotel</w:t>
            </w:r>
          </w:p>
        </w:tc>
        <w:tc>
          <w:tcPr>
            <w:tcW w:w="2140" w:type="dxa"/>
            <w:vAlign w:val="bottom"/>
            <w:shd w:val="clear" w:color="auto" w:fill="CCEEFF"/>
          </w:tcPr>
          <w:p>
            <w:pPr>
              <w:spacing w:after="0"/>
              <w:rPr>
                <w:sz w:val="18"/>
                <w:szCs w:val="18"/>
                <w:color w:val="auto"/>
              </w:rPr>
            </w:pPr>
          </w:p>
        </w:tc>
        <w:tc>
          <w:tcPr>
            <w:tcW w:w="36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8"/>
              </w:rPr>
              <w:t>National Harbor, MD (Washington, DC area)</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79"/>
        <w:spacing w:after="0" w:line="267" w:lineRule="auto"/>
        <w:rPr>
          <w:sz w:val="20"/>
          <w:szCs w:val="20"/>
          <w:color w:val="auto"/>
        </w:rPr>
      </w:pPr>
      <w:r>
        <w:rPr>
          <w:rFonts w:ascii="Arial" w:cs="Arial" w:eastAsia="Arial" w:hAnsi="Arial"/>
          <w:sz w:val="17"/>
          <w:szCs w:val="17"/>
          <w:color w:val="auto"/>
        </w:rPr>
        <w:t>We own our Opryland complex in Nashville, Tennessee, which includes the site of Gaylord Opryland (approximately 172 acres). We also own the approximately 6-acre site of the Inn at Opryland, which is located near the Opryland complex. We have leased a 65-acre tract in Osceola County, Florida, on which the Gaylord Palms is located, pursuant to a 75-year ground lease with a 24-year renewal option. We acquired approximately 85 acres in Grapevine, Texas, through ownership (approximately 75 acres) and ground lease (approximately 10 acres), on which the Gaylord Texan is located. We also own an additional approximately 40 acres of property near the Gaylord Texan. We own approximately 42 acres on the Potomac River in Prince George’s County, Maryland, on which the Gaylord National is located and we own fee title to the condominium unit in the eight-story building in which the AC Hotel is located. We own approximately 85 acres on which Gaylord Rockies is located and approximately 130 acres of undeveloped land adjacent to Gaylord Rockies. Our Gaylord Hotels properties other than Gaylord Rockies secure our credit facility, and Gaylord Rockies assets secure our obligations pursuant to the Gaylord Rockies term loan, as described in the Liquidity and Capital Resources section of Item 7, “Management’s Discussion and Analysis of Financial Condition and Results of Operations.” Each of our hotel properties is leased or subleased to one of our TRSs, and each such TRS has engaged Marriott to manage the day-to-day operations of the hotel. For a description of the management agreements with Marriott, see “Management Agreements” in Item 1, “Business.” For the operating results of our hotels on a property basis, see “Operating Results – Detailed Segment Financial Information” in Item 7, “Management’s Discussion and Analysis of Financial Condition and Results of Operations.”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Entertainment Segment</w:t>
      </w:r>
    </w:p>
    <w:p>
      <w:pPr>
        <w:spacing w:after="0" w:line="229" w:lineRule="exact"/>
        <w:rPr>
          <w:sz w:val="20"/>
          <w:szCs w:val="20"/>
          <w:color w:val="auto"/>
        </w:rPr>
      </w:pPr>
    </w:p>
    <w:p>
      <w:pPr>
        <w:ind w:left="60" w:right="79"/>
        <w:spacing w:after="0" w:line="254" w:lineRule="auto"/>
        <w:rPr>
          <w:sz w:val="20"/>
          <w:szCs w:val="20"/>
          <w:color w:val="auto"/>
        </w:rPr>
      </w:pPr>
      <w:r>
        <w:rPr>
          <w:rFonts w:ascii="Arial" w:cs="Arial" w:eastAsia="Arial" w:hAnsi="Arial"/>
          <w:sz w:val="18"/>
          <w:szCs w:val="18"/>
          <w:color w:val="auto"/>
        </w:rPr>
        <w:t>We own the General Jackson’s docking facility and the Grand Ole Opry House, each of which is located within the Opryland complex. We also own Gaylord Springs, an 18-hole golf course situated on over 200 acres, which is located near the Opryland complex. In downtown Nashville, we own the Ryman Auditorium, Ole Red Nashville, and the Wildhorse Saloon dance hall and production facility. We also own an approximate 17,000 square foot building in downtown Nashville that we have transformed into additional connecting event space for the Wildhorse Saloon. Our TRSs have engaged Marriott to manage the day-to-day operations of the General Jackson Showboat, Gaylord Springs and the Wildhorse Saloon. For a description of the management agreements with Marriott, see “Management Agreements” in Item 1, “Business.”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Corporate and Other</w:t>
      </w:r>
    </w:p>
    <w:p>
      <w:pPr>
        <w:spacing w:after="0" w:line="229" w:lineRule="exact"/>
        <w:rPr>
          <w:sz w:val="20"/>
          <w:szCs w:val="20"/>
          <w:color w:val="auto"/>
        </w:rPr>
      </w:pPr>
    </w:p>
    <w:p>
      <w:pPr>
        <w:jc w:val="both"/>
        <w:ind w:left="60" w:right="319"/>
        <w:spacing w:after="0" w:line="263" w:lineRule="auto"/>
        <w:rPr>
          <w:sz w:val="20"/>
          <w:szCs w:val="20"/>
          <w:color w:val="auto"/>
        </w:rPr>
      </w:pPr>
      <w:r>
        <w:rPr>
          <w:rFonts w:ascii="Arial" w:cs="Arial" w:eastAsia="Arial" w:hAnsi="Arial"/>
          <w:sz w:val="18"/>
          <w:szCs w:val="18"/>
          <w:color w:val="auto"/>
        </w:rPr>
        <w:t>We own our executive offices and headquarters located at One Gaylord Drive, Nashville, Tennessee, which consists of a five-story office building comprising approximately 80,000 square feet. We believe that these facilities and the facilities related to each of our business segments are generally well maintained.</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1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229" w:lineRule="exact"/>
        <w:rPr>
          <w:sz w:val="20"/>
          <w:szCs w:val="20"/>
          <w:color w:val="auto"/>
        </w:rPr>
      </w:pPr>
    </w:p>
    <w:p>
      <w:pPr>
        <w:ind w:left="60" w:right="199"/>
        <w:spacing w:after="0" w:line="293" w:lineRule="auto"/>
        <w:rPr>
          <w:sz w:val="20"/>
          <w:szCs w:val="20"/>
          <w:color w:val="auto"/>
        </w:rPr>
      </w:pPr>
      <w:r>
        <w:rPr>
          <w:rFonts w:ascii="Arial" w:cs="Arial" w:eastAsia="Arial" w:hAnsi="Arial"/>
          <w:sz w:val="16"/>
          <w:szCs w:val="16"/>
          <w:color w:val="auto"/>
        </w:rPr>
        <w:t>We and various of our subsidiaries are involved in claims and lawsuits incidental to the ordinary course of our businesses, such as personal injury actions by guests and employees and complaints alleging employee discrimination. We maintain various insurance policies, including general liability and property damage insurance, as well as workers’ compensation, business interruption, and other policies, which we believe provide adequate coverage for the risks associated with our range of operations. We believe that we are adequately insured against these claims by our existing insurance policies and that the outcome of any pending claims or proceedings will not have a material effect on our financial statements.</w:t>
      </w:r>
    </w:p>
    <w:p>
      <w:pPr>
        <w:spacing w:after="0" w:line="164"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For further discussion of legal proceedings, see “Note 11 – Commitments and Contingencies” to our consolidated financial statements included herein.</w:t>
      </w:r>
    </w:p>
    <w:p>
      <w:pPr>
        <w:spacing w:after="0" w:line="166" w:lineRule="exact"/>
        <w:rPr>
          <w:sz w:val="20"/>
          <w:szCs w:val="20"/>
          <w:color w:val="auto"/>
        </w:rPr>
      </w:pPr>
    </w:p>
    <w:p>
      <w:pPr>
        <w:ind w:left="60"/>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60" w:right="319"/>
        <w:spacing w:after="0" w:line="282"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Securities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common stock is listed on the New York Stock Exchange under the symbol “RHP”.</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There were approximately 865 record holders of our common stock at January 31, 2022.</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No shares of the Company’s common stock were repurchased during the three months ended December 31, 2021.</w:t>
      </w:r>
    </w:p>
    <w:p>
      <w:pPr>
        <w:spacing w:after="0" w:line="2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29"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color w:val="auto"/>
        </w:rPr>
        <w:t>Except as set forth below, the Company did not sell any securities during the fiscal year ended December 31, 2021 that were not registered under the Securities Act of 1933, as amended (the “Securities Act”).</w:t>
      </w:r>
    </w:p>
    <w:p>
      <w:pPr>
        <w:spacing w:after="0" w:line="170" w:lineRule="exact"/>
        <w:rPr>
          <w:sz w:val="20"/>
          <w:szCs w:val="20"/>
          <w:color w:val="auto"/>
        </w:rPr>
      </w:pPr>
    </w:p>
    <w:p>
      <w:pPr>
        <w:ind w:left="60" w:right="99"/>
        <w:spacing w:after="0" w:line="263" w:lineRule="auto"/>
        <w:rPr>
          <w:sz w:val="20"/>
          <w:szCs w:val="20"/>
          <w:color w:val="auto"/>
        </w:rPr>
      </w:pPr>
      <w:r>
        <w:rPr>
          <w:rFonts w:ascii="Arial" w:cs="Arial" w:eastAsia="Arial" w:hAnsi="Arial"/>
          <w:sz w:val="18"/>
          <w:szCs w:val="18"/>
          <w:color w:val="auto"/>
        </w:rPr>
        <w:t>On December 14, 2021, 5,950 shares of the Company’s common stock were issued to a limited partner of the Operating Partnership in a private placement exempt from registration under the Securities Act, pursuant to Section 4(a)(2) thereof, in exchange for 5,950 OP Units held by the limited partner.</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60" w:right="159"/>
        <w:spacing w:after="0" w:line="255" w:lineRule="auto"/>
        <w:rPr>
          <w:sz w:val="20"/>
          <w:szCs w:val="20"/>
          <w:color w:val="auto"/>
        </w:rPr>
      </w:pPr>
      <w:r>
        <w:rPr>
          <w:rFonts w:ascii="Arial" w:cs="Arial" w:eastAsia="Arial" w:hAnsi="Arial"/>
          <w:sz w:val="18"/>
          <w:szCs w:val="18"/>
          <w:color w:val="auto"/>
        </w:rPr>
        <w:t>To maintain our qualification as a REIT for federal income tax purposes, we must distribute at least 90% of our REIT taxable income each year. Prior to the suspension of dividends as a result of the COVID-19 pandemic, we had planned to continue to pay a quarterly cash dividend to shareholders in an amount equal to an annualized payment of at least 50% of adjusted funds from operations (as defined by us) less maintenance capital expenditures or 100% of REIT taxable income, whichever is greater. Any future dividend is subject to our board of directors’ determinations as to the amount of distributions and the timing thereof.</w:t>
      </w:r>
    </w:p>
    <w:p>
      <w:pPr>
        <w:spacing w:after="0" w:line="192" w:lineRule="exact"/>
        <w:rPr>
          <w:sz w:val="20"/>
          <w:szCs w:val="20"/>
          <w:color w:val="auto"/>
        </w:rPr>
      </w:pPr>
    </w:p>
    <w:p>
      <w:pPr>
        <w:ind w:left="60" w:right="179"/>
        <w:spacing w:after="0" w:line="301" w:lineRule="auto"/>
        <w:rPr>
          <w:sz w:val="20"/>
          <w:szCs w:val="20"/>
          <w:color w:val="auto"/>
        </w:rPr>
      </w:pPr>
      <w:r>
        <w:rPr>
          <w:rFonts w:ascii="Arial" w:cs="Arial" w:eastAsia="Arial" w:hAnsi="Arial"/>
          <w:sz w:val="16"/>
          <w:szCs w:val="16"/>
          <w:color w:val="auto"/>
        </w:rPr>
        <w:t>Even after the Temporary Waiver Period (as defined in “Liquidity and Capital Resources – Principal Debt Agreements” in Item 7, “Management’s Discussion and Analysis of Financial Condition and Results of Operations,”) the terms of our credit facility restrict our ability to pay dividends. We are not permitted to pay a dividend to our stockholders if the aggregate amount of all distributions to our stockholders in a given year exceeds 95% of our funds from operations (as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79"/>
        <w:spacing w:after="0" w:line="277" w:lineRule="auto"/>
        <w:rPr>
          <w:sz w:val="20"/>
          <w:szCs w:val="20"/>
          <w:color w:val="auto"/>
        </w:rPr>
      </w:pPr>
      <w:r>
        <w:rPr>
          <w:rFonts w:ascii="Arial" w:cs="Arial" w:eastAsia="Arial" w:hAnsi="Arial"/>
          <w:sz w:val="18"/>
          <w:szCs w:val="18"/>
          <w:color w:val="auto"/>
        </w:rPr>
        <w:t>defined in the credit facility) for that fiscal year. Notwithstanding this restriction, we are permitted to pay dividends to stockholders to the extent necessary to maintain our status as a REIT.</w:t>
      </w:r>
    </w:p>
    <w:p>
      <w:pPr>
        <w:spacing w:after="0" w:line="170"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Information relating to compensation plans under which our common stock is authorized for issuance is set forth in Part III, Item 12 of this Annual Report on Form 10-K.</w:t>
      </w:r>
    </w:p>
    <w:p>
      <w:pPr>
        <w:spacing w:after="0" w:line="166" w:lineRule="exact"/>
        <w:rPr>
          <w:sz w:val="20"/>
          <w:szCs w:val="20"/>
          <w:color w:val="auto"/>
        </w:rPr>
      </w:pPr>
    </w:p>
    <w:p>
      <w:pPr>
        <w:ind w:left="60"/>
        <w:spacing w:after="0"/>
        <w:tabs>
          <w:tab w:leader="none" w:pos="11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Reserved</w:t>
      </w:r>
    </w:p>
    <w:p>
      <w:pPr>
        <w:spacing w:after="0" w:line="225" w:lineRule="exact"/>
        <w:rPr>
          <w:sz w:val="20"/>
          <w:szCs w:val="20"/>
          <w:color w:val="auto"/>
        </w:rPr>
      </w:pPr>
    </w:p>
    <w:p>
      <w:pPr>
        <w:ind w:left="60"/>
        <w:spacing w:after="0"/>
        <w:tabs>
          <w:tab w:leader="none" w:pos="11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9" w:lineRule="exact"/>
        <w:rPr>
          <w:sz w:val="20"/>
          <w:szCs w:val="20"/>
          <w:color w:val="auto"/>
        </w:rPr>
      </w:pPr>
    </w:p>
    <w:p>
      <w:pPr>
        <w:ind w:left="60" w:right="59"/>
        <w:spacing w:after="0" w:line="301" w:lineRule="auto"/>
        <w:rPr>
          <w:sz w:val="20"/>
          <w:szCs w:val="20"/>
          <w:color w:val="auto"/>
        </w:rPr>
      </w:pPr>
      <w:r>
        <w:rPr>
          <w:rFonts w:ascii="Arial" w:cs="Arial" w:eastAsia="Arial" w:hAnsi="Arial"/>
          <w:sz w:val="16"/>
          <w:szCs w:val="16"/>
          <w:color w:val="auto"/>
        </w:rPr>
        <w:t>This section of this Annual Report on Form 10-K generally discusses 2021 and 2020 items and year-to-year comparisons between 2021 and 2020. Discussions of 2019 items and year-to-year comparisons between 2020 and 2019 that are not included in this Form 10-K can be found in “Management’s Discussion and Analysis of Financial Condition and Results of Operations” in Part II, Item 7 of the Company’s Annual Report on Form 10-K for the fiscal year ended December 31, 2020.</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60" w:right="139"/>
        <w:spacing w:after="0" w:line="286" w:lineRule="auto"/>
        <w:rPr>
          <w:sz w:val="20"/>
          <w:szCs w:val="20"/>
          <w:color w:val="auto"/>
        </w:rPr>
      </w:pPr>
      <w:r>
        <w:rPr>
          <w:rFonts w:ascii="Arial" w:cs="Arial" w:eastAsia="Arial" w:hAnsi="Arial"/>
          <w:sz w:val="16"/>
          <w:szCs w:val="16"/>
          <w:color w:val="auto"/>
        </w:rPr>
        <w:t>We are a Delaware corporation, originally incorporated in 1956, that, following our REIT conversion in 2012, began operating as a self-advised and self-administered REIT for federal income tax purposes on January 1, 2013, specializing in group-oriented, destination hotel assets in urban and resort markets. Our core holdings include a network of five upscale, meetings-focused resorts totaling 9,917 rooms that are managed by Marriott International, Inc. (“Marriott”) under the Gaylord Hotels brand. These five resorts, which we refer to as our Gaylord Hotels properties, consist of the Gaylord Opryland Resort &amp; Convention Center in Nashville, Tennessee (“Gaylord Opryland”), the Gaylord Palms Resort &amp; Convention Center near Orlando, Florida (“Gaylord Palms”), the Gaylord Texan Resort &amp; Convention Center near Dallas, Texas (“Gaylord Texan”), the Gaylord National Resort &amp; Convention Center near Washington D.C. (“Gaylord National”), and the Gaylord Rockies Resort &amp; Convention Center near Denver, Colorado (“Gaylord Rockies”), which was previously owned by the Gaylord Rockies joint venture, in which we owned a 65% interest. On May 7, 2021, we purchased the remaining 35% interest in the Gaylord Rockies joint venture. Our other owned hotel assets managed by Marriott include the Inn at Opryland, an overflow hotel adjacent to Gaylord Opryland, and the AC Hotel at National Harbor, Washington D.C. (“AC Hotel”), an overflow hotel adjacent to Gaylord National.</w:t>
      </w:r>
    </w:p>
    <w:p>
      <w:pPr>
        <w:spacing w:after="0" w:line="174" w:lineRule="exact"/>
        <w:rPr>
          <w:sz w:val="20"/>
          <w:szCs w:val="20"/>
          <w:color w:val="auto"/>
        </w:rPr>
      </w:pPr>
    </w:p>
    <w:p>
      <w:pPr>
        <w:ind w:left="60" w:right="119"/>
        <w:spacing w:after="0" w:line="272" w:lineRule="auto"/>
        <w:rPr>
          <w:sz w:val="20"/>
          <w:szCs w:val="20"/>
          <w:color w:val="auto"/>
        </w:rPr>
      </w:pPr>
      <w:r>
        <w:rPr>
          <w:rFonts w:ascii="Arial" w:cs="Arial" w:eastAsia="Arial" w:hAnsi="Arial"/>
          <w:sz w:val="17"/>
          <w:szCs w:val="17"/>
          <w:color w:val="auto"/>
        </w:rPr>
        <w:t>We also own and operate media and entertainment assets including the Grand Ole Opry, the legendary weekly showcase of country music’s finest performers for 96 years; the Ryman Auditorium, the storied live music venue and former home of the Grand Ole Opry located in downtown Nashville; WSM-AM, the Opry’s radio home; Ole Red, a brand of Blake Shelton-themed bar, music venue and event spaces; and three Nashville-based assets managed by Marriott – Gaylord Springs Golf Links (“Gaylord Springs”), the Wildhorse Saloon, and the General Jackson Showboat (“General Jackson”). We also own a 50% interest in a joint venture that creates and distributes a linear multicast and over-the-top channel dedicated to the country music lifestyle (“Circle”).</w:t>
      </w:r>
    </w:p>
    <w:p>
      <w:pPr>
        <w:spacing w:after="0" w:line="177" w:lineRule="exact"/>
        <w:rPr>
          <w:sz w:val="20"/>
          <w:szCs w:val="20"/>
          <w:color w:val="auto"/>
        </w:rPr>
      </w:pPr>
    </w:p>
    <w:p>
      <w:pPr>
        <w:ind w:left="60" w:right="159"/>
        <w:spacing w:after="0" w:line="257" w:lineRule="auto"/>
        <w:rPr>
          <w:sz w:val="20"/>
          <w:szCs w:val="20"/>
          <w:color w:val="auto"/>
        </w:rPr>
      </w:pPr>
      <w:r>
        <w:rPr>
          <w:rFonts w:ascii="Arial" w:cs="Arial" w:eastAsia="Arial" w:hAnsi="Arial"/>
          <w:sz w:val="18"/>
          <w:szCs w:val="18"/>
          <w:color w:val="auto"/>
        </w:rPr>
        <w:t>Each of our award-winning Gaylord Hotels properties incorporates not only high quality lodging, but also at least 400,000 square feet of meeting, convention and exhibition space, superb food and beverage options and retail and spa facilities within a single self-contained property. As a result, our Gaylord Hotels properties provide a convenient and entertaining environment for convention guests. Our Gaylord Hotels properties focus on the large group meetings market in the United States.</w:t>
      </w:r>
    </w:p>
    <w:p>
      <w:pPr>
        <w:spacing w:after="0" w:line="188" w:lineRule="exact"/>
        <w:rPr>
          <w:sz w:val="20"/>
          <w:szCs w:val="20"/>
          <w:color w:val="auto"/>
        </w:rPr>
      </w:pPr>
    </w:p>
    <w:p>
      <w:pPr>
        <w:ind w:left="60" w:right="519"/>
        <w:spacing w:after="0" w:line="277" w:lineRule="auto"/>
        <w:rPr>
          <w:sz w:val="20"/>
          <w:szCs w:val="20"/>
          <w:color w:val="auto"/>
        </w:rPr>
      </w:pPr>
      <w:r>
        <w:rPr>
          <w:rFonts w:ascii="Arial" w:cs="Arial" w:eastAsia="Arial" w:hAnsi="Arial"/>
          <w:sz w:val="18"/>
          <w:szCs w:val="18"/>
          <w:color w:val="auto"/>
        </w:rPr>
        <w:t>Our goal is to be the nation’s premier hospitality REIT for group-oriented, destination hotel assets in urban and resort markets.</w:t>
      </w:r>
    </w:p>
    <w:p>
      <w:pPr>
        <w:spacing w:after="0" w:line="170" w:lineRule="exact"/>
        <w:rPr>
          <w:sz w:val="20"/>
          <w:szCs w:val="20"/>
          <w:color w:val="auto"/>
        </w:rPr>
      </w:pPr>
    </w:p>
    <w:p>
      <w:pPr>
        <w:ind w:left="60" w:right="399"/>
        <w:spacing w:after="0" w:line="342" w:lineRule="auto"/>
        <w:rPr>
          <w:sz w:val="20"/>
          <w:szCs w:val="20"/>
          <w:color w:val="auto"/>
        </w:rPr>
      </w:pPr>
      <w:r>
        <w:rPr>
          <w:rFonts w:ascii="Arial" w:cs="Arial" w:eastAsia="Arial" w:hAnsi="Arial"/>
          <w:sz w:val="16"/>
          <w:szCs w:val="16"/>
          <w:color w:val="auto"/>
        </w:rPr>
        <w:t>See “Forward-Looking Statements” and “Risk Factors” under Part I of this Annual Report on Form 10-K for important information regarding forward-looking statements made in this report and risks and uncertainties we face.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Impact of COVID-19 Pandemic</w:t>
      </w:r>
    </w:p>
    <w:p>
      <w:pPr>
        <w:spacing w:after="0" w:line="225" w:lineRule="exact"/>
        <w:rPr>
          <w:sz w:val="20"/>
          <w:szCs w:val="20"/>
          <w:color w:val="auto"/>
        </w:rPr>
      </w:pPr>
    </w:p>
    <w:p>
      <w:pPr>
        <w:ind w:left="60" w:right="59"/>
        <w:spacing w:after="0" w:line="259" w:lineRule="auto"/>
        <w:rPr>
          <w:sz w:val="20"/>
          <w:szCs w:val="20"/>
          <w:color w:val="auto"/>
        </w:rPr>
      </w:pPr>
      <w:r>
        <w:rPr>
          <w:rFonts w:ascii="Arial" w:cs="Arial" w:eastAsia="Arial" w:hAnsi="Arial"/>
          <w:sz w:val="18"/>
          <w:szCs w:val="18"/>
          <w:color w:val="auto"/>
        </w:rPr>
        <w:t>The COVID-19 pandemic has been and continues to be a complex and evolving situation, causing unprecedented levels of disruption to our business. Although our assets are currently open and operating without capacity restrictions, there remains significant uncertainty surrounding the full extent of the impact of the COVID-19 pandemic on our future results of operations and financial position.</w:t>
      </w:r>
    </w:p>
    <w:p>
      <w:pPr>
        <w:spacing w:after="0" w:line="160"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color w:val="auto"/>
        </w:rPr>
        <w:t>In late February 2020, when the gravity of the COVID-19 pandemic became apparent, we formed an internal task force, which included members of management and our board of directors, to formulate and implement responses to COVID-19. The task force, in consultation with local governmental authorities, first determined to close our Nashville-based entertainment venues in mid-March 2020.</w:t>
      </w:r>
    </w:p>
    <w:p>
      <w:pPr>
        <w:spacing w:after="0" w:line="146" w:lineRule="exact"/>
        <w:rPr>
          <w:sz w:val="20"/>
          <w:szCs w:val="20"/>
          <w:color w:val="auto"/>
        </w:rPr>
      </w:pPr>
    </w:p>
    <w:p>
      <w:pPr>
        <w:ind w:left="60" w:right="359"/>
        <w:spacing w:after="0" w:line="273" w:lineRule="auto"/>
        <w:rPr>
          <w:sz w:val="20"/>
          <w:szCs w:val="20"/>
          <w:color w:val="auto"/>
        </w:rPr>
      </w:pPr>
      <w:r>
        <w:rPr>
          <w:rFonts w:ascii="Arial" w:cs="Arial" w:eastAsia="Arial" w:hAnsi="Arial"/>
          <w:sz w:val="17"/>
          <w:szCs w:val="17"/>
          <w:i w:val="1"/>
          <w:iCs w:val="1"/>
          <w:color w:val="auto"/>
        </w:rPr>
        <w:t xml:space="preserve">Impact on Operations. </w:t>
      </w:r>
      <w:r>
        <w:rPr>
          <w:rFonts w:ascii="Arial" w:cs="Arial" w:eastAsia="Arial" w:hAnsi="Arial"/>
          <w:sz w:val="17"/>
          <w:szCs w:val="17"/>
          <w:color w:val="auto"/>
        </w:rPr>
        <w:t>As a direct result of the onset of the COVID-19 pandemic, and as cancellations at our Gaylord</w:t>
      </w:r>
      <w:r>
        <w:rPr>
          <w:rFonts w:ascii="Arial" w:cs="Arial" w:eastAsia="Arial" w:hAnsi="Arial"/>
          <w:sz w:val="17"/>
          <w:szCs w:val="17"/>
          <w:i w:val="1"/>
          <w:iCs w:val="1"/>
          <w:color w:val="auto"/>
        </w:rPr>
        <w:t xml:space="preserve"> </w:t>
      </w:r>
      <w:r>
        <w:rPr>
          <w:rFonts w:ascii="Arial" w:cs="Arial" w:eastAsia="Arial" w:hAnsi="Arial"/>
          <w:sz w:val="17"/>
          <w:szCs w:val="17"/>
          <w:color w:val="auto"/>
        </w:rPr>
        <w:t>Hotels properties began to increase, we, with our hotel manager, Marriott, implemented a series of operational changes, culminating with the suspension of operations at our Gaylord Hotels properties in late-March 2020. Gaylord Texan reopened June 8, 2020, and Gaylord Opryland, Gaylord Palms and Gaylord Rockies reopened June 25, 2020. Gaylord National reopened July 1, 2021. The suspension of operations resulted in the loss of approximately 0.4 million and 1.2 million available room nights in 2021 and 2020, respectively.</w:t>
      </w:r>
    </w:p>
    <w:p>
      <w:pPr>
        <w:spacing w:after="0" w:line="137" w:lineRule="exact"/>
        <w:rPr>
          <w:sz w:val="20"/>
          <w:szCs w:val="20"/>
          <w:color w:val="auto"/>
        </w:rPr>
      </w:pPr>
    </w:p>
    <w:p>
      <w:pPr>
        <w:ind w:left="60" w:right="219"/>
        <w:spacing w:after="0" w:line="316" w:lineRule="auto"/>
        <w:rPr>
          <w:sz w:val="20"/>
          <w:szCs w:val="20"/>
          <w:color w:val="auto"/>
        </w:rPr>
      </w:pPr>
      <w:r>
        <w:rPr>
          <w:rFonts w:ascii="Arial" w:cs="Arial" w:eastAsia="Arial" w:hAnsi="Arial"/>
          <w:sz w:val="15"/>
          <w:szCs w:val="15"/>
          <w:color w:val="auto"/>
        </w:rPr>
        <w:t>In our Entertainment segment, in addition to the temporary closure of our entertainment assets in spring 2020, we have taken steps to reduce operating costs in all areas. Many of our Tennessee-based attractions reopened at reduced capacities in May and June 2020. The Grand Ole Opry and Ryman Auditorium began offering limited-capacity tours in June 2020, reopened for limited-capacity publicly attended performances in September 2020, and reopened for full-capacity publicly attended performances in May 2021. After the April 2021 reopening of the Wildhorse Saloon, which was closed through March 2021 subsequent to the December 2020 downtown Nashville bombing, all of our entertainment assets are open.</w:t>
      </w:r>
    </w:p>
    <w:p>
      <w:pPr>
        <w:spacing w:after="0" w:line="122" w:lineRule="exact"/>
        <w:rPr>
          <w:sz w:val="20"/>
          <w:szCs w:val="20"/>
          <w:color w:val="auto"/>
        </w:rPr>
      </w:pPr>
    </w:p>
    <w:p>
      <w:pPr>
        <w:ind w:left="60" w:right="179"/>
        <w:spacing w:after="0" w:line="296" w:lineRule="auto"/>
        <w:rPr>
          <w:sz w:val="20"/>
          <w:szCs w:val="20"/>
          <w:color w:val="auto"/>
        </w:rPr>
      </w:pPr>
      <w:r>
        <w:rPr>
          <w:rFonts w:ascii="Arial" w:cs="Arial" w:eastAsia="Arial" w:hAnsi="Arial"/>
          <w:sz w:val="16"/>
          <w:szCs w:val="16"/>
          <w:color w:val="auto"/>
        </w:rPr>
        <w:t>We and Marriott’s sales teams have been working closely with our customers to rebook previously cancelled business as a result of the COVID-19 pandemic. Cancelled room nights in 2021 decreased 67% from 2020. Group attrition as a percentage of contracted block decreased in each sequential quarter since the onset of the COVID-19 pandemic, with the exception of the third quarter of 2021 as a result of the COVID-19 Delta variant. Occupancy and average daily rate (“ADR”) increased 16.3 points of occupancy and 10.7%, respectively, in 2021 as compared to 2020.</w:t>
      </w:r>
    </w:p>
    <w:p>
      <w:pPr>
        <w:spacing w:after="0" w:line="121" w:lineRule="exact"/>
        <w:rPr>
          <w:sz w:val="20"/>
          <w:szCs w:val="20"/>
          <w:color w:val="auto"/>
        </w:rPr>
      </w:pPr>
    </w:p>
    <w:p>
      <w:pPr>
        <w:ind w:left="60" w:right="99"/>
        <w:spacing w:after="0" w:line="255" w:lineRule="auto"/>
        <w:rPr>
          <w:sz w:val="20"/>
          <w:szCs w:val="20"/>
          <w:color w:val="auto"/>
        </w:rPr>
      </w:pPr>
      <w:r>
        <w:rPr>
          <w:rFonts w:ascii="Arial" w:cs="Arial" w:eastAsia="Arial" w:hAnsi="Arial"/>
          <w:sz w:val="18"/>
          <w:szCs w:val="18"/>
          <w:color w:val="auto"/>
        </w:rPr>
        <w:t>Group business has declined relative to historical periods. However, group stays steadily increased in 2021 and group nights on the books for the next five years is approximately ninety-five percent of total group room nights that were on the books at December 31, 2019 for the corresponding following five years. In addition, the ADR on group room nights on the books at December 31, 2021 is approximately five percent higher than the ADR on the corresponding group room nights at December 31, 2019. This combined impact yields projected group rooms revenue on-the-books for future years that we estimate will be at or above pre-pandemic levels.</w:t>
      </w:r>
    </w:p>
    <w:p>
      <w:pPr>
        <w:spacing w:after="0" w:line="152" w:lineRule="exact"/>
        <w:rPr>
          <w:sz w:val="20"/>
          <w:szCs w:val="20"/>
          <w:color w:val="auto"/>
        </w:rPr>
      </w:pPr>
    </w:p>
    <w:p>
      <w:pPr>
        <w:ind w:left="60" w:right="239"/>
        <w:spacing w:after="0" w:line="291" w:lineRule="auto"/>
        <w:rPr>
          <w:sz w:val="20"/>
          <w:szCs w:val="20"/>
          <w:color w:val="auto"/>
        </w:rPr>
      </w:pPr>
      <w:r>
        <w:rPr>
          <w:rFonts w:ascii="Arial" w:cs="Arial" w:eastAsia="Arial" w:hAnsi="Arial"/>
          <w:sz w:val="16"/>
          <w:szCs w:val="16"/>
          <w:color w:val="auto"/>
        </w:rPr>
        <w:t>On March 27, 2020, the U.S. government enacted the Coronavirus Aid, Relief, and Economic Security Act (the “CARES Act”), which among other things, provides employer payroll tax credits for wages paid to employees who are unable to work during the COVID-19 pandemic and options to defer payroll tax payments. Based on our evaluation of the CARES Act, we qualify for certain employer payroll tax credits, which we have accounted for as government subsidies to offset related operating expenses, as well as the deferral of payroll and other tax payments in the future. During 2021 and 2020, qualified payroll tax credits reduced our operating expenses by $4.2 million and $10.2 million, respectively. We are deferring qualified payroll and other tax payments as permitted by the CARES Act.</w:t>
      </w:r>
    </w:p>
    <w:p>
      <w:pPr>
        <w:spacing w:after="0" w:line="139" w:lineRule="exact"/>
        <w:rPr>
          <w:sz w:val="20"/>
          <w:szCs w:val="20"/>
          <w:color w:val="auto"/>
        </w:rPr>
      </w:pPr>
    </w:p>
    <w:p>
      <w:pPr>
        <w:ind w:left="60" w:right="99"/>
        <w:spacing w:after="0" w:line="255" w:lineRule="auto"/>
        <w:rPr>
          <w:sz w:val="20"/>
          <w:szCs w:val="20"/>
          <w:color w:val="auto"/>
        </w:rPr>
      </w:pPr>
      <w:r>
        <w:rPr>
          <w:rFonts w:ascii="Arial" w:cs="Arial" w:eastAsia="Arial" w:hAnsi="Arial"/>
          <w:sz w:val="18"/>
          <w:szCs w:val="18"/>
          <w:color w:val="auto"/>
        </w:rPr>
        <w:t>Our results for 2021 and 2020 include approximately $4.8 million in net credits and $39.7 million of operating costs, respectively, specifically related to the COVID-19 pandemic, which is primarily comprised of employment costs, including for laid-off or furloughed employees, and is net of $4.2 million and $10.2 million, respectively, in payroll tax credits provided by the CARES Act. The payroll credits provided by the CARES Act are included in other hotel expenses, entertainment expenses and corporate expenses, as applicable, in the accompanying consolidated statements of operations for 2021 and 2020 included herein.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19"/>
        <w:spacing w:after="0" w:line="301" w:lineRule="auto"/>
        <w:rPr>
          <w:sz w:val="20"/>
          <w:szCs w:val="20"/>
          <w:color w:val="auto"/>
        </w:rPr>
      </w:pPr>
      <w:r>
        <w:rPr>
          <w:rFonts w:ascii="Arial" w:cs="Arial" w:eastAsia="Arial" w:hAnsi="Arial"/>
          <w:sz w:val="16"/>
          <w:szCs w:val="16"/>
          <w:i w:val="1"/>
          <w:iCs w:val="1"/>
          <w:color w:val="auto"/>
        </w:rPr>
        <w:t>Actions to Preserve Liquidity</w:t>
      </w:r>
      <w:r>
        <w:rPr>
          <w:rFonts w:ascii="Arial" w:cs="Arial" w:eastAsia="Arial" w:hAnsi="Arial"/>
          <w:sz w:val="16"/>
          <w:szCs w:val="16"/>
          <w:color w:val="auto"/>
        </w:rPr>
        <w:t>. We continue taking steps to preserve liquidity in order to weather the COVID-19 pandemic</w:t>
      </w:r>
      <w:r>
        <w:rPr>
          <w:rFonts w:ascii="Arial" w:cs="Arial" w:eastAsia="Arial" w:hAnsi="Arial"/>
          <w:sz w:val="16"/>
          <w:szCs w:val="16"/>
          <w:i w:val="1"/>
          <w:iCs w:val="1"/>
          <w:color w:val="auto"/>
        </w:rPr>
        <w:t xml:space="preserve"> </w:t>
      </w:r>
      <w:r>
        <w:rPr>
          <w:rFonts w:ascii="Arial" w:cs="Arial" w:eastAsia="Arial" w:hAnsi="Arial"/>
          <w:sz w:val="16"/>
          <w:szCs w:val="16"/>
          <w:color w:val="auto"/>
        </w:rPr>
        <w:t>and continue to pay all required debt service payments on our indebtedness, lease payments, taxes and other payables. At December 31, 2021, we had $509.8 million available for borrowing under our revolving credit facility and $140.7 million in unrestricted cash on hand. In 2021 and 2020, we took steps to preserve our liquidity as follows:</w:t>
      </w:r>
    </w:p>
    <w:p>
      <w:pPr>
        <w:spacing w:after="0" w:line="130" w:lineRule="exact"/>
        <w:rPr>
          <w:sz w:val="20"/>
          <w:szCs w:val="20"/>
          <w:color w:val="auto"/>
        </w:rPr>
      </w:pPr>
    </w:p>
    <w:p>
      <w:pPr>
        <w:ind w:left="720" w:right="139" w:hanging="319"/>
        <w:spacing w:after="0" w:line="254"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Suspension of Dividend</w:t>
      </w:r>
      <w:r>
        <w:rPr>
          <w:rFonts w:ascii="Arial" w:cs="Arial" w:eastAsia="Arial" w:hAnsi="Arial"/>
          <w:sz w:val="18"/>
          <w:szCs w:val="18"/>
          <w:color w:val="auto"/>
        </w:rPr>
        <w:t>. Following the payment of our first quarter 2020 dividend on April 15, 2020 to</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of record on March 31, 2020, we suspended our regular quarterly cash dividend payments to stockholders. At this time, we do not anticipate declaring quarterly dividends during 2022. Our board of directors will consider a future dividend as permitted by our credit agreement. Our credit facility amendments described below permit payment of dividends as necessary to maintain our REIT status and permit us to pay a dividend of $0.01 per share each quarter. Any future dividend is subject to our board of director’s determinations as to the amount of distributions and the timing thereof.</w:t>
      </w:r>
    </w:p>
    <w:p>
      <w:pPr>
        <w:spacing w:after="0" w:line="154" w:lineRule="exact"/>
        <w:rPr>
          <w:rFonts w:ascii="Arial" w:cs="Arial" w:eastAsia="Arial" w:hAnsi="Arial"/>
          <w:sz w:val="18"/>
          <w:szCs w:val="18"/>
          <w:color w:val="auto"/>
        </w:rPr>
      </w:pPr>
    </w:p>
    <w:p>
      <w:pPr>
        <w:jc w:val="both"/>
        <w:ind w:left="720" w:right="179" w:hanging="319"/>
        <w:spacing w:after="0" w:line="311" w:lineRule="auto"/>
        <w:tabs>
          <w:tab w:leader="none" w:pos="72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Deferral of Capital Expenditures</w:t>
      </w:r>
      <w:r>
        <w:rPr>
          <w:rFonts w:ascii="Arial" w:cs="Arial" w:eastAsia="Arial" w:hAnsi="Arial"/>
          <w:sz w:val="16"/>
          <w:szCs w:val="16"/>
          <w:color w:val="auto"/>
        </w:rPr>
        <w:t>. With the exception of the Gaylord Palms expansion project and the renovation</w:t>
      </w:r>
      <w:r>
        <w:rPr>
          <w:rFonts w:ascii="Arial" w:cs="Arial" w:eastAsia="Arial" w:hAnsi="Arial"/>
          <w:sz w:val="16"/>
          <w:szCs w:val="16"/>
          <w:i w:val="1"/>
          <w:iCs w:val="1"/>
          <w:color w:val="auto"/>
        </w:rPr>
        <w:t xml:space="preserve"> </w:t>
      </w:r>
      <w:r>
        <w:rPr>
          <w:rFonts w:ascii="Arial" w:cs="Arial" w:eastAsia="Arial" w:hAnsi="Arial"/>
          <w:sz w:val="16"/>
          <w:szCs w:val="16"/>
          <w:color w:val="auto"/>
        </w:rPr>
        <w:t>of the rooms at Gaylord National, we deferred non-essential capital projects, in addition to delaying the Gaylord Rockies expansion project, which was scheduled to begin construction in second quarter 2020.</w:t>
      </w:r>
    </w:p>
    <w:p>
      <w:pPr>
        <w:spacing w:after="0" w:line="108" w:lineRule="exact"/>
        <w:rPr>
          <w:rFonts w:ascii="Arial" w:cs="Arial" w:eastAsia="Arial" w:hAnsi="Arial"/>
          <w:sz w:val="16"/>
          <w:szCs w:val="16"/>
          <w:color w:val="auto"/>
        </w:rPr>
      </w:pPr>
    </w:p>
    <w:p>
      <w:pPr>
        <w:ind w:left="720" w:right="139" w:hanging="319"/>
        <w:spacing w:after="0" w:line="289" w:lineRule="auto"/>
        <w:tabs>
          <w:tab w:leader="none" w:pos="72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Amendments to Principal Debt Agreements</w:t>
      </w:r>
      <w:r>
        <w:rPr>
          <w:rFonts w:ascii="Arial" w:cs="Arial" w:eastAsia="Arial" w:hAnsi="Arial"/>
          <w:sz w:val="16"/>
          <w:szCs w:val="16"/>
          <w:color w:val="auto"/>
        </w:rPr>
        <w:t>. In 2020, we successfully obtained a temporary waiver of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covenants in the credit agreement governing our $700 million revolving credit facility, $300 million term loan A facility and the original $500 million term loan B facility through March 31, 2022, which confirmed our continued ability to borrow the remaining amounts available under the revolving credit facility (subject to a minimum liquidity covenant). Additionally, we further amended the credit agreement in October 2021 to permit an acquisition during the credit agreement’s restricted period, and an associated assumption of indebtedness, subject to certain conditions. For additional discussion of the amendments to our credit agreement, see “Principal Debt Agreements” below. We currently anticipate being in compliance with the financial covenants in our credit facility upon the expiration of the temporary waiver period on March 31, 2022.</w:t>
      </w:r>
    </w:p>
    <w:p>
      <w:pPr>
        <w:spacing w:after="0" w:line="166" w:lineRule="exact"/>
        <w:rPr>
          <w:rFonts w:ascii="Arial" w:cs="Arial" w:eastAsia="Arial" w:hAnsi="Arial"/>
          <w:sz w:val="16"/>
          <w:szCs w:val="16"/>
          <w:color w:val="auto"/>
        </w:rPr>
      </w:pPr>
    </w:p>
    <w:p>
      <w:pPr>
        <w:ind w:left="720" w:right="99"/>
        <w:spacing w:after="0" w:line="255" w:lineRule="auto"/>
        <w:rPr>
          <w:rFonts w:ascii="Arial" w:cs="Arial" w:eastAsia="Arial" w:hAnsi="Arial"/>
          <w:sz w:val="16"/>
          <w:szCs w:val="16"/>
          <w:color w:val="auto"/>
        </w:rPr>
      </w:pPr>
      <w:r>
        <w:rPr>
          <w:rFonts w:ascii="Arial" w:cs="Arial" w:eastAsia="Arial" w:hAnsi="Arial"/>
          <w:sz w:val="18"/>
          <w:szCs w:val="18"/>
          <w:color w:val="auto"/>
        </w:rPr>
        <w:t>On June 30, 2020, Gaylord Rockies completed an amendment to its $800 million term loan to (i) provide for the ability to use cash for certain purposes, even during a Cash Sweep Period (as defined in the Loan Agreement), (ii) extend the deadline to commence construction of an expansion to Gaylord Rockies, and (iii) provide favorable changes to the debt service coverage ratio provisions. Gaylord Rockies is currently in a Cash Sweep Period pursuant to the Loan Agreement. For additional discussion of this amendment, see “Principal Debt Agreements” below.</w:t>
      </w:r>
    </w:p>
    <w:p>
      <w:pPr>
        <w:spacing w:after="0" w:line="151" w:lineRule="exact"/>
        <w:rPr>
          <w:rFonts w:ascii="Arial" w:cs="Arial" w:eastAsia="Arial" w:hAnsi="Arial"/>
          <w:sz w:val="16"/>
          <w:szCs w:val="16"/>
          <w:color w:val="auto"/>
        </w:rPr>
      </w:pPr>
    </w:p>
    <w:p>
      <w:pPr>
        <w:ind w:left="720" w:right="99" w:hanging="319"/>
        <w:spacing w:after="0" w:line="272" w:lineRule="auto"/>
        <w:tabs>
          <w:tab w:leader="none" w:pos="72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Suspension of FF&amp;E Reserve Requirement</w:t>
      </w:r>
      <w:r>
        <w:rPr>
          <w:rFonts w:ascii="Arial" w:cs="Arial" w:eastAsia="Arial" w:hAnsi="Arial"/>
          <w:sz w:val="17"/>
          <w:szCs w:val="17"/>
          <w:color w:val="auto"/>
        </w:rPr>
        <w:t>. With respect to our properties that are operated under management</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agreements with Marriott, we are obligated to maintain an FF&amp;E reserve account for future planned and emergency-related capital expenditures at these properties. The amount funded into each of these reserve accounts is determined pursuant to the management agreements and is generally 5.0% of the respective property’s total annual revenue. Marriott previously suspended this obligation from March 2020 through December 2021, although we made voluntary contributions during this period to fund various maintenance capital expenditures, including the rooms renovation at Gaylord National.</w:t>
      </w:r>
    </w:p>
    <w:p>
      <w:pPr>
        <w:spacing w:after="0" w:line="137"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For additional discussion of the impact of the COVID-19 pandemic on our business and associated risk, see “Risk Factors” under Part I, Item 1A of this Annual Report on Form 10-K.</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Gaylord Rockies Joint Venture</w:t>
      </w:r>
    </w:p>
    <w:p>
      <w:pPr>
        <w:spacing w:after="0" w:line="225" w:lineRule="exact"/>
        <w:rPr>
          <w:sz w:val="20"/>
          <w:szCs w:val="20"/>
          <w:color w:val="auto"/>
        </w:rPr>
      </w:pPr>
    </w:p>
    <w:p>
      <w:pPr>
        <w:ind w:left="60" w:right="179"/>
        <w:spacing w:after="0" w:line="296" w:lineRule="auto"/>
        <w:rPr>
          <w:sz w:val="20"/>
          <w:szCs w:val="20"/>
          <w:color w:val="auto"/>
        </w:rPr>
      </w:pPr>
      <w:r>
        <w:rPr>
          <w:rFonts w:ascii="Arial" w:cs="Arial" w:eastAsia="Arial" w:hAnsi="Arial"/>
          <w:sz w:val="16"/>
          <w:szCs w:val="16"/>
          <w:color w:val="auto"/>
        </w:rPr>
        <w:t>In May 2021, we purchased the remaining 35% ownership interest in the Gaylord Rockies joint venture. Prior to May 2021, we had a 65% interest in the Gaylord Rockies joint venture, and our management concluded that the Company was the primary beneficiary of the previous variable interest entity (“VIE”). The financial position and results of operations of this previous VIE have been consolidated in the accompanying consolidated financial statements included herein. We also purchased 130 acres of undeveloped land, adjacent to Gaylord Rockies in May 2021.</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Gaylord Palms Expansion</w:t>
      </w:r>
    </w:p>
    <w:p>
      <w:pPr>
        <w:spacing w:after="0" w:line="225" w:lineRule="exact"/>
        <w:rPr>
          <w:sz w:val="20"/>
          <w:szCs w:val="20"/>
          <w:color w:val="auto"/>
        </w:rPr>
      </w:pPr>
    </w:p>
    <w:p>
      <w:pPr>
        <w:ind w:left="60" w:right="99"/>
        <w:spacing w:after="0" w:line="342" w:lineRule="auto"/>
        <w:rPr>
          <w:sz w:val="20"/>
          <w:szCs w:val="20"/>
          <w:color w:val="auto"/>
        </w:rPr>
      </w:pPr>
      <w:r>
        <w:rPr>
          <w:rFonts w:ascii="Arial" w:cs="Arial" w:eastAsia="Arial" w:hAnsi="Arial"/>
          <w:sz w:val="16"/>
          <w:szCs w:val="16"/>
          <w:color w:val="auto"/>
        </w:rPr>
        <w:t>In April 2021, we completed a $158 million expansion of Gaylord Palms, which includes an additional 302 guest rooms and 96,000 square feet of meeting space, an expanded resort pool and events lawn, and a new multi-level parking structure.</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Gaylord Rockies Expansion</w:t>
      </w:r>
    </w:p>
    <w:p>
      <w:pPr>
        <w:spacing w:after="0" w:line="225" w:lineRule="exact"/>
        <w:rPr>
          <w:sz w:val="20"/>
          <w:szCs w:val="20"/>
          <w:color w:val="auto"/>
        </w:rPr>
      </w:pPr>
    </w:p>
    <w:p>
      <w:pPr>
        <w:ind w:left="60" w:right="339"/>
        <w:spacing w:after="0" w:line="311" w:lineRule="auto"/>
        <w:rPr>
          <w:sz w:val="20"/>
          <w:szCs w:val="20"/>
          <w:color w:val="auto"/>
        </w:rPr>
      </w:pPr>
      <w:r>
        <w:rPr>
          <w:rFonts w:ascii="Arial" w:cs="Arial" w:eastAsia="Arial" w:hAnsi="Arial"/>
          <w:sz w:val="16"/>
          <w:szCs w:val="16"/>
          <w:color w:val="auto"/>
        </w:rPr>
        <w:t>In February 2020, we announced an $80 million expansion of Gaylord Rockies, which was intended to include an additional 317 guest rooms. The expansion was expected to begin in the second quarter of 2020, but, as discussed under “Impact of COVID-19 pandemic” above, the expansion was deferred in response to the COVID-19 pandemic.</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Circle</w:t>
      </w:r>
    </w:p>
    <w:p>
      <w:pPr>
        <w:spacing w:after="0" w:line="225" w:lineRule="exact"/>
        <w:rPr>
          <w:sz w:val="20"/>
          <w:szCs w:val="20"/>
          <w:color w:val="auto"/>
        </w:rPr>
      </w:pPr>
    </w:p>
    <w:p>
      <w:pPr>
        <w:ind w:left="60" w:right="159"/>
        <w:spacing w:after="0" w:line="255" w:lineRule="auto"/>
        <w:rPr>
          <w:sz w:val="20"/>
          <w:szCs w:val="20"/>
          <w:color w:val="auto"/>
        </w:rPr>
      </w:pPr>
      <w:r>
        <w:rPr>
          <w:rFonts w:ascii="Arial" w:cs="Arial" w:eastAsia="Arial" w:hAnsi="Arial"/>
          <w:sz w:val="18"/>
          <w:szCs w:val="18"/>
          <w:color w:val="auto"/>
        </w:rPr>
        <w:t>In 2019, we acquired a 50% equity interest in Circle and we have made $21.0 million in capital contributions through December 31, 2021. We intend to contribute up to an additional $12.0 million to Circle in 2022 for working capital needs. Circle launched its broadcast network on January 1, 2020, with sixteen original shows and two major distribution partnerships. As of February 2022, Circle is available to more than 70% of U.S. television households via over-the-air and cable television and is available through multiple online streaming services covering over 193 million monthly average users.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Potential Acquisition of Block 21; Termination of Previous Block 21 Acquisition Agreement</w:t>
      </w:r>
    </w:p>
    <w:p>
      <w:pPr>
        <w:spacing w:after="0" w:line="225" w:lineRule="exact"/>
        <w:rPr>
          <w:sz w:val="20"/>
          <w:szCs w:val="20"/>
          <w:color w:val="auto"/>
        </w:rPr>
      </w:pPr>
    </w:p>
    <w:p>
      <w:pPr>
        <w:ind w:left="60" w:right="59"/>
        <w:spacing w:after="0" w:line="269" w:lineRule="auto"/>
        <w:rPr>
          <w:sz w:val="20"/>
          <w:szCs w:val="20"/>
          <w:color w:val="auto"/>
        </w:rPr>
      </w:pPr>
      <w:r>
        <w:rPr>
          <w:rFonts w:ascii="Arial" w:cs="Arial" w:eastAsia="Arial" w:hAnsi="Arial"/>
          <w:sz w:val="17"/>
          <w:szCs w:val="17"/>
          <w:color w:val="auto"/>
        </w:rPr>
        <w:t>In October 2021, we entered into an agreement (the “Block 21 Agreement”) to purchase Block 21, a mixed-use entertainment, lodging, office and retail complex located in Austin, Texas, for $260 million, which includes the assumption of approximately $135 million of existing mortgage debt. In addition, we will receive approximately $11 million of existing cash reserves attributable to the assets. Block 21 is the home of the Austin City Limits Live at The Moody Theater (“ACL Live”), a 2,750-seat entertainment venue that serves as the filming location for the Austin City Limits television series. The Block 21 complex also includes the 251-room W Austin Hotel, the 3TEN at ACL Live club and approximately 53,000 square feet of other Class A commercial space. The acquisition is expected to close in first quarter 2022, subject to customary closing conditions including, but not limited to, consent to our assumption of the existing mortgage loan by the loan servicer and the consent of the hotel property manager, an affiliate of Marriott, to our assignment and assumption of the existing hotel management agreement. We have the capacity to finance the transaction under our revolving credit facility and may use cash on hand, including from any sales of stock under our ATM program, and will make a determination of funding sources prior to closing.</w:t>
      </w:r>
    </w:p>
    <w:p>
      <w:pPr>
        <w:spacing w:after="0" w:line="179" w:lineRule="exact"/>
        <w:rPr>
          <w:sz w:val="20"/>
          <w:szCs w:val="20"/>
          <w:color w:val="auto"/>
        </w:rPr>
      </w:pPr>
    </w:p>
    <w:p>
      <w:pPr>
        <w:ind w:left="60" w:right="219"/>
        <w:spacing w:after="0" w:line="296" w:lineRule="auto"/>
        <w:rPr>
          <w:sz w:val="20"/>
          <w:szCs w:val="20"/>
          <w:color w:val="auto"/>
        </w:rPr>
      </w:pPr>
      <w:r>
        <w:rPr>
          <w:rFonts w:ascii="Arial" w:cs="Arial" w:eastAsia="Arial" w:hAnsi="Arial"/>
          <w:sz w:val="16"/>
          <w:szCs w:val="16"/>
          <w:color w:val="auto"/>
        </w:rPr>
        <w:t>In December 2019, we entered into a previous agreement to purchase Block 21. In May 2020, in response to the then-existing capital markets and economic environment caused by the COVID-19 pandemic, we determined it was not in the best interest of shareholders to focus resources and capital on the project and terminated the related purchase agreement. We forfeited a nonrefundable December 2019 deposit of $15 million and recorded a loss, which is included in other gains and (losses), net in the accompanying consolidated statement of operations for 2020.</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Dividend Policy; Suspension of Dividend</w:t>
      </w:r>
    </w:p>
    <w:p>
      <w:pPr>
        <w:spacing w:after="0" w:line="225" w:lineRule="exact"/>
        <w:rPr>
          <w:sz w:val="20"/>
          <w:szCs w:val="20"/>
          <w:color w:val="auto"/>
        </w:rPr>
      </w:pPr>
    </w:p>
    <w:p>
      <w:pPr>
        <w:ind w:left="60" w:right="79"/>
        <w:spacing w:after="0" w:line="289" w:lineRule="auto"/>
        <w:rPr>
          <w:sz w:val="20"/>
          <w:szCs w:val="20"/>
          <w:color w:val="auto"/>
        </w:rPr>
      </w:pPr>
      <w:r>
        <w:rPr>
          <w:rFonts w:ascii="Arial" w:cs="Arial" w:eastAsia="Arial" w:hAnsi="Arial"/>
          <w:sz w:val="16"/>
          <w:szCs w:val="16"/>
          <w:color w:val="auto"/>
        </w:rPr>
        <w:t>On February 25, 2020, our board of directors declared our first quarter 2020 cash dividend in the amount of $0.95 per share of common stock, or an aggregate of approximately $52.2 million in cash, which was paid on April 15, 2020 to stockholders of record as of the close of business on March 31, 2020. Following payment of our first quarter 2020 cash dividend, we suspended our regular quarterly dividend payments, and our board of directors will consider a future dividend as permitted by our credit agreement. Our credit facility amendment described below under “Principal Debt Agreements” permits payment of dividends as necessary to maintain our REIT status and permits us to pay a dividend of $0.01 per share each quarter. Prior to the suspension of dividends as a result of the COVID-19 pandemic, we had planned to continue to pay a quarterly cash dividend to shareholders in an amount equal to an annualized payment of at least 50% of adjusted funds from operations (as defined by us) less maintenance capital expenditures or 100% of REIT</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spacing w:after="0" w:line="277" w:lineRule="auto"/>
        <w:rPr>
          <w:sz w:val="20"/>
          <w:szCs w:val="20"/>
          <w:color w:val="auto"/>
        </w:rPr>
      </w:pPr>
      <w:r>
        <w:rPr>
          <w:rFonts w:ascii="Arial" w:cs="Arial" w:eastAsia="Arial" w:hAnsi="Arial"/>
          <w:sz w:val="18"/>
          <w:szCs w:val="18"/>
          <w:color w:val="auto"/>
        </w:rPr>
        <w:t>taxable income, whichever is greater. Any future dividend is subject to our board of directors’ determinations as to the amount of distributions and the timing thereof.</w:t>
      </w:r>
    </w:p>
    <w:p>
      <w:pPr>
        <w:spacing w:after="0" w:line="170"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During 2019, the Company’s board of directors declared quarterly dividends totaling $3.60 per share of common stock, or an aggregate of $188.3 million in cash.</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Senior Note Refinancing</w:t>
      </w:r>
    </w:p>
    <w:p>
      <w:pPr>
        <w:spacing w:after="0" w:line="225" w:lineRule="exact"/>
        <w:rPr>
          <w:sz w:val="20"/>
          <w:szCs w:val="20"/>
          <w:color w:val="auto"/>
        </w:rPr>
      </w:pPr>
    </w:p>
    <w:p>
      <w:pPr>
        <w:ind w:left="60" w:right="139"/>
        <w:spacing w:after="0" w:line="272" w:lineRule="auto"/>
        <w:rPr>
          <w:sz w:val="20"/>
          <w:szCs w:val="20"/>
          <w:color w:val="auto"/>
        </w:rPr>
      </w:pPr>
      <w:r>
        <w:rPr>
          <w:rFonts w:ascii="Arial" w:cs="Arial" w:eastAsia="Arial" w:hAnsi="Arial"/>
          <w:sz w:val="17"/>
          <w:szCs w:val="17"/>
          <w:color w:val="auto"/>
        </w:rPr>
        <w:t>In February 2021, the Operating Partnership and RHP Finance Corporation, a Delaware corporation (“Finco” and together with the Operating Partnership, collectively, the “Issuers”) completed the private placement of $600 million aggregate principal amount of 4.50% senior notes due 2029 (the “$600 Million 4.50% Senior Notes”). The aggregate net proceeds from the sale of the $600 Million 4.5% Senior Notes were approximately $591 million, after deducting the initial purchasers’ discounts and commissions and offering expenses. After using a significant portion of these net proceeds to tender and redeem the $400 Million 5% Senior Notes, we used the remaining net proceeds to repay all of the amounts then outstanding under our $700 million revolving credit facility and for general corporate purposes.</w:t>
      </w:r>
    </w:p>
    <w:p>
      <w:pPr>
        <w:spacing w:after="0" w:line="177" w:lineRule="exact"/>
        <w:rPr>
          <w:sz w:val="20"/>
          <w:szCs w:val="20"/>
          <w:color w:val="auto"/>
        </w:rPr>
      </w:pPr>
    </w:p>
    <w:p>
      <w:pPr>
        <w:ind w:left="60" w:right="59"/>
        <w:spacing w:after="0" w:line="301" w:lineRule="auto"/>
        <w:rPr>
          <w:sz w:val="20"/>
          <w:szCs w:val="20"/>
          <w:color w:val="auto"/>
        </w:rPr>
      </w:pPr>
      <w:r>
        <w:rPr>
          <w:rFonts w:ascii="Arial" w:cs="Arial" w:eastAsia="Arial" w:hAnsi="Arial"/>
          <w:sz w:val="16"/>
          <w:szCs w:val="16"/>
          <w:color w:val="auto"/>
        </w:rPr>
        <w:t>In February 2021, we also completed a cash tender offer for any and all outstanding $400 million 5% senior notes due 2023 (the “$400 Million 5% Senior Notes”). Pursuant to the tender offer, $161.9 million aggregate principal amount of the $400 Million 5% Senior Notes were validly tendered. Subsequent to expiration of the tender offer, in February 2021 we gave irrevocable notice of the redemption of all remaining $400 Million 5% Senior Notes not tendered in the tender offer.</w:t>
      </w:r>
    </w:p>
    <w:p>
      <w:pPr>
        <w:spacing w:after="0" w:line="157" w:lineRule="exact"/>
        <w:rPr>
          <w:sz w:val="20"/>
          <w:szCs w:val="20"/>
          <w:color w:val="auto"/>
        </w:rPr>
      </w:pPr>
    </w:p>
    <w:p>
      <w:pPr>
        <w:jc w:val="both"/>
        <w:ind w:left="60" w:right="259"/>
        <w:spacing w:after="0" w:line="311" w:lineRule="auto"/>
        <w:rPr>
          <w:sz w:val="20"/>
          <w:szCs w:val="20"/>
          <w:color w:val="auto"/>
        </w:rPr>
      </w:pPr>
      <w:r>
        <w:rPr>
          <w:rFonts w:ascii="Arial" w:cs="Arial" w:eastAsia="Arial" w:hAnsi="Arial"/>
          <w:sz w:val="16"/>
          <w:szCs w:val="16"/>
          <w:color w:val="auto"/>
        </w:rPr>
        <w:t>We used a portion of the proceeds from the issuance of the $600 Million 4.50% Senior Notes to fund the tender offer and redemption. As a result of our purchase of tendered $400 Million 5% Senior Notes and the redemption of all untendered $400 Million 5% Senior Notes, we recognized a loss on extinguishment of debt of $2.9 million in 2021.</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Current Operations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ongoing operations are organized into three principal business segments:</w:t>
      </w:r>
    </w:p>
    <w:p>
      <w:pPr>
        <w:spacing w:after="0" w:line="225" w:lineRule="exact"/>
        <w:rPr>
          <w:sz w:val="20"/>
          <w:szCs w:val="20"/>
          <w:color w:val="auto"/>
        </w:rPr>
      </w:pPr>
    </w:p>
    <w:p>
      <w:pPr>
        <w:ind w:left="720" w:right="179" w:hanging="319"/>
        <w:spacing w:after="0" w:line="277"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Hospitality, consisting of our Gaylord Hotels properties, the Inn at Opryland, and the AC Hotel, each of which is managed by Marriott.</w:t>
      </w:r>
    </w:p>
    <w:p>
      <w:pPr>
        <w:spacing w:after="0" w:line="170" w:lineRule="exact"/>
        <w:rPr>
          <w:rFonts w:ascii="Arial" w:cs="Arial" w:eastAsia="Arial" w:hAnsi="Arial"/>
          <w:sz w:val="18"/>
          <w:szCs w:val="18"/>
          <w:color w:val="auto"/>
        </w:rPr>
      </w:pPr>
    </w:p>
    <w:p>
      <w:pPr>
        <w:ind w:left="720" w:right="439" w:hanging="319"/>
        <w:spacing w:after="0" w:line="311" w:lineRule="auto"/>
        <w:tabs>
          <w:tab w:leader="none" w:pos="7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Entertainment, consisting of the Grand Ole Opry, the Ryman Auditorium, WSM-AM, Ole Red, and our other Nashville-based attractions, as well as our investment in the Circle joint venture. We own our Entertainment businesses in TRSs, and Marriott manages the General Jackson, Wildhorse Saloon and Gaylord Springs.</w:t>
      </w:r>
    </w:p>
    <w:p>
      <w:pPr>
        <w:spacing w:after="0" w:line="148" w:lineRule="exact"/>
        <w:rPr>
          <w:rFonts w:ascii="Arial" w:cs="Arial" w:eastAsia="Arial" w:hAnsi="Arial"/>
          <w:sz w:val="16"/>
          <w:szCs w:val="16"/>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Corporate and Other, consisting of our corporate expenses.</w:t>
      </w:r>
    </w:p>
    <w:p>
      <w:pPr>
        <w:spacing w:after="0" w:line="225"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For the years ended December 31, 2021, 2020 and 2019, our total revenues were divided among these business segments as follows:</w:t>
      </w:r>
    </w:p>
    <w:p>
      <w:pPr>
        <w:spacing w:after="0" w:line="175"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5120" w:type="dxa"/>
            <w:vAlign w:val="bottom"/>
            <w:gridSpan w:val="3"/>
          </w:tcPr>
          <w:p>
            <w:pPr>
              <w:spacing w:after="0"/>
              <w:rPr>
                <w:sz w:val="20"/>
                <w:szCs w:val="20"/>
                <w:color w:val="auto"/>
              </w:rPr>
            </w:pPr>
            <w:r>
              <w:rPr>
                <w:rFonts w:ascii="Arial" w:cs="Arial" w:eastAsia="Arial" w:hAnsi="Arial"/>
                <w:sz w:val="14"/>
                <w:szCs w:val="14"/>
                <w:b w:val="1"/>
                <w:bCs w:val="1"/>
                <w:color w:val="auto"/>
              </w:rPr>
              <w:t>Segment</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Hospitality</w:t>
            </w: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Entertainment</w:t>
            </w:r>
          </w:p>
        </w:tc>
        <w:tc>
          <w:tcPr>
            <w:tcW w:w="680" w:type="dxa"/>
            <w:vAlign w:val="bottom"/>
            <w:gridSpan w:val="2"/>
          </w:tcPr>
          <w:p>
            <w:pPr>
              <w:jc w:val="right"/>
              <w:ind w:right="10"/>
              <w:spacing w:after="0"/>
              <w:rPr>
                <w:sz w:val="20"/>
                <w:szCs w:val="20"/>
                <w:color w:val="auto"/>
              </w:rPr>
            </w:pPr>
            <w:r>
              <w:rPr>
                <w:rFonts w:ascii="Arial" w:cs="Arial" w:eastAsia="Arial" w:hAnsi="Arial"/>
                <w:sz w:val="18"/>
                <w:szCs w:val="18"/>
                <w:color w:val="auto"/>
              </w:rPr>
              <w:t>16 %</w:t>
            </w:r>
          </w:p>
        </w:tc>
        <w:tc>
          <w:tcPr>
            <w:tcW w:w="660" w:type="dxa"/>
            <w:vAlign w:val="bottom"/>
            <w:gridSpan w:val="2"/>
          </w:tcPr>
          <w:p>
            <w:pPr>
              <w:jc w:val="right"/>
              <w:ind w:right="10"/>
              <w:spacing w:after="0"/>
              <w:rPr>
                <w:sz w:val="20"/>
                <w:szCs w:val="20"/>
                <w:color w:val="auto"/>
              </w:rPr>
            </w:pPr>
            <w:r>
              <w:rPr>
                <w:rFonts w:ascii="Arial" w:cs="Arial" w:eastAsia="Arial" w:hAnsi="Arial"/>
                <w:sz w:val="18"/>
                <w:szCs w:val="18"/>
                <w:color w:val="auto"/>
              </w:rPr>
              <w:t>11 %</w:t>
            </w:r>
          </w:p>
        </w:tc>
        <w:tc>
          <w:tcPr>
            <w:tcW w:w="660" w:type="dxa"/>
            <w:vAlign w:val="bottom"/>
            <w:gridSpan w:val="2"/>
          </w:tcPr>
          <w:p>
            <w:pPr>
              <w:jc w:val="right"/>
              <w:ind w:right="10"/>
              <w:spacing w:after="0"/>
              <w:rPr>
                <w:sz w:val="20"/>
                <w:szCs w:val="20"/>
                <w:color w:val="auto"/>
              </w:rPr>
            </w:pPr>
            <w:r>
              <w:rPr>
                <w:rFonts w:ascii="Arial" w:cs="Arial" w:eastAsia="Arial" w:hAnsi="Arial"/>
                <w:sz w:val="18"/>
                <w:szCs w:val="18"/>
                <w:color w:val="auto"/>
              </w:rPr>
              <w:t>11 %</w:t>
            </w: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0 %</w:t>
            </w:r>
          </w:p>
        </w:tc>
        <w:tc>
          <w:tcPr>
            <w:tcW w:w="6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0 %</w:t>
            </w:r>
          </w:p>
        </w:tc>
        <w:tc>
          <w:tcPr>
            <w:tcW w:w="6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0 %</w:t>
            </w:r>
          </w:p>
        </w:tc>
      </w:tr>
    </w:tbl>
    <w:p>
      <w:pPr>
        <w:spacing w:after="0" w:line="202" w:lineRule="exact"/>
        <w:rPr>
          <w:sz w:val="20"/>
          <w:szCs w:val="20"/>
          <w:color w:val="auto"/>
        </w:rPr>
      </w:pPr>
    </w:p>
    <w:p>
      <w:pPr>
        <w:ind w:left="60" w:right="379"/>
        <w:spacing w:after="0" w:line="273" w:lineRule="auto"/>
        <w:rPr>
          <w:sz w:val="20"/>
          <w:szCs w:val="20"/>
          <w:color w:val="auto"/>
        </w:rPr>
      </w:pPr>
      <w:r>
        <w:rPr>
          <w:rFonts w:ascii="Arial" w:cs="Arial" w:eastAsia="Arial" w:hAnsi="Arial"/>
          <w:sz w:val="17"/>
          <w:szCs w:val="17"/>
          <w:color w:val="auto"/>
        </w:rPr>
        <w:t>As described above, our hotels and entertainment assets were closed for a period of time in 2020, and Gaylord National reopened July 1, 2021. While facilities were closed, we recorded negligible revenue, and we incurred expenses as described above under “Impact of COVID-19 Pandemic.” Our short-term strategy is to safely operate our businesses through the COVID-19 pandemic and work with Marriott to rebook business in our hotels. While all of our assets have reopened and are operating, there is significant uncertainty surrounding the full extent of the impact of the COVID-19 pandemic on our future results of operations and financial position.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Key Performance Indicators</w:t>
      </w:r>
    </w:p>
    <w:p>
      <w:pPr>
        <w:spacing w:after="0" w:line="225" w:lineRule="exact"/>
        <w:rPr>
          <w:sz w:val="20"/>
          <w:szCs w:val="20"/>
          <w:color w:val="auto"/>
        </w:rPr>
      </w:pPr>
    </w:p>
    <w:p>
      <w:pPr>
        <w:ind w:left="60" w:right="179"/>
        <w:spacing w:after="0" w:line="257" w:lineRule="auto"/>
        <w:rPr>
          <w:sz w:val="20"/>
          <w:szCs w:val="20"/>
          <w:color w:val="auto"/>
        </w:rPr>
      </w:pPr>
      <w:r>
        <w:rPr>
          <w:rFonts w:ascii="Arial" w:cs="Arial" w:eastAsia="Arial" w:hAnsi="Arial"/>
          <w:sz w:val="18"/>
          <w:szCs w:val="18"/>
          <w:color w:val="auto"/>
        </w:rPr>
        <w:t>The operating results of our Hospitality segment are highly dependent on the volume of customers at our hotels and the quality of the customer mix at our hotels, which are managed by Marriott. These factors impact the price that Marriott can charge for our hotel rooms and other amenities, such as food and beverage and meeting space. The following key performance indicators are commonly used in the hospitality industry and are used by management to evaluate hotel performance and potentially allocate capital expenditures:</w:t>
      </w:r>
    </w:p>
    <w:p>
      <w:pPr>
        <w:spacing w:after="0" w:line="188" w:lineRule="exact"/>
        <w:rPr>
          <w:sz w:val="20"/>
          <w:szCs w:val="20"/>
          <w:color w:val="auto"/>
        </w:rPr>
      </w:pPr>
    </w:p>
    <w:p>
      <w:pPr>
        <w:ind w:left="720" w:hanging="31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hotel occupancy – a volume indicator;</w:t>
      </w:r>
    </w:p>
    <w:p>
      <w:pPr>
        <w:spacing w:after="0" w:line="225" w:lineRule="exact"/>
        <w:rPr>
          <w:rFonts w:ascii="Arial" w:cs="Arial" w:eastAsia="Arial" w:hAnsi="Arial"/>
          <w:sz w:val="18"/>
          <w:szCs w:val="18"/>
          <w:color w:val="auto"/>
        </w:rPr>
      </w:pPr>
    </w:p>
    <w:p>
      <w:pPr>
        <w:ind w:left="720" w:right="439" w:hanging="319"/>
        <w:spacing w:after="0" w:line="277"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average daily rate (“ADR”) – a price indicator calculated by dividing rooms revenue by the number of rooms sold;</w:t>
      </w:r>
    </w:p>
    <w:p>
      <w:pPr>
        <w:spacing w:after="0" w:line="170" w:lineRule="exact"/>
        <w:rPr>
          <w:rFonts w:ascii="Arial" w:cs="Arial" w:eastAsia="Arial" w:hAnsi="Arial"/>
          <w:sz w:val="18"/>
          <w:szCs w:val="18"/>
          <w:color w:val="auto"/>
        </w:rPr>
      </w:pPr>
    </w:p>
    <w:p>
      <w:pPr>
        <w:ind w:left="720" w:right="359" w:hanging="319"/>
        <w:spacing w:after="0" w:line="277"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Revenue per Available Room (“RevPAR”) – a summary measure of hotel results calculated by dividing rooms revenue by room nights available to guests for the period;</w:t>
      </w:r>
    </w:p>
    <w:p>
      <w:pPr>
        <w:spacing w:after="0" w:line="170" w:lineRule="exact"/>
        <w:rPr>
          <w:rFonts w:ascii="Arial" w:cs="Arial" w:eastAsia="Arial" w:hAnsi="Arial"/>
          <w:sz w:val="18"/>
          <w:szCs w:val="18"/>
          <w:color w:val="auto"/>
        </w:rPr>
      </w:pPr>
    </w:p>
    <w:p>
      <w:pPr>
        <w:ind w:left="720" w:right="459" w:hanging="319"/>
        <w:spacing w:after="0" w:line="263"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Total Revenue per Available Room (“Total RevPAR”) – a summary measure of hotel results calculated by dividing the sum of room, food and beverage and other ancillary service revenue by room nights available to guests for the period; and</w:t>
      </w:r>
    </w:p>
    <w:p>
      <w:pPr>
        <w:spacing w:after="0" w:line="183" w:lineRule="exact"/>
        <w:rPr>
          <w:rFonts w:ascii="Arial" w:cs="Arial" w:eastAsia="Arial" w:hAnsi="Arial"/>
          <w:sz w:val="18"/>
          <w:szCs w:val="18"/>
          <w:color w:val="auto"/>
        </w:rPr>
      </w:pPr>
    </w:p>
    <w:p>
      <w:pPr>
        <w:ind w:left="720" w:right="279" w:hanging="319"/>
        <w:spacing w:after="0" w:line="308" w:lineRule="auto"/>
        <w:tabs>
          <w:tab w:leader="none" w:pos="7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Net Definite Room Nights Booked – a volume indicator which represents the total number of definite bookings for future room nights at our hotels confirmed during the applicable period, net of cancellations.</w:t>
      </w:r>
    </w:p>
    <w:p>
      <w:pPr>
        <w:spacing w:after="0" w:line="146" w:lineRule="exact"/>
        <w:rPr>
          <w:sz w:val="20"/>
          <w:szCs w:val="20"/>
          <w:color w:val="auto"/>
        </w:rPr>
      </w:pPr>
    </w:p>
    <w:p>
      <w:pPr>
        <w:ind w:left="60" w:right="99"/>
        <w:spacing w:after="0" w:line="263" w:lineRule="auto"/>
        <w:rPr>
          <w:sz w:val="20"/>
          <w:szCs w:val="20"/>
          <w:color w:val="auto"/>
        </w:rPr>
      </w:pPr>
      <w:r>
        <w:rPr>
          <w:rFonts w:ascii="Arial" w:cs="Arial" w:eastAsia="Arial" w:hAnsi="Arial"/>
          <w:sz w:val="18"/>
          <w:szCs w:val="18"/>
          <w:color w:val="auto"/>
        </w:rPr>
        <w:t>For 2021 and 2020, the method of calculation of these indicators has not been changed as a result of the COVID-19 pandemic and the resulting hotel closures and is consistent with prior periods. As such, performance metrics include closed hotel room nights available.</w:t>
      </w:r>
    </w:p>
    <w:p>
      <w:pPr>
        <w:spacing w:after="0" w:line="157" w:lineRule="exact"/>
        <w:rPr>
          <w:sz w:val="20"/>
          <w:szCs w:val="20"/>
          <w:color w:val="auto"/>
        </w:rPr>
      </w:pPr>
    </w:p>
    <w:p>
      <w:pPr>
        <w:ind w:left="60" w:right="199"/>
        <w:spacing w:after="0" w:line="342" w:lineRule="auto"/>
        <w:rPr>
          <w:sz w:val="20"/>
          <w:szCs w:val="20"/>
          <w:color w:val="auto"/>
        </w:rPr>
      </w:pPr>
      <w:r>
        <w:rPr>
          <w:rFonts w:ascii="Arial" w:cs="Arial" w:eastAsia="Arial" w:hAnsi="Arial"/>
          <w:sz w:val="16"/>
          <w:szCs w:val="16"/>
          <w:color w:val="auto"/>
        </w:rPr>
        <w:t>We also use certain “non-GAAP financial measures,” which are measures of our historical performance that are not calculated and presented in accordance with GAAP, within the meaning of applicable SEC rules. These measures include:</w:t>
      </w:r>
    </w:p>
    <w:p>
      <w:pPr>
        <w:spacing w:after="0" w:line="124" w:lineRule="exact"/>
        <w:rPr>
          <w:sz w:val="20"/>
          <w:szCs w:val="20"/>
          <w:color w:val="auto"/>
        </w:rPr>
      </w:pPr>
    </w:p>
    <w:p>
      <w:pPr>
        <w:ind w:left="720" w:right="179" w:hanging="319"/>
        <w:spacing w:after="0" w:line="277"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Earnings Before Interest Expense, Income Taxes, Depreciation and Amortization for Real Estate (“EBITDA</w:t>
      </w:r>
      <w:r>
        <w:rPr>
          <w:rFonts w:ascii="Arial" w:cs="Arial" w:eastAsia="Arial" w:hAnsi="Arial"/>
          <w:sz w:val="18"/>
          <w:szCs w:val="18"/>
          <w:i w:val="1"/>
          <w:iCs w:val="1"/>
          <w:color w:val="auto"/>
        </w:rPr>
        <w:t>re</w:t>
      </w:r>
      <w:r>
        <w:rPr>
          <w:rFonts w:ascii="Arial" w:cs="Arial" w:eastAsia="Arial" w:hAnsi="Arial"/>
          <w:sz w:val="18"/>
          <w:szCs w:val="18"/>
          <w:color w:val="auto"/>
        </w:rPr>
        <w:t>”), Adjusted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and Adjusted EBITDA</w:t>
      </w:r>
      <w:r>
        <w:rPr>
          <w:rFonts w:ascii="Arial" w:cs="Arial" w:eastAsia="Arial" w:hAnsi="Arial"/>
          <w:sz w:val="18"/>
          <w:szCs w:val="18"/>
          <w:i w:val="1"/>
          <w:iCs w:val="1"/>
          <w:color w:val="auto"/>
        </w:rPr>
        <w:t>re</w:t>
      </w:r>
      <w:r>
        <w:rPr>
          <w:rFonts w:ascii="Arial" w:cs="Arial" w:eastAsia="Arial" w:hAnsi="Arial"/>
          <w:sz w:val="18"/>
          <w:szCs w:val="18"/>
          <w:color w:val="auto"/>
        </w:rPr>
        <w:t>, Excluding Noncontrolling Interest, and</w:t>
      </w:r>
    </w:p>
    <w:p>
      <w:pPr>
        <w:spacing w:after="0" w:line="170" w:lineRule="exact"/>
        <w:rPr>
          <w:rFonts w:ascii="Arial" w:cs="Arial" w:eastAsia="Arial" w:hAnsi="Arial"/>
          <w:sz w:val="18"/>
          <w:szCs w:val="18"/>
          <w:color w:val="auto"/>
        </w:rPr>
      </w:pPr>
    </w:p>
    <w:p>
      <w:pPr>
        <w:ind w:left="720" w:right="179" w:hanging="319"/>
        <w:spacing w:after="0" w:line="277"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Funds from Operations (“FFO”) available to common shareholders and unit holders and Adjusted FFO available to common shareholders and unitholders.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“Non-GAAP Financial Measures” below for further discussion.</w:t>
      </w:r>
    </w:p>
    <w:p>
      <w:pPr>
        <w:spacing w:after="0" w:line="185"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color w:val="auto"/>
        </w:rPr>
        <w:t>The closure, limited reopening and pandemic-constrained business levels of our Gaylord Hotels properties have resulted in the significant decrease in performance reflected in these key performance indicators and non-GAAP financial measures for 2021 and 2020, as compared to historical periods.</w:t>
      </w:r>
    </w:p>
    <w:p>
      <w:pPr>
        <w:spacing w:after="0" w:line="143" w:lineRule="exact"/>
        <w:rPr>
          <w:sz w:val="20"/>
          <w:szCs w:val="20"/>
          <w:color w:val="auto"/>
        </w:rPr>
      </w:pPr>
    </w:p>
    <w:p>
      <w:pPr>
        <w:ind w:left="60" w:right="219"/>
        <w:spacing w:after="0" w:line="290" w:lineRule="auto"/>
        <w:rPr>
          <w:sz w:val="20"/>
          <w:szCs w:val="20"/>
          <w:color w:val="auto"/>
        </w:rPr>
      </w:pPr>
      <w:r>
        <w:rPr>
          <w:rFonts w:ascii="Arial" w:cs="Arial" w:eastAsia="Arial" w:hAnsi="Arial"/>
          <w:sz w:val="16"/>
          <w:szCs w:val="16"/>
          <w:color w:val="auto"/>
        </w:rPr>
        <w:t>Hospitality segment revenue from our occupied hotel rooms is recognized over time as the daily hotel stay is provided to hotel groups and guests. Revenues from concessions, food and beverage sales, and group meeting services are recognized over the period or at the point in time those goods or services are delivered to the group or hotel guest. Revenues from ancillary services at our hotels, such as spa, parking, and transportation services, are generally recognized at the time the goods or services are provided. Cancellation fees, as well as attrition fees that are charged to groups when they do not fulfill the minimum number of room nights or minimum food and beverage spending requirements originally contracted for, are generally recognized as revenue in the period we determine it is probable that a significant reversal in the amount of revenue recognized will not occur, which is typically the period these fees are collected.</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59" w:lineRule="auto"/>
        <w:rPr>
          <w:sz w:val="20"/>
          <w:szCs w:val="20"/>
          <w:color w:val="auto"/>
        </w:rPr>
      </w:pPr>
      <w:r>
        <w:rPr>
          <w:rFonts w:ascii="Arial" w:cs="Arial" w:eastAsia="Arial" w:hAnsi="Arial"/>
          <w:sz w:val="18"/>
          <w:szCs w:val="18"/>
          <w:color w:val="auto"/>
        </w:rPr>
        <w:t>Almost all of our Hospitality segment revenues are either cash-based or, for meeting and convention groups that meet our credit criteria, billed and collected on a short-term receivables basis. The hospitality industry is capital intensive, and we rely on the ability of our hotels to generate operating cash flow to repay debt financing and fund maintenance capital expenditures.</w:t>
      </w:r>
    </w:p>
    <w:p>
      <w:pPr>
        <w:spacing w:after="0" w:line="187" w:lineRule="exact"/>
        <w:rPr>
          <w:sz w:val="20"/>
          <w:szCs w:val="20"/>
          <w:color w:val="auto"/>
        </w:rPr>
      </w:pPr>
    </w:p>
    <w:p>
      <w:pPr>
        <w:ind w:left="60" w:right="179"/>
        <w:spacing w:after="0" w:line="273" w:lineRule="auto"/>
        <w:rPr>
          <w:sz w:val="20"/>
          <w:szCs w:val="20"/>
          <w:color w:val="auto"/>
        </w:rPr>
      </w:pPr>
      <w:r>
        <w:rPr>
          <w:rFonts w:ascii="Arial" w:cs="Arial" w:eastAsia="Arial" w:hAnsi="Arial"/>
          <w:sz w:val="17"/>
          <w:szCs w:val="17"/>
          <w:color w:val="auto"/>
        </w:rPr>
        <w:t>The results of operations of our Hospitality segment are affected by the number and type of group meetings and conventions scheduled to attend our hotels in a given period. A variety of factors can affect the results of any interim period, including the nature and quality of the group meetings and conventions attending our hotels during such period, which meetings and conventions have often been contracted for several years in advance, the level of attrition our hotels experience, and the level of transient business at our hotels during such period. We rely on Marriott, as the manager of our hotels, to manage these factors and to offset any identified shortfalls in occupancy.</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Summary Financial Results</w:t>
      </w:r>
    </w:p>
    <w:p>
      <w:pPr>
        <w:spacing w:after="0" w:line="225"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The following table summarizes our financial results for the years ended December 31, 2021, 2020 and 2019 (in thousands, except percentages and per share data):</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ind w:right="219"/>
              <w:spacing w:after="0"/>
              <w:rPr>
                <w:sz w:val="20"/>
                <w:szCs w:val="20"/>
                <w:color w:val="auto"/>
              </w:rPr>
            </w:pPr>
            <w:r>
              <w:rPr>
                <w:rFonts w:ascii="Arial" w:cs="Arial" w:eastAsia="Arial" w:hAnsi="Arial"/>
                <w:sz w:val="14"/>
                <w:szCs w:val="14"/>
                <w:b w:val="1"/>
                <w:bCs w:val="1"/>
                <w:color w:val="auto"/>
              </w:rPr>
              <w:t>2021</w:t>
            </w:r>
          </w:p>
        </w:tc>
        <w:tc>
          <w:tcPr>
            <w:tcW w:w="104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rPr>
              <w:t>% Change</w:t>
            </w:r>
          </w:p>
        </w:tc>
        <w:tc>
          <w:tcPr>
            <w:tcW w:w="860" w:type="dxa"/>
            <w:vAlign w:val="bottom"/>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10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 Change</w:t>
            </w:r>
          </w:p>
        </w:tc>
        <w:tc>
          <w:tcPr>
            <w:tcW w:w="940" w:type="dxa"/>
            <w:vAlign w:val="bottom"/>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
        </w:trPr>
        <w:tc>
          <w:tcPr>
            <w:tcW w:w="39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0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8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6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939,373</w:t>
            </w:r>
          </w:p>
        </w:tc>
        <w:tc>
          <w:tcPr>
            <w:tcW w:w="14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24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524,475</w:t>
            </w:r>
          </w:p>
        </w:tc>
        <w:tc>
          <w:tcPr>
            <w:tcW w:w="140" w:type="dxa"/>
            <w:vAlign w:val="bottom"/>
            <w:vMerge w:val="continue"/>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$ 1,604,566</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998,048</w:t>
            </w:r>
          </w:p>
        </w:tc>
        <w:tc>
          <w:tcPr>
            <w:tcW w:w="1040" w:type="dxa"/>
            <w:vAlign w:val="bottom"/>
            <w:gridSpan w:val="3"/>
          </w:tcPr>
          <w:p>
            <w:pPr>
              <w:jc w:val="right"/>
              <w:ind w:right="10"/>
              <w:spacing w:after="0"/>
              <w:rPr>
                <w:sz w:val="20"/>
                <w:szCs w:val="20"/>
                <w:color w:val="auto"/>
              </w:rPr>
            </w:pPr>
            <w:r>
              <w:rPr>
                <w:rFonts w:ascii="Arial" w:cs="Arial" w:eastAsia="Arial" w:hAnsi="Arial"/>
                <w:sz w:val="18"/>
                <w:szCs w:val="18"/>
                <w:color w:val="auto"/>
              </w:rPr>
              <w:t>20.5 %</w:t>
            </w:r>
          </w:p>
        </w:tc>
        <w:tc>
          <w:tcPr>
            <w:tcW w:w="860" w:type="dxa"/>
            <w:vAlign w:val="bottom"/>
          </w:tcPr>
          <w:p>
            <w:pPr>
              <w:jc w:val="right"/>
              <w:spacing w:after="0"/>
              <w:rPr>
                <w:sz w:val="20"/>
                <w:szCs w:val="20"/>
                <w:color w:val="auto"/>
              </w:rPr>
            </w:pPr>
            <w:r>
              <w:rPr>
                <w:rFonts w:ascii="Arial" w:cs="Arial" w:eastAsia="Arial" w:hAnsi="Arial"/>
                <w:sz w:val="18"/>
                <w:szCs w:val="18"/>
                <w:color w:val="auto"/>
              </w:rPr>
              <w:t>828,306</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(38.0)%</w:t>
            </w:r>
          </w:p>
        </w:tc>
        <w:tc>
          <w:tcPr>
            <w:tcW w:w="940" w:type="dxa"/>
            <w:vAlign w:val="bottom"/>
          </w:tcPr>
          <w:p>
            <w:pPr>
              <w:jc w:val="right"/>
              <w:spacing w:after="0"/>
              <w:rPr>
                <w:sz w:val="20"/>
                <w:szCs w:val="20"/>
                <w:color w:val="auto"/>
              </w:rPr>
            </w:pPr>
            <w:r>
              <w:rPr>
                <w:rFonts w:ascii="Arial" w:cs="Arial" w:eastAsia="Arial" w:hAnsi="Arial"/>
                <w:sz w:val="18"/>
                <w:szCs w:val="18"/>
                <w:color w:val="auto"/>
              </w:rPr>
              <w:t>1,337,035</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(58,675)</w:t>
            </w:r>
          </w:p>
        </w:tc>
        <w:tc>
          <w:tcPr>
            <w:tcW w:w="10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80.7 %</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(303,831)</w:t>
            </w:r>
          </w:p>
        </w:tc>
        <w:tc>
          <w:tcPr>
            <w:tcW w:w="10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(213.6)%</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267,531</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Net income (loss)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(194,801)</w:t>
            </w:r>
          </w:p>
        </w:tc>
        <w:tc>
          <w:tcPr>
            <w:tcW w:w="1040" w:type="dxa"/>
            <w:vAlign w:val="bottom"/>
            <w:gridSpan w:val="3"/>
          </w:tcPr>
          <w:p>
            <w:pPr>
              <w:jc w:val="right"/>
              <w:ind w:right="10"/>
              <w:spacing w:after="0"/>
              <w:rPr>
                <w:sz w:val="20"/>
                <w:szCs w:val="20"/>
                <w:color w:val="auto"/>
              </w:rPr>
            </w:pPr>
            <w:r>
              <w:rPr>
                <w:rFonts w:ascii="Arial" w:cs="Arial" w:eastAsia="Arial" w:hAnsi="Arial"/>
                <w:sz w:val="18"/>
                <w:szCs w:val="18"/>
                <w:color w:val="auto"/>
              </w:rPr>
              <w:t>57.7 %</w:t>
            </w:r>
          </w:p>
        </w:tc>
        <w:tc>
          <w:tcPr>
            <w:tcW w:w="860" w:type="dxa"/>
            <w:vAlign w:val="bottom"/>
          </w:tcPr>
          <w:p>
            <w:pPr>
              <w:jc w:val="right"/>
              <w:spacing w:after="0"/>
              <w:rPr>
                <w:sz w:val="20"/>
                <w:szCs w:val="20"/>
                <w:color w:val="auto"/>
              </w:rPr>
            </w:pPr>
            <w:r>
              <w:rPr>
                <w:rFonts w:ascii="Arial" w:cs="Arial" w:eastAsia="Arial" w:hAnsi="Arial"/>
                <w:sz w:val="18"/>
                <w:szCs w:val="18"/>
                <w:color w:val="auto"/>
              </w:rPr>
              <w:t>(460,821)</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(459.2)%</w:t>
            </w:r>
          </w:p>
        </w:tc>
        <w:tc>
          <w:tcPr>
            <w:tcW w:w="940" w:type="dxa"/>
            <w:vAlign w:val="bottom"/>
          </w:tcPr>
          <w:p>
            <w:pPr>
              <w:jc w:val="right"/>
              <w:spacing w:after="0"/>
              <w:rPr>
                <w:sz w:val="20"/>
                <w:szCs w:val="20"/>
                <w:color w:val="auto"/>
              </w:rPr>
            </w:pPr>
            <w:r>
              <w:rPr>
                <w:rFonts w:ascii="Arial" w:cs="Arial" w:eastAsia="Arial" w:hAnsi="Arial"/>
                <w:sz w:val="18"/>
                <w:szCs w:val="18"/>
                <w:color w:val="auto"/>
              </w:rPr>
              <w:t>128,294</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w w:val="94"/>
              </w:rPr>
              <w:t>Net income (loss) available to common stockholders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(176,966)</w:t>
            </w:r>
          </w:p>
        </w:tc>
        <w:tc>
          <w:tcPr>
            <w:tcW w:w="10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57.6 %</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(417,391)</w:t>
            </w:r>
          </w:p>
        </w:tc>
        <w:tc>
          <w:tcPr>
            <w:tcW w:w="10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(386.3)%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145,794</w:t>
            </w:r>
          </w:p>
        </w:tc>
        <w:tc>
          <w:tcPr>
            <w:tcW w:w="0" w:type="dxa"/>
            <w:vAlign w:val="bottom"/>
          </w:tcPr>
          <w:p>
            <w:pPr>
              <w:spacing w:after="0"/>
              <w:rPr>
                <w:sz w:val="1"/>
                <w:szCs w:val="1"/>
                <w:color w:val="auto"/>
              </w:rPr>
            </w:pPr>
          </w:p>
        </w:tc>
      </w:tr>
      <w:tr>
        <w:trPr>
          <w:trHeight w:val="202"/>
        </w:trPr>
        <w:tc>
          <w:tcPr>
            <w:tcW w:w="3960" w:type="dxa"/>
            <w:vAlign w:val="bottom"/>
          </w:tcPr>
          <w:p>
            <w:pPr>
              <w:spacing w:after="0" w:line="201" w:lineRule="exact"/>
              <w:rPr>
                <w:sz w:val="20"/>
                <w:szCs w:val="20"/>
                <w:color w:val="auto"/>
              </w:rPr>
            </w:pPr>
            <w:r>
              <w:rPr>
                <w:rFonts w:ascii="Arial" w:cs="Arial" w:eastAsia="Arial" w:hAnsi="Arial"/>
                <w:sz w:val="18"/>
                <w:szCs w:val="18"/>
                <w:color w:val="auto"/>
                <w:w w:val="94"/>
              </w:rPr>
              <w:t>Net income (loss) available to common stockholders</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per share - diluted</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1040" w:type="dxa"/>
            <w:vAlign w:val="bottom"/>
            <w:gridSpan w:val="3"/>
          </w:tcPr>
          <w:p>
            <w:pPr>
              <w:jc w:val="right"/>
              <w:ind w:right="10"/>
              <w:spacing w:after="0"/>
              <w:rPr>
                <w:sz w:val="20"/>
                <w:szCs w:val="20"/>
                <w:color w:val="auto"/>
              </w:rPr>
            </w:pPr>
            <w:r>
              <w:rPr>
                <w:rFonts w:ascii="Arial" w:cs="Arial" w:eastAsia="Arial" w:hAnsi="Arial"/>
                <w:sz w:val="18"/>
                <w:szCs w:val="18"/>
                <w:color w:val="auto"/>
              </w:rPr>
              <w:t>57.7 %</w:t>
            </w:r>
          </w:p>
        </w:tc>
        <w:tc>
          <w:tcPr>
            <w:tcW w:w="860" w:type="dxa"/>
            <w:vAlign w:val="bottom"/>
          </w:tcPr>
          <w:p>
            <w:pPr>
              <w:jc w:val="right"/>
              <w:spacing w:after="0"/>
              <w:rPr>
                <w:sz w:val="20"/>
                <w:szCs w:val="20"/>
                <w:color w:val="auto"/>
              </w:rPr>
            </w:pPr>
            <w:r>
              <w:rPr>
                <w:rFonts w:ascii="Arial" w:cs="Arial" w:eastAsia="Arial" w:hAnsi="Arial"/>
                <w:sz w:val="18"/>
                <w:szCs w:val="18"/>
                <w:color w:val="auto"/>
              </w:rPr>
              <w:t>(7.59)</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(370.1)%</w:t>
            </w:r>
          </w:p>
        </w:tc>
        <w:tc>
          <w:tcPr>
            <w:tcW w:w="940" w:type="dxa"/>
            <w:vAlign w:val="bottom"/>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2021 Results as Compared to 2020 Results</w:t>
      </w:r>
    </w:p>
    <w:p>
      <w:pPr>
        <w:spacing w:after="0" w:line="225" w:lineRule="exact"/>
        <w:rPr>
          <w:sz w:val="20"/>
          <w:szCs w:val="20"/>
          <w:color w:val="auto"/>
        </w:rPr>
      </w:pPr>
    </w:p>
    <w:p>
      <w:pPr>
        <w:jc w:val="both"/>
        <w:ind w:left="60" w:right="119"/>
        <w:spacing w:after="0" w:line="342" w:lineRule="auto"/>
        <w:rPr>
          <w:sz w:val="20"/>
          <w:szCs w:val="20"/>
          <w:color w:val="auto"/>
        </w:rPr>
      </w:pPr>
      <w:r>
        <w:rPr>
          <w:rFonts w:ascii="Arial" w:cs="Arial" w:eastAsia="Arial" w:hAnsi="Arial"/>
          <w:sz w:val="16"/>
          <w:szCs w:val="16"/>
          <w:color w:val="auto"/>
        </w:rPr>
        <w:t>The increase in our total revenues during 2021, as compared to 2020, is attributable to increases in our Hospitality segment and Entertainment segment revenues of $320.5 million and $94.4 million, respectively, as discussed more fully below.</w:t>
      </w:r>
    </w:p>
    <w:p>
      <w:pPr>
        <w:spacing w:after="0" w:line="124"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color w:val="auto"/>
        </w:rPr>
        <w:t>The increase in total operating expenses during 2021, as compared to 2020, is primarily the result of increases in Hospitality segment, Entertainment segment, and Corporate and Other segment expenses of $148.1 million, $39.5 million, and $9.8 million, respectively, partially offset by a credit loss on held-to-maturity investments in 2020 that did not occur in 2021 of $32.8 million.</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above factors resulted in a $245.2 million improvement in operating loss for 2021, as compared to 2020.</w:t>
      </w:r>
    </w:p>
    <w:p>
      <w:pPr>
        <w:spacing w:after="0" w:line="225" w:lineRule="exact"/>
        <w:rPr>
          <w:sz w:val="20"/>
          <w:szCs w:val="20"/>
          <w:color w:val="auto"/>
        </w:rPr>
      </w:pPr>
    </w:p>
    <w:p>
      <w:pPr>
        <w:ind w:left="60" w:right="119"/>
        <w:spacing w:after="0" w:line="308" w:lineRule="auto"/>
        <w:rPr>
          <w:sz w:val="20"/>
          <w:szCs w:val="20"/>
          <w:color w:val="auto"/>
        </w:rPr>
      </w:pPr>
      <w:r>
        <w:rPr>
          <w:rFonts w:ascii="Arial" w:cs="Arial" w:eastAsia="Arial" w:hAnsi="Arial"/>
          <w:sz w:val="17"/>
          <w:szCs w:val="17"/>
          <w:color w:val="auto"/>
        </w:rPr>
        <w:t>Our net loss of $194.8 million in 2021, as compared to our net loss of $460.8 million in 2020, was due to the change in our operating income described above, and the following factors, each as described more fully below:</w:t>
      </w:r>
    </w:p>
    <w:p>
      <w:pPr>
        <w:spacing w:after="0" w:line="146" w:lineRule="exact"/>
        <w:rPr>
          <w:sz w:val="20"/>
          <w:szCs w:val="20"/>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$22.1 million decrease in the provision for income taxes in 2021.</w:t>
      </w:r>
    </w:p>
    <w:p>
      <w:pPr>
        <w:spacing w:after="0" w:line="225" w:lineRule="exact"/>
        <w:rPr>
          <w:rFonts w:ascii="Arial" w:cs="Arial" w:eastAsia="Arial" w:hAnsi="Arial"/>
          <w:sz w:val="18"/>
          <w:szCs w:val="18"/>
          <w:color w:val="auto"/>
        </w:rPr>
      </w:pPr>
    </w:p>
    <w:p>
      <w:pPr>
        <w:ind w:left="720" w:right="579" w:hanging="319"/>
        <w:spacing w:after="0" w:line="277"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$15.0 million loss in 2020 related to the forfeiture of the earnest deposit associated with the previously terminated potential acquisition of Block 21.</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$9.6 million increase in interest expense in 2021.</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$2.9 million loss on extinguishment of debt in 2021 that did not occur in 2020.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Results – Detailed Segment Financial Information</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Hospitality Segment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 xml:space="preserve">Total Segment Results. </w:t>
      </w:r>
      <w:r>
        <w:rPr>
          <w:rFonts w:ascii="Arial" w:cs="Arial" w:eastAsia="Arial" w:hAnsi="Arial"/>
          <w:sz w:val="17"/>
          <w:szCs w:val="17"/>
          <w:color w:val="auto"/>
        </w:rPr>
        <w:t>The following presents the financial results of our Hospitality segment for the years ended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2021, 2020 and 2019 (in thousands, except percentages and performance metrics):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7"/>
              </w:rPr>
              <w:t>% Change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28"/>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8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Revenues:</w:t>
            </w:r>
          </w:p>
        </w:tc>
        <w:tc>
          <w:tcPr>
            <w:tcW w:w="8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Rooms</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328,874</w:t>
            </w:r>
          </w:p>
        </w:tc>
        <w:tc>
          <w:tcPr>
            <w:tcW w:w="16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91.5</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171,718</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(69.2)%</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557,562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Food and beverage</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279,489</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49.0</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187,538</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(71.6)%</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660,770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80" w:type="dxa"/>
            <w:vAlign w:val="bottom"/>
            <w:tcBorders>
              <w:bottom w:val="single" w:sz="8" w:color="CCEEFF"/>
            </w:tcBorders>
            <w:gridSpan w:val="2"/>
          </w:tcPr>
          <w:p>
            <w:pPr>
              <w:ind w:left="100"/>
              <w:spacing w:after="0" w:line="149" w:lineRule="exact"/>
              <w:rPr>
                <w:sz w:val="20"/>
                <w:szCs w:val="20"/>
                <w:color w:val="auto"/>
              </w:rPr>
            </w:pPr>
            <w:r>
              <w:rPr>
                <w:rFonts w:ascii="Arial" w:cs="Arial" w:eastAsia="Arial" w:hAnsi="Arial"/>
                <w:sz w:val="14"/>
                <w:szCs w:val="14"/>
                <w:color w:val="auto"/>
              </w:rPr>
              <w:t>Other hotel revenue</w:t>
            </w:r>
          </w:p>
        </w:tc>
        <w:tc>
          <w:tcPr>
            <w:tcW w:w="8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178,220</w:t>
            </w:r>
          </w:p>
        </w:tc>
        <w:tc>
          <w:tcPr>
            <w:tcW w:w="16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gridSpan w:val="2"/>
          </w:tcPr>
          <w:p>
            <w:pPr>
              <w:jc w:val="right"/>
              <w:ind w:right="60"/>
              <w:spacing w:after="0" w:line="149" w:lineRule="exact"/>
              <w:rPr>
                <w:sz w:val="20"/>
                <w:szCs w:val="20"/>
                <w:color w:val="auto"/>
              </w:rPr>
            </w:pPr>
            <w:r>
              <w:rPr>
                <w:rFonts w:ascii="Arial" w:cs="Arial" w:eastAsia="Arial" w:hAnsi="Arial"/>
                <w:sz w:val="14"/>
                <w:szCs w:val="14"/>
                <w:color w:val="auto"/>
              </w:rPr>
              <w:t>66.9</w:t>
            </w:r>
          </w:p>
        </w:tc>
        <w:tc>
          <w:tcPr>
            <w:tcW w:w="18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106,789</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gridSpan w:val="3"/>
          </w:tcPr>
          <w:p>
            <w:pPr>
              <w:jc w:val="right"/>
              <w:ind w:right="60"/>
              <w:spacing w:after="0" w:line="149" w:lineRule="exact"/>
              <w:rPr>
                <w:sz w:val="20"/>
                <w:szCs w:val="20"/>
                <w:color w:val="auto"/>
              </w:rPr>
            </w:pPr>
            <w:r>
              <w:rPr>
                <w:rFonts w:ascii="Arial" w:cs="Arial" w:eastAsia="Arial" w:hAnsi="Arial"/>
                <w:sz w:val="14"/>
                <w:szCs w:val="14"/>
                <w:color w:val="auto"/>
              </w:rPr>
              <w:t>(47.4)%</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203,114</w:t>
            </w: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80" w:type="dxa"/>
            <w:vAlign w:val="bottom"/>
            <w:gridSpan w:val="2"/>
            <w:shd w:val="clear" w:color="auto" w:fill="CCEEFF"/>
          </w:tcPr>
          <w:p>
            <w:pPr>
              <w:ind w:left="220"/>
              <w:spacing w:after="0" w:line="142" w:lineRule="exact"/>
              <w:rPr>
                <w:sz w:val="20"/>
                <w:szCs w:val="20"/>
                <w:color w:val="auto"/>
              </w:rPr>
            </w:pPr>
            <w:r>
              <w:rPr>
                <w:rFonts w:ascii="Arial" w:cs="Arial" w:eastAsia="Arial" w:hAnsi="Arial"/>
                <w:sz w:val="14"/>
                <w:szCs w:val="14"/>
                <w:color w:val="auto"/>
              </w:rPr>
              <w:t>Total hospitality revenue</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786,583</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68.8</w:t>
            </w:r>
          </w:p>
        </w:tc>
        <w:tc>
          <w:tcPr>
            <w:tcW w:w="1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466,045</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(67.2)%</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1,421,446</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80" w:type="dxa"/>
            <w:vAlign w:val="bottom"/>
            <w:gridSpan w:val="2"/>
          </w:tcPr>
          <w:p>
            <w:pPr>
              <w:spacing w:after="0" w:line="149" w:lineRule="exact"/>
              <w:rPr>
                <w:sz w:val="20"/>
                <w:szCs w:val="20"/>
                <w:color w:val="auto"/>
              </w:rPr>
            </w:pPr>
            <w:r>
              <w:rPr>
                <w:rFonts w:ascii="Arial" w:cs="Arial" w:eastAsia="Arial" w:hAnsi="Arial"/>
                <w:sz w:val="14"/>
                <w:szCs w:val="14"/>
                <w:color w:val="auto"/>
              </w:rPr>
              <w:t>Hospitality operating expenses:</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Rooms</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88,244</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49.7</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58,943</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(59.3)%</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144,834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Food and beverage</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190,855</w:t>
            </w:r>
          </w:p>
        </w:tc>
        <w:tc>
          <w:tcPr>
            <w:tcW w:w="16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30.6</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146,141</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(59.7)%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362,850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Other hotel expenses</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327,791</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25.7</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260,690</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(36.4)%</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409,883</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Management fees, net</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14,031</w:t>
            </w:r>
          </w:p>
        </w:tc>
        <w:tc>
          <w:tcPr>
            <w:tcW w:w="16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98.6</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7,066</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(82.2)%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39,608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Depreciation and amortization</w:t>
            </w:r>
          </w:p>
        </w:tc>
        <w:tc>
          <w:tcPr>
            <w:tcW w:w="8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203,675</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198,073</w:t>
            </w: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w:t>
            </w: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201,068</w:t>
            </w:r>
          </w:p>
        </w:tc>
        <w:tc>
          <w:tcPr>
            <w:tcW w:w="4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80" w:type="dxa"/>
            <w:vAlign w:val="bottom"/>
            <w:tcBorders>
              <w:bottom w:val="single" w:sz="8" w:color="CCEEFF"/>
            </w:tcBorders>
            <w:gridSpan w:val="2"/>
          </w:tcPr>
          <w:p>
            <w:pPr>
              <w:ind w:left="220"/>
              <w:spacing w:after="0" w:line="142" w:lineRule="exact"/>
              <w:rPr>
                <w:sz w:val="20"/>
                <w:szCs w:val="20"/>
                <w:color w:val="auto"/>
              </w:rPr>
            </w:pPr>
            <w:r>
              <w:rPr>
                <w:rFonts w:ascii="Arial" w:cs="Arial" w:eastAsia="Arial" w:hAnsi="Arial"/>
                <w:sz w:val="14"/>
                <w:szCs w:val="14"/>
                <w:color w:val="auto"/>
              </w:rPr>
              <w:t>Total Hospitality operating expenses</w:t>
            </w:r>
          </w:p>
        </w:tc>
        <w:tc>
          <w:tcPr>
            <w:tcW w:w="8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824,596</w:t>
            </w:r>
          </w:p>
        </w:tc>
        <w:tc>
          <w:tcPr>
            <w:tcW w:w="16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gridSpan w:val="2"/>
          </w:tcPr>
          <w:p>
            <w:pPr>
              <w:jc w:val="right"/>
              <w:ind w:right="60"/>
              <w:spacing w:after="0" w:line="142" w:lineRule="exact"/>
              <w:rPr>
                <w:sz w:val="20"/>
                <w:szCs w:val="20"/>
                <w:color w:val="auto"/>
              </w:rPr>
            </w:pPr>
            <w:r>
              <w:rPr>
                <w:rFonts w:ascii="Arial" w:cs="Arial" w:eastAsia="Arial" w:hAnsi="Arial"/>
                <w:sz w:val="14"/>
                <w:szCs w:val="14"/>
                <w:color w:val="auto"/>
              </w:rPr>
              <w:t>22.9</w:t>
            </w:r>
          </w:p>
        </w:tc>
        <w:tc>
          <w:tcPr>
            <w:tcW w:w="18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670,913</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gridSpan w:val="3"/>
          </w:tcPr>
          <w:p>
            <w:pPr>
              <w:jc w:val="right"/>
              <w:ind w:right="60"/>
              <w:spacing w:after="0" w:line="142" w:lineRule="exact"/>
              <w:rPr>
                <w:sz w:val="20"/>
                <w:szCs w:val="20"/>
                <w:color w:val="auto"/>
              </w:rPr>
            </w:pPr>
            <w:r>
              <w:rPr>
                <w:rFonts w:ascii="Arial" w:cs="Arial" w:eastAsia="Arial" w:hAnsi="Arial"/>
                <w:sz w:val="14"/>
                <w:szCs w:val="14"/>
                <w:color w:val="auto"/>
              </w:rPr>
              <w:t>(42.1)%</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1,158,243</w:t>
            </w: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80" w:type="dxa"/>
            <w:vAlign w:val="bottom"/>
            <w:tcBorders>
              <w:bottom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Hospitality operating income (loss) (1)(2)</w:t>
            </w:r>
          </w:p>
        </w:tc>
        <w:tc>
          <w:tcPr>
            <w:tcW w:w="8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(38,013)</w:t>
            </w:r>
          </w:p>
        </w:tc>
        <w:tc>
          <w:tcPr>
            <w:tcW w:w="1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81.4</w:t>
            </w:r>
          </w:p>
        </w:tc>
        <w:tc>
          <w:tcPr>
            <w:tcW w:w="18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(204,868)</w:t>
            </w: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(177.8)%</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263,203</w:t>
            </w:r>
          </w:p>
        </w:tc>
        <w:tc>
          <w:tcPr>
            <w:tcW w:w="4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00" w:type="dxa"/>
            <w:vAlign w:val="bottom"/>
            <w:gridSpan w:val="3"/>
            <w:vMerge w:val="restart"/>
          </w:tcPr>
          <w:p>
            <w:pPr>
              <w:ind w:left="20"/>
              <w:spacing w:after="0"/>
              <w:rPr>
                <w:sz w:val="20"/>
                <w:szCs w:val="20"/>
                <w:color w:val="auto"/>
              </w:rPr>
            </w:pPr>
            <w:r>
              <w:rPr>
                <w:rFonts w:ascii="Arial" w:cs="Arial" w:eastAsia="Arial" w:hAnsi="Arial"/>
                <w:sz w:val="14"/>
                <w:szCs w:val="14"/>
                <w:color w:val="auto"/>
              </w:rPr>
              <w:t>Hospitality performance metrics (3):</w:t>
            </w:r>
          </w:p>
        </w:tc>
        <w:tc>
          <w:tcPr>
            <w:tcW w:w="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600" w:type="dxa"/>
            <w:vAlign w:val="bottom"/>
            <w:gridSpan w:val="3"/>
            <w:vMerge w:val="continue"/>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Occupancy</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39.5</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w:t>
            </w: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16.3</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pts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w:t>
            </w:r>
          </w:p>
        </w:tc>
        <w:tc>
          <w:tcPr>
            <w:tcW w:w="1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79"/>
              </w:rPr>
              <w:t>%</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(52.6)pts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75.8</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ADR</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221.33</w:t>
            </w:r>
          </w:p>
        </w:tc>
        <w:tc>
          <w:tcPr>
            <w:tcW w:w="160" w:type="dxa"/>
            <w:vAlign w:val="bottom"/>
          </w:tcPr>
          <w:p>
            <w:pPr>
              <w:spacing w:after="0"/>
              <w:rPr>
                <w:sz w:val="12"/>
                <w:szCs w:val="12"/>
                <w:color w:val="auto"/>
              </w:rPr>
            </w:pP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10.7 %</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200.02</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0.4 %</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199.26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RevPAR (4)</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87.53</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88.6</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46.41</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(69.3)%</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151.09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Total RevPAR (5)</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209.34</w:t>
            </w:r>
          </w:p>
        </w:tc>
        <w:tc>
          <w:tcPr>
            <w:tcW w:w="16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66.2</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125.95</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(67.3)%</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385.20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Net Definite Group Room Nights Booked (6)</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1,201,268</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253.4</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(783,304)</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(135.3)%</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2,216,214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13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80" w:right="99" w:hanging="330"/>
        <w:spacing w:after="0" w:line="254" w:lineRule="auto"/>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Hospitality segment operating income (loss) does not include preopening costs of $0.7 million, $0.3 million and $1.3 million in 2021, 2020 and 2019, respectively. Hospitality segment operating loss also does not include gain on sale of assets of $0.3 million and $1.2 million in 2021 and 2020, respectively, or credit losses on held-to-maturity securities of $32.8 million in 2020. See the discussion of the 2021 items below.</w:t>
      </w:r>
    </w:p>
    <w:p>
      <w:pPr>
        <w:spacing w:after="0" w:line="2" w:lineRule="exact"/>
        <w:rPr>
          <w:rFonts w:ascii="Arial" w:cs="Arial" w:eastAsia="Arial" w:hAnsi="Arial"/>
          <w:sz w:val="18"/>
          <w:szCs w:val="18"/>
          <w:color w:val="auto"/>
        </w:rPr>
      </w:pPr>
    </w:p>
    <w:p>
      <w:pPr>
        <w:ind w:left="380" w:right="179" w:hanging="330"/>
        <w:spacing w:after="0" w:line="265" w:lineRule="auto"/>
        <w:tabs>
          <w:tab w:leader="none" w:pos="3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Hospitality segment operating loss for 2021 and 2020 includes approximately $4.6 million in net credits and $34.5 million in expenses, respectively, directly related to the COVID-19 pandemic, which are primarily employment costs. These amounts are net of $4.1 million and $7.9 million, respectively, of payroll tax credits afforded under the 2020 Coronavirus Aid, Relief, and Economic Security Act (the “CARES Act”).</w:t>
      </w:r>
    </w:p>
    <w:p>
      <w:pPr>
        <w:ind w:left="380" w:right="239" w:hanging="330"/>
        <w:spacing w:after="0" w:line="250" w:lineRule="auto"/>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Hospitality segment metrics for 2021 include the addition of 302 additional guest rooms at Gaylord Palms beginning June 1, 2021.</w:t>
      </w:r>
    </w:p>
    <w:p>
      <w:pPr>
        <w:jc w:val="both"/>
        <w:ind w:left="380" w:right="559" w:hanging="330"/>
        <w:spacing w:after="0" w:line="250" w:lineRule="auto"/>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calculate Hospitality segment RevPAR by dividing rooms revenue by room nights available to guests for the period. Room nights available to guests include nights the hotels are closed. Hospitality segment RevPAR is not comparable to similarly titled measures such as revenues.</w:t>
      </w:r>
    </w:p>
    <w:p>
      <w:pPr>
        <w:spacing w:after="0" w:line="1" w:lineRule="exact"/>
        <w:rPr>
          <w:rFonts w:ascii="Arial" w:cs="Arial" w:eastAsia="Arial" w:hAnsi="Arial"/>
          <w:sz w:val="18"/>
          <w:szCs w:val="18"/>
          <w:color w:val="auto"/>
        </w:rPr>
      </w:pPr>
    </w:p>
    <w:p>
      <w:pPr>
        <w:jc w:val="both"/>
        <w:ind w:left="380" w:right="139" w:hanging="330"/>
        <w:spacing w:after="0" w:line="250" w:lineRule="auto"/>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calculate Hospitality segment Total RevPAR by dividing the sum of room, food and beverage, and other ancillary services revenue (which equals Hospitality segment revenue) by room nights available to guests for the period. Room nights available to guests include nights the hotels are closed. Hospitality segment Total RevPAR is not comparable to similarly titled measures such as revenues.</w:t>
      </w:r>
    </w:p>
    <w:p>
      <w:pPr>
        <w:spacing w:after="0" w:line="1" w:lineRule="exact"/>
        <w:rPr>
          <w:rFonts w:ascii="Arial" w:cs="Arial" w:eastAsia="Arial" w:hAnsi="Arial"/>
          <w:sz w:val="18"/>
          <w:szCs w:val="18"/>
          <w:color w:val="auto"/>
        </w:rPr>
      </w:pPr>
    </w:p>
    <w:p>
      <w:pPr>
        <w:ind w:left="380" w:right="359" w:hanging="330"/>
        <w:spacing w:after="0" w:line="260" w:lineRule="auto"/>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Hospitality segment net definite room nights booked for 2021 and 2020 includes approximately 0.8 million and 2.4 million group room cancellations, respectively.</w:t>
      </w:r>
    </w:p>
    <w:p>
      <w:pPr>
        <w:spacing w:after="0" w:line="185" w:lineRule="exact"/>
        <w:rPr>
          <w:sz w:val="20"/>
          <w:szCs w:val="20"/>
          <w:color w:val="auto"/>
        </w:rPr>
      </w:pPr>
    </w:p>
    <w:p>
      <w:pPr>
        <w:ind w:left="60" w:right="139"/>
        <w:spacing w:after="0" w:line="286" w:lineRule="auto"/>
        <w:rPr>
          <w:sz w:val="20"/>
          <w:szCs w:val="20"/>
          <w:color w:val="auto"/>
        </w:rPr>
      </w:pPr>
      <w:r>
        <w:rPr>
          <w:rFonts w:ascii="Arial" w:cs="Arial" w:eastAsia="Arial" w:hAnsi="Arial"/>
          <w:sz w:val="17"/>
          <w:szCs w:val="17"/>
          <w:color w:val="auto"/>
        </w:rPr>
        <w:t>Total Hospitality revenues in 2021 include $48.5 million in attrition and cancellation fee collections, a $15.6 million increase from 2020. Since the beginning of 2020, we have recorded $81.3 million in attrition and cancellation fee revenue, which due to cancellations resulting from the COVID-19 pandemic, is higher than historical periods.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percentage of group versus transient business based on rooms sold for our Hospitality segment for the years ended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was approximately as follows:</w:t>
      </w:r>
    </w:p>
    <w:p>
      <w:pPr>
        <w:spacing w:after="0" w:line="216"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Group</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30"/>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Transient</w:t>
            </w:r>
          </w:p>
        </w:tc>
        <w:tc>
          <w:tcPr>
            <w:tcW w:w="680" w:type="dxa"/>
            <w:vAlign w:val="bottom"/>
            <w:gridSpan w:val="2"/>
          </w:tcPr>
          <w:p>
            <w:pPr>
              <w:jc w:val="right"/>
              <w:ind w:right="10"/>
              <w:spacing w:after="0"/>
              <w:rPr>
                <w:sz w:val="20"/>
                <w:szCs w:val="20"/>
                <w:color w:val="auto"/>
              </w:rPr>
            </w:pPr>
            <w:r>
              <w:rPr>
                <w:rFonts w:ascii="Arial" w:cs="Arial" w:eastAsia="Arial" w:hAnsi="Arial"/>
                <w:sz w:val="18"/>
                <w:szCs w:val="18"/>
                <w:color w:val="auto"/>
              </w:rPr>
              <w:t>54 %</w:t>
            </w: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48 %</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28 %</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119"/>
        <w:spacing w:after="0" w:line="296" w:lineRule="auto"/>
        <w:rPr>
          <w:sz w:val="20"/>
          <w:szCs w:val="20"/>
          <w:color w:val="auto"/>
        </w:rPr>
      </w:pPr>
      <w:r>
        <w:rPr>
          <w:rFonts w:ascii="Arial" w:cs="Arial" w:eastAsia="Arial" w:hAnsi="Arial"/>
          <w:sz w:val="16"/>
          <w:szCs w:val="16"/>
          <w:color w:val="auto"/>
        </w:rPr>
        <w:t>As a result of the COVID-19 pandemic and the resulting concerns related to group travel, our group business has declined relative to historical periods. However, group stays steadily increased in 2021 and group room nights on the books for the next five years is approximately ninety-five percent of total group room nights that were on the books at December 31, 2019 for the corresponding following five years. In addition, the ADR on group room nights on the books at December 31, 2021 is approximately five percent higher than the ADR on the corresponding group room nights at December 31, 2019.</w:t>
      </w:r>
    </w:p>
    <w:p>
      <w:pPr>
        <w:spacing w:after="0" w:line="161"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The type of group based on rooms sold for our Hospitality segment for the years ended December 31 was approximately as follows:</w:t>
      </w:r>
    </w:p>
    <w:p>
      <w:pPr>
        <w:spacing w:after="0" w:line="175"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Corporate Groups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Associations</w:t>
            </w:r>
          </w:p>
        </w:tc>
        <w:tc>
          <w:tcPr>
            <w:tcW w:w="680" w:type="dxa"/>
            <w:vAlign w:val="bottom"/>
            <w:gridSpan w:val="2"/>
          </w:tcPr>
          <w:p>
            <w:pPr>
              <w:jc w:val="right"/>
              <w:ind w:right="10"/>
              <w:spacing w:after="0"/>
              <w:rPr>
                <w:sz w:val="20"/>
                <w:szCs w:val="20"/>
                <w:color w:val="auto"/>
              </w:rPr>
            </w:pPr>
            <w:r>
              <w:rPr>
                <w:rFonts w:ascii="Arial" w:cs="Arial" w:eastAsia="Arial" w:hAnsi="Arial"/>
                <w:sz w:val="18"/>
                <w:szCs w:val="18"/>
                <w:color w:val="auto"/>
              </w:rPr>
              <w:t>34 %</w:t>
            </w: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24 %</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29 %</w:t>
            </w: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Other Groups</w:t>
            </w:r>
          </w:p>
        </w:tc>
        <w:tc>
          <w:tcPr>
            <w:tcW w:w="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23 %</w:t>
            </w: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15 %</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20 %</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hotel expenses for the following years ended December 31 included (in thousands):</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156"/>
              <w:spacing w:after="0"/>
              <w:rPr>
                <w:sz w:val="20"/>
                <w:szCs w:val="20"/>
                <w:color w:val="auto"/>
              </w:rPr>
            </w:pPr>
            <w:r>
              <w:rPr>
                <w:rFonts w:ascii="Arial" w:cs="Arial" w:eastAsia="Arial" w:hAnsi="Arial"/>
                <w:sz w:val="14"/>
                <w:szCs w:val="14"/>
                <w:b w:val="1"/>
                <w:bCs w:val="1"/>
                <w:color w:val="auto"/>
              </w:rPr>
              <w:t>2021</w:t>
            </w:r>
          </w:p>
        </w:tc>
        <w:tc>
          <w:tcPr>
            <w:tcW w:w="106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4"/>
                <w:szCs w:val="14"/>
                <w:color w:val="auto"/>
              </w:rPr>
            </w:pPr>
          </w:p>
        </w:tc>
        <w:tc>
          <w:tcPr>
            <w:tcW w:w="660" w:type="dxa"/>
            <w:vAlign w:val="bottom"/>
          </w:tcPr>
          <w:p>
            <w:pPr>
              <w:jc w:val="right"/>
              <w:ind w:right="153"/>
              <w:spacing w:after="0"/>
              <w:rPr>
                <w:sz w:val="20"/>
                <w:szCs w:val="20"/>
                <w:color w:val="auto"/>
              </w:rPr>
            </w:pPr>
            <w:r>
              <w:rPr>
                <w:rFonts w:ascii="Arial" w:cs="Arial" w:eastAsia="Arial" w:hAnsi="Arial"/>
                <w:sz w:val="14"/>
                <w:szCs w:val="14"/>
                <w:b w:val="1"/>
                <w:bCs w:val="1"/>
                <w:color w:val="auto"/>
              </w:rPr>
              <w:t>2020</w:t>
            </w:r>
          </w:p>
        </w:tc>
        <w:tc>
          <w:tcPr>
            <w:tcW w:w="10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 Change</w:t>
            </w:r>
          </w:p>
        </w:tc>
        <w:tc>
          <w:tcPr>
            <w:tcW w:w="800" w:type="dxa"/>
            <w:vAlign w:val="bottom"/>
          </w:tcPr>
          <w:p>
            <w:pPr>
              <w:jc w:val="right"/>
              <w:ind w:right="17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5"/>
              </w:rPr>
              <w:t>Administrative employment costs</w:t>
            </w:r>
          </w:p>
        </w:tc>
        <w:tc>
          <w:tcPr>
            <w:tcW w:w="10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52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$ 101,771</w:t>
            </w:r>
          </w:p>
        </w:tc>
        <w:tc>
          <w:tcPr>
            <w:tcW w:w="16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84,599</w:t>
            </w:r>
          </w:p>
        </w:tc>
        <w:tc>
          <w:tcPr>
            <w:tcW w:w="160" w:type="dxa"/>
            <w:vAlign w:val="bottom"/>
            <w:vMerge w:val="continue"/>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$ 147,302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Utilities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27,128</w:t>
            </w:r>
          </w:p>
        </w:tc>
        <w:tc>
          <w:tcPr>
            <w:tcW w:w="1060" w:type="dxa"/>
            <w:vAlign w:val="bottom"/>
            <w:gridSpan w:val="3"/>
          </w:tcPr>
          <w:p>
            <w:pPr>
              <w:jc w:val="right"/>
              <w:ind w:right="10"/>
              <w:spacing w:after="0"/>
              <w:rPr>
                <w:sz w:val="20"/>
                <w:szCs w:val="20"/>
                <w:color w:val="auto"/>
              </w:rPr>
            </w:pPr>
            <w:r>
              <w:rPr>
                <w:rFonts w:ascii="Arial" w:cs="Arial" w:eastAsia="Arial" w:hAnsi="Arial"/>
                <w:sz w:val="18"/>
                <w:szCs w:val="18"/>
                <w:color w:val="auto"/>
              </w:rPr>
              <w:t>14.8 %</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23,628</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(25.3)%</w:t>
            </w:r>
          </w:p>
        </w:tc>
        <w:tc>
          <w:tcPr>
            <w:tcW w:w="800" w:type="dxa"/>
            <w:vAlign w:val="bottom"/>
          </w:tcPr>
          <w:p>
            <w:pPr>
              <w:jc w:val="right"/>
              <w:spacing w:after="0"/>
              <w:rPr>
                <w:sz w:val="20"/>
                <w:szCs w:val="20"/>
                <w:color w:val="auto"/>
              </w:rPr>
            </w:pPr>
            <w:r>
              <w:rPr>
                <w:rFonts w:ascii="Arial" w:cs="Arial" w:eastAsia="Arial" w:hAnsi="Arial"/>
                <w:sz w:val="18"/>
                <w:szCs w:val="18"/>
                <w:color w:val="auto"/>
              </w:rPr>
              <w:t>31,624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Property taxes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33,947</w:t>
            </w:r>
          </w:p>
        </w:tc>
        <w:tc>
          <w:tcPr>
            <w:tcW w:w="10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36,823</w:t>
            </w:r>
          </w:p>
        </w:tc>
        <w:tc>
          <w:tcPr>
            <w:tcW w:w="106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Other</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164,945</w:t>
            </w:r>
          </w:p>
        </w:tc>
        <w:tc>
          <w:tcPr>
            <w:tcW w:w="1060" w:type="dxa"/>
            <w:vAlign w:val="bottom"/>
            <w:gridSpan w:val="3"/>
          </w:tcPr>
          <w:p>
            <w:pPr>
              <w:jc w:val="right"/>
              <w:ind w:right="10"/>
              <w:spacing w:after="0"/>
              <w:rPr>
                <w:sz w:val="20"/>
                <w:szCs w:val="20"/>
                <w:color w:val="auto"/>
              </w:rPr>
            </w:pPr>
            <w:r>
              <w:rPr>
                <w:rFonts w:ascii="Arial" w:cs="Arial" w:eastAsia="Arial" w:hAnsi="Arial"/>
                <w:sz w:val="18"/>
                <w:szCs w:val="18"/>
                <w:color w:val="auto"/>
              </w:rPr>
              <w:t>42.6 %</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115,640</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(40.8)%</w:t>
            </w:r>
          </w:p>
        </w:tc>
        <w:tc>
          <w:tcPr>
            <w:tcW w:w="800" w:type="dxa"/>
            <w:vAlign w:val="bottom"/>
          </w:tcPr>
          <w:p>
            <w:pPr>
              <w:jc w:val="right"/>
              <w:spacing w:after="0"/>
              <w:rPr>
                <w:sz w:val="20"/>
                <w:szCs w:val="20"/>
                <w:color w:val="auto"/>
              </w:rPr>
            </w:pPr>
            <w:r>
              <w:rPr>
                <w:rFonts w:ascii="Arial" w:cs="Arial" w:eastAsia="Arial" w:hAnsi="Arial"/>
                <w:sz w:val="18"/>
                <w:szCs w:val="18"/>
                <w:color w:val="auto"/>
              </w:rPr>
              <w:t>195,221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other hotel expenses</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$ 327,791</w:t>
            </w:r>
          </w:p>
        </w:tc>
        <w:tc>
          <w:tcPr>
            <w:tcW w:w="1060" w:type="dxa"/>
            <w:vAlign w:val="bottom"/>
            <w:tcBorders>
              <w:top w:val="single" w:sz="8" w:color="CCEEFF"/>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25.7 %</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260,690</w:t>
            </w:r>
          </w:p>
        </w:tc>
        <w:tc>
          <w:tcPr>
            <w:tcW w:w="1060" w:type="dxa"/>
            <w:vAlign w:val="bottom"/>
            <w:tcBorders>
              <w:top w:val="single" w:sz="8" w:color="CCEEFF"/>
              <w:bottom w:val="single" w:sz="8" w:color="CCEEFF"/>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(36.4)%</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$ 409,883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99"/>
        <w:spacing w:after="0" w:line="290" w:lineRule="auto"/>
        <w:rPr>
          <w:sz w:val="20"/>
          <w:szCs w:val="20"/>
          <w:color w:val="auto"/>
        </w:rPr>
      </w:pPr>
      <w:r>
        <w:rPr>
          <w:rFonts w:ascii="Arial" w:cs="Arial" w:eastAsia="Arial" w:hAnsi="Arial"/>
          <w:sz w:val="16"/>
          <w:szCs w:val="16"/>
          <w:color w:val="auto"/>
        </w:rPr>
        <w:t>Administrative employment costs include salaries and benefits for hotel administrative functions, including, among others, senior management, accounting, human resources, sales, conference services, engineering and security. Administrative employment costs increased during 2021, as compared to 2020, primarily due to increased levels of operations at each of our Gaylord Hotels properties. Utility costs increased during 2021, as compared to 2020, primarily due to increased utility usage at Gaylord Palms and Gaylord Opryland. Property taxes decreased during 2021, as compared to 2020, primarily due to a reduction in assessed value driven by the impact of the COVID-19 pandemic at Gaylord Texan. Other expenses, which include supplies, advertising, maintenance costs and consulting costs, increased during 2021, as compared to 2020, primarily due to increased levels of operations at each of our Gaylord Hotels properties.</w:t>
      </w:r>
    </w:p>
    <w:p>
      <w:pPr>
        <w:spacing w:after="0" w:line="165" w:lineRule="exact"/>
        <w:rPr>
          <w:sz w:val="20"/>
          <w:szCs w:val="20"/>
          <w:color w:val="auto"/>
        </w:rPr>
      </w:pPr>
    </w:p>
    <w:p>
      <w:pPr>
        <w:ind w:left="60" w:right="99"/>
        <w:spacing w:after="0" w:line="269" w:lineRule="auto"/>
        <w:rPr>
          <w:sz w:val="20"/>
          <w:szCs w:val="20"/>
          <w:color w:val="auto"/>
        </w:rPr>
      </w:pPr>
      <w:r>
        <w:rPr>
          <w:rFonts w:ascii="Arial" w:cs="Arial" w:eastAsia="Arial" w:hAnsi="Arial"/>
          <w:sz w:val="17"/>
          <w:szCs w:val="17"/>
          <w:color w:val="auto"/>
        </w:rPr>
        <w:t>As discussed above, each of our management agreements with Marriott for our Gaylord Hotels properties, excluding Gaylord Rockies, requires us to pay Marriott a base management fee of approximately 2% of gross revenues from the applicable property for each fiscal year or portion thereof. Additionally, an incentive fee is based on the profitability of our Gaylord Hotels properties, excluding Gaylord Rockies, calculated on a pooled basis. The Gaylord Rockies’ management agreement with Marriott requires Gaylord Rockies to pay a base management fee of 3% of gross revenues for each fiscal year or portion thereof, as well as an incentive management fee based on the profitability of the hotel. We incurred $17.1 million, $10.2 million and $30.9 million in total base management fees to Marriott related to our Hospitality segment during 2021, 2020 and 2019, respectively. We also incurred $11.8 million related to incentive management fees for our Hospitality segment during 2019. Management fees are presented throughout this Annual Report on Form 10-K net of the amortization of the deferred management rights proceeds discussed in Note 5, “Deferred Management Rights Proceeds,” to the consolidated financial statements included herein.</w:t>
      </w:r>
    </w:p>
    <w:p>
      <w:pPr>
        <w:spacing w:after="0" w:line="182" w:lineRule="exact"/>
        <w:rPr>
          <w:sz w:val="20"/>
          <w:szCs w:val="20"/>
          <w:color w:val="auto"/>
        </w:rPr>
      </w:pPr>
    </w:p>
    <w:p>
      <w:pPr>
        <w:ind w:left="60" w:right="99"/>
        <w:spacing w:after="0" w:line="263" w:lineRule="auto"/>
        <w:rPr>
          <w:sz w:val="20"/>
          <w:szCs w:val="20"/>
          <w:color w:val="auto"/>
        </w:rPr>
      </w:pPr>
      <w:r>
        <w:rPr>
          <w:rFonts w:ascii="Arial" w:cs="Arial" w:eastAsia="Arial" w:hAnsi="Arial"/>
          <w:sz w:val="18"/>
          <w:szCs w:val="18"/>
          <w:color w:val="auto"/>
        </w:rPr>
        <w:t>Hospitality segment depreciation and amortization expense increased in 2021, as compared to 2020, primarily as a result of the expansion of Gaylord Palms and the rooms renovation at Gaylord National and the associated increase in depreciable asset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90" w:lineRule="auto"/>
        <w:rPr>
          <w:sz w:val="20"/>
          <w:szCs w:val="20"/>
          <w:color w:val="auto"/>
        </w:rPr>
      </w:pPr>
      <w:r>
        <w:rPr>
          <w:rFonts w:ascii="Arial" w:cs="Arial" w:eastAsia="Arial" w:hAnsi="Arial"/>
          <w:sz w:val="16"/>
          <w:szCs w:val="16"/>
          <w:i w:val="1"/>
          <w:iCs w:val="1"/>
          <w:color w:val="auto"/>
        </w:rPr>
        <w:t xml:space="preserve">Property-Level Results. </w:t>
      </w:r>
      <w:r>
        <w:rPr>
          <w:rFonts w:ascii="Arial" w:cs="Arial" w:eastAsia="Arial" w:hAnsi="Arial"/>
          <w:sz w:val="16"/>
          <w:szCs w:val="16"/>
          <w:color w:val="auto"/>
        </w:rPr>
        <w:t>The following presents the property-level financial results for our Gaylord Hotels properties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years ended December 31, 2021, 2020 and 2019. In 2021 and 2020, the Gaylord Hotels properties experienced higher levels of attrition and cancellations and lower occupancy levels, which are directly related to the COVID-19 pandemic, and experienced heavily transient business. Therefore, the property-level financial results for 2021 and 2020 are not comparable to historical periods. Total revenue at each of our Gaylord Hotels properties was lower than that of historical periods due to the COVID-19 pandemic. Operating costs at each of our Gaylord Hotels properties were lower for 2021 and 2020 as a result of cost containment initiatives and lower variable costs due to lower occupancies and, for 2020, the temporary property closures that began in late-March 2020 due to the COVID-19 pandemic.</w:t>
      </w:r>
    </w:p>
    <w:p>
      <w:pPr>
        <w:spacing w:after="0" w:line="165"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i w:val="1"/>
          <w:iCs w:val="1"/>
          <w:color w:val="auto"/>
        </w:rPr>
        <w:t xml:space="preserve">Gaylord Opryland Results. </w:t>
      </w:r>
      <w:r>
        <w:rPr>
          <w:rFonts w:ascii="Arial" w:cs="Arial" w:eastAsia="Arial" w:hAnsi="Arial"/>
          <w:sz w:val="18"/>
          <w:szCs w:val="18"/>
          <w:color w:val="auto"/>
        </w:rPr>
        <w:t>The results of Gaylord Opryland for the years ended December 31, 2021, 2020 and 2019 are as</w:t>
      </w:r>
      <w:r>
        <w:rPr>
          <w:rFonts w:ascii="Arial" w:cs="Arial" w:eastAsia="Arial" w:hAnsi="Arial"/>
          <w:sz w:val="18"/>
          <w:szCs w:val="18"/>
          <w:i w:val="1"/>
          <w:iCs w:val="1"/>
          <w:color w:val="auto"/>
        </w:rPr>
        <w:t xml:space="preserve"> </w:t>
      </w:r>
      <w:r>
        <w:rPr>
          <w:rFonts w:ascii="Arial" w:cs="Arial" w:eastAsia="Arial" w:hAnsi="Arial"/>
          <w:sz w:val="18"/>
          <w:szCs w:val="18"/>
          <w:color w:val="auto"/>
        </w:rPr>
        <w:t>follows (in thousands, except percentages and performance metrics):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140"/>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102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 Change</w:t>
            </w:r>
          </w:p>
        </w:tc>
        <w:tc>
          <w:tcPr>
            <w:tcW w:w="600" w:type="dxa"/>
            <w:vAlign w:val="bottom"/>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60"/>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33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Revenues:</w:t>
            </w:r>
          </w:p>
        </w:tc>
        <w:tc>
          <w:tcPr>
            <w:tcW w:w="1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340" w:type="dxa"/>
            <w:vAlign w:val="bottom"/>
            <w:gridSpan w:val="2"/>
          </w:tcPr>
          <w:p>
            <w:pPr>
              <w:ind w:left="100"/>
              <w:spacing w:after="0"/>
              <w:rPr>
                <w:sz w:val="20"/>
                <w:szCs w:val="20"/>
                <w:color w:val="auto"/>
              </w:rPr>
            </w:pPr>
            <w:r>
              <w:rPr>
                <w:rFonts w:ascii="Arial" w:cs="Arial" w:eastAsia="Arial" w:hAnsi="Arial"/>
                <w:sz w:val="16"/>
                <w:szCs w:val="16"/>
                <w:color w:val="auto"/>
              </w:rPr>
              <w:t>Rooms</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w w:val="93"/>
              </w:rPr>
              <w:t>109,067</w:t>
            </w:r>
          </w:p>
        </w:tc>
        <w:tc>
          <w:tcPr>
            <w:tcW w:w="160" w:type="dxa"/>
            <w:vAlign w:val="bottom"/>
          </w:tcPr>
          <w:p>
            <w:pPr>
              <w:spacing w:after="0"/>
              <w:rPr>
                <w:sz w:val="17"/>
                <w:szCs w:val="17"/>
                <w:color w:val="auto"/>
              </w:rPr>
            </w:pPr>
          </w:p>
        </w:tc>
        <w:tc>
          <w:tcPr>
            <w:tcW w:w="1020" w:type="dxa"/>
            <w:vAlign w:val="bottom"/>
            <w:gridSpan w:val="4"/>
          </w:tcPr>
          <w:p>
            <w:pPr>
              <w:jc w:val="right"/>
              <w:ind w:right="20"/>
              <w:spacing w:after="0"/>
              <w:rPr>
                <w:sz w:val="20"/>
                <w:szCs w:val="20"/>
                <w:color w:val="auto"/>
              </w:rPr>
            </w:pPr>
            <w:r>
              <w:rPr>
                <w:rFonts w:ascii="Arial" w:cs="Arial" w:eastAsia="Arial" w:hAnsi="Arial"/>
                <w:sz w:val="16"/>
                <w:szCs w:val="16"/>
                <w:color w:val="auto"/>
              </w:rPr>
              <w:t>104.7 % $</w:t>
            </w:r>
          </w:p>
        </w:tc>
        <w:tc>
          <w:tcPr>
            <w:tcW w:w="600" w:type="dxa"/>
            <w:vAlign w:val="bottom"/>
          </w:tcPr>
          <w:p>
            <w:pPr>
              <w:jc w:val="right"/>
              <w:spacing w:after="0"/>
              <w:rPr>
                <w:sz w:val="20"/>
                <w:szCs w:val="20"/>
                <w:color w:val="auto"/>
              </w:rPr>
            </w:pPr>
            <w:r>
              <w:rPr>
                <w:rFonts w:ascii="Arial" w:cs="Arial" w:eastAsia="Arial" w:hAnsi="Arial"/>
                <w:sz w:val="16"/>
                <w:szCs w:val="16"/>
                <w:color w:val="auto"/>
              </w:rPr>
              <w:t>53,272</w:t>
            </w:r>
          </w:p>
        </w:tc>
        <w:tc>
          <w:tcPr>
            <w:tcW w:w="22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(67.2)%</w:t>
            </w:r>
          </w:p>
        </w:tc>
        <w:tc>
          <w:tcPr>
            <w:tcW w:w="120" w:type="dxa"/>
            <w:vAlign w:val="bottom"/>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w w:val="89"/>
              </w:rPr>
              <w:t>162,577</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3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Food and beverage</w:t>
            </w: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73,246</w:t>
            </w:r>
          </w:p>
        </w:tc>
        <w:tc>
          <w:tcPr>
            <w:tcW w:w="16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52.3 %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48,086</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(69.6)%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157,933</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34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rPr>
              <w:t>Other hotel revenue</w:t>
            </w:r>
          </w:p>
        </w:tc>
        <w:tc>
          <w:tcPr>
            <w:tcW w:w="1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56,254</w:t>
            </w:r>
          </w:p>
        </w:tc>
        <w:tc>
          <w:tcPr>
            <w:tcW w:w="16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gridSpan w:val="3"/>
          </w:tcPr>
          <w:p>
            <w:pPr>
              <w:jc w:val="right"/>
              <w:ind w:right="80"/>
              <w:spacing w:after="0"/>
              <w:rPr>
                <w:sz w:val="20"/>
                <w:szCs w:val="20"/>
                <w:color w:val="auto"/>
              </w:rPr>
            </w:pPr>
            <w:r>
              <w:rPr>
                <w:rFonts w:ascii="Arial" w:cs="Arial" w:eastAsia="Arial" w:hAnsi="Arial"/>
                <w:sz w:val="16"/>
                <w:szCs w:val="16"/>
                <w:color w:val="auto"/>
              </w:rPr>
              <w:t>75.9 %</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31,975</w:t>
            </w:r>
          </w:p>
        </w:tc>
        <w:tc>
          <w:tcPr>
            <w:tcW w:w="2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6"/>
                <w:szCs w:val="16"/>
                <w:color w:val="auto"/>
              </w:rPr>
              <w:t>(50.9)%</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65,100</w:t>
            </w:r>
          </w:p>
        </w:tc>
        <w:tc>
          <w:tcPr>
            <w:tcW w:w="140" w:type="dxa"/>
            <w:vAlign w:val="bottom"/>
            <w:tcBorders>
              <w:bottom w:val="single" w:sz="8" w:color="CCEEFF"/>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3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revenue</w:t>
            </w: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238,567</w:t>
            </w:r>
          </w:p>
        </w:tc>
        <w:tc>
          <w:tcPr>
            <w:tcW w:w="16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78.9 %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133,333</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(65.4)%</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385,610</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34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3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Rooms</w:t>
            </w: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27,001</w:t>
            </w:r>
          </w:p>
        </w:tc>
        <w:tc>
          <w:tcPr>
            <w:tcW w:w="16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67.5 %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16,119</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(56.7)%</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37,203</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340" w:type="dxa"/>
            <w:vAlign w:val="bottom"/>
            <w:gridSpan w:val="2"/>
          </w:tcPr>
          <w:p>
            <w:pPr>
              <w:ind w:left="100"/>
              <w:spacing w:after="0"/>
              <w:rPr>
                <w:sz w:val="20"/>
                <w:szCs w:val="20"/>
                <w:color w:val="auto"/>
              </w:rPr>
            </w:pPr>
            <w:r>
              <w:rPr>
                <w:rFonts w:ascii="Arial" w:cs="Arial" w:eastAsia="Arial" w:hAnsi="Arial"/>
                <w:sz w:val="16"/>
                <w:szCs w:val="16"/>
                <w:color w:val="auto"/>
              </w:rPr>
              <w:t>Food and beverage</w:t>
            </w: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46,490</w:t>
            </w:r>
          </w:p>
        </w:tc>
        <w:tc>
          <w:tcPr>
            <w:tcW w:w="160" w:type="dxa"/>
            <w:vAlign w:val="bottom"/>
          </w:tcPr>
          <w:p>
            <w:pPr>
              <w:spacing w:after="0"/>
              <w:rPr>
                <w:sz w:val="17"/>
                <w:szCs w:val="17"/>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6"/>
                <w:szCs w:val="16"/>
                <w:color w:val="auto"/>
              </w:rPr>
              <w:t>24.6 %</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37,309</w:t>
            </w:r>
          </w:p>
        </w:tc>
        <w:tc>
          <w:tcPr>
            <w:tcW w:w="22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(55.8)%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84,351</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3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Other hotel expenses</w:t>
            </w: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92,793</w:t>
            </w:r>
          </w:p>
        </w:tc>
        <w:tc>
          <w:tcPr>
            <w:tcW w:w="16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27.8 %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72,601</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(36.7)%</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114,716</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340" w:type="dxa"/>
            <w:vAlign w:val="bottom"/>
            <w:gridSpan w:val="2"/>
          </w:tcPr>
          <w:p>
            <w:pPr>
              <w:ind w:left="100"/>
              <w:spacing w:after="0"/>
              <w:rPr>
                <w:sz w:val="20"/>
                <w:szCs w:val="20"/>
                <w:color w:val="auto"/>
              </w:rPr>
            </w:pPr>
            <w:r>
              <w:rPr>
                <w:rFonts w:ascii="Arial" w:cs="Arial" w:eastAsia="Arial" w:hAnsi="Arial"/>
                <w:sz w:val="16"/>
                <w:szCs w:val="16"/>
                <w:color w:val="auto"/>
              </w:rPr>
              <w:t>Management fees, net</w:t>
            </w: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3,754</w:t>
            </w:r>
          </w:p>
        </w:tc>
        <w:tc>
          <w:tcPr>
            <w:tcW w:w="160" w:type="dxa"/>
            <w:vAlign w:val="bottom"/>
          </w:tcPr>
          <w:p>
            <w:pPr>
              <w:spacing w:after="0"/>
              <w:rPr>
                <w:sz w:val="17"/>
                <w:szCs w:val="17"/>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6"/>
                <w:szCs w:val="16"/>
                <w:color w:val="auto"/>
              </w:rPr>
              <w:t>123.3 %</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1,681</w:t>
            </w:r>
          </w:p>
        </w:tc>
        <w:tc>
          <w:tcPr>
            <w:tcW w:w="22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(86.0)%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12,024</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3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Depreciation and amortization</w:t>
            </w:r>
          </w:p>
        </w:tc>
        <w:tc>
          <w:tcPr>
            <w:tcW w:w="1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34,117</w:t>
            </w:r>
          </w:p>
        </w:tc>
        <w:tc>
          <w:tcPr>
            <w:tcW w:w="16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35,126</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1.0 %</w:t>
            </w: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34,794</w:t>
            </w:r>
          </w:p>
        </w:tc>
        <w:tc>
          <w:tcPr>
            <w:tcW w:w="14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340" w:type="dxa"/>
            <w:vAlign w:val="bottom"/>
            <w:gridSpan w:val="2"/>
          </w:tcPr>
          <w:p>
            <w:pPr>
              <w:ind w:left="220"/>
              <w:spacing w:after="0"/>
              <w:rPr>
                <w:sz w:val="20"/>
                <w:szCs w:val="20"/>
                <w:color w:val="auto"/>
              </w:rPr>
            </w:pPr>
            <w:r>
              <w:rPr>
                <w:rFonts w:ascii="Arial" w:cs="Arial" w:eastAsia="Arial" w:hAnsi="Arial"/>
                <w:sz w:val="16"/>
                <w:szCs w:val="16"/>
                <w:color w:val="auto"/>
              </w:rPr>
              <w:t>Total operating expenses (1)(2)</w:t>
            </w: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3"/>
              </w:rPr>
              <w:t>204,155</w:t>
            </w:r>
          </w:p>
        </w:tc>
        <w:tc>
          <w:tcPr>
            <w:tcW w:w="160" w:type="dxa"/>
            <w:vAlign w:val="bottom"/>
          </w:tcPr>
          <w:p>
            <w:pPr>
              <w:spacing w:after="0"/>
              <w:rPr>
                <w:sz w:val="17"/>
                <w:szCs w:val="17"/>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6"/>
                <w:szCs w:val="16"/>
                <w:color w:val="auto"/>
              </w:rPr>
              <w:t>25.4 %</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162,836</w:t>
            </w:r>
          </w:p>
        </w:tc>
        <w:tc>
          <w:tcPr>
            <w:tcW w:w="22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(42.5)%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89"/>
              </w:rPr>
              <w:t>283,088</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Performance metrics:</w:t>
            </w: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340" w:type="dxa"/>
            <w:vAlign w:val="bottom"/>
            <w:gridSpan w:val="2"/>
          </w:tcPr>
          <w:p>
            <w:pPr>
              <w:ind w:left="100"/>
              <w:spacing w:after="0"/>
              <w:rPr>
                <w:sz w:val="20"/>
                <w:szCs w:val="20"/>
                <w:color w:val="auto"/>
              </w:rPr>
            </w:pPr>
            <w:r>
              <w:rPr>
                <w:rFonts w:ascii="Arial" w:cs="Arial" w:eastAsia="Arial" w:hAnsi="Arial"/>
                <w:sz w:val="16"/>
                <w:szCs w:val="16"/>
                <w:color w:val="auto"/>
              </w:rPr>
              <w:t>Occupancy</w:t>
            </w: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44.2 %</w:t>
            </w:r>
          </w:p>
        </w:tc>
        <w:tc>
          <w:tcPr>
            <w:tcW w:w="40" w:type="dxa"/>
            <w:vAlign w:val="bottom"/>
          </w:tcPr>
          <w:p>
            <w:pPr>
              <w:spacing w:after="0"/>
              <w:rPr>
                <w:sz w:val="17"/>
                <w:szCs w:val="17"/>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6"/>
                <w:szCs w:val="16"/>
                <w:color w:val="auto"/>
              </w:rPr>
              <w:t>19.2 pts</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25.0 %</w:t>
            </w: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(53.5)pts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78.5 %</w:t>
            </w:r>
          </w:p>
        </w:tc>
      </w:tr>
      <w:tr>
        <w:trPr>
          <w:trHeight w:val="203"/>
        </w:trPr>
        <w:tc>
          <w:tcPr>
            <w:tcW w:w="20" w:type="dxa"/>
            <w:vAlign w:val="bottom"/>
          </w:tcPr>
          <w:p>
            <w:pPr>
              <w:spacing w:after="0"/>
              <w:rPr>
                <w:sz w:val="17"/>
                <w:szCs w:val="17"/>
                <w:color w:val="auto"/>
              </w:rPr>
            </w:pPr>
          </w:p>
        </w:tc>
        <w:tc>
          <w:tcPr>
            <w:tcW w:w="33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ADR</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234.15</w:t>
            </w:r>
          </w:p>
        </w:tc>
        <w:tc>
          <w:tcPr>
            <w:tcW w:w="160" w:type="dxa"/>
            <w:vAlign w:val="bottom"/>
            <w:shd w:val="clear" w:color="auto" w:fill="CCEEFF"/>
          </w:tcPr>
          <w:p>
            <w:pPr>
              <w:spacing w:after="0"/>
              <w:rPr>
                <w:sz w:val="17"/>
                <w:szCs w:val="17"/>
                <w:color w:val="auto"/>
              </w:rPr>
            </w:pPr>
          </w:p>
        </w:tc>
        <w:tc>
          <w:tcPr>
            <w:tcW w:w="102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16.0 % $</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201.82</w:t>
            </w:r>
          </w:p>
        </w:tc>
        <w:tc>
          <w:tcPr>
            <w:tcW w:w="220" w:type="dxa"/>
            <w:vAlign w:val="bottom"/>
            <w:shd w:val="clear" w:color="auto" w:fill="CCEEFF"/>
          </w:tcPr>
          <w:p>
            <w:pPr>
              <w:spacing w:after="0"/>
              <w:rPr>
                <w:sz w:val="17"/>
                <w:szCs w:val="17"/>
                <w:color w:val="auto"/>
              </w:rPr>
            </w:pPr>
          </w:p>
        </w:tc>
        <w:tc>
          <w:tcPr>
            <w:tcW w:w="100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2.7 % $</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196.54</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340" w:type="dxa"/>
            <w:vAlign w:val="bottom"/>
            <w:gridSpan w:val="2"/>
          </w:tcPr>
          <w:p>
            <w:pPr>
              <w:ind w:left="100"/>
              <w:spacing w:after="0"/>
              <w:rPr>
                <w:sz w:val="20"/>
                <w:szCs w:val="20"/>
                <w:color w:val="auto"/>
              </w:rPr>
            </w:pPr>
            <w:r>
              <w:rPr>
                <w:rFonts w:ascii="Arial" w:cs="Arial" w:eastAsia="Arial" w:hAnsi="Arial"/>
                <w:sz w:val="16"/>
                <w:szCs w:val="16"/>
                <w:color w:val="auto"/>
              </w:rPr>
              <w:t>RevPAR</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103.47</w:t>
            </w:r>
          </w:p>
        </w:tc>
        <w:tc>
          <w:tcPr>
            <w:tcW w:w="160" w:type="dxa"/>
            <w:vAlign w:val="bottom"/>
          </w:tcPr>
          <w:p>
            <w:pPr>
              <w:spacing w:after="0"/>
              <w:rPr>
                <w:sz w:val="17"/>
                <w:szCs w:val="17"/>
                <w:color w:val="auto"/>
              </w:rPr>
            </w:pPr>
          </w:p>
        </w:tc>
        <w:tc>
          <w:tcPr>
            <w:tcW w:w="1020" w:type="dxa"/>
            <w:vAlign w:val="bottom"/>
            <w:gridSpan w:val="4"/>
          </w:tcPr>
          <w:p>
            <w:pPr>
              <w:jc w:val="right"/>
              <w:ind w:right="20"/>
              <w:spacing w:after="0"/>
              <w:rPr>
                <w:sz w:val="20"/>
                <w:szCs w:val="20"/>
                <w:color w:val="auto"/>
              </w:rPr>
            </w:pPr>
            <w:r>
              <w:rPr>
                <w:rFonts w:ascii="Arial" w:cs="Arial" w:eastAsia="Arial" w:hAnsi="Arial"/>
                <w:sz w:val="16"/>
                <w:szCs w:val="16"/>
                <w:color w:val="auto"/>
              </w:rPr>
              <w:t>105.3 % $</w:t>
            </w:r>
          </w:p>
        </w:tc>
        <w:tc>
          <w:tcPr>
            <w:tcW w:w="600" w:type="dxa"/>
            <w:vAlign w:val="bottom"/>
          </w:tcPr>
          <w:p>
            <w:pPr>
              <w:jc w:val="right"/>
              <w:spacing w:after="0"/>
              <w:rPr>
                <w:sz w:val="20"/>
                <w:szCs w:val="20"/>
                <w:color w:val="auto"/>
              </w:rPr>
            </w:pPr>
            <w:r>
              <w:rPr>
                <w:rFonts w:ascii="Arial" w:cs="Arial" w:eastAsia="Arial" w:hAnsi="Arial"/>
                <w:sz w:val="16"/>
                <w:szCs w:val="16"/>
                <w:color w:val="auto"/>
              </w:rPr>
              <w:t>50.40</w:t>
            </w:r>
          </w:p>
        </w:tc>
        <w:tc>
          <w:tcPr>
            <w:tcW w:w="22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(67.3)%</w:t>
            </w:r>
          </w:p>
        </w:tc>
        <w:tc>
          <w:tcPr>
            <w:tcW w:w="120" w:type="dxa"/>
            <w:vAlign w:val="bottom"/>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154.23</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3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Total RevPAR</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226.32</w:t>
            </w:r>
          </w:p>
        </w:tc>
        <w:tc>
          <w:tcPr>
            <w:tcW w:w="160" w:type="dxa"/>
            <w:vAlign w:val="bottom"/>
            <w:shd w:val="clear" w:color="auto" w:fill="CCEEFF"/>
          </w:tcPr>
          <w:p>
            <w:pPr>
              <w:spacing w:after="0"/>
              <w:rPr>
                <w:sz w:val="17"/>
                <w:szCs w:val="17"/>
                <w:color w:val="auto"/>
              </w:rPr>
            </w:pPr>
          </w:p>
        </w:tc>
        <w:tc>
          <w:tcPr>
            <w:tcW w:w="102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79.4 % $</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126.14</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(65.5)%</w:t>
            </w: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365.81</w:t>
            </w:r>
          </w:p>
        </w:tc>
        <w:tc>
          <w:tcPr>
            <w:tcW w:w="140" w:type="dxa"/>
            <w:vAlign w:val="bottom"/>
            <w:shd w:val="clear" w:color="auto" w:fill="CCEEFF"/>
          </w:tcPr>
          <w:p>
            <w:pPr>
              <w:spacing w:after="0"/>
              <w:rPr>
                <w:sz w:val="17"/>
                <w:szCs w:val="17"/>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1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r>
    </w:tbl>
    <w:p>
      <w:pPr>
        <w:spacing w:after="0" w:line="67" w:lineRule="exact"/>
        <w:rPr>
          <w:sz w:val="20"/>
          <w:szCs w:val="20"/>
          <w:color w:val="auto"/>
        </w:rPr>
      </w:pPr>
    </w:p>
    <w:p>
      <w:pPr>
        <w:ind w:left="720" w:right="259" w:hanging="319"/>
        <w:spacing w:after="0" w:line="258"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Gaylord Opryland operating expenses do not include a gain on sale of assets of $0.3 million and $1.2 million in 2021 and 2020, respectively, and preopening costs of $0.1 million in 2019.</w:t>
      </w:r>
    </w:p>
    <w:p>
      <w:pPr>
        <w:spacing w:after="0" w:line="1" w:lineRule="exact"/>
        <w:rPr>
          <w:rFonts w:ascii="Arial" w:cs="Arial" w:eastAsia="Arial" w:hAnsi="Arial"/>
          <w:sz w:val="18"/>
          <w:szCs w:val="18"/>
          <w:color w:val="auto"/>
        </w:rPr>
      </w:pPr>
    </w:p>
    <w:p>
      <w:pPr>
        <w:ind w:left="720" w:right="119" w:hanging="319"/>
        <w:spacing w:after="0" w:line="253"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Gaylord Opryland operating expenses for 2020 include approximately $7.1 million in expenses directly related to the COVID-19 pandemic, which are primarily employment costs, and is net of $2.1 million in payroll tax credits afforded under the CARES Act. Gaylord Opryland operating expenses for 2021 include approximately $1.0 million in credits directly related to the COVID-19 pandemic, which includes $0.5 million in payroll tax credits afforded under the CARES Act.</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19"/>
        <w:spacing w:after="0" w:line="277" w:lineRule="auto"/>
        <w:rPr>
          <w:sz w:val="20"/>
          <w:szCs w:val="20"/>
          <w:color w:val="auto"/>
        </w:rPr>
      </w:pPr>
      <w:r>
        <w:rPr>
          <w:rFonts w:ascii="Arial" w:cs="Arial" w:eastAsia="Arial" w:hAnsi="Arial"/>
          <w:sz w:val="18"/>
          <w:szCs w:val="18"/>
          <w:i w:val="1"/>
          <w:iCs w:val="1"/>
          <w:color w:val="auto"/>
        </w:rPr>
        <w:t xml:space="preserve">Gaylord Palms Results. </w:t>
      </w:r>
      <w:r>
        <w:rPr>
          <w:rFonts w:ascii="Arial" w:cs="Arial" w:eastAsia="Arial" w:hAnsi="Arial"/>
          <w:sz w:val="18"/>
          <w:szCs w:val="18"/>
          <w:color w:val="auto"/>
        </w:rPr>
        <w:t>The results of Gaylord Palms for the years ended December 31, 2021, 2020 and 2019 are as</w:t>
      </w:r>
      <w:r>
        <w:rPr>
          <w:rFonts w:ascii="Arial" w:cs="Arial" w:eastAsia="Arial" w:hAnsi="Arial"/>
          <w:sz w:val="18"/>
          <w:szCs w:val="18"/>
          <w:i w:val="1"/>
          <w:iCs w:val="1"/>
          <w:color w:val="auto"/>
        </w:rPr>
        <w:t xml:space="preserve"> </w:t>
      </w:r>
      <w:r>
        <w:rPr>
          <w:rFonts w:ascii="Arial" w:cs="Arial" w:eastAsia="Arial" w:hAnsi="Arial"/>
          <w:sz w:val="18"/>
          <w:szCs w:val="18"/>
          <w:color w:val="auto"/>
        </w:rPr>
        <w:t>follows (in thousands, except percentages and performance metrics):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20"/>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4"/>
              </w:rPr>
              <w:t>% Change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7"/>
              </w:rPr>
              <w:t>% Change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40"/>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r>
      <w:tr>
        <w:trPr>
          <w:trHeight w:val="196"/>
        </w:trPr>
        <w:tc>
          <w:tcPr>
            <w:tcW w:w="120" w:type="dxa"/>
            <w:vAlign w:val="bottom"/>
          </w:tcPr>
          <w:p>
            <w:pPr>
              <w:spacing w:after="0"/>
              <w:rPr>
                <w:sz w:val="17"/>
                <w:szCs w:val="17"/>
                <w:color w:val="auto"/>
              </w:rPr>
            </w:pPr>
          </w:p>
        </w:tc>
        <w:tc>
          <w:tcPr>
            <w:tcW w:w="4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Revenues:</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4320" w:type="dxa"/>
            <w:vAlign w:val="bottom"/>
            <w:gridSpan w:val="2"/>
          </w:tcPr>
          <w:p>
            <w:pPr>
              <w:ind w:left="100"/>
              <w:spacing w:after="0"/>
              <w:rPr>
                <w:sz w:val="20"/>
                <w:szCs w:val="20"/>
                <w:color w:val="auto"/>
              </w:rPr>
            </w:pPr>
            <w:r>
              <w:rPr>
                <w:rFonts w:ascii="Arial" w:cs="Arial" w:eastAsia="Arial" w:hAnsi="Arial"/>
                <w:sz w:val="16"/>
                <w:szCs w:val="16"/>
                <w:color w:val="auto"/>
              </w:rPr>
              <w:t>Rooms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57,510</w:t>
            </w:r>
          </w:p>
        </w:tc>
        <w:tc>
          <w:tcPr>
            <w:tcW w:w="22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102.1 %</w:t>
            </w:r>
          </w:p>
        </w:tc>
        <w:tc>
          <w:tcPr>
            <w:tcW w:w="120" w:type="dxa"/>
            <w:vAlign w:val="bottom"/>
            <w:gridSpan w:val="2"/>
          </w:tcPr>
          <w:p>
            <w:pPr>
              <w:jc w:val="right"/>
              <w:ind w:right="20"/>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9"/>
              </w:rPr>
              <w:t>28,455</w:t>
            </w:r>
          </w:p>
        </w:tc>
        <w:tc>
          <w:tcPr>
            <w:tcW w:w="20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(63.7)%</w:t>
            </w:r>
          </w:p>
        </w:tc>
        <w:tc>
          <w:tcPr>
            <w:tcW w:w="120" w:type="dxa"/>
            <w:vAlign w:val="bottom"/>
            <w:gridSpan w:val="2"/>
          </w:tcPr>
          <w:p>
            <w:pPr>
              <w:jc w:val="right"/>
              <w:ind w:right="20"/>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78,392</w:t>
            </w:r>
          </w:p>
        </w:tc>
        <w:tc>
          <w:tcPr>
            <w:tcW w:w="14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43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Food and beverage</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52,782</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76.7 %</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29,876</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(69.8)%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98,831</w:t>
            </w:r>
          </w:p>
        </w:tc>
        <w:tc>
          <w:tcPr>
            <w:tcW w:w="140" w:type="dxa"/>
            <w:vAlign w:val="bottom"/>
            <w:shd w:val="clear" w:color="auto" w:fill="CCEEFF"/>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432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rPr>
              <w:t>Other hotel revenue</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28,838</w:t>
            </w:r>
          </w:p>
        </w:tc>
        <w:tc>
          <w:tcPr>
            <w:tcW w:w="22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6"/>
                <w:szCs w:val="16"/>
                <w:color w:val="auto"/>
              </w:rPr>
              <w:t>48.0 %</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19,488</w:t>
            </w:r>
          </w:p>
        </w:tc>
        <w:tc>
          <w:tcPr>
            <w:tcW w:w="20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6"/>
                <w:szCs w:val="16"/>
                <w:color w:val="auto"/>
              </w:rPr>
              <w:t>(37.3)%</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31,075</w:t>
            </w:r>
          </w:p>
        </w:tc>
        <w:tc>
          <w:tcPr>
            <w:tcW w:w="140" w:type="dxa"/>
            <w:vAlign w:val="bottom"/>
            <w:tcBorders>
              <w:bottom w:val="single" w:sz="8" w:color="CCEEFF"/>
            </w:tcBorders>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43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revenue</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139,130</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78.8 %</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77,819</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(62.6)%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208,298</w:t>
            </w:r>
          </w:p>
        </w:tc>
        <w:tc>
          <w:tcPr>
            <w:tcW w:w="140" w:type="dxa"/>
            <w:vAlign w:val="bottom"/>
            <w:shd w:val="clear" w:color="auto" w:fill="CCEEFF"/>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432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43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Rooms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12,608</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61.6 %</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7,802</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(53.2)%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16,662</w:t>
            </w:r>
          </w:p>
        </w:tc>
        <w:tc>
          <w:tcPr>
            <w:tcW w:w="140" w:type="dxa"/>
            <w:vAlign w:val="bottom"/>
            <w:shd w:val="clear" w:color="auto" w:fill="CCEEFF"/>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4320" w:type="dxa"/>
            <w:vAlign w:val="bottom"/>
            <w:gridSpan w:val="2"/>
          </w:tcPr>
          <w:p>
            <w:pPr>
              <w:ind w:left="100"/>
              <w:spacing w:after="0"/>
              <w:rPr>
                <w:sz w:val="20"/>
                <w:szCs w:val="20"/>
                <w:color w:val="auto"/>
              </w:rPr>
            </w:pPr>
            <w:r>
              <w:rPr>
                <w:rFonts w:ascii="Arial" w:cs="Arial" w:eastAsia="Arial" w:hAnsi="Arial"/>
                <w:sz w:val="16"/>
                <w:szCs w:val="16"/>
                <w:color w:val="auto"/>
              </w:rPr>
              <w:t>Food and beverage</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34,158</w:t>
            </w:r>
          </w:p>
        </w:tc>
        <w:tc>
          <w:tcPr>
            <w:tcW w:w="22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59.4 %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9"/>
              </w:rPr>
              <w:t>21,434</w:t>
            </w:r>
          </w:p>
        </w:tc>
        <w:tc>
          <w:tcPr>
            <w:tcW w:w="20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(58.7)%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51,865</w:t>
            </w:r>
          </w:p>
        </w:tc>
        <w:tc>
          <w:tcPr>
            <w:tcW w:w="14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43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Other hotel expenses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64,766</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22.4 %</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52,909</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(28.3)%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73,837</w:t>
            </w:r>
          </w:p>
        </w:tc>
        <w:tc>
          <w:tcPr>
            <w:tcW w:w="140" w:type="dxa"/>
            <w:vAlign w:val="bottom"/>
            <w:shd w:val="clear" w:color="auto" w:fill="CCEEFF"/>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4320" w:type="dxa"/>
            <w:vAlign w:val="bottom"/>
            <w:gridSpan w:val="2"/>
          </w:tcPr>
          <w:p>
            <w:pPr>
              <w:ind w:left="100"/>
              <w:spacing w:after="0"/>
              <w:rPr>
                <w:sz w:val="20"/>
                <w:szCs w:val="20"/>
                <w:color w:val="auto"/>
              </w:rPr>
            </w:pPr>
            <w:r>
              <w:rPr>
                <w:rFonts w:ascii="Arial" w:cs="Arial" w:eastAsia="Arial" w:hAnsi="Arial"/>
                <w:sz w:val="16"/>
                <w:szCs w:val="16"/>
                <w:color w:val="auto"/>
              </w:rPr>
              <w:t>Management fees, net</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2,216</w:t>
            </w:r>
          </w:p>
        </w:tc>
        <w:tc>
          <w:tcPr>
            <w:tcW w:w="22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117.9 %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1,017</w:t>
            </w:r>
          </w:p>
        </w:tc>
        <w:tc>
          <w:tcPr>
            <w:tcW w:w="20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(82.7)%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5,868</w:t>
            </w:r>
          </w:p>
        </w:tc>
        <w:tc>
          <w:tcPr>
            <w:tcW w:w="14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43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Depreciation and amortization</w:t>
            </w: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21,112</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27.3 %</w:t>
            </w: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16,586</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(14.5)%</w:t>
            </w: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19,393</w:t>
            </w:r>
          </w:p>
        </w:tc>
        <w:tc>
          <w:tcPr>
            <w:tcW w:w="140" w:type="dxa"/>
            <w:vAlign w:val="bottom"/>
            <w:shd w:val="clear" w:color="auto" w:fill="CCEEFF"/>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4320" w:type="dxa"/>
            <w:vAlign w:val="bottom"/>
            <w:gridSpan w:val="2"/>
          </w:tcPr>
          <w:p>
            <w:pPr>
              <w:ind w:left="220"/>
              <w:spacing w:after="0"/>
              <w:rPr>
                <w:sz w:val="20"/>
                <w:szCs w:val="20"/>
                <w:color w:val="auto"/>
              </w:rPr>
            </w:pPr>
            <w:r>
              <w:rPr>
                <w:rFonts w:ascii="Arial" w:cs="Arial" w:eastAsia="Arial" w:hAnsi="Arial"/>
                <w:sz w:val="16"/>
                <w:szCs w:val="16"/>
                <w:color w:val="auto"/>
              </w:rPr>
              <w:t>Total operating expenses (1)(2)</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134,860</w:t>
            </w:r>
          </w:p>
        </w:tc>
        <w:tc>
          <w:tcPr>
            <w:tcW w:w="22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35.2 %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9"/>
              </w:rPr>
              <w:t>99,748</w:t>
            </w:r>
          </w:p>
        </w:tc>
        <w:tc>
          <w:tcPr>
            <w:tcW w:w="20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(40.5)%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3"/>
              </w:rPr>
              <w:t>167,625</w:t>
            </w:r>
          </w:p>
        </w:tc>
        <w:tc>
          <w:tcPr>
            <w:tcW w:w="14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Performance metrics (3):</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4320" w:type="dxa"/>
            <w:vAlign w:val="bottom"/>
            <w:gridSpan w:val="2"/>
          </w:tcPr>
          <w:p>
            <w:pPr>
              <w:ind w:left="100"/>
              <w:spacing w:after="0"/>
              <w:rPr>
                <w:sz w:val="20"/>
                <w:szCs w:val="20"/>
                <w:color w:val="auto"/>
              </w:rPr>
            </w:pPr>
            <w:r>
              <w:rPr>
                <w:rFonts w:ascii="Arial" w:cs="Arial" w:eastAsia="Arial" w:hAnsi="Arial"/>
                <w:sz w:val="16"/>
                <w:szCs w:val="16"/>
                <w:color w:val="auto"/>
              </w:rPr>
              <w:t>Occupancy</w:t>
            </w:r>
          </w:p>
        </w:tc>
        <w:tc>
          <w:tcPr>
            <w:tcW w:w="1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44.6 %</w:t>
            </w: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18.4 pts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26.2 %</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(51.2)pts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77.4 %</w:t>
            </w:r>
          </w:p>
        </w:tc>
      </w:tr>
      <w:tr>
        <w:trPr>
          <w:trHeight w:val="203"/>
        </w:trPr>
        <w:tc>
          <w:tcPr>
            <w:tcW w:w="120" w:type="dxa"/>
            <w:vAlign w:val="bottom"/>
          </w:tcPr>
          <w:p>
            <w:pPr>
              <w:spacing w:after="0"/>
              <w:rPr>
                <w:sz w:val="17"/>
                <w:szCs w:val="17"/>
                <w:color w:val="auto"/>
              </w:rPr>
            </w:pPr>
          </w:p>
        </w:tc>
        <w:tc>
          <w:tcPr>
            <w:tcW w:w="43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ADR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220.90</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5.6 %</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209.22</w:t>
            </w:r>
          </w:p>
        </w:tc>
        <w:tc>
          <w:tcPr>
            <w:tcW w:w="200" w:type="dxa"/>
            <w:vAlign w:val="bottom"/>
            <w:shd w:val="clear" w:color="auto" w:fill="CCEEFF"/>
          </w:tcPr>
          <w:p>
            <w:pPr>
              <w:spacing w:after="0"/>
              <w:rPr>
                <w:sz w:val="17"/>
                <w:szCs w:val="17"/>
                <w:color w:val="auto"/>
              </w:rPr>
            </w:pPr>
          </w:p>
        </w:tc>
        <w:tc>
          <w:tcPr>
            <w:tcW w:w="100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6.7 % $</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196.06</w:t>
            </w:r>
          </w:p>
        </w:tc>
        <w:tc>
          <w:tcPr>
            <w:tcW w:w="140" w:type="dxa"/>
            <w:vAlign w:val="bottom"/>
            <w:shd w:val="clear" w:color="auto" w:fill="CCEEFF"/>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4320" w:type="dxa"/>
            <w:vAlign w:val="bottom"/>
            <w:gridSpan w:val="2"/>
          </w:tcPr>
          <w:p>
            <w:pPr>
              <w:ind w:left="100"/>
              <w:spacing w:after="0"/>
              <w:rPr>
                <w:sz w:val="20"/>
                <w:szCs w:val="20"/>
                <w:color w:val="auto"/>
              </w:rPr>
            </w:pPr>
            <w:r>
              <w:rPr>
                <w:rFonts w:ascii="Arial" w:cs="Arial" w:eastAsia="Arial" w:hAnsi="Arial"/>
                <w:sz w:val="16"/>
                <w:szCs w:val="16"/>
                <w:color w:val="auto"/>
              </w:rPr>
              <w:t>RevPAR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98.46</w:t>
            </w:r>
          </w:p>
        </w:tc>
        <w:tc>
          <w:tcPr>
            <w:tcW w:w="22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79.3 %</w:t>
            </w:r>
          </w:p>
        </w:tc>
        <w:tc>
          <w:tcPr>
            <w:tcW w:w="120" w:type="dxa"/>
            <w:vAlign w:val="bottom"/>
            <w:gridSpan w:val="2"/>
          </w:tcPr>
          <w:p>
            <w:pPr>
              <w:jc w:val="right"/>
              <w:ind w:right="20"/>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54.91</w:t>
            </w:r>
          </w:p>
        </w:tc>
        <w:tc>
          <w:tcPr>
            <w:tcW w:w="20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(63.8)%</w:t>
            </w:r>
          </w:p>
        </w:tc>
        <w:tc>
          <w:tcPr>
            <w:tcW w:w="120" w:type="dxa"/>
            <w:vAlign w:val="bottom"/>
            <w:gridSpan w:val="2"/>
          </w:tcPr>
          <w:p>
            <w:pPr>
              <w:jc w:val="right"/>
              <w:ind w:right="20"/>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151.68</w:t>
            </w:r>
          </w:p>
        </w:tc>
        <w:tc>
          <w:tcPr>
            <w:tcW w:w="14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43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Total RevPAR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238.19</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58.6 %</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150.15</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(62.7)%</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403.02</w:t>
            </w:r>
          </w:p>
        </w:tc>
        <w:tc>
          <w:tcPr>
            <w:tcW w:w="140" w:type="dxa"/>
            <w:vAlign w:val="bottom"/>
            <w:shd w:val="clear" w:color="auto" w:fill="CCEEFF"/>
          </w:tcPr>
          <w:p>
            <w:pPr>
              <w:spacing w:after="0"/>
              <w:rPr>
                <w:sz w:val="17"/>
                <w:szCs w:val="17"/>
                <w:color w:val="auto"/>
              </w:rPr>
            </w:pPr>
          </w:p>
        </w:tc>
      </w:tr>
      <w:tr>
        <w:trPr>
          <w:trHeight w:val="115"/>
        </w:trPr>
        <w:tc>
          <w:tcPr>
            <w:tcW w:w="12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c>
          <w:tcPr>
            <w:tcW w:w="2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r>
    </w:tbl>
    <w:p>
      <w:pPr>
        <w:spacing w:after="0" w:line="67" w:lineRule="exact"/>
        <w:rPr>
          <w:sz w:val="20"/>
          <w:szCs w:val="20"/>
          <w:color w:val="auto"/>
        </w:rPr>
      </w:pPr>
    </w:p>
    <w:p>
      <w:pPr>
        <w:ind w:left="720" w:right="219" w:hanging="319"/>
        <w:spacing w:after="0" w:line="258"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Gaylord Palms operating expenses do not include preopening costs of $0.7 million and $0.3 million in 2021 and 2020, respectively.</w:t>
      </w:r>
    </w:p>
    <w:p>
      <w:pPr>
        <w:spacing w:after="0" w:line="1" w:lineRule="exact"/>
        <w:rPr>
          <w:rFonts w:ascii="Arial" w:cs="Arial" w:eastAsia="Arial" w:hAnsi="Arial"/>
          <w:sz w:val="18"/>
          <w:szCs w:val="18"/>
          <w:color w:val="auto"/>
        </w:rPr>
      </w:pPr>
    </w:p>
    <w:p>
      <w:pPr>
        <w:ind w:left="720" w:right="99" w:hanging="319"/>
        <w:spacing w:after="0" w:line="250"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Gaylord Palms operating expenses for 2020 include approximately $4.6 million in expenses directly related to the COVID-19 pandemic, which are primarily employment costs, and is net of $1.2 million in payroll tax credits afforded under the CARES Act. Gaylord Palms operating expenses for 2021 include approximately $0.1 million in credits directly related to the COVID-19 pandemic, which includes $0.5 million in payroll tax credits afforded under the CARES Act.</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Gaylord Palms metrics for 2021 include the addition of 302 additional guest rooms beginning June 1, 2021.</w:t>
      </w:r>
    </w:p>
    <w:p>
      <w:pPr>
        <w:spacing w:after="0" w:line="222"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i w:val="1"/>
          <w:iCs w:val="1"/>
          <w:color w:val="auto"/>
        </w:rPr>
        <w:t xml:space="preserve">Gaylord Texan Results. </w:t>
      </w:r>
      <w:r>
        <w:rPr>
          <w:rFonts w:ascii="Arial" w:cs="Arial" w:eastAsia="Arial" w:hAnsi="Arial"/>
          <w:sz w:val="18"/>
          <w:szCs w:val="18"/>
          <w:color w:val="auto"/>
        </w:rPr>
        <w:t>The results of Gaylord Texan for the years ended December 31, 2021, 2020 and 2019 are as follows</w:t>
      </w:r>
      <w:r>
        <w:rPr>
          <w:rFonts w:ascii="Arial" w:cs="Arial" w:eastAsia="Arial" w:hAnsi="Arial"/>
          <w:sz w:val="18"/>
          <w:szCs w:val="18"/>
          <w:i w:val="1"/>
          <w:iCs w:val="1"/>
          <w:color w:val="auto"/>
        </w:rPr>
        <w:t xml:space="preserve"> </w:t>
      </w:r>
      <w:r>
        <w:rPr>
          <w:rFonts w:ascii="Arial" w:cs="Arial" w:eastAsia="Arial" w:hAnsi="Arial"/>
          <w:sz w:val="18"/>
          <w:szCs w:val="18"/>
          <w:color w:val="auto"/>
        </w:rPr>
        <w:t>(in thousands, except percentages and performance metrics):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40"/>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102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7"/>
              </w:rPr>
              <w:t>% Change</w:t>
            </w:r>
          </w:p>
        </w:tc>
        <w:tc>
          <w:tcPr>
            <w:tcW w:w="600" w:type="dxa"/>
            <w:vAlign w:val="bottom"/>
          </w:tcPr>
          <w:p>
            <w:pPr>
              <w:jc w:val="right"/>
              <w:ind w:right="140"/>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4"/>
              </w:rPr>
              <w:t>% Change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40"/>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r>
      <w:tr>
        <w:trPr>
          <w:trHeight w:val="196"/>
        </w:trPr>
        <w:tc>
          <w:tcPr>
            <w:tcW w:w="300" w:type="dxa"/>
            <w:vAlign w:val="bottom"/>
          </w:tcPr>
          <w:p>
            <w:pPr>
              <w:spacing w:after="0"/>
              <w:rPr>
                <w:sz w:val="17"/>
                <w:szCs w:val="17"/>
                <w:color w:val="auto"/>
              </w:rPr>
            </w:pPr>
          </w:p>
        </w:tc>
        <w:tc>
          <w:tcPr>
            <w:tcW w:w="29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Revenues:</w:t>
            </w:r>
          </w:p>
        </w:tc>
        <w:tc>
          <w:tcPr>
            <w:tcW w:w="9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960" w:type="dxa"/>
            <w:vAlign w:val="bottom"/>
            <w:gridSpan w:val="2"/>
          </w:tcPr>
          <w:p>
            <w:pPr>
              <w:ind w:left="100"/>
              <w:spacing w:after="0"/>
              <w:rPr>
                <w:sz w:val="20"/>
                <w:szCs w:val="20"/>
                <w:color w:val="auto"/>
              </w:rPr>
            </w:pPr>
            <w:r>
              <w:rPr>
                <w:rFonts w:ascii="Arial" w:cs="Arial" w:eastAsia="Arial" w:hAnsi="Arial"/>
                <w:sz w:val="16"/>
                <w:szCs w:val="16"/>
                <w:color w:val="auto"/>
              </w:rPr>
              <w:t>Rooms</w:t>
            </w: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71,854</w:t>
            </w:r>
          </w:p>
        </w:tc>
        <w:tc>
          <w:tcPr>
            <w:tcW w:w="180" w:type="dxa"/>
            <w:vAlign w:val="bottom"/>
          </w:tcPr>
          <w:p>
            <w:pPr>
              <w:spacing w:after="0"/>
              <w:rPr>
                <w:sz w:val="17"/>
                <w:szCs w:val="17"/>
                <w:color w:val="auto"/>
              </w:rPr>
            </w:pPr>
          </w:p>
        </w:tc>
        <w:tc>
          <w:tcPr>
            <w:tcW w:w="1020" w:type="dxa"/>
            <w:vAlign w:val="bottom"/>
            <w:gridSpan w:val="4"/>
          </w:tcPr>
          <w:p>
            <w:pPr>
              <w:jc w:val="right"/>
              <w:ind w:right="20"/>
              <w:spacing w:after="0"/>
              <w:rPr>
                <w:sz w:val="20"/>
                <w:szCs w:val="20"/>
                <w:color w:val="auto"/>
              </w:rPr>
            </w:pPr>
            <w:r>
              <w:rPr>
                <w:rFonts w:ascii="Arial" w:cs="Arial" w:eastAsia="Arial" w:hAnsi="Arial"/>
                <w:sz w:val="16"/>
                <w:szCs w:val="16"/>
                <w:color w:val="auto"/>
              </w:rPr>
              <w:t>80.5 % $</w:t>
            </w:r>
          </w:p>
        </w:tc>
        <w:tc>
          <w:tcPr>
            <w:tcW w:w="600" w:type="dxa"/>
            <w:vAlign w:val="bottom"/>
          </w:tcPr>
          <w:p>
            <w:pPr>
              <w:jc w:val="right"/>
              <w:spacing w:after="0"/>
              <w:rPr>
                <w:sz w:val="20"/>
                <w:szCs w:val="20"/>
                <w:color w:val="auto"/>
              </w:rPr>
            </w:pPr>
            <w:r>
              <w:rPr>
                <w:rFonts w:ascii="Arial" w:cs="Arial" w:eastAsia="Arial" w:hAnsi="Arial"/>
                <w:sz w:val="16"/>
                <w:szCs w:val="16"/>
                <w:color w:val="auto"/>
              </w:rPr>
              <w:t>39,819</w:t>
            </w:r>
          </w:p>
        </w:tc>
        <w:tc>
          <w:tcPr>
            <w:tcW w:w="22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(60.8)%</w:t>
            </w:r>
          </w:p>
        </w:tc>
        <w:tc>
          <w:tcPr>
            <w:tcW w:w="120" w:type="dxa"/>
            <w:vAlign w:val="bottom"/>
            <w:gridSpan w:val="2"/>
          </w:tcPr>
          <w:p>
            <w:pPr>
              <w:jc w:val="right"/>
              <w:ind w:right="20"/>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w w:val="93"/>
              </w:rPr>
              <w:t>101,604</w:t>
            </w:r>
          </w:p>
        </w:tc>
        <w:tc>
          <w:tcPr>
            <w:tcW w:w="14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9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Food and beverage</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70,429</w:t>
            </w:r>
          </w:p>
        </w:tc>
        <w:tc>
          <w:tcPr>
            <w:tcW w:w="18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61.5 %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43,611</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(70.6)%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148,154</w:t>
            </w:r>
          </w:p>
        </w:tc>
        <w:tc>
          <w:tcPr>
            <w:tcW w:w="140" w:type="dxa"/>
            <w:vAlign w:val="bottom"/>
            <w:shd w:val="clear" w:color="auto" w:fill="CCEEFF"/>
          </w:tcPr>
          <w:p>
            <w:pPr>
              <w:spacing w:after="0"/>
              <w:rPr>
                <w:sz w:val="17"/>
                <w:szCs w:val="17"/>
                <w:color w:val="auto"/>
              </w:rPr>
            </w:pPr>
          </w:p>
        </w:tc>
      </w:tr>
      <w:tr>
        <w:trPr>
          <w:trHeight w:val="202"/>
        </w:trPr>
        <w:tc>
          <w:tcPr>
            <w:tcW w:w="300" w:type="dxa"/>
            <w:vAlign w:val="bottom"/>
          </w:tcPr>
          <w:p>
            <w:pPr>
              <w:spacing w:after="0"/>
              <w:rPr>
                <w:sz w:val="17"/>
                <w:szCs w:val="17"/>
                <w:color w:val="auto"/>
              </w:rPr>
            </w:pPr>
          </w:p>
        </w:tc>
        <w:tc>
          <w:tcPr>
            <w:tcW w:w="296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rPr>
              <w:t>Other hotel revenue</w:t>
            </w:r>
          </w:p>
        </w:tc>
        <w:tc>
          <w:tcPr>
            <w:tcW w:w="9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37,748</w:t>
            </w:r>
          </w:p>
        </w:tc>
        <w:tc>
          <w:tcPr>
            <w:tcW w:w="18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gridSpan w:val="3"/>
          </w:tcPr>
          <w:p>
            <w:pPr>
              <w:jc w:val="right"/>
              <w:ind w:right="100"/>
              <w:spacing w:after="0"/>
              <w:rPr>
                <w:sz w:val="20"/>
                <w:szCs w:val="20"/>
                <w:color w:val="auto"/>
              </w:rPr>
            </w:pPr>
            <w:r>
              <w:rPr>
                <w:rFonts w:ascii="Arial" w:cs="Arial" w:eastAsia="Arial" w:hAnsi="Arial"/>
                <w:sz w:val="16"/>
                <w:szCs w:val="16"/>
                <w:color w:val="auto"/>
              </w:rPr>
              <w:t>35.8 %</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27,806</w:t>
            </w:r>
          </w:p>
        </w:tc>
        <w:tc>
          <w:tcPr>
            <w:tcW w:w="22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6"/>
                <w:szCs w:val="16"/>
                <w:color w:val="auto"/>
              </w:rPr>
              <w:t>(35.0)%</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42,790</w:t>
            </w:r>
          </w:p>
        </w:tc>
        <w:tc>
          <w:tcPr>
            <w:tcW w:w="140" w:type="dxa"/>
            <w:vAlign w:val="bottom"/>
            <w:tcBorders>
              <w:bottom w:val="single" w:sz="8" w:color="CCEEFF"/>
            </w:tcBorders>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29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Total revenue</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180,031</w:t>
            </w:r>
          </w:p>
        </w:tc>
        <w:tc>
          <w:tcPr>
            <w:tcW w:w="18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61.8 %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111,236</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(62.0)%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292,548</w:t>
            </w:r>
          </w:p>
        </w:tc>
        <w:tc>
          <w:tcPr>
            <w:tcW w:w="140" w:type="dxa"/>
            <w:vAlign w:val="bottom"/>
            <w:shd w:val="clear" w:color="auto" w:fill="CCEEFF"/>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96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9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Rooms</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15,957</w:t>
            </w:r>
          </w:p>
        </w:tc>
        <w:tc>
          <w:tcPr>
            <w:tcW w:w="18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61.9 %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9,854</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(54.1)%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21,469</w:t>
            </w:r>
          </w:p>
        </w:tc>
        <w:tc>
          <w:tcPr>
            <w:tcW w:w="140" w:type="dxa"/>
            <w:vAlign w:val="bottom"/>
            <w:shd w:val="clear" w:color="auto" w:fill="CCEEFF"/>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960" w:type="dxa"/>
            <w:vAlign w:val="bottom"/>
            <w:gridSpan w:val="2"/>
          </w:tcPr>
          <w:p>
            <w:pPr>
              <w:ind w:left="100"/>
              <w:spacing w:after="0"/>
              <w:rPr>
                <w:sz w:val="20"/>
                <w:szCs w:val="20"/>
                <w:color w:val="auto"/>
              </w:rPr>
            </w:pPr>
            <w:r>
              <w:rPr>
                <w:rFonts w:ascii="Arial" w:cs="Arial" w:eastAsia="Arial" w:hAnsi="Arial"/>
                <w:sz w:val="16"/>
                <w:szCs w:val="16"/>
                <w:color w:val="auto"/>
              </w:rPr>
              <w:t>Food and beverage</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46,319</w:t>
            </w:r>
          </w:p>
        </w:tc>
        <w:tc>
          <w:tcPr>
            <w:tcW w:w="180" w:type="dxa"/>
            <w:vAlign w:val="bottom"/>
          </w:tcPr>
          <w:p>
            <w:pPr>
              <w:spacing w:after="0"/>
              <w:rPr>
                <w:sz w:val="17"/>
                <w:szCs w:val="17"/>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6"/>
                <w:szCs w:val="16"/>
                <w:color w:val="auto"/>
              </w:rPr>
              <w:t>59.7 %</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29,005</w:t>
            </w:r>
          </w:p>
        </w:tc>
        <w:tc>
          <w:tcPr>
            <w:tcW w:w="22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(59.7)%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72,008</w:t>
            </w:r>
          </w:p>
        </w:tc>
        <w:tc>
          <w:tcPr>
            <w:tcW w:w="14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9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Other hotel expenses</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61,237</w:t>
            </w:r>
          </w:p>
        </w:tc>
        <w:tc>
          <w:tcPr>
            <w:tcW w:w="18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19.7 %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51,138</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(34.4)%</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77,989</w:t>
            </w:r>
          </w:p>
        </w:tc>
        <w:tc>
          <w:tcPr>
            <w:tcW w:w="140" w:type="dxa"/>
            <w:vAlign w:val="bottom"/>
            <w:shd w:val="clear" w:color="auto" w:fill="CCEEFF"/>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960" w:type="dxa"/>
            <w:vAlign w:val="bottom"/>
            <w:gridSpan w:val="2"/>
          </w:tcPr>
          <w:p>
            <w:pPr>
              <w:ind w:left="100"/>
              <w:spacing w:after="0"/>
              <w:rPr>
                <w:sz w:val="20"/>
                <w:szCs w:val="20"/>
                <w:color w:val="auto"/>
              </w:rPr>
            </w:pPr>
            <w:r>
              <w:rPr>
                <w:rFonts w:ascii="Arial" w:cs="Arial" w:eastAsia="Arial" w:hAnsi="Arial"/>
                <w:sz w:val="16"/>
                <w:szCs w:val="16"/>
                <w:color w:val="auto"/>
              </w:rPr>
              <w:t>Management fees, net</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2,858</w:t>
            </w:r>
          </w:p>
        </w:tc>
        <w:tc>
          <w:tcPr>
            <w:tcW w:w="180" w:type="dxa"/>
            <w:vAlign w:val="bottom"/>
          </w:tcPr>
          <w:p>
            <w:pPr>
              <w:spacing w:after="0"/>
              <w:rPr>
                <w:sz w:val="17"/>
                <w:szCs w:val="17"/>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6"/>
                <w:szCs w:val="16"/>
                <w:color w:val="auto"/>
              </w:rPr>
              <w:t>89.1 %</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1,511</w:t>
            </w:r>
          </w:p>
        </w:tc>
        <w:tc>
          <w:tcPr>
            <w:tcW w:w="22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(83.6)%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9,189</w:t>
            </w:r>
          </w:p>
        </w:tc>
        <w:tc>
          <w:tcPr>
            <w:tcW w:w="14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9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Depreciation and amortization</w:t>
            </w:r>
          </w:p>
        </w:tc>
        <w:tc>
          <w:tcPr>
            <w:tcW w:w="9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24,712</w:t>
            </w:r>
          </w:p>
        </w:tc>
        <w:tc>
          <w:tcPr>
            <w:tcW w:w="18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25,546</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(3.1)%</w:t>
            </w: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26,362</w:t>
            </w:r>
          </w:p>
        </w:tc>
        <w:tc>
          <w:tcPr>
            <w:tcW w:w="140" w:type="dxa"/>
            <w:vAlign w:val="bottom"/>
            <w:shd w:val="clear" w:color="auto" w:fill="CCEEFF"/>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2960" w:type="dxa"/>
            <w:vAlign w:val="bottom"/>
            <w:gridSpan w:val="2"/>
          </w:tcPr>
          <w:p>
            <w:pPr>
              <w:ind w:left="200"/>
              <w:spacing w:after="0"/>
              <w:rPr>
                <w:sz w:val="20"/>
                <w:szCs w:val="20"/>
                <w:color w:val="auto"/>
              </w:rPr>
            </w:pPr>
            <w:r>
              <w:rPr>
                <w:rFonts w:ascii="Arial" w:cs="Arial" w:eastAsia="Arial" w:hAnsi="Arial"/>
                <w:sz w:val="16"/>
                <w:szCs w:val="16"/>
                <w:color w:val="auto"/>
              </w:rPr>
              <w:t>Total operating expenses (1)</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151,083</w:t>
            </w:r>
          </w:p>
        </w:tc>
        <w:tc>
          <w:tcPr>
            <w:tcW w:w="180" w:type="dxa"/>
            <w:vAlign w:val="bottom"/>
          </w:tcPr>
          <w:p>
            <w:pPr>
              <w:spacing w:after="0"/>
              <w:rPr>
                <w:sz w:val="17"/>
                <w:szCs w:val="17"/>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6"/>
                <w:szCs w:val="16"/>
                <w:color w:val="auto"/>
              </w:rPr>
              <w:t>29.1 %</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117,054</w:t>
            </w:r>
          </w:p>
        </w:tc>
        <w:tc>
          <w:tcPr>
            <w:tcW w:w="22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(43.5)%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3"/>
              </w:rPr>
              <w:t>207,017</w:t>
            </w:r>
          </w:p>
        </w:tc>
        <w:tc>
          <w:tcPr>
            <w:tcW w:w="14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Performance metrics:</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960" w:type="dxa"/>
            <w:vAlign w:val="bottom"/>
            <w:gridSpan w:val="2"/>
          </w:tcPr>
          <w:p>
            <w:pPr>
              <w:ind w:left="100"/>
              <w:spacing w:after="0"/>
              <w:rPr>
                <w:sz w:val="20"/>
                <w:szCs w:val="20"/>
                <w:color w:val="auto"/>
              </w:rPr>
            </w:pPr>
            <w:r>
              <w:rPr>
                <w:rFonts w:ascii="Arial" w:cs="Arial" w:eastAsia="Arial" w:hAnsi="Arial"/>
                <w:sz w:val="16"/>
                <w:szCs w:val="16"/>
                <w:color w:val="auto"/>
              </w:rPr>
              <w:t>Occupancy</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49.1 %</w:t>
            </w:r>
          </w:p>
        </w:tc>
        <w:tc>
          <w:tcPr>
            <w:tcW w:w="40" w:type="dxa"/>
            <w:vAlign w:val="bottom"/>
          </w:tcPr>
          <w:p>
            <w:pPr>
              <w:spacing w:after="0"/>
              <w:rPr>
                <w:sz w:val="17"/>
                <w:szCs w:val="17"/>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6"/>
                <w:szCs w:val="16"/>
                <w:color w:val="auto"/>
              </w:rPr>
              <w:t>19.8 pts</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29.3 %</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(48.9)pts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78.2 %</w:t>
            </w:r>
          </w:p>
        </w:tc>
      </w:tr>
      <w:tr>
        <w:trPr>
          <w:trHeight w:val="203"/>
        </w:trPr>
        <w:tc>
          <w:tcPr>
            <w:tcW w:w="300" w:type="dxa"/>
            <w:vAlign w:val="bottom"/>
          </w:tcPr>
          <w:p>
            <w:pPr>
              <w:spacing w:after="0"/>
              <w:rPr>
                <w:sz w:val="17"/>
                <w:szCs w:val="17"/>
                <w:color w:val="auto"/>
              </w:rPr>
            </w:pPr>
          </w:p>
        </w:tc>
        <w:tc>
          <w:tcPr>
            <w:tcW w:w="29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ADR</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221.00</w:t>
            </w:r>
          </w:p>
        </w:tc>
        <w:tc>
          <w:tcPr>
            <w:tcW w:w="180" w:type="dxa"/>
            <w:vAlign w:val="bottom"/>
            <w:shd w:val="clear" w:color="auto" w:fill="CCEEFF"/>
          </w:tcPr>
          <w:p>
            <w:pPr>
              <w:spacing w:after="0"/>
              <w:rPr>
                <w:sz w:val="17"/>
                <w:szCs w:val="17"/>
                <w:color w:val="auto"/>
              </w:rPr>
            </w:pPr>
          </w:p>
        </w:tc>
        <w:tc>
          <w:tcPr>
            <w:tcW w:w="102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8.1 % $</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204.38</w:t>
            </w:r>
          </w:p>
        </w:tc>
        <w:tc>
          <w:tcPr>
            <w:tcW w:w="220" w:type="dxa"/>
            <w:vAlign w:val="bottom"/>
            <w:shd w:val="clear" w:color="auto" w:fill="CCEEFF"/>
          </w:tcPr>
          <w:p>
            <w:pPr>
              <w:spacing w:after="0"/>
              <w:rPr>
                <w:sz w:val="17"/>
                <w:szCs w:val="17"/>
                <w:color w:val="auto"/>
              </w:rPr>
            </w:pPr>
          </w:p>
        </w:tc>
        <w:tc>
          <w:tcPr>
            <w:tcW w:w="98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4.1 % $</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196.26</w:t>
            </w:r>
          </w:p>
        </w:tc>
        <w:tc>
          <w:tcPr>
            <w:tcW w:w="140" w:type="dxa"/>
            <w:vAlign w:val="bottom"/>
            <w:shd w:val="clear" w:color="auto" w:fill="CCEEFF"/>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960" w:type="dxa"/>
            <w:vAlign w:val="bottom"/>
            <w:gridSpan w:val="2"/>
          </w:tcPr>
          <w:p>
            <w:pPr>
              <w:ind w:left="100"/>
              <w:spacing w:after="0"/>
              <w:rPr>
                <w:sz w:val="20"/>
                <w:szCs w:val="20"/>
                <w:color w:val="auto"/>
              </w:rPr>
            </w:pPr>
            <w:r>
              <w:rPr>
                <w:rFonts w:ascii="Arial" w:cs="Arial" w:eastAsia="Arial" w:hAnsi="Arial"/>
                <w:sz w:val="16"/>
                <w:szCs w:val="16"/>
                <w:color w:val="auto"/>
              </w:rPr>
              <w:t>RevPAR</w:t>
            </w: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108.52</w:t>
            </w:r>
          </w:p>
        </w:tc>
        <w:tc>
          <w:tcPr>
            <w:tcW w:w="180" w:type="dxa"/>
            <w:vAlign w:val="bottom"/>
          </w:tcPr>
          <w:p>
            <w:pPr>
              <w:spacing w:after="0"/>
              <w:rPr>
                <w:sz w:val="17"/>
                <w:szCs w:val="17"/>
                <w:color w:val="auto"/>
              </w:rPr>
            </w:pPr>
          </w:p>
        </w:tc>
        <w:tc>
          <w:tcPr>
            <w:tcW w:w="1020" w:type="dxa"/>
            <w:vAlign w:val="bottom"/>
            <w:gridSpan w:val="4"/>
          </w:tcPr>
          <w:p>
            <w:pPr>
              <w:jc w:val="right"/>
              <w:ind w:right="20"/>
              <w:spacing w:after="0"/>
              <w:rPr>
                <w:sz w:val="20"/>
                <w:szCs w:val="20"/>
                <w:color w:val="auto"/>
              </w:rPr>
            </w:pPr>
            <w:r>
              <w:rPr>
                <w:rFonts w:ascii="Arial" w:cs="Arial" w:eastAsia="Arial" w:hAnsi="Arial"/>
                <w:sz w:val="16"/>
                <w:szCs w:val="16"/>
                <w:color w:val="auto"/>
              </w:rPr>
              <w:t>81.0 % $</w:t>
            </w:r>
          </w:p>
        </w:tc>
        <w:tc>
          <w:tcPr>
            <w:tcW w:w="600" w:type="dxa"/>
            <w:vAlign w:val="bottom"/>
          </w:tcPr>
          <w:p>
            <w:pPr>
              <w:jc w:val="right"/>
              <w:spacing w:after="0"/>
              <w:rPr>
                <w:sz w:val="20"/>
                <w:szCs w:val="20"/>
                <w:color w:val="auto"/>
              </w:rPr>
            </w:pPr>
            <w:r>
              <w:rPr>
                <w:rFonts w:ascii="Arial" w:cs="Arial" w:eastAsia="Arial" w:hAnsi="Arial"/>
                <w:sz w:val="16"/>
                <w:szCs w:val="16"/>
                <w:color w:val="auto"/>
              </w:rPr>
              <w:t>59.97</w:t>
            </w:r>
          </w:p>
        </w:tc>
        <w:tc>
          <w:tcPr>
            <w:tcW w:w="22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(60.9)%</w:t>
            </w:r>
          </w:p>
        </w:tc>
        <w:tc>
          <w:tcPr>
            <w:tcW w:w="120" w:type="dxa"/>
            <w:vAlign w:val="bottom"/>
            <w:gridSpan w:val="2"/>
          </w:tcPr>
          <w:p>
            <w:pPr>
              <w:jc w:val="right"/>
              <w:ind w:right="20"/>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153.45</w:t>
            </w:r>
          </w:p>
        </w:tc>
        <w:tc>
          <w:tcPr>
            <w:tcW w:w="14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9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Total RevPAR</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271.91</w:t>
            </w:r>
          </w:p>
        </w:tc>
        <w:tc>
          <w:tcPr>
            <w:tcW w:w="180" w:type="dxa"/>
            <w:vAlign w:val="bottom"/>
            <w:shd w:val="clear" w:color="auto" w:fill="CCEEFF"/>
          </w:tcPr>
          <w:p>
            <w:pPr>
              <w:spacing w:after="0"/>
              <w:rPr>
                <w:sz w:val="17"/>
                <w:szCs w:val="17"/>
                <w:color w:val="auto"/>
              </w:rPr>
            </w:pPr>
          </w:p>
        </w:tc>
        <w:tc>
          <w:tcPr>
            <w:tcW w:w="102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62.3 % $</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167.54</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(62.1)%</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441.84</w:t>
            </w:r>
          </w:p>
        </w:tc>
        <w:tc>
          <w:tcPr>
            <w:tcW w:w="140" w:type="dxa"/>
            <w:vAlign w:val="bottom"/>
            <w:shd w:val="clear" w:color="auto" w:fill="CCEEFF"/>
          </w:tcPr>
          <w:p>
            <w:pPr>
              <w:spacing w:after="0"/>
              <w:rPr>
                <w:sz w:val="17"/>
                <w:szCs w:val="17"/>
                <w:color w:val="auto"/>
              </w:rPr>
            </w:pPr>
          </w:p>
        </w:tc>
      </w:tr>
      <w:tr>
        <w:trPr>
          <w:trHeight w:val="115"/>
        </w:trPr>
        <w:tc>
          <w:tcPr>
            <w:tcW w:w="30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tcPr>
          <w:p>
            <w:pPr>
              <w:spacing w:after="0"/>
              <w:rPr>
                <w:sz w:val="10"/>
                <w:szCs w:val="10"/>
                <w:color w:val="auto"/>
              </w:rPr>
            </w:pPr>
          </w:p>
        </w:tc>
        <w:tc>
          <w:tcPr>
            <w:tcW w:w="10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r>
    </w:tbl>
    <w:p>
      <w:pPr>
        <w:spacing w:after="0" w:line="67" w:lineRule="exact"/>
        <w:rPr>
          <w:sz w:val="20"/>
          <w:szCs w:val="20"/>
          <w:color w:val="auto"/>
        </w:rPr>
      </w:pPr>
    </w:p>
    <w:p>
      <w:pPr>
        <w:ind w:left="720" w:right="99" w:hanging="319"/>
        <w:spacing w:after="0" w:line="257"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Gaylord Texan operating expenses for 2020 include approximately $3.6 million in expenses directly related to the COVID-19 pandemic, which are primarily employment costs, and is net of $1.3 million in payroll tax credits afforded under the CARES Act. Gaylord Texan operating expenses for 2021 include approximately $0.6 million in credits directly related to the COVID-19 pandemic, which includes $0.4 million in payroll tax credits afforded under the CARES Act.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i w:val="1"/>
          <w:iCs w:val="1"/>
          <w:color w:val="auto"/>
        </w:rPr>
        <w:t xml:space="preserve">Gaylord National Results. </w:t>
      </w:r>
      <w:r>
        <w:rPr>
          <w:rFonts w:ascii="Arial" w:cs="Arial" w:eastAsia="Arial" w:hAnsi="Arial"/>
          <w:sz w:val="18"/>
          <w:szCs w:val="18"/>
          <w:color w:val="auto"/>
        </w:rPr>
        <w:t>The results of Gaylord National for the years ended December 31, 2021, 2020 and 2019 are as</w:t>
      </w:r>
      <w:r>
        <w:rPr>
          <w:rFonts w:ascii="Arial" w:cs="Arial" w:eastAsia="Arial" w:hAnsi="Arial"/>
          <w:sz w:val="18"/>
          <w:szCs w:val="18"/>
          <w:i w:val="1"/>
          <w:iCs w:val="1"/>
          <w:color w:val="auto"/>
        </w:rPr>
        <w:t xml:space="preserve"> </w:t>
      </w:r>
      <w:r>
        <w:rPr>
          <w:rFonts w:ascii="Arial" w:cs="Arial" w:eastAsia="Arial" w:hAnsi="Arial"/>
          <w:sz w:val="18"/>
          <w:szCs w:val="18"/>
          <w:color w:val="auto"/>
        </w:rPr>
        <w:t>follows (in thousands, except percentages and performance metrics):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20"/>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4"/>
              </w:rPr>
              <w:t>% Change</w:t>
            </w:r>
          </w:p>
        </w:tc>
        <w:tc>
          <w:tcPr>
            <w:tcW w:w="600" w:type="dxa"/>
            <w:vAlign w:val="bottom"/>
          </w:tcPr>
          <w:p>
            <w:pPr>
              <w:jc w:val="right"/>
              <w:ind w:right="140"/>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7"/>
              </w:rPr>
              <w:t>% Change</w:t>
            </w:r>
          </w:p>
        </w:tc>
        <w:tc>
          <w:tcPr>
            <w:tcW w:w="100" w:type="dxa"/>
            <w:vAlign w:val="bottom"/>
          </w:tcPr>
          <w:p>
            <w:pPr>
              <w:spacing w:after="0"/>
              <w:rPr>
                <w:sz w:val="14"/>
                <w:szCs w:val="14"/>
                <w:color w:val="auto"/>
              </w:rPr>
            </w:pPr>
          </w:p>
        </w:tc>
        <w:tc>
          <w:tcPr>
            <w:tcW w:w="620" w:type="dxa"/>
            <w:vAlign w:val="bottom"/>
          </w:tcPr>
          <w:p>
            <w:pPr>
              <w:jc w:val="right"/>
              <w:ind w:right="140"/>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r>
      <w:tr>
        <w:trPr>
          <w:trHeight w:val="196"/>
        </w:trPr>
        <w:tc>
          <w:tcPr>
            <w:tcW w:w="80" w:type="dxa"/>
            <w:vAlign w:val="bottom"/>
          </w:tcPr>
          <w:p>
            <w:pPr>
              <w:spacing w:after="0"/>
              <w:rPr>
                <w:sz w:val="17"/>
                <w:szCs w:val="17"/>
                <w:color w:val="auto"/>
              </w:rPr>
            </w:pPr>
          </w:p>
        </w:tc>
        <w:tc>
          <w:tcPr>
            <w:tcW w:w="32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Revenues:</w:t>
            </w:r>
          </w:p>
        </w:tc>
        <w:tc>
          <w:tcPr>
            <w:tcW w:w="1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3280" w:type="dxa"/>
            <w:vAlign w:val="bottom"/>
            <w:gridSpan w:val="2"/>
          </w:tcPr>
          <w:p>
            <w:pPr>
              <w:ind w:left="100"/>
              <w:spacing w:after="0"/>
              <w:rPr>
                <w:sz w:val="20"/>
                <w:szCs w:val="20"/>
                <w:color w:val="auto"/>
              </w:rPr>
            </w:pPr>
            <w:r>
              <w:rPr>
                <w:rFonts w:ascii="Arial" w:cs="Arial" w:eastAsia="Arial" w:hAnsi="Arial"/>
                <w:sz w:val="16"/>
                <w:szCs w:val="16"/>
                <w:color w:val="auto"/>
              </w:rPr>
              <w:t>Rooms</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32,005</w:t>
            </w:r>
          </w:p>
        </w:tc>
        <w:tc>
          <w:tcPr>
            <w:tcW w:w="220" w:type="dxa"/>
            <w:vAlign w:val="bottom"/>
          </w:tcPr>
          <w:p>
            <w:pPr>
              <w:spacing w:after="0"/>
              <w:rPr>
                <w:sz w:val="17"/>
                <w:szCs w:val="17"/>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6"/>
                <w:szCs w:val="16"/>
                <w:color w:val="auto"/>
              </w:rPr>
              <w:t>63.9 % $</w:t>
            </w:r>
          </w:p>
        </w:tc>
        <w:tc>
          <w:tcPr>
            <w:tcW w:w="600" w:type="dxa"/>
            <w:vAlign w:val="bottom"/>
          </w:tcPr>
          <w:p>
            <w:pPr>
              <w:jc w:val="right"/>
              <w:spacing w:after="0"/>
              <w:rPr>
                <w:sz w:val="20"/>
                <w:szCs w:val="20"/>
                <w:color w:val="auto"/>
              </w:rPr>
            </w:pPr>
            <w:r>
              <w:rPr>
                <w:rFonts w:ascii="Arial" w:cs="Arial" w:eastAsia="Arial" w:hAnsi="Arial"/>
                <w:sz w:val="16"/>
                <w:szCs w:val="16"/>
                <w:color w:val="auto"/>
              </w:rPr>
              <w:t>19,531</w:t>
            </w:r>
          </w:p>
        </w:tc>
        <w:tc>
          <w:tcPr>
            <w:tcW w:w="20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(83.4)%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w w:val="93"/>
              </w:rPr>
              <w:t>117,977</w:t>
            </w:r>
          </w:p>
        </w:tc>
        <w:tc>
          <w:tcPr>
            <w:tcW w:w="140" w:type="dxa"/>
            <w:vAlign w:val="bottom"/>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32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Food and beverage</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28,450</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15.1 %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24,716</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(81.0)%</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130,210</w:t>
            </w:r>
          </w:p>
        </w:tc>
        <w:tc>
          <w:tcPr>
            <w:tcW w:w="140" w:type="dxa"/>
            <w:vAlign w:val="bottom"/>
            <w:shd w:val="clear" w:color="auto" w:fill="CCEEFF"/>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328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rPr>
              <w:t>Other hotel revenue</w:t>
            </w:r>
          </w:p>
        </w:tc>
        <w:tc>
          <w:tcPr>
            <w:tcW w:w="10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18,964</w:t>
            </w:r>
          </w:p>
        </w:tc>
        <w:tc>
          <w:tcPr>
            <w:tcW w:w="2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6"/>
                <w:szCs w:val="16"/>
                <w:color w:val="auto"/>
              </w:rPr>
              <w:t>143.8 %</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7,779</w:t>
            </w:r>
          </w:p>
        </w:tc>
        <w:tc>
          <w:tcPr>
            <w:tcW w:w="20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6"/>
                <w:szCs w:val="16"/>
                <w:color w:val="auto"/>
              </w:rPr>
              <w:t>(76.6)%</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33,180</w:t>
            </w:r>
          </w:p>
        </w:tc>
        <w:tc>
          <w:tcPr>
            <w:tcW w:w="140" w:type="dxa"/>
            <w:vAlign w:val="bottom"/>
            <w:tcBorders>
              <w:bottom w:val="single" w:sz="8" w:color="CCEEFF"/>
            </w:tcBorders>
          </w:tcPr>
          <w:p>
            <w:pPr>
              <w:spacing w:after="0"/>
              <w:rPr>
                <w:sz w:val="17"/>
                <w:szCs w:val="17"/>
                <w:color w:val="auto"/>
              </w:rPr>
            </w:pPr>
          </w:p>
        </w:tc>
      </w:tr>
      <w:tr>
        <w:trPr>
          <w:trHeight w:val="196"/>
        </w:trPr>
        <w:tc>
          <w:tcPr>
            <w:tcW w:w="80" w:type="dxa"/>
            <w:vAlign w:val="bottom"/>
          </w:tcPr>
          <w:p>
            <w:pPr>
              <w:spacing w:after="0"/>
              <w:rPr>
                <w:sz w:val="17"/>
                <w:szCs w:val="17"/>
                <w:color w:val="auto"/>
              </w:rPr>
            </w:pPr>
          </w:p>
        </w:tc>
        <w:tc>
          <w:tcPr>
            <w:tcW w:w="32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revenue</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79,419</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52.7 %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52,026</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(81.5)%</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281,367</w:t>
            </w:r>
          </w:p>
        </w:tc>
        <w:tc>
          <w:tcPr>
            <w:tcW w:w="140" w:type="dxa"/>
            <w:vAlign w:val="bottom"/>
            <w:shd w:val="clear" w:color="auto" w:fill="CCEEFF"/>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328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32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Rooms</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15,390</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16.6 %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13,197</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(68.5)%</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41,863</w:t>
            </w:r>
          </w:p>
        </w:tc>
        <w:tc>
          <w:tcPr>
            <w:tcW w:w="140" w:type="dxa"/>
            <w:vAlign w:val="bottom"/>
            <w:shd w:val="clear" w:color="auto" w:fill="CCEEFF"/>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3280" w:type="dxa"/>
            <w:vAlign w:val="bottom"/>
            <w:gridSpan w:val="2"/>
          </w:tcPr>
          <w:p>
            <w:pPr>
              <w:ind w:left="100"/>
              <w:spacing w:after="0"/>
              <w:rPr>
                <w:sz w:val="20"/>
                <w:szCs w:val="20"/>
                <w:color w:val="auto"/>
              </w:rPr>
            </w:pPr>
            <w:r>
              <w:rPr>
                <w:rFonts w:ascii="Arial" w:cs="Arial" w:eastAsia="Arial" w:hAnsi="Arial"/>
                <w:sz w:val="16"/>
                <w:szCs w:val="16"/>
                <w:color w:val="auto"/>
              </w:rPr>
              <w:t>Food and beverage</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23,501</w:t>
            </w:r>
          </w:p>
        </w:tc>
        <w:tc>
          <w:tcPr>
            <w:tcW w:w="22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(20.7)%</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29,626</w:t>
            </w:r>
          </w:p>
        </w:tc>
        <w:tc>
          <w:tcPr>
            <w:tcW w:w="20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(64.3)%</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83,101</w:t>
            </w:r>
          </w:p>
        </w:tc>
        <w:tc>
          <w:tcPr>
            <w:tcW w:w="140" w:type="dxa"/>
            <w:vAlign w:val="bottom"/>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32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Other hotel expenses</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56,758</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30.6 %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43,449</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(50.8)%</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88,336</w:t>
            </w:r>
          </w:p>
        </w:tc>
        <w:tc>
          <w:tcPr>
            <w:tcW w:w="140" w:type="dxa"/>
            <w:vAlign w:val="bottom"/>
            <w:shd w:val="clear" w:color="auto" w:fill="CCEEFF"/>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3280" w:type="dxa"/>
            <w:vAlign w:val="bottom"/>
            <w:gridSpan w:val="2"/>
          </w:tcPr>
          <w:p>
            <w:pPr>
              <w:ind w:left="100"/>
              <w:spacing w:after="0"/>
              <w:rPr>
                <w:sz w:val="20"/>
                <w:szCs w:val="20"/>
                <w:color w:val="auto"/>
              </w:rPr>
            </w:pPr>
            <w:r>
              <w:rPr>
                <w:rFonts w:ascii="Arial" w:cs="Arial" w:eastAsia="Arial" w:hAnsi="Arial"/>
                <w:sz w:val="16"/>
                <w:szCs w:val="16"/>
                <w:color w:val="auto"/>
              </w:rPr>
              <w:t>Management fees, net</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756</w:t>
            </w:r>
          </w:p>
        </w:tc>
        <w:tc>
          <w:tcPr>
            <w:tcW w:w="22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250.0 %</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216</w:t>
            </w:r>
          </w:p>
        </w:tc>
        <w:tc>
          <w:tcPr>
            <w:tcW w:w="20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(95.4)%</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4,736</w:t>
            </w:r>
          </w:p>
        </w:tc>
        <w:tc>
          <w:tcPr>
            <w:tcW w:w="140" w:type="dxa"/>
            <w:vAlign w:val="bottom"/>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32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Depreciation and amortization</w:t>
            </w:r>
          </w:p>
        </w:tc>
        <w:tc>
          <w:tcPr>
            <w:tcW w:w="10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30,462</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10.2 %</w:t>
            </w: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27,641</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27,776</w:t>
            </w:r>
          </w:p>
        </w:tc>
        <w:tc>
          <w:tcPr>
            <w:tcW w:w="140" w:type="dxa"/>
            <w:vAlign w:val="bottom"/>
            <w:shd w:val="clear" w:color="auto" w:fill="CCEEFF"/>
          </w:tcPr>
          <w:p>
            <w:pPr>
              <w:spacing w:after="0"/>
              <w:rPr>
                <w:sz w:val="17"/>
                <w:szCs w:val="17"/>
                <w:color w:val="auto"/>
              </w:rPr>
            </w:pPr>
          </w:p>
        </w:tc>
      </w:tr>
      <w:tr>
        <w:trPr>
          <w:trHeight w:val="196"/>
        </w:trPr>
        <w:tc>
          <w:tcPr>
            <w:tcW w:w="80" w:type="dxa"/>
            <w:vAlign w:val="bottom"/>
          </w:tcPr>
          <w:p>
            <w:pPr>
              <w:spacing w:after="0"/>
              <w:rPr>
                <w:sz w:val="17"/>
                <w:szCs w:val="17"/>
                <w:color w:val="auto"/>
              </w:rPr>
            </w:pPr>
          </w:p>
        </w:tc>
        <w:tc>
          <w:tcPr>
            <w:tcW w:w="3280" w:type="dxa"/>
            <w:vAlign w:val="bottom"/>
            <w:gridSpan w:val="2"/>
          </w:tcPr>
          <w:p>
            <w:pPr>
              <w:ind w:left="220"/>
              <w:spacing w:after="0"/>
              <w:rPr>
                <w:sz w:val="20"/>
                <w:szCs w:val="20"/>
                <w:color w:val="auto"/>
              </w:rPr>
            </w:pPr>
            <w:r>
              <w:rPr>
                <w:rFonts w:ascii="Arial" w:cs="Arial" w:eastAsia="Arial" w:hAnsi="Arial"/>
                <w:sz w:val="16"/>
                <w:szCs w:val="16"/>
                <w:color w:val="auto"/>
              </w:rPr>
              <w:t>Total operating expenses (1)(2)</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126,867</w:t>
            </w:r>
          </w:p>
        </w:tc>
        <w:tc>
          <w:tcPr>
            <w:tcW w:w="22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11.2 %</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114,129</w:t>
            </w:r>
          </w:p>
        </w:tc>
        <w:tc>
          <w:tcPr>
            <w:tcW w:w="20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(53.6)%</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3"/>
              </w:rPr>
              <w:t>245,812</w:t>
            </w:r>
          </w:p>
        </w:tc>
        <w:tc>
          <w:tcPr>
            <w:tcW w:w="140" w:type="dxa"/>
            <w:vAlign w:val="bottom"/>
          </w:tcPr>
          <w:p>
            <w:pPr>
              <w:spacing w:after="0"/>
              <w:rPr>
                <w:sz w:val="17"/>
                <w:szCs w:val="17"/>
                <w:color w:val="auto"/>
              </w:rPr>
            </w:pPr>
          </w:p>
        </w:tc>
      </w:tr>
      <w:tr>
        <w:trPr>
          <w:trHeight w:val="202"/>
        </w:trPr>
        <w:tc>
          <w:tcPr>
            <w:tcW w:w="80" w:type="dxa"/>
            <w:vAlign w:val="bottom"/>
          </w:tcPr>
          <w:p>
            <w:pPr>
              <w:spacing w:after="0"/>
              <w:rPr>
                <w:sz w:val="17"/>
                <w:szCs w:val="17"/>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Performance metrics:</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3280" w:type="dxa"/>
            <w:vAlign w:val="bottom"/>
            <w:gridSpan w:val="2"/>
          </w:tcPr>
          <w:p>
            <w:pPr>
              <w:ind w:left="100"/>
              <w:spacing w:after="0"/>
              <w:rPr>
                <w:sz w:val="20"/>
                <w:szCs w:val="20"/>
                <w:color w:val="auto"/>
              </w:rPr>
            </w:pPr>
            <w:r>
              <w:rPr>
                <w:rFonts w:ascii="Arial" w:cs="Arial" w:eastAsia="Arial" w:hAnsi="Arial"/>
                <w:sz w:val="16"/>
                <w:szCs w:val="16"/>
                <w:color w:val="auto"/>
              </w:rPr>
              <w:t>Occupancy</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19.1 %</w:t>
            </w:r>
          </w:p>
        </w:tc>
        <w:tc>
          <w:tcPr>
            <w:tcW w:w="980" w:type="dxa"/>
            <w:vAlign w:val="bottom"/>
            <w:gridSpan w:val="3"/>
          </w:tcPr>
          <w:p>
            <w:pPr>
              <w:jc w:val="right"/>
              <w:ind w:right="140"/>
              <w:spacing w:after="0"/>
              <w:rPr>
                <w:sz w:val="20"/>
                <w:szCs w:val="20"/>
                <w:color w:val="auto"/>
              </w:rPr>
            </w:pPr>
            <w:r>
              <w:rPr>
                <w:rFonts w:ascii="Arial" w:cs="Arial" w:eastAsia="Arial" w:hAnsi="Arial"/>
                <w:sz w:val="16"/>
                <w:szCs w:val="16"/>
                <w:color w:val="auto"/>
              </w:rPr>
              <w:t>6.2 pts</w:t>
            </w: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12.9 %</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(62.2)pts</w:t>
            </w:r>
          </w:p>
        </w:tc>
        <w:tc>
          <w:tcPr>
            <w:tcW w:w="10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75.1 %</w:t>
            </w:r>
          </w:p>
        </w:tc>
      </w:tr>
      <w:tr>
        <w:trPr>
          <w:trHeight w:val="203"/>
        </w:trPr>
        <w:tc>
          <w:tcPr>
            <w:tcW w:w="80" w:type="dxa"/>
            <w:vAlign w:val="bottom"/>
          </w:tcPr>
          <w:p>
            <w:pPr>
              <w:spacing w:after="0"/>
              <w:rPr>
                <w:sz w:val="17"/>
                <w:szCs w:val="17"/>
                <w:color w:val="auto"/>
              </w:rPr>
            </w:pPr>
          </w:p>
        </w:tc>
        <w:tc>
          <w:tcPr>
            <w:tcW w:w="32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ADR</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230.12</w:t>
            </w:r>
          </w:p>
        </w:tc>
        <w:tc>
          <w:tcPr>
            <w:tcW w:w="2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11.1 % $</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207.12</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215.74</w:t>
            </w:r>
          </w:p>
        </w:tc>
        <w:tc>
          <w:tcPr>
            <w:tcW w:w="140" w:type="dxa"/>
            <w:vAlign w:val="bottom"/>
            <w:shd w:val="clear" w:color="auto" w:fill="CCEEFF"/>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3280" w:type="dxa"/>
            <w:vAlign w:val="bottom"/>
            <w:gridSpan w:val="2"/>
          </w:tcPr>
          <w:p>
            <w:pPr>
              <w:ind w:left="100"/>
              <w:spacing w:after="0"/>
              <w:rPr>
                <w:sz w:val="20"/>
                <w:szCs w:val="20"/>
                <w:color w:val="auto"/>
              </w:rPr>
            </w:pPr>
            <w:r>
              <w:rPr>
                <w:rFonts w:ascii="Arial" w:cs="Arial" w:eastAsia="Arial" w:hAnsi="Arial"/>
                <w:sz w:val="16"/>
                <w:szCs w:val="16"/>
                <w:color w:val="auto"/>
              </w:rPr>
              <w:t>RevPAR</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43.93</w:t>
            </w:r>
          </w:p>
        </w:tc>
        <w:tc>
          <w:tcPr>
            <w:tcW w:w="220" w:type="dxa"/>
            <w:vAlign w:val="bottom"/>
          </w:tcPr>
          <w:p>
            <w:pPr>
              <w:spacing w:after="0"/>
              <w:rPr>
                <w:sz w:val="17"/>
                <w:szCs w:val="17"/>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6"/>
                <w:szCs w:val="16"/>
                <w:color w:val="auto"/>
              </w:rPr>
              <w:t>64.3 % $</w:t>
            </w:r>
          </w:p>
        </w:tc>
        <w:tc>
          <w:tcPr>
            <w:tcW w:w="600" w:type="dxa"/>
            <w:vAlign w:val="bottom"/>
          </w:tcPr>
          <w:p>
            <w:pPr>
              <w:jc w:val="right"/>
              <w:spacing w:after="0"/>
              <w:rPr>
                <w:sz w:val="20"/>
                <w:szCs w:val="20"/>
                <w:color w:val="auto"/>
              </w:rPr>
            </w:pPr>
            <w:r>
              <w:rPr>
                <w:rFonts w:ascii="Arial" w:cs="Arial" w:eastAsia="Arial" w:hAnsi="Arial"/>
                <w:sz w:val="16"/>
                <w:szCs w:val="16"/>
                <w:color w:val="auto"/>
              </w:rPr>
              <w:t>26.74</w:t>
            </w:r>
          </w:p>
        </w:tc>
        <w:tc>
          <w:tcPr>
            <w:tcW w:w="20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(83.5)%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161.94</w:t>
            </w:r>
          </w:p>
        </w:tc>
        <w:tc>
          <w:tcPr>
            <w:tcW w:w="140" w:type="dxa"/>
            <w:vAlign w:val="bottom"/>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32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Total RevPAR</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109.01</w:t>
            </w:r>
          </w:p>
        </w:tc>
        <w:tc>
          <w:tcPr>
            <w:tcW w:w="2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53.1 % $</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71.22</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386.21</w:t>
            </w:r>
          </w:p>
        </w:tc>
        <w:tc>
          <w:tcPr>
            <w:tcW w:w="140" w:type="dxa"/>
            <w:vAlign w:val="bottom"/>
            <w:shd w:val="clear" w:color="auto" w:fill="CCEEFF"/>
          </w:tcPr>
          <w:p>
            <w:pPr>
              <w:spacing w:after="0"/>
              <w:rPr>
                <w:sz w:val="17"/>
                <w:szCs w:val="17"/>
                <w:color w:val="auto"/>
              </w:rPr>
            </w:pPr>
          </w:p>
        </w:tc>
      </w:tr>
      <w:tr>
        <w:trPr>
          <w:trHeight w:val="115"/>
        </w:trPr>
        <w:tc>
          <w:tcPr>
            <w:tcW w:w="8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tcPr>
          <w:p>
            <w:pPr>
              <w:spacing w:after="0"/>
              <w:rPr>
                <w:sz w:val="10"/>
                <w:szCs w:val="10"/>
                <w:color w:val="auto"/>
              </w:rPr>
            </w:pPr>
          </w:p>
        </w:tc>
        <w:tc>
          <w:tcPr>
            <w:tcW w:w="1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r>
    </w:tbl>
    <w:p>
      <w:pPr>
        <w:spacing w:after="0" w:line="67" w:lineRule="exact"/>
        <w:rPr>
          <w:sz w:val="20"/>
          <w:szCs w:val="20"/>
          <w:color w:val="auto"/>
        </w:rPr>
      </w:pPr>
    </w:p>
    <w:p>
      <w:pPr>
        <w:ind w:left="720" w:right="139" w:hanging="319"/>
        <w:spacing w:after="0" w:line="258"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Gaylord National operating expenses for 2020 do not include credit losses on held-to-maturity securities of $32.8 million. See discussion of this item below.</w:t>
      </w:r>
    </w:p>
    <w:p>
      <w:pPr>
        <w:spacing w:after="0" w:line="1" w:lineRule="exact"/>
        <w:rPr>
          <w:rFonts w:ascii="Arial" w:cs="Arial" w:eastAsia="Arial" w:hAnsi="Arial"/>
          <w:sz w:val="18"/>
          <w:szCs w:val="18"/>
          <w:color w:val="auto"/>
        </w:rPr>
      </w:pPr>
    </w:p>
    <w:p>
      <w:pPr>
        <w:ind w:left="720" w:right="99" w:hanging="319"/>
        <w:spacing w:after="0" w:line="253"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Gaylord National operating expenses for 2020 include approximately $16.0 million in expenses directly related to the COVID-19 pandemic, which are primarily employment costs, and is net of $2.2 million in payroll tax credits afforded under the CARES Act. Gaylord National operating expenses for 2021 include approximately $2.7 million in credits directly related to the COVID-19 pandemic, which includes $2.5 million in payroll tax credits afforded under the CARES Act.</w:t>
      </w:r>
    </w:p>
    <w:p>
      <w:pPr>
        <w:spacing w:after="0" w:line="191" w:lineRule="exact"/>
        <w:rPr>
          <w:sz w:val="20"/>
          <w:szCs w:val="20"/>
          <w:color w:val="auto"/>
        </w:rPr>
      </w:pPr>
    </w:p>
    <w:p>
      <w:pPr>
        <w:ind w:left="60" w:right="379"/>
        <w:spacing w:after="0" w:line="277" w:lineRule="auto"/>
        <w:rPr>
          <w:sz w:val="20"/>
          <w:szCs w:val="20"/>
          <w:color w:val="auto"/>
        </w:rPr>
      </w:pPr>
      <w:r>
        <w:rPr>
          <w:rFonts w:ascii="Arial" w:cs="Arial" w:eastAsia="Arial" w:hAnsi="Arial"/>
          <w:sz w:val="18"/>
          <w:szCs w:val="18"/>
          <w:i w:val="1"/>
          <w:iCs w:val="1"/>
          <w:color w:val="auto"/>
        </w:rPr>
        <w:t xml:space="preserve">Gaylord Rockies Results. </w:t>
      </w:r>
      <w:r>
        <w:rPr>
          <w:rFonts w:ascii="Arial" w:cs="Arial" w:eastAsia="Arial" w:hAnsi="Arial"/>
          <w:sz w:val="18"/>
          <w:szCs w:val="18"/>
          <w:color w:val="auto"/>
        </w:rPr>
        <w:t>The results of Gaylord Rockies for the years ended December 31, 2021, 2020 and 2019 are as</w:t>
      </w:r>
      <w:r>
        <w:rPr>
          <w:rFonts w:ascii="Arial" w:cs="Arial" w:eastAsia="Arial" w:hAnsi="Arial"/>
          <w:sz w:val="18"/>
          <w:szCs w:val="18"/>
          <w:i w:val="1"/>
          <w:iCs w:val="1"/>
          <w:color w:val="auto"/>
        </w:rPr>
        <w:t xml:space="preserve"> </w:t>
      </w:r>
      <w:r>
        <w:rPr>
          <w:rFonts w:ascii="Arial" w:cs="Arial" w:eastAsia="Arial" w:hAnsi="Arial"/>
          <w:sz w:val="18"/>
          <w:szCs w:val="18"/>
          <w:color w:val="auto"/>
        </w:rPr>
        <w:t>follows (in thousands, except percentages and performance metrics):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20"/>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4"/>
              </w:rPr>
              <w:t>% Change</w:t>
            </w:r>
          </w:p>
        </w:tc>
        <w:tc>
          <w:tcPr>
            <w:tcW w:w="600" w:type="dxa"/>
            <w:vAlign w:val="bottom"/>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120" w:type="dxa"/>
            <w:vAlign w:val="bottom"/>
          </w:tcPr>
          <w:p>
            <w:pPr>
              <w:spacing w:after="0"/>
              <w:rPr>
                <w:sz w:val="14"/>
                <w:szCs w:val="14"/>
                <w:color w:val="auto"/>
              </w:rPr>
            </w:pPr>
          </w:p>
        </w:tc>
        <w:tc>
          <w:tcPr>
            <w:tcW w:w="600" w:type="dxa"/>
            <w:vAlign w:val="bottom"/>
          </w:tcPr>
          <w:p>
            <w:pPr>
              <w:jc w:val="right"/>
              <w:ind w:right="140"/>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r>
      <w:tr>
        <w:trPr>
          <w:trHeight w:val="210"/>
        </w:trPr>
        <w:tc>
          <w:tcPr>
            <w:tcW w:w="80" w:type="dxa"/>
            <w:vAlign w:val="bottom"/>
          </w:tcPr>
          <w:p>
            <w:pPr>
              <w:spacing w:after="0"/>
              <w:rPr>
                <w:sz w:val="18"/>
                <w:szCs w:val="18"/>
                <w:color w:val="auto"/>
              </w:rPr>
            </w:pPr>
          </w:p>
        </w:tc>
        <w:tc>
          <w:tcPr>
            <w:tcW w:w="44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03"/>
        </w:trPr>
        <w:tc>
          <w:tcPr>
            <w:tcW w:w="80" w:type="dxa"/>
            <w:vAlign w:val="bottom"/>
          </w:tcPr>
          <w:p>
            <w:pPr>
              <w:spacing w:after="0"/>
              <w:rPr>
                <w:sz w:val="17"/>
                <w:szCs w:val="17"/>
                <w:color w:val="auto"/>
              </w:rPr>
            </w:pPr>
          </w:p>
        </w:tc>
        <w:tc>
          <w:tcPr>
            <w:tcW w:w="4460" w:type="dxa"/>
            <w:vAlign w:val="bottom"/>
            <w:gridSpan w:val="2"/>
          </w:tcPr>
          <w:p>
            <w:pPr>
              <w:ind w:left="120"/>
              <w:spacing w:after="0"/>
              <w:rPr>
                <w:sz w:val="20"/>
                <w:szCs w:val="20"/>
                <w:color w:val="auto"/>
              </w:rPr>
            </w:pPr>
            <w:r>
              <w:rPr>
                <w:rFonts w:ascii="Arial" w:cs="Arial" w:eastAsia="Arial" w:hAnsi="Arial"/>
                <w:sz w:val="16"/>
                <w:szCs w:val="16"/>
                <w:color w:val="auto"/>
              </w:rPr>
              <w:t>Rooms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47,061</w:t>
            </w:r>
          </w:p>
        </w:tc>
        <w:tc>
          <w:tcPr>
            <w:tcW w:w="140" w:type="dxa"/>
            <w:vAlign w:val="bottom"/>
          </w:tcPr>
          <w:p>
            <w:pPr>
              <w:spacing w:after="0"/>
              <w:rPr>
                <w:sz w:val="17"/>
                <w:szCs w:val="17"/>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6"/>
                <w:szCs w:val="16"/>
                <w:color w:val="auto"/>
              </w:rPr>
              <w:t>87.9 % $</w:t>
            </w:r>
          </w:p>
        </w:tc>
        <w:tc>
          <w:tcPr>
            <w:tcW w:w="600" w:type="dxa"/>
            <w:vAlign w:val="bottom"/>
          </w:tcPr>
          <w:p>
            <w:pPr>
              <w:jc w:val="right"/>
              <w:spacing w:after="0"/>
              <w:rPr>
                <w:sz w:val="20"/>
                <w:szCs w:val="20"/>
                <w:color w:val="auto"/>
              </w:rPr>
            </w:pPr>
            <w:r>
              <w:rPr>
                <w:rFonts w:ascii="Arial" w:cs="Arial" w:eastAsia="Arial" w:hAnsi="Arial"/>
                <w:sz w:val="16"/>
                <w:szCs w:val="16"/>
                <w:color w:val="auto"/>
              </w:rPr>
              <w:t>25,041</w:t>
            </w:r>
          </w:p>
        </w:tc>
        <w:tc>
          <w:tcPr>
            <w:tcW w:w="14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(66.8)%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75,475</w:t>
            </w:r>
          </w:p>
        </w:tc>
        <w:tc>
          <w:tcPr>
            <w:tcW w:w="140" w:type="dxa"/>
            <w:vAlign w:val="bottom"/>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44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Food and beverage</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52,761</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31.2 %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40,224</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(66.7)%</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120,634</w:t>
            </w:r>
          </w:p>
        </w:tc>
        <w:tc>
          <w:tcPr>
            <w:tcW w:w="140" w:type="dxa"/>
            <w:vAlign w:val="bottom"/>
            <w:shd w:val="clear" w:color="auto" w:fill="CCEEFF"/>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446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Other hotel revenue</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36,120</w:t>
            </w: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6"/>
                <w:szCs w:val="16"/>
                <w:color w:val="auto"/>
              </w:rPr>
              <w:t>85.7 %</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19,450</w:t>
            </w: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6"/>
                <w:szCs w:val="16"/>
                <w:color w:val="auto"/>
              </w:rPr>
              <w:t>(36.2)%</w:t>
            </w: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30,467</w:t>
            </w:r>
          </w:p>
        </w:tc>
        <w:tc>
          <w:tcPr>
            <w:tcW w:w="140" w:type="dxa"/>
            <w:vAlign w:val="bottom"/>
            <w:tcBorders>
              <w:bottom w:val="single" w:sz="8" w:color="CCEEFF"/>
            </w:tcBorders>
          </w:tcPr>
          <w:p>
            <w:pPr>
              <w:spacing w:after="0"/>
              <w:rPr>
                <w:sz w:val="17"/>
                <w:szCs w:val="17"/>
                <w:color w:val="auto"/>
              </w:rPr>
            </w:pPr>
          </w:p>
        </w:tc>
      </w:tr>
      <w:tr>
        <w:trPr>
          <w:trHeight w:val="196"/>
        </w:trPr>
        <w:tc>
          <w:tcPr>
            <w:tcW w:w="80" w:type="dxa"/>
            <w:vAlign w:val="bottom"/>
          </w:tcPr>
          <w:p>
            <w:pPr>
              <w:spacing w:after="0"/>
              <w:rPr>
                <w:sz w:val="17"/>
                <w:szCs w:val="17"/>
                <w:color w:val="auto"/>
              </w:rPr>
            </w:pPr>
          </w:p>
        </w:tc>
        <w:tc>
          <w:tcPr>
            <w:tcW w:w="44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revenue</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135,942</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60.5 %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84,715</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(62.6)%</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226,576</w:t>
            </w:r>
          </w:p>
        </w:tc>
        <w:tc>
          <w:tcPr>
            <w:tcW w:w="140" w:type="dxa"/>
            <w:vAlign w:val="bottom"/>
            <w:shd w:val="clear" w:color="auto" w:fill="CCEEFF"/>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4460" w:type="dxa"/>
            <w:vAlign w:val="bottom"/>
            <w:gridSpan w:val="2"/>
          </w:tcPr>
          <w:p>
            <w:pPr>
              <w:ind w:left="20"/>
              <w:spacing w:after="0"/>
              <w:rPr>
                <w:sz w:val="20"/>
                <w:szCs w:val="20"/>
                <w:color w:val="auto"/>
              </w:rPr>
            </w:pPr>
            <w:r>
              <w:rPr>
                <w:rFonts w:ascii="Arial" w:cs="Arial" w:eastAsia="Arial" w:hAnsi="Arial"/>
                <w:sz w:val="16"/>
                <w:szCs w:val="16"/>
                <w:color w:val="auto"/>
              </w:rPr>
              <w:t>Operating expenses: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44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Rooms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13,533</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44.0 %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9,400</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(57.5)%</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22,127</w:t>
            </w:r>
          </w:p>
        </w:tc>
        <w:tc>
          <w:tcPr>
            <w:tcW w:w="140" w:type="dxa"/>
            <w:vAlign w:val="bottom"/>
            <w:shd w:val="clear" w:color="auto" w:fill="CCEEFF"/>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4460" w:type="dxa"/>
            <w:vAlign w:val="bottom"/>
            <w:gridSpan w:val="2"/>
          </w:tcPr>
          <w:p>
            <w:pPr>
              <w:ind w:left="120"/>
              <w:spacing w:after="0"/>
              <w:rPr>
                <w:sz w:val="20"/>
                <w:szCs w:val="20"/>
                <w:color w:val="auto"/>
              </w:rPr>
            </w:pPr>
            <w:r>
              <w:rPr>
                <w:rFonts w:ascii="Arial" w:cs="Arial" w:eastAsia="Arial" w:hAnsi="Arial"/>
                <w:sz w:val="16"/>
                <w:szCs w:val="16"/>
                <w:color w:val="auto"/>
              </w:rPr>
              <w:t>Food and beverage</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38,662</w:t>
            </w:r>
          </w:p>
        </w:tc>
        <w:tc>
          <w:tcPr>
            <w:tcW w:w="14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40.9 %</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27,435</w:t>
            </w:r>
          </w:p>
        </w:tc>
        <w:tc>
          <w:tcPr>
            <w:tcW w:w="14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(59.4)%</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67,565</w:t>
            </w:r>
          </w:p>
        </w:tc>
        <w:tc>
          <w:tcPr>
            <w:tcW w:w="140" w:type="dxa"/>
            <w:vAlign w:val="bottom"/>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44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 hotel expenses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45,102</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31.2 %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34,373</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(26.8)%</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46,930</w:t>
            </w:r>
          </w:p>
        </w:tc>
        <w:tc>
          <w:tcPr>
            <w:tcW w:w="140" w:type="dxa"/>
            <w:vAlign w:val="bottom"/>
            <w:shd w:val="clear" w:color="auto" w:fill="CCEEFF"/>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4460" w:type="dxa"/>
            <w:vAlign w:val="bottom"/>
            <w:gridSpan w:val="2"/>
          </w:tcPr>
          <w:p>
            <w:pPr>
              <w:ind w:left="120"/>
              <w:spacing w:after="0"/>
              <w:rPr>
                <w:sz w:val="20"/>
                <w:szCs w:val="20"/>
                <w:color w:val="auto"/>
              </w:rPr>
            </w:pPr>
            <w:r>
              <w:rPr>
                <w:rFonts w:ascii="Arial" w:cs="Arial" w:eastAsia="Arial" w:hAnsi="Arial"/>
                <w:sz w:val="16"/>
                <w:szCs w:val="16"/>
                <w:color w:val="auto"/>
              </w:rPr>
              <w:t>Management fees, net</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3,714</w:t>
            </w:r>
          </w:p>
        </w:tc>
        <w:tc>
          <w:tcPr>
            <w:tcW w:w="14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13.3 %</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3,277</w:t>
            </w:r>
          </w:p>
        </w:tc>
        <w:tc>
          <w:tcPr>
            <w:tcW w:w="14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(63.5)%</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8,987</w:t>
            </w:r>
          </w:p>
        </w:tc>
        <w:tc>
          <w:tcPr>
            <w:tcW w:w="140" w:type="dxa"/>
            <w:vAlign w:val="bottom"/>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44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Depreciation and amortization</w:t>
            </w: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90,687</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0.2 %</w:t>
            </w: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90,533</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0.5 %</w:t>
            </w: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90,038</w:t>
            </w:r>
          </w:p>
        </w:tc>
        <w:tc>
          <w:tcPr>
            <w:tcW w:w="140" w:type="dxa"/>
            <w:vAlign w:val="bottom"/>
            <w:shd w:val="clear" w:color="auto" w:fill="CCEEFF"/>
          </w:tcPr>
          <w:p>
            <w:pPr>
              <w:spacing w:after="0"/>
              <w:rPr>
                <w:sz w:val="17"/>
                <w:szCs w:val="17"/>
                <w:color w:val="auto"/>
              </w:rPr>
            </w:pPr>
          </w:p>
        </w:tc>
      </w:tr>
      <w:tr>
        <w:trPr>
          <w:trHeight w:val="196"/>
        </w:trPr>
        <w:tc>
          <w:tcPr>
            <w:tcW w:w="80" w:type="dxa"/>
            <w:vAlign w:val="bottom"/>
          </w:tcPr>
          <w:p>
            <w:pPr>
              <w:spacing w:after="0"/>
              <w:rPr>
                <w:sz w:val="17"/>
                <w:szCs w:val="17"/>
                <w:color w:val="auto"/>
              </w:rPr>
            </w:pPr>
          </w:p>
        </w:tc>
        <w:tc>
          <w:tcPr>
            <w:tcW w:w="4460" w:type="dxa"/>
            <w:vAlign w:val="bottom"/>
            <w:gridSpan w:val="2"/>
          </w:tcPr>
          <w:p>
            <w:pPr>
              <w:ind w:left="220"/>
              <w:spacing w:after="0"/>
              <w:rPr>
                <w:sz w:val="20"/>
                <w:szCs w:val="20"/>
                <w:color w:val="auto"/>
              </w:rPr>
            </w:pPr>
            <w:r>
              <w:rPr>
                <w:rFonts w:ascii="Arial" w:cs="Arial" w:eastAsia="Arial" w:hAnsi="Arial"/>
                <w:sz w:val="16"/>
                <w:szCs w:val="16"/>
                <w:color w:val="auto"/>
              </w:rPr>
              <w:t>Total operating expenses (1)(2)</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3"/>
              </w:rPr>
              <w:t>191,698</w:t>
            </w:r>
          </w:p>
        </w:tc>
        <w:tc>
          <w:tcPr>
            <w:tcW w:w="14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16.2 %</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165,018</w:t>
            </w:r>
          </w:p>
        </w:tc>
        <w:tc>
          <w:tcPr>
            <w:tcW w:w="14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235,647</w:t>
            </w:r>
          </w:p>
        </w:tc>
        <w:tc>
          <w:tcPr>
            <w:tcW w:w="140" w:type="dxa"/>
            <w:vAlign w:val="bottom"/>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4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Performance metrics: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4460" w:type="dxa"/>
            <w:vAlign w:val="bottom"/>
            <w:gridSpan w:val="2"/>
          </w:tcPr>
          <w:p>
            <w:pPr>
              <w:ind w:left="120"/>
              <w:spacing w:after="0"/>
              <w:rPr>
                <w:sz w:val="20"/>
                <w:szCs w:val="20"/>
                <w:color w:val="auto"/>
              </w:rPr>
            </w:pPr>
            <w:r>
              <w:rPr>
                <w:rFonts w:ascii="Arial" w:cs="Arial" w:eastAsia="Arial" w:hAnsi="Arial"/>
                <w:sz w:val="16"/>
                <w:szCs w:val="16"/>
                <w:color w:val="auto"/>
              </w:rPr>
              <w:t>Occupancy</w:t>
            </w:r>
          </w:p>
        </w:tc>
        <w:tc>
          <w:tcPr>
            <w:tcW w:w="10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39.9 %</w:t>
            </w:r>
          </w:p>
        </w:tc>
        <w:tc>
          <w:tcPr>
            <w:tcW w:w="980" w:type="dxa"/>
            <w:vAlign w:val="bottom"/>
            <w:gridSpan w:val="3"/>
          </w:tcPr>
          <w:p>
            <w:pPr>
              <w:jc w:val="right"/>
              <w:ind w:right="120"/>
              <w:spacing w:after="0"/>
              <w:rPr>
                <w:sz w:val="20"/>
                <w:szCs w:val="20"/>
                <w:color w:val="auto"/>
              </w:rPr>
            </w:pPr>
            <w:r>
              <w:rPr>
                <w:rFonts w:ascii="Arial" w:cs="Arial" w:eastAsia="Arial" w:hAnsi="Arial"/>
                <w:sz w:val="16"/>
                <w:szCs w:val="16"/>
                <w:color w:val="auto"/>
              </w:rPr>
              <w:t>16.3 pts</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23.6 %</w:t>
            </w: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(45.6)pts</w:t>
            </w:r>
          </w:p>
        </w:tc>
        <w:tc>
          <w:tcPr>
            <w:tcW w:w="12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69.2 %</w:t>
            </w:r>
          </w:p>
        </w:tc>
      </w:tr>
      <w:tr>
        <w:trPr>
          <w:trHeight w:val="203"/>
        </w:trPr>
        <w:tc>
          <w:tcPr>
            <w:tcW w:w="80" w:type="dxa"/>
            <w:vAlign w:val="bottom"/>
          </w:tcPr>
          <w:p>
            <w:pPr>
              <w:spacing w:after="0"/>
              <w:rPr>
                <w:sz w:val="17"/>
                <w:szCs w:val="17"/>
                <w:color w:val="auto"/>
              </w:rPr>
            </w:pPr>
          </w:p>
        </w:tc>
        <w:tc>
          <w:tcPr>
            <w:tcW w:w="44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ADR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215.17</w:t>
            </w:r>
          </w:p>
        </w:tc>
        <w:tc>
          <w:tcPr>
            <w:tcW w:w="1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11.6 % $</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192.89</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198.94</w:t>
            </w:r>
          </w:p>
        </w:tc>
        <w:tc>
          <w:tcPr>
            <w:tcW w:w="140" w:type="dxa"/>
            <w:vAlign w:val="bottom"/>
            <w:shd w:val="clear" w:color="auto" w:fill="CCEEFF"/>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4460" w:type="dxa"/>
            <w:vAlign w:val="bottom"/>
            <w:gridSpan w:val="2"/>
          </w:tcPr>
          <w:p>
            <w:pPr>
              <w:ind w:left="120"/>
              <w:spacing w:after="0"/>
              <w:rPr>
                <w:sz w:val="20"/>
                <w:szCs w:val="20"/>
                <w:color w:val="auto"/>
              </w:rPr>
            </w:pPr>
            <w:r>
              <w:rPr>
                <w:rFonts w:ascii="Arial" w:cs="Arial" w:eastAsia="Arial" w:hAnsi="Arial"/>
                <w:sz w:val="16"/>
                <w:szCs w:val="16"/>
                <w:color w:val="auto"/>
              </w:rPr>
              <w:t>RevPAR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85.90</w:t>
            </w:r>
          </w:p>
        </w:tc>
        <w:tc>
          <w:tcPr>
            <w:tcW w:w="140" w:type="dxa"/>
            <w:vAlign w:val="bottom"/>
          </w:tcPr>
          <w:p>
            <w:pPr>
              <w:spacing w:after="0"/>
              <w:rPr>
                <w:sz w:val="17"/>
                <w:szCs w:val="17"/>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6"/>
                <w:szCs w:val="16"/>
                <w:color w:val="auto"/>
              </w:rPr>
              <w:t>88.5 % $</w:t>
            </w:r>
          </w:p>
        </w:tc>
        <w:tc>
          <w:tcPr>
            <w:tcW w:w="600" w:type="dxa"/>
            <w:vAlign w:val="bottom"/>
          </w:tcPr>
          <w:p>
            <w:pPr>
              <w:jc w:val="right"/>
              <w:spacing w:after="0"/>
              <w:rPr>
                <w:sz w:val="20"/>
                <w:szCs w:val="20"/>
                <w:color w:val="auto"/>
              </w:rPr>
            </w:pPr>
            <w:r>
              <w:rPr>
                <w:rFonts w:ascii="Arial" w:cs="Arial" w:eastAsia="Arial" w:hAnsi="Arial"/>
                <w:sz w:val="16"/>
                <w:szCs w:val="16"/>
                <w:color w:val="auto"/>
              </w:rPr>
              <w:t>45.58</w:t>
            </w:r>
          </w:p>
        </w:tc>
        <w:tc>
          <w:tcPr>
            <w:tcW w:w="14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(66.9)%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137.76</w:t>
            </w:r>
          </w:p>
        </w:tc>
        <w:tc>
          <w:tcPr>
            <w:tcW w:w="140" w:type="dxa"/>
            <w:vAlign w:val="bottom"/>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44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Total RevPAR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248.13</w:t>
            </w:r>
          </w:p>
        </w:tc>
        <w:tc>
          <w:tcPr>
            <w:tcW w:w="1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60.9 % $</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154.21</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(62.7)%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413.56</w:t>
            </w:r>
          </w:p>
        </w:tc>
        <w:tc>
          <w:tcPr>
            <w:tcW w:w="140" w:type="dxa"/>
            <w:vAlign w:val="bottom"/>
            <w:shd w:val="clear" w:color="auto" w:fill="CCEEFF"/>
          </w:tcPr>
          <w:p>
            <w:pPr>
              <w:spacing w:after="0"/>
              <w:rPr>
                <w:sz w:val="17"/>
                <w:szCs w:val="17"/>
                <w:color w:val="auto"/>
              </w:rPr>
            </w:pPr>
          </w:p>
        </w:tc>
      </w:tr>
      <w:tr>
        <w:trPr>
          <w:trHeight w:val="115"/>
        </w:trPr>
        <w:tc>
          <w:tcPr>
            <w:tcW w:w="8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tcPr>
          <w:p>
            <w:pPr>
              <w:spacing w:after="0"/>
              <w:rPr>
                <w:sz w:val="10"/>
                <w:szCs w:val="10"/>
                <w:color w:val="auto"/>
              </w:rPr>
            </w:pPr>
          </w:p>
        </w:tc>
        <w:tc>
          <w:tcPr>
            <w:tcW w:w="2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r>
    </w:tbl>
    <w:p>
      <w:pPr>
        <w:spacing w:after="0" w:line="67" w:lineRule="exact"/>
        <w:rPr>
          <w:sz w:val="20"/>
          <w:szCs w:val="20"/>
          <w:color w:val="auto"/>
        </w:rPr>
      </w:pPr>
    </w:p>
    <w:p>
      <w:pPr>
        <w:ind w:left="4420" w:right="1499" w:hanging="4019"/>
        <w:spacing w:after="0" w:line="778" w:lineRule="auto"/>
        <w:tabs>
          <w:tab w:leader="none" w:pos="731" w:val="left"/>
        </w:tabs>
        <w:numPr>
          <w:ilvl w:val="0"/>
          <w:numId w:val="31"/>
        </w:numPr>
        <w:rPr>
          <w:rFonts w:ascii="Arial" w:cs="Arial" w:eastAsia="Arial" w:hAnsi="Arial"/>
          <w:sz w:val="18"/>
          <w:szCs w:val="18"/>
          <w:color w:val="auto"/>
        </w:rPr>
      </w:pPr>
      <w:r>
        <w:rPr>
          <w:rFonts w:ascii="Arial" w:cs="Arial" w:eastAsia="Arial" w:hAnsi="Arial"/>
          <w:sz w:val="18"/>
          <w:szCs w:val="18"/>
          <w:color w:val="auto"/>
        </w:rPr>
        <w:t>Gaylord Rockies operating expenses do not include preopening costs of $0.6 million for 2019.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48260</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57"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Gaylord Rockies operating expenses for 2020 include approximately $3.0 million in expenses directly related to the COVID-19 pandemic, which are primarily employment costs, and is net of $1.1 million in payroll tax credits afforded under the CARES Act. Gaylord Rockies operating expenses for 2021 include approximately $0.2 million in credits directly related to the COVID-19 pandemic, which includes $0.3 million in payroll tax credits afforded under the CARES Act.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Entertainment Segment</w:t>
      </w:r>
    </w:p>
    <w:p>
      <w:pPr>
        <w:spacing w:after="0" w:line="229" w:lineRule="exact"/>
        <w:rPr>
          <w:sz w:val="20"/>
          <w:szCs w:val="20"/>
          <w:color w:val="auto"/>
        </w:rPr>
      </w:pPr>
    </w:p>
    <w:p>
      <w:pPr>
        <w:ind w:left="60" w:right="279"/>
        <w:spacing w:after="0" w:line="273" w:lineRule="auto"/>
        <w:rPr>
          <w:sz w:val="20"/>
          <w:szCs w:val="20"/>
          <w:color w:val="auto"/>
        </w:rPr>
      </w:pPr>
      <w:r>
        <w:rPr>
          <w:rFonts w:ascii="Arial" w:cs="Arial" w:eastAsia="Arial" w:hAnsi="Arial"/>
          <w:sz w:val="17"/>
          <w:szCs w:val="17"/>
          <w:color w:val="auto"/>
        </w:rPr>
        <w:t>Due to the COVID-19 pandemic, we temporarily closed our Entertainment segment assets in mid-March 2020 and reopened in stages in the summer and fall of 2020 with limited capacity. The Wildhorse Saloon was again closed subsequent to the December 2020 downtown Nashville bombing and reopened in April 2021. In May 2021, all venues returned to full capacity. Therefore, the Entertainment segment financial results for 2021 and 2020 are not comparable to historical periods. The following presents the financial results of our Entertainment segment for the years ended December 31, 2021, 2020 and 2019 (in thousands, except percentages):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74"/>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4"/>
              </w:rPr>
              <w:t>% Change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154"/>
              <w:spacing w:after="0"/>
              <w:rPr>
                <w:sz w:val="20"/>
                <w:szCs w:val="20"/>
                <w:color w:val="auto"/>
              </w:rPr>
            </w:pPr>
            <w:r>
              <w:rPr>
                <w:rFonts w:ascii="Arial" w:cs="Arial" w:eastAsia="Arial" w:hAnsi="Arial"/>
                <w:sz w:val="14"/>
                <w:szCs w:val="14"/>
                <w:b w:val="1"/>
                <w:bCs w:val="1"/>
                <w:color w:val="auto"/>
              </w:rPr>
              <w:t>2020</w:t>
            </w:r>
          </w:p>
        </w:tc>
        <w:tc>
          <w:tcPr>
            <w:tcW w:w="10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4"/>
                <w:szCs w:val="14"/>
                <w:color w:val="auto"/>
              </w:rPr>
            </w:pPr>
          </w:p>
        </w:tc>
        <w:tc>
          <w:tcPr>
            <w:tcW w:w="680" w:type="dxa"/>
            <w:vAlign w:val="bottom"/>
          </w:tcPr>
          <w:p>
            <w:pPr>
              <w:jc w:val="right"/>
              <w:ind w:right="17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8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8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152,790</w:t>
            </w:r>
          </w:p>
        </w:tc>
        <w:tc>
          <w:tcPr>
            <w:tcW w:w="14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58,430</w:t>
            </w:r>
          </w:p>
        </w:tc>
        <w:tc>
          <w:tcPr>
            <w:tcW w:w="160" w:type="dxa"/>
            <w:vAlign w:val="bottom"/>
            <w:vMerge w:val="continue"/>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183,120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117,753</w:t>
            </w:r>
          </w:p>
        </w:tc>
        <w:tc>
          <w:tcPr>
            <w:tcW w:w="1040" w:type="dxa"/>
            <w:vAlign w:val="bottom"/>
            <w:gridSpan w:val="3"/>
          </w:tcPr>
          <w:p>
            <w:pPr>
              <w:jc w:val="right"/>
              <w:ind w:right="10"/>
              <w:spacing w:after="0"/>
              <w:rPr>
                <w:sz w:val="20"/>
                <w:szCs w:val="20"/>
                <w:color w:val="auto"/>
              </w:rPr>
            </w:pPr>
            <w:r>
              <w:rPr>
                <w:rFonts w:ascii="Arial" w:cs="Arial" w:eastAsia="Arial" w:hAnsi="Arial"/>
                <w:sz w:val="18"/>
                <w:szCs w:val="18"/>
                <w:color w:val="auto"/>
              </w:rPr>
              <w:t>50.4 %</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78,301</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126,609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14,655</w:t>
            </w:r>
          </w:p>
        </w:tc>
        <w:tc>
          <w:tcPr>
            <w:tcW w:w="10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2.0 %</w:t>
            </w: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14,371</w:t>
            </w:r>
          </w:p>
        </w:tc>
        <w:tc>
          <w:tcPr>
            <w:tcW w:w="10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28.9 %</w:t>
            </w: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11,150</w:t>
            </w:r>
          </w:p>
        </w:tc>
        <w:tc>
          <w:tcPr>
            <w:tcW w:w="0" w:type="dxa"/>
            <w:vAlign w:val="bottom"/>
          </w:tcPr>
          <w:p>
            <w:pPr>
              <w:spacing w:after="0"/>
              <w:rPr>
                <w:sz w:val="1"/>
                <w:szCs w:val="1"/>
                <w:color w:val="auto"/>
              </w:rPr>
            </w:pPr>
          </w:p>
        </w:tc>
      </w:tr>
      <w:tr>
        <w:trPr>
          <w:trHeight w:val="209"/>
        </w:trPr>
        <w:tc>
          <w:tcPr>
            <w:tcW w:w="4160" w:type="dxa"/>
            <w:vAlign w:val="bottom"/>
            <w:gridSpan w:val="3"/>
          </w:tcPr>
          <w:p>
            <w:pPr>
              <w:ind w:left="320"/>
              <w:spacing w:after="0"/>
              <w:rPr>
                <w:sz w:val="20"/>
                <w:szCs w:val="20"/>
                <w:color w:val="auto"/>
              </w:rPr>
            </w:pPr>
            <w:r>
              <w:rPr>
                <w:rFonts w:ascii="Arial" w:cs="Arial" w:eastAsia="Arial" w:hAnsi="Arial"/>
                <w:sz w:val="18"/>
                <w:szCs w:val="18"/>
                <w:color w:val="auto"/>
              </w:rPr>
              <w:t>Operating income (loss) (1)(2)</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20,382</w:t>
            </w:r>
          </w:p>
        </w:tc>
        <w:tc>
          <w:tcPr>
            <w:tcW w:w="1040" w:type="dxa"/>
            <w:vAlign w:val="bottom"/>
            <w:gridSpan w:val="3"/>
          </w:tcPr>
          <w:p>
            <w:pPr>
              <w:jc w:val="right"/>
              <w:ind w:right="10"/>
              <w:spacing w:after="0"/>
              <w:rPr>
                <w:sz w:val="20"/>
                <w:szCs w:val="20"/>
                <w:color w:val="auto"/>
              </w:rPr>
            </w:pPr>
            <w:r>
              <w:rPr>
                <w:rFonts w:ascii="Arial" w:cs="Arial" w:eastAsia="Arial" w:hAnsi="Arial"/>
                <w:sz w:val="18"/>
                <w:szCs w:val="18"/>
                <w:color w:val="auto"/>
              </w:rPr>
              <w:t>159.5 %</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(34,242)</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(175.5)%</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45,361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340" w:type="dxa"/>
            <w:vAlign w:val="bottom"/>
            <w:tcBorders>
              <w:bottom w:val="single" w:sz="8" w:color="auto"/>
            </w:tcBorders>
          </w:tcPr>
          <w:p>
            <w:pPr>
              <w:spacing w:after="0"/>
              <w:rPr>
                <w:sz w:val="8"/>
                <w:szCs w:val="8"/>
                <w:color w:val="auto"/>
              </w:rPr>
            </w:pPr>
          </w:p>
        </w:tc>
        <w:tc>
          <w:tcPr>
            <w:tcW w:w="1900" w:type="dxa"/>
            <w:vAlign w:val="bottom"/>
            <w:tcBorders>
              <w:bottom w:val="single" w:sz="8" w:color="auto"/>
            </w:tcBorders>
          </w:tcPr>
          <w:p>
            <w:pPr>
              <w:spacing w:after="0"/>
              <w:rPr>
                <w:sz w:val="8"/>
                <w:szCs w:val="8"/>
                <w:color w:val="auto"/>
              </w:rPr>
            </w:pPr>
          </w:p>
        </w:tc>
        <w:tc>
          <w:tcPr>
            <w:tcW w:w="1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720" w:right="139" w:hanging="319"/>
        <w:spacing w:after="0" w:line="254"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Entertainment segment operating income (loss) does not include preopening costs of $1.4 million and $1.9 million in 2020 and 2019, respectively. Entertainment segment operating income (loss) also does not include loss from unconsolidated joint ventures of $9.0 million, $6.5 million and $1.1 million in 2021, 2020 and 2019, respectively, related to Circle.</w:t>
      </w:r>
    </w:p>
    <w:p>
      <w:pPr>
        <w:spacing w:after="0" w:line="2" w:lineRule="exact"/>
        <w:rPr>
          <w:rFonts w:ascii="Arial" w:cs="Arial" w:eastAsia="Arial" w:hAnsi="Arial"/>
          <w:sz w:val="18"/>
          <w:szCs w:val="18"/>
          <w:color w:val="auto"/>
        </w:rPr>
      </w:pPr>
    </w:p>
    <w:p>
      <w:pPr>
        <w:ind w:left="720" w:right="79" w:hanging="319"/>
        <w:spacing w:after="0" w:line="260"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Entertainment segment operating loss for 2020 includes approximately $4.6 million in expenses directly related to the COVID-19 pandemic, which are primarily employment costs.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Corporate and Other Segment</w:t>
      </w:r>
    </w:p>
    <w:p>
      <w:pPr>
        <w:spacing w:after="0" w:line="229"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color w:val="auto"/>
        </w:rPr>
        <w:t>The following presents the financial results of our Corporate and Other segment for the years ended December 31, 2021, 2020 and 2019 (in thousands, except percentages):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155"/>
              <w:spacing w:after="0"/>
              <w:rPr>
                <w:sz w:val="20"/>
                <w:szCs w:val="20"/>
                <w:color w:val="auto"/>
              </w:rPr>
            </w:pPr>
            <w:r>
              <w:rPr>
                <w:rFonts w:ascii="Arial" w:cs="Arial" w:eastAsia="Arial" w:hAnsi="Arial"/>
                <w:sz w:val="14"/>
                <w:szCs w:val="14"/>
                <w:b w:val="1"/>
                <w:bCs w:val="1"/>
                <w:color w:val="auto"/>
              </w:rPr>
              <w:t>2021</w:t>
            </w:r>
          </w:p>
        </w:tc>
        <w:tc>
          <w:tcPr>
            <w:tcW w:w="106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4"/>
                <w:szCs w:val="14"/>
                <w:color w:val="auto"/>
              </w:rPr>
            </w:pPr>
          </w:p>
        </w:tc>
        <w:tc>
          <w:tcPr>
            <w:tcW w:w="640" w:type="dxa"/>
            <w:vAlign w:val="bottom"/>
          </w:tcPr>
          <w:p>
            <w:pPr>
              <w:jc w:val="right"/>
              <w:ind w:right="155"/>
              <w:spacing w:after="0"/>
              <w:rPr>
                <w:sz w:val="20"/>
                <w:szCs w:val="20"/>
                <w:color w:val="auto"/>
              </w:rPr>
            </w:pPr>
            <w:r>
              <w:rPr>
                <w:rFonts w:ascii="Arial" w:cs="Arial" w:eastAsia="Arial" w:hAnsi="Arial"/>
                <w:sz w:val="14"/>
                <w:szCs w:val="14"/>
                <w:b w:val="1"/>
                <w:bCs w:val="1"/>
                <w:color w:val="auto"/>
              </w:rPr>
              <w:t>2020</w:t>
            </w:r>
          </w:p>
        </w:tc>
        <w:tc>
          <w:tcPr>
            <w:tcW w:w="10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4"/>
                <w:szCs w:val="14"/>
                <w:color w:val="auto"/>
              </w:rPr>
            </w:pPr>
          </w:p>
        </w:tc>
        <w:tc>
          <w:tcPr>
            <w:tcW w:w="640" w:type="dxa"/>
            <w:vAlign w:val="bottom"/>
          </w:tcPr>
          <w:p>
            <w:pPr>
              <w:jc w:val="right"/>
              <w:ind w:right="155"/>
              <w:spacing w:after="0"/>
              <w:rPr>
                <w:sz w:val="20"/>
                <w:szCs w:val="20"/>
                <w:color w:val="auto"/>
              </w:rPr>
            </w:pPr>
            <w:r>
              <w:rPr>
                <w:rFonts w:ascii="Arial" w:cs="Arial" w:eastAsia="Arial" w:hAnsi="Arial"/>
                <w:sz w:val="14"/>
                <w:szCs w:val="14"/>
                <w:b w:val="1"/>
                <w:bCs w:val="1"/>
                <w:color w:val="auto"/>
              </w:rPr>
              <w:t>2019</w:t>
            </w:r>
          </w:p>
        </w:tc>
      </w:tr>
      <w:tr>
        <w:trPr>
          <w:trHeight w:val="209"/>
        </w:trPr>
        <w:tc>
          <w:tcPr>
            <w:tcW w:w="220" w:type="dxa"/>
            <w:vAlign w:val="bottom"/>
          </w:tcPr>
          <w:p>
            <w:pPr>
              <w:spacing w:after="0"/>
              <w:rPr>
                <w:sz w:val="18"/>
                <w:szCs w:val="18"/>
                <w:color w:val="auto"/>
              </w:rPr>
            </w:pPr>
          </w:p>
        </w:tc>
        <w:tc>
          <w:tcPr>
            <w:tcW w:w="41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38,597</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28,795</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36,282</w:t>
            </w:r>
          </w:p>
        </w:tc>
      </w:tr>
      <w:tr>
        <w:trPr>
          <w:trHeight w:val="216"/>
        </w:trPr>
        <w:tc>
          <w:tcPr>
            <w:tcW w:w="220" w:type="dxa"/>
            <w:vAlign w:val="bottom"/>
          </w:tcPr>
          <w:p>
            <w:pPr>
              <w:spacing w:after="0"/>
              <w:rPr>
                <w:sz w:val="18"/>
                <w:szCs w:val="18"/>
                <w:color w:val="auto"/>
              </w:rPr>
            </w:pPr>
          </w:p>
        </w:tc>
        <w:tc>
          <w:tcPr>
            <w:tcW w:w="41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w:t>
            </w:r>
          </w:p>
        </w:tc>
        <w:tc>
          <w:tcPr>
            <w:tcW w:w="1060" w:type="dxa"/>
            <w:vAlign w:val="bottom"/>
            <w:tcBorders>
              <w:bottom w:val="single" w:sz="8" w:color="CCEEFF"/>
            </w:tcBorders>
            <w:gridSpan w:val="3"/>
          </w:tcPr>
          <w:p>
            <w:pPr>
              <w:jc w:val="right"/>
              <w:ind w:right="10"/>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2,638</w:t>
            </w:r>
          </w:p>
        </w:tc>
        <w:tc>
          <w:tcPr>
            <w:tcW w:w="1060" w:type="dxa"/>
            <w:vAlign w:val="bottom"/>
            <w:tcBorders>
              <w:bottom w:val="single" w:sz="8" w:color="CCEEFF"/>
            </w:tcBorders>
            <w:gridSpan w:val="3"/>
          </w:tcPr>
          <w:p>
            <w:pPr>
              <w:jc w:val="right"/>
              <w:ind w:right="100"/>
              <w:spacing w:after="0"/>
              <w:rPr>
                <w:sz w:val="20"/>
                <w:szCs w:val="20"/>
                <w:color w:val="auto"/>
              </w:rPr>
            </w:pPr>
            <w:r>
              <w:rPr>
                <w:rFonts w:ascii="Arial" w:cs="Arial" w:eastAsia="Arial" w:hAnsi="Arial"/>
                <w:sz w:val="18"/>
                <w:szCs w:val="18"/>
                <w:color w:val="auto"/>
              </w:rPr>
              <w:t>61.9 %</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w:t>
            </w:r>
          </w:p>
        </w:tc>
      </w:tr>
      <w:tr>
        <w:trPr>
          <w:trHeight w:val="209"/>
        </w:trPr>
        <w:tc>
          <w:tcPr>
            <w:tcW w:w="220" w:type="dxa"/>
            <w:vAlign w:val="bottom"/>
          </w:tcPr>
          <w:p>
            <w:pPr>
              <w:spacing w:after="0"/>
              <w:rPr>
                <w:sz w:val="18"/>
                <w:szCs w:val="18"/>
                <w:color w:val="auto"/>
              </w:rPr>
            </w:pPr>
          </w:p>
        </w:tc>
        <w:tc>
          <w:tcPr>
            <w:tcW w:w="4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loss (1)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(40,624)</w:t>
            </w:r>
          </w:p>
        </w:tc>
        <w:tc>
          <w:tcPr>
            <w:tcW w:w="10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29.2 %</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(31,433)</w:t>
            </w:r>
          </w:p>
        </w:tc>
        <w:tc>
          <w:tcPr>
            <w:tcW w:w="10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(37,911)</w:t>
            </w:r>
          </w:p>
        </w:tc>
      </w:tr>
      <w:tr>
        <w:trPr>
          <w:trHeight w:val="20"/>
        </w:trPr>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96"/>
        </w:trPr>
        <w:tc>
          <w:tcPr>
            <w:tcW w:w="220" w:type="dxa"/>
            <w:vAlign w:val="bottom"/>
            <w:tcBorders>
              <w:bottom w:val="single" w:sz="8" w:color="auto"/>
            </w:tcBorders>
          </w:tcPr>
          <w:p>
            <w:pPr>
              <w:spacing w:after="0"/>
              <w:rPr>
                <w:sz w:val="8"/>
                <w:szCs w:val="8"/>
                <w:color w:val="auto"/>
              </w:rPr>
            </w:pPr>
          </w:p>
        </w:tc>
        <w:tc>
          <w:tcPr>
            <w:tcW w:w="2020" w:type="dxa"/>
            <w:vAlign w:val="bottom"/>
            <w:tcBorders>
              <w:bottom w:val="single" w:sz="8" w:color="auto"/>
            </w:tcBorders>
          </w:tcPr>
          <w:p>
            <w:pPr>
              <w:spacing w:after="0"/>
              <w:rPr>
                <w:sz w:val="8"/>
                <w:szCs w:val="8"/>
                <w:color w:val="auto"/>
              </w:rPr>
            </w:pPr>
          </w:p>
        </w:tc>
        <w:tc>
          <w:tcPr>
            <w:tcW w:w="2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r>
    </w:tbl>
    <w:p>
      <w:pPr>
        <w:spacing w:after="0" w:line="67" w:lineRule="exact"/>
        <w:rPr>
          <w:sz w:val="20"/>
          <w:szCs w:val="20"/>
          <w:color w:val="auto"/>
        </w:rPr>
      </w:pPr>
    </w:p>
    <w:p>
      <w:pPr>
        <w:ind w:left="720" w:right="99" w:hanging="319"/>
        <w:spacing w:after="0" w:line="277"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Corporate segment operating loss for 2020 includes approximately $0.6 million in expenses directly related to the COVID-19 pandemic, which are primarily employment costs.</w:t>
      </w:r>
    </w:p>
    <w:p>
      <w:pPr>
        <w:spacing w:after="0" w:line="170" w:lineRule="exact"/>
        <w:rPr>
          <w:sz w:val="20"/>
          <w:szCs w:val="20"/>
          <w:color w:val="auto"/>
        </w:rPr>
      </w:pPr>
    </w:p>
    <w:p>
      <w:pPr>
        <w:ind w:left="60" w:right="199"/>
        <w:spacing w:after="0" w:line="259" w:lineRule="auto"/>
        <w:rPr>
          <w:sz w:val="20"/>
          <w:szCs w:val="20"/>
          <w:color w:val="auto"/>
        </w:rPr>
      </w:pPr>
      <w:r>
        <w:rPr>
          <w:rFonts w:ascii="Arial" w:cs="Arial" w:eastAsia="Arial" w:hAnsi="Arial"/>
          <w:sz w:val="18"/>
          <w:szCs w:val="18"/>
          <w:color w:val="auto"/>
        </w:rPr>
        <w:t>Corporate and Other operating expenses, which consist primarily of costs associated with senior management salaries and benefits, legal, human resources, accounting, pension and other administrative costs, increased in 2021, as compared to 2020, primarily as a result of increased consulting and employment expenses. In addition, 2020 included voluntary temporary compensation decreases for senior management.</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Results – Preopening costs</w:t>
      </w:r>
    </w:p>
    <w:p>
      <w:pPr>
        <w:spacing w:after="0" w:line="225"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color w:val="auto"/>
        </w:rPr>
        <w:t>We expense the costs associated with start-up activities and organization costs as incurred. Our preopening costs for 2021 primarily include costs associated with the Gaylord Palms expansion, which was completed in April 2021. Our preopening costs for 2020 include costs associated with Ole Red Orlando, which opened in June 2020, and the Gaylord Palms expansion.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Results – Gain on Sale of Assets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7"/>
          <w:szCs w:val="17"/>
          <w:color w:val="auto"/>
        </w:rPr>
        <w:t>Gain on sale of assets during 2021 and 2020 primarily represents the sale of certain assets at Gaylord Opryland.</w:t>
      </w: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Results – Credit Losses on Held-to-Maturity Securities</w:t>
      </w:r>
    </w:p>
    <w:p>
      <w:pPr>
        <w:spacing w:after="0" w:line="225" w:lineRule="exact"/>
        <w:rPr>
          <w:sz w:val="20"/>
          <w:szCs w:val="20"/>
          <w:color w:val="auto"/>
        </w:rPr>
      </w:pPr>
    </w:p>
    <w:p>
      <w:pPr>
        <w:jc w:val="both"/>
        <w:ind w:left="60" w:right="159"/>
        <w:spacing w:after="0" w:line="286" w:lineRule="auto"/>
        <w:rPr>
          <w:sz w:val="20"/>
          <w:szCs w:val="20"/>
          <w:color w:val="auto"/>
        </w:rPr>
      </w:pPr>
      <w:r>
        <w:rPr>
          <w:rFonts w:ascii="Arial" w:cs="Arial" w:eastAsia="Arial" w:hAnsi="Arial"/>
          <w:sz w:val="17"/>
          <w:szCs w:val="17"/>
          <w:color w:val="auto"/>
        </w:rPr>
        <w:t>Credit losses on held-to-maturity securities of $32.8 million during 2020 relate to the bonds we received in 2008 related to the Gaylord National construction, which we hold as notes receivable. See further discussion regarding these credit losses in Note 3, “Notes Receivable,” to the consolidated financial statements included herein.</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Non-Operating Results Affecting Net Income (Loss)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color w:val="auto"/>
        </w:rPr>
        <w:t>The following table summarizes the other factors which affected our net income (loss) for the years ended December 31, 2021, 2020 and 2019 (in thousands, except percentages):</w:t>
      </w:r>
    </w:p>
    <w:p>
      <w:pPr>
        <w:spacing w:after="0" w:line="17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348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 Change</w:t>
            </w:r>
          </w:p>
        </w:tc>
        <w:tc>
          <w:tcPr>
            <w:tcW w:w="2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Change</w:t>
            </w:r>
          </w:p>
        </w:tc>
        <w:tc>
          <w:tcPr>
            <w:tcW w:w="2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2019</w:t>
            </w:r>
          </w:p>
        </w:tc>
      </w:tr>
      <w:tr>
        <w:trPr>
          <w:trHeight w:val="209"/>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$ 125,347</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$ 115,783</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w:t>
            </w: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$ 131,620</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Interest income</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5,685</w:t>
            </w:r>
          </w:p>
        </w:tc>
        <w:tc>
          <w:tcPr>
            <w:tcW w:w="140" w:type="dxa"/>
            <w:vAlign w:val="bottom"/>
          </w:tcPr>
          <w:p>
            <w:pPr>
              <w:spacing w:after="0"/>
              <w:rPr>
                <w:sz w:val="18"/>
                <w:szCs w:val="18"/>
                <w:color w:val="auto"/>
              </w:rPr>
            </w:pP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(22.2)%</w:t>
            </w:r>
          </w:p>
        </w:tc>
        <w:tc>
          <w:tcPr>
            <w:tcW w:w="780" w:type="dxa"/>
            <w:vAlign w:val="bottom"/>
          </w:tcPr>
          <w:p>
            <w:pPr>
              <w:jc w:val="right"/>
              <w:spacing w:after="0"/>
              <w:rPr>
                <w:sz w:val="20"/>
                <w:szCs w:val="20"/>
                <w:color w:val="auto"/>
              </w:rPr>
            </w:pPr>
            <w:r>
              <w:rPr>
                <w:rFonts w:ascii="Arial" w:cs="Arial" w:eastAsia="Arial" w:hAnsi="Arial"/>
                <w:sz w:val="18"/>
                <w:szCs w:val="18"/>
                <w:color w:val="auto"/>
              </w:rPr>
              <w:t>7,304</w:t>
            </w:r>
          </w:p>
        </w:tc>
        <w:tc>
          <w:tcPr>
            <w:tcW w:w="1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(37.9)%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11,769</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15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(2,949)</w:t>
            </w:r>
          </w:p>
        </w:tc>
        <w:tc>
          <w:tcPr>
            <w:tcW w:w="9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100.0 %</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(494)</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Loss from unconsolidated joint ventures</w:t>
            </w:r>
          </w:p>
        </w:tc>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(8,963)</w:t>
            </w: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(38.9)%</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(6,451)</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(481.2)%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(1,110)</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Other gains and (losses), net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102.7 %</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(14,976)</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(2,261.0)%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693</w:t>
            </w: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(4,957)</w:t>
            </w: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(81.7)%</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(27,084)</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46.6 %</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(18,475)</w:t>
            </w: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left="60" w:right="139"/>
        <w:spacing w:after="0" w:line="273" w:lineRule="auto"/>
        <w:rPr>
          <w:sz w:val="20"/>
          <w:szCs w:val="20"/>
          <w:color w:val="auto"/>
        </w:rPr>
      </w:pPr>
      <w:r>
        <w:rPr>
          <w:rFonts w:ascii="Arial" w:cs="Arial" w:eastAsia="Arial" w:hAnsi="Arial"/>
          <w:sz w:val="17"/>
          <w:szCs w:val="17"/>
          <w:color w:val="auto"/>
        </w:rPr>
        <w:t>Interest expense increased $9.6 million in 2021, as compared to 2020, due primarily to increased principal balances outstanding under our senior notes. Our weighted average interest rate on our borrowings, excluding the write-off of deferred financing costs and capitalized interest, was 4.4% in each of 2021 and 2020. Cash interest expense increased $8.2 million to $119.7 million in 2021, as compared to 2020, and non-cash interest expense, which includes amortization and write-off of deferred financing costs and the effects of interest rate swaps, and is offset by capitalized interest, increased $1.4 million to $5.6 million in 2021, as compared to 2020.</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color w:val="auto"/>
        </w:rPr>
        <w:t>Interest income for 2021 and 2020 primarily includes amounts earned on the bonds that we received in 2008 in connection with the development of Gaylord National, which we hold as notes receivable.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Loss on Extinguishment of Debt</w:t>
      </w:r>
    </w:p>
    <w:p>
      <w:pPr>
        <w:spacing w:after="0" w:line="225"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In February 2021, we commenced a cash tender offer for any and all outstanding $400 Million 5% Senior Notes at a redemption price of $1,005.00 per $1,000 principal amount. Pursuant to the tender offer, $161.9 million aggregate principal amount of these notes were validly tendered. As a result of our purchase of these tendered notes, and the subsequent redemption of all untendered $400 Million 5% Senior Notes, we recognized a loss on extinguishment of debt of $2.9 million in 2021.</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Loss from Unconsolidated Joint Ventures</w:t>
      </w:r>
    </w:p>
    <w:p>
      <w:pPr>
        <w:spacing w:after="0" w:line="225"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color w:val="auto"/>
        </w:rPr>
        <w:t>The loss from unconsolidated joint ventures for 2021 and 2020 represents our equity method share of losses associated with Circle.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Gains and (Losses), net</w:t>
      </w:r>
    </w:p>
    <w:p>
      <w:pPr>
        <w:spacing w:after="0" w:line="225" w:lineRule="exact"/>
        <w:rPr>
          <w:sz w:val="20"/>
          <w:szCs w:val="20"/>
          <w:color w:val="auto"/>
        </w:rPr>
      </w:pPr>
    </w:p>
    <w:p>
      <w:pPr>
        <w:ind w:left="60" w:right="99"/>
        <w:spacing w:after="0" w:line="311" w:lineRule="auto"/>
        <w:rPr>
          <w:sz w:val="20"/>
          <w:szCs w:val="20"/>
          <w:color w:val="auto"/>
        </w:rPr>
      </w:pPr>
      <w:r>
        <w:rPr>
          <w:rFonts w:ascii="Arial" w:cs="Arial" w:eastAsia="Arial" w:hAnsi="Arial"/>
          <w:sz w:val="16"/>
          <w:szCs w:val="16"/>
          <w:color w:val="auto"/>
        </w:rPr>
        <w:t>Other gains and (losses), net for 2021 includes various miscellaneous items. Other gains and (losses), net for 2020 includes the forfeiture of the $15.0 million deposit associated with the previously terminated Block 21 acquisition. See “Potential Acquisition of Block 21; Termination of Previous Block 21 Acquisition Agreement” above for additional discussion.</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color w:val="auto"/>
        </w:rPr>
        <w:t>As a REIT, we generally will not be subject to federal corporate income taxes on ordinary taxable income and capital gains income from real estate investments that we distribute to our stockholders. We will continue to be required to pay federal and state corporate income taxes on earnings of our TRSs.</w:t>
      </w:r>
    </w:p>
    <w:p>
      <w:pPr>
        <w:spacing w:after="0" w:line="184" w:lineRule="exact"/>
        <w:rPr>
          <w:sz w:val="20"/>
          <w:szCs w:val="20"/>
          <w:color w:val="auto"/>
        </w:rPr>
      </w:pPr>
    </w:p>
    <w:p>
      <w:pPr>
        <w:ind w:left="60" w:right="259"/>
        <w:spacing w:after="0" w:line="259" w:lineRule="auto"/>
        <w:rPr>
          <w:sz w:val="20"/>
          <w:szCs w:val="20"/>
          <w:color w:val="auto"/>
        </w:rPr>
      </w:pPr>
      <w:r>
        <w:rPr>
          <w:rFonts w:ascii="Arial" w:cs="Arial" w:eastAsia="Arial" w:hAnsi="Arial"/>
          <w:sz w:val="18"/>
          <w:szCs w:val="18"/>
          <w:color w:val="auto"/>
        </w:rPr>
        <w:t>During 2021 and 2020, we recorded an income tax provision of $5.0 million and $27.1 million, respectively. The income tax provision for 2020 includes $26.7 million in expense related to the recording of a valuation allowance on the 2020 beginning net deferred tax assets of our TRSs, as discussed in Note 10, “Income Taxes,” to the consolidated financial statements included herein.</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We present the following non-GAAP financial measures, which we believe are useful to investors as key measures of our operating performance:</w:t>
      </w:r>
    </w:p>
    <w:p>
      <w:pPr>
        <w:spacing w:after="0" w:line="170" w:lineRule="exact"/>
        <w:rPr>
          <w:sz w:val="20"/>
          <w:szCs w:val="20"/>
          <w:color w:val="auto"/>
        </w:rPr>
      </w:pPr>
    </w:p>
    <w:p>
      <w:pPr>
        <w:ind w:left="60" w:right="359"/>
        <w:spacing w:after="0" w:line="277" w:lineRule="auto"/>
        <w:rPr>
          <w:sz w:val="20"/>
          <w:szCs w:val="20"/>
          <w:color w:val="auto"/>
        </w:rPr>
      </w:pPr>
      <w:r>
        <w:rPr>
          <w:rFonts w:ascii="Arial" w:cs="Arial" w:eastAsia="Arial" w:hAnsi="Arial"/>
          <w:sz w:val="18"/>
          <w:szCs w:val="18"/>
          <w:b w:val="1"/>
          <w:bCs w:val="1"/>
          <w:i w:val="1"/>
          <w:iCs w:val="1"/>
          <w:color w:val="auto"/>
        </w:rPr>
        <w:t>EBITDAre, Adjusted EBITDAre and Adjusted EBITDAre, Excluding Noncontrolling Interest in Consolidated Joint Venture Definition</w:t>
      </w:r>
    </w:p>
    <w:p>
      <w:pPr>
        <w:spacing w:after="0" w:line="170" w:lineRule="exact"/>
        <w:rPr>
          <w:sz w:val="20"/>
          <w:szCs w:val="20"/>
          <w:color w:val="auto"/>
        </w:rPr>
      </w:pPr>
    </w:p>
    <w:p>
      <w:pPr>
        <w:ind w:left="60" w:right="79"/>
        <w:spacing w:after="0" w:line="255" w:lineRule="auto"/>
        <w:rPr>
          <w:sz w:val="20"/>
          <w:szCs w:val="20"/>
          <w:color w:val="auto"/>
        </w:rPr>
      </w:pPr>
      <w:r>
        <w:rPr>
          <w:rFonts w:ascii="Arial" w:cs="Arial" w:eastAsia="Arial" w:hAnsi="Arial"/>
          <w:sz w:val="18"/>
          <w:szCs w:val="18"/>
          <w:color w:val="auto"/>
        </w:rPr>
        <w:t>We calculate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which is defined by the National Association of Real Estate Investment Trusts (“NAREIT”) in its September 2017 white paper as net income (calculated in accordance with GAAP) plus interest expense, income tax expense, depreciation and amortization, gains or losses on the disposition of depreciated property (including gains or losses on change in control), impairment write-downs of depreciated property and of investments in unconsolidated affiliates caused by a decrease in the value of depreciated property or the affiliate, and adjustments to reflect the entity’s share of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of unconsolidated affiliates.</w:t>
      </w:r>
    </w:p>
    <w:p>
      <w:pPr>
        <w:spacing w:after="0" w:line="192" w:lineRule="exact"/>
        <w:rPr>
          <w:sz w:val="20"/>
          <w:szCs w:val="20"/>
          <w:color w:val="auto"/>
        </w:rPr>
      </w:pPr>
    </w:p>
    <w:p>
      <w:pPr>
        <w:ind w:left="60" w:right="439"/>
        <w:spacing w:after="0" w:line="277" w:lineRule="auto"/>
        <w:rPr>
          <w:sz w:val="20"/>
          <w:szCs w:val="20"/>
          <w:color w:val="auto"/>
        </w:rPr>
      </w:pPr>
      <w:r>
        <w:rPr>
          <w:rFonts w:ascii="Arial" w:cs="Arial" w:eastAsia="Arial" w:hAnsi="Arial"/>
          <w:sz w:val="18"/>
          <w:szCs w:val="18"/>
          <w:color w:val="auto"/>
        </w:rPr>
        <w:t>Adjusted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is then calculated as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plus to the extent the following adjustments occurred during the periods presented:</w:t>
      </w:r>
    </w:p>
    <w:p>
      <w:pPr>
        <w:spacing w:after="0" w:line="170" w:lineRule="exact"/>
        <w:rPr>
          <w:sz w:val="20"/>
          <w:szCs w:val="20"/>
          <w:color w:val="auto"/>
        </w:rPr>
      </w:pPr>
    </w:p>
    <w:p>
      <w:pPr>
        <w:ind w:left="720"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Preopening costs;</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Non-cash lease expense;</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Equity-based compensation expense;</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Impairment charges that do not meet the NAREIT definition above;</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Credit losses on held-to-maturity securities;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transaction costs of acquisitions;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Loss on extinguishment of debt;</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Pension settlement charges;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 rata Adjusted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from unconsolidated joint ventures; and</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other adjustments we have identified herein.</w:t>
      </w:r>
    </w:p>
    <w:p>
      <w:pPr>
        <w:spacing w:after="0" w:line="211"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We then exclude the pro rata share of Adjusted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related to noncontrolling interests in consolidated joint ventures to calculate Adjusted EBITDA</w:t>
      </w:r>
      <w:r>
        <w:rPr>
          <w:rFonts w:ascii="Arial" w:cs="Arial" w:eastAsia="Arial" w:hAnsi="Arial"/>
          <w:sz w:val="18"/>
          <w:szCs w:val="18"/>
          <w:i w:val="1"/>
          <w:iCs w:val="1"/>
          <w:color w:val="auto"/>
        </w:rPr>
        <w:t>re</w:t>
      </w:r>
      <w:r>
        <w:rPr>
          <w:rFonts w:ascii="Arial" w:cs="Arial" w:eastAsia="Arial" w:hAnsi="Arial"/>
          <w:sz w:val="18"/>
          <w:szCs w:val="18"/>
          <w:color w:val="auto"/>
        </w:rPr>
        <w:t>, Excluding Noncontrolling Interest in Consolidated Joint Venture.</w:t>
      </w:r>
    </w:p>
    <w:p>
      <w:pPr>
        <w:spacing w:after="0" w:line="170" w:lineRule="exact"/>
        <w:rPr>
          <w:sz w:val="20"/>
          <w:szCs w:val="20"/>
          <w:color w:val="auto"/>
        </w:rPr>
      </w:pPr>
    </w:p>
    <w:p>
      <w:pPr>
        <w:ind w:left="60" w:right="419"/>
        <w:spacing w:after="0" w:line="311" w:lineRule="auto"/>
        <w:rPr>
          <w:sz w:val="20"/>
          <w:szCs w:val="20"/>
          <w:color w:val="auto"/>
        </w:rPr>
      </w:pPr>
      <w:r>
        <w:rPr>
          <w:rFonts w:ascii="Arial" w:cs="Arial" w:eastAsia="Arial" w:hAnsi="Arial"/>
          <w:sz w:val="16"/>
          <w:szCs w:val="16"/>
          <w:color w:val="auto"/>
        </w:rPr>
        <w:t>We use EBITDA</w:t>
      </w:r>
      <w:r>
        <w:rPr>
          <w:rFonts w:ascii="Arial" w:cs="Arial" w:eastAsia="Arial" w:hAnsi="Arial"/>
          <w:sz w:val="16"/>
          <w:szCs w:val="16"/>
          <w:i w:val="1"/>
          <w:iCs w:val="1"/>
          <w:color w:val="auto"/>
        </w:rPr>
        <w:t>re</w:t>
      </w:r>
      <w:r>
        <w:rPr>
          <w:rFonts w:ascii="Arial" w:cs="Arial" w:eastAsia="Arial" w:hAnsi="Arial"/>
          <w:sz w:val="16"/>
          <w:szCs w:val="16"/>
          <w:color w:val="auto"/>
        </w:rPr>
        <w:t>, Adjusted EBITDA</w:t>
      </w:r>
      <w:r>
        <w:rPr>
          <w:rFonts w:ascii="Arial" w:cs="Arial" w:eastAsia="Arial" w:hAnsi="Arial"/>
          <w:sz w:val="16"/>
          <w:szCs w:val="16"/>
          <w:i w:val="1"/>
          <w:iCs w:val="1"/>
          <w:color w:val="auto"/>
        </w:rPr>
        <w:t>re</w:t>
      </w:r>
      <w:r>
        <w:rPr>
          <w:rFonts w:ascii="Arial" w:cs="Arial" w:eastAsia="Arial" w:hAnsi="Arial"/>
          <w:sz w:val="16"/>
          <w:szCs w:val="16"/>
          <w:color w:val="auto"/>
        </w:rPr>
        <w:t xml:space="preserve"> and Adjusted EBITDA</w:t>
      </w:r>
      <w:r>
        <w:rPr>
          <w:rFonts w:ascii="Arial" w:cs="Arial" w:eastAsia="Arial" w:hAnsi="Arial"/>
          <w:sz w:val="16"/>
          <w:szCs w:val="16"/>
          <w:i w:val="1"/>
          <w:iCs w:val="1"/>
          <w:color w:val="auto"/>
        </w:rPr>
        <w:t>re</w:t>
      </w:r>
      <w:r>
        <w:rPr>
          <w:rFonts w:ascii="Arial" w:cs="Arial" w:eastAsia="Arial" w:hAnsi="Arial"/>
          <w:sz w:val="16"/>
          <w:szCs w:val="16"/>
          <w:color w:val="auto"/>
        </w:rPr>
        <w:t>, Excluding Noncontrolling Interest in Consolidated Joint Venture to evaluate our operating performance. We believe that the presentation of these non-GAAP financial measures provides useful information to investors regarding our operating performance and debt leverage metrics, and</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75" w:lineRule="auto"/>
        <w:rPr>
          <w:sz w:val="20"/>
          <w:szCs w:val="20"/>
          <w:color w:val="auto"/>
        </w:rPr>
      </w:pPr>
      <w:r>
        <w:rPr>
          <w:rFonts w:ascii="Arial" w:cs="Arial" w:eastAsia="Arial" w:hAnsi="Arial"/>
          <w:sz w:val="17"/>
          <w:szCs w:val="17"/>
          <w:color w:val="auto"/>
        </w:rPr>
        <w:t>that the presentation of these non-GAAP financial measures, when combined with the primary GAAP presentation of net income, is beneficial to an investor’s complete understanding of our operating performance. We make additional adjustments to EBITDA</w:t>
      </w:r>
      <w:r>
        <w:rPr>
          <w:rFonts w:ascii="Arial" w:cs="Arial" w:eastAsia="Arial" w:hAnsi="Arial"/>
          <w:sz w:val="17"/>
          <w:szCs w:val="17"/>
          <w:i w:val="1"/>
          <w:iCs w:val="1"/>
          <w:color w:val="auto"/>
        </w:rPr>
        <w:t>re</w:t>
      </w:r>
      <w:r>
        <w:rPr>
          <w:rFonts w:ascii="Arial" w:cs="Arial" w:eastAsia="Arial" w:hAnsi="Arial"/>
          <w:sz w:val="17"/>
          <w:szCs w:val="17"/>
          <w:color w:val="auto"/>
        </w:rPr>
        <w:t xml:space="preserve"> when evaluating our performance because we believe that presenting Adjusted EBITDA</w:t>
      </w:r>
      <w:r>
        <w:rPr>
          <w:rFonts w:ascii="Arial" w:cs="Arial" w:eastAsia="Arial" w:hAnsi="Arial"/>
          <w:sz w:val="17"/>
          <w:szCs w:val="17"/>
          <w:i w:val="1"/>
          <w:iCs w:val="1"/>
          <w:color w:val="auto"/>
        </w:rPr>
        <w:t>re</w:t>
      </w:r>
      <w:r>
        <w:rPr>
          <w:rFonts w:ascii="Arial" w:cs="Arial" w:eastAsia="Arial" w:hAnsi="Arial"/>
          <w:sz w:val="17"/>
          <w:szCs w:val="17"/>
          <w:color w:val="auto"/>
        </w:rPr>
        <w:t xml:space="preserve"> and Adjusted EBITDA</w:t>
      </w:r>
      <w:r>
        <w:rPr>
          <w:rFonts w:ascii="Arial" w:cs="Arial" w:eastAsia="Arial" w:hAnsi="Arial"/>
          <w:sz w:val="17"/>
          <w:szCs w:val="17"/>
          <w:i w:val="1"/>
          <w:iCs w:val="1"/>
          <w:color w:val="auto"/>
        </w:rPr>
        <w:t>re</w:t>
      </w:r>
      <w:r>
        <w:rPr>
          <w:rFonts w:ascii="Arial" w:cs="Arial" w:eastAsia="Arial" w:hAnsi="Arial"/>
          <w:sz w:val="17"/>
          <w:szCs w:val="17"/>
          <w:color w:val="auto"/>
        </w:rPr>
        <w:t>, Excluding Noncontrolling Interest in Consolidated Joint Venture provides useful information to investors regarding our operating performance and debt leverage metrics.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FFO, Adjusted FFO, and Adjusted FFO available to common shareholders and unit holders Definition</w:t>
      </w:r>
    </w:p>
    <w:p>
      <w:pPr>
        <w:spacing w:after="0" w:line="225" w:lineRule="exact"/>
        <w:rPr>
          <w:sz w:val="20"/>
          <w:szCs w:val="20"/>
          <w:color w:val="auto"/>
        </w:rPr>
      </w:pPr>
    </w:p>
    <w:p>
      <w:pPr>
        <w:ind w:left="60" w:right="79"/>
        <w:spacing w:after="0" w:line="293" w:lineRule="auto"/>
        <w:rPr>
          <w:sz w:val="20"/>
          <w:szCs w:val="20"/>
          <w:color w:val="auto"/>
        </w:rPr>
      </w:pPr>
      <w:r>
        <w:rPr>
          <w:rFonts w:ascii="Arial" w:cs="Arial" w:eastAsia="Arial" w:hAnsi="Arial"/>
          <w:sz w:val="16"/>
          <w:szCs w:val="16"/>
          <w:color w:val="auto"/>
        </w:rPr>
        <w:t>We calculate FFO</w:t>
      </w:r>
      <w:r>
        <w:rPr>
          <w:rFonts w:ascii="Arial" w:cs="Arial" w:eastAsia="Arial" w:hAnsi="Arial"/>
          <w:sz w:val="16"/>
          <w:szCs w:val="16"/>
          <w:i w:val="1"/>
          <w:iCs w:val="1"/>
          <w:color w:val="auto"/>
        </w:rPr>
        <w:t>,</w:t>
      </w:r>
      <w:r>
        <w:rPr>
          <w:rFonts w:ascii="Arial" w:cs="Arial" w:eastAsia="Arial" w:hAnsi="Arial"/>
          <w:sz w:val="16"/>
          <w:szCs w:val="16"/>
          <w:color w:val="auto"/>
        </w:rPr>
        <w:t xml:space="preserve"> which definition is clarified by NAREIT in its December 2018 white paper as net income (calculated in accordance with GAAP) excluding depreciation and amortization (excluding amortization of deferred financing costs and debt discounts), gains and losses from the sale of certain real estate assets, gains and losses from a change in control, impairment write-downs of certain real estate assets and investments in entities when the impairment is directly attributable to decreases in the value of depreciated real estate held by the entity, income (loss) from consolidated joint ventures attributable to noncontrolling interest, and pro rata adjustments for unconsolidated joint ventures.</w:t>
      </w:r>
    </w:p>
    <w:p>
      <w:pPr>
        <w:spacing w:after="0" w:line="164"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To calculate Adjusted FFO available to common shareholders and unit holders, we then exclude, to the extent the following adjustments occurred during the periods presented:</w:t>
      </w:r>
    </w:p>
    <w:p>
      <w:pPr>
        <w:spacing w:after="0" w:line="170" w:lineRule="exact"/>
        <w:rPr>
          <w:sz w:val="20"/>
          <w:szCs w:val="20"/>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Right-of-use asset amortization;</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Impairment charges that do not meet the NAREIT definition above;</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Write-offs of deferred financing costs;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Amortization of debt discounts or premiums and amortization of deferred financing costs;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Loss on extinguishment of debt;</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Non-cash lease expense;</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Credit loss on held-to-maturity securities;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Pension settlement charges;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Additional pro rata adjustments from unconsolidated joint ventures;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(Gains) losses on other assets;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Transaction costs on acquisitions;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Deferred income tax expense (benefit); and</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other adjustments we have identified herein.</w:t>
      </w:r>
    </w:p>
    <w:p>
      <w:pPr>
        <w:spacing w:after="0" w:line="211" w:lineRule="exact"/>
        <w:rPr>
          <w:sz w:val="20"/>
          <w:szCs w:val="20"/>
          <w:color w:val="auto"/>
        </w:rPr>
      </w:pPr>
    </w:p>
    <w:p>
      <w:pPr>
        <w:ind w:left="60" w:right="419"/>
        <w:spacing w:after="0" w:line="342" w:lineRule="auto"/>
        <w:rPr>
          <w:sz w:val="20"/>
          <w:szCs w:val="20"/>
          <w:color w:val="auto"/>
        </w:rPr>
      </w:pPr>
      <w:r>
        <w:rPr>
          <w:rFonts w:ascii="Arial" w:cs="Arial" w:eastAsia="Arial" w:hAnsi="Arial"/>
          <w:sz w:val="16"/>
          <w:szCs w:val="16"/>
          <w:color w:val="auto"/>
        </w:rPr>
        <w:t>FFO available to common shareholders and unit holders and Adjusted FFO available to common shareholders and unit holders exclude the ownership portion of the Gaylord Rockies joint venture not controlled or owned by the Company.</w:t>
      </w:r>
    </w:p>
    <w:p>
      <w:pPr>
        <w:spacing w:after="0" w:line="124" w:lineRule="exact"/>
        <w:rPr>
          <w:sz w:val="20"/>
          <w:szCs w:val="20"/>
          <w:color w:val="auto"/>
        </w:rPr>
      </w:pPr>
    </w:p>
    <w:p>
      <w:pPr>
        <w:ind w:left="60" w:right="119"/>
        <w:spacing w:after="0" w:line="272" w:lineRule="auto"/>
        <w:rPr>
          <w:sz w:val="20"/>
          <w:szCs w:val="20"/>
          <w:color w:val="auto"/>
        </w:rPr>
      </w:pPr>
      <w:r>
        <w:rPr>
          <w:rFonts w:ascii="Arial" w:cs="Arial" w:eastAsia="Arial" w:hAnsi="Arial"/>
          <w:sz w:val="17"/>
          <w:szCs w:val="17"/>
          <w:color w:val="auto"/>
        </w:rPr>
        <w:t>We believe that the presentation of FFO available to common shareholders and unit holders and Adjusted FFO available to common shareholders and unit holders provides useful information to investors regarding the performance of our ongoing operations because they are a measure of our operations without regard to specified non-cash items such as real estate depreciation and amortization, gain or loss on sale of assets and certain other items, which we believe are not indicative of the performance of our underlying hotel properties. We believe that these items are more representative of our asset base than our ongoing operations. We also use these non-GAAP financial measures as measures in determining our results after considering the impact of our capital structure.</w:t>
      </w:r>
    </w:p>
    <w:p>
      <w:pPr>
        <w:spacing w:after="0" w:line="177" w:lineRule="exact"/>
        <w:rPr>
          <w:sz w:val="20"/>
          <w:szCs w:val="20"/>
          <w:color w:val="auto"/>
        </w:rPr>
      </w:pPr>
    </w:p>
    <w:p>
      <w:pPr>
        <w:ind w:left="60" w:right="119"/>
        <w:spacing w:after="0" w:line="289" w:lineRule="auto"/>
        <w:rPr>
          <w:sz w:val="20"/>
          <w:szCs w:val="20"/>
          <w:color w:val="auto"/>
        </w:rPr>
      </w:pPr>
      <w:r>
        <w:rPr>
          <w:rFonts w:ascii="Arial" w:cs="Arial" w:eastAsia="Arial" w:hAnsi="Arial"/>
          <w:sz w:val="16"/>
          <w:szCs w:val="16"/>
          <w:color w:val="auto"/>
        </w:rPr>
        <w:t>We caution investors that amounts presented in accordance with our definitions of Adjusted EBITDA</w:t>
      </w:r>
      <w:r>
        <w:rPr>
          <w:rFonts w:ascii="Arial" w:cs="Arial" w:eastAsia="Arial" w:hAnsi="Arial"/>
          <w:sz w:val="16"/>
          <w:szCs w:val="16"/>
          <w:i w:val="1"/>
          <w:iCs w:val="1"/>
          <w:color w:val="auto"/>
        </w:rPr>
        <w:t>re</w:t>
      </w:r>
      <w:r>
        <w:rPr>
          <w:rFonts w:ascii="Arial" w:cs="Arial" w:eastAsia="Arial" w:hAnsi="Arial"/>
          <w:sz w:val="16"/>
          <w:szCs w:val="16"/>
          <w:color w:val="auto"/>
        </w:rPr>
        <w:t>, Adjusted EBITDA</w:t>
      </w:r>
      <w:r>
        <w:rPr>
          <w:rFonts w:ascii="Arial" w:cs="Arial" w:eastAsia="Arial" w:hAnsi="Arial"/>
          <w:sz w:val="16"/>
          <w:szCs w:val="16"/>
          <w:i w:val="1"/>
          <w:iCs w:val="1"/>
          <w:color w:val="auto"/>
        </w:rPr>
        <w:t>re</w:t>
      </w:r>
      <w:r>
        <w:rPr>
          <w:rFonts w:ascii="Arial" w:cs="Arial" w:eastAsia="Arial" w:hAnsi="Arial"/>
          <w:sz w:val="16"/>
          <w:szCs w:val="16"/>
          <w:color w:val="auto"/>
        </w:rPr>
        <w:t>, Excluding Noncontrolling Interest, FFO available to common shareholders and unit holders, and Adjusted FFO available to common shareholders and unit holders may not be comparable to similar measures disclosed by other companies, because not all companies calculate these non-GAAP measures in the same manner. These non-GAAP financial measures, and any related per share measures, should not be considered as alternative measures of our Net Income (Loss), operating performance, cash flow or liquidity. These non-GAAP financial measures may include funds that may not be available for our discretionary use due to functional requirements to conserve funds for capital expenditures and property acquisitions and other commitments and uncertainties. Although we believe that these non-GAAP financial measures can enhance an investor’s understanding of our results of operations, these non-GAAP</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spacing w:after="0" w:line="308" w:lineRule="auto"/>
        <w:rPr>
          <w:sz w:val="20"/>
          <w:szCs w:val="20"/>
          <w:color w:val="auto"/>
        </w:rPr>
      </w:pPr>
      <w:r>
        <w:rPr>
          <w:rFonts w:ascii="Arial" w:cs="Arial" w:eastAsia="Arial" w:hAnsi="Arial"/>
          <w:sz w:val="17"/>
          <w:szCs w:val="17"/>
          <w:color w:val="auto"/>
        </w:rPr>
        <w:t>financial measures, when viewed individually, are not necessarily better indicators of any trend as compared to GAAP measures such as Net Income (Loss), Operating Income (Loss), or cash flow from operations.</w:t>
      </w:r>
    </w:p>
    <w:p>
      <w:pPr>
        <w:spacing w:after="0" w:line="146"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The following is a reconciliation of our consolidated GAAP net income (loss) to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and Adjusted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for the years ended December 31, 2021, 2020 and 2019 (in thousands):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0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2019</w:t>
            </w:r>
          </w:p>
        </w:tc>
      </w:tr>
      <w:tr>
        <w:trPr>
          <w:trHeight w:val="196"/>
        </w:trPr>
        <w:tc>
          <w:tcPr>
            <w:tcW w:w="6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(194,801)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(460,821)</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128,294</w:t>
            </w:r>
          </w:p>
        </w:tc>
      </w:tr>
      <w:tr>
        <w:trPr>
          <w:trHeight w:val="203"/>
        </w:trPr>
        <w:tc>
          <w:tcPr>
            <w:tcW w:w="6020" w:type="dxa"/>
            <w:vAlign w:val="bottom"/>
          </w:tcPr>
          <w:p>
            <w:pPr>
              <w:ind w:left="120"/>
              <w:spacing w:after="0"/>
              <w:rPr>
                <w:sz w:val="20"/>
                <w:szCs w:val="20"/>
                <w:color w:val="auto"/>
              </w:rPr>
            </w:pPr>
            <w:r>
              <w:rPr>
                <w:rFonts w:ascii="Arial" w:cs="Arial" w:eastAsia="Arial" w:hAnsi="Arial"/>
                <w:sz w:val="17"/>
                <w:szCs w:val="17"/>
                <w:color w:val="auto"/>
              </w:rPr>
              <w:t>Interest expense, net</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119,662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108,479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119,851</w:t>
            </w:r>
          </w:p>
        </w:tc>
      </w:tr>
      <w:tr>
        <w:trPr>
          <w:trHeight w:val="203"/>
        </w:trPr>
        <w:tc>
          <w:tcPr>
            <w:tcW w:w="60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Provision for income taxes</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4,957</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27,084</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18,475</w:t>
            </w:r>
          </w:p>
        </w:tc>
      </w:tr>
      <w:tr>
        <w:trPr>
          <w:trHeight w:val="203"/>
        </w:trPr>
        <w:tc>
          <w:tcPr>
            <w:tcW w:w="6020" w:type="dxa"/>
            <w:vAlign w:val="bottom"/>
          </w:tcPr>
          <w:p>
            <w:pPr>
              <w:ind w:left="120"/>
              <w:spacing w:after="0"/>
              <w:rPr>
                <w:sz w:val="20"/>
                <w:szCs w:val="20"/>
                <w:color w:val="auto"/>
              </w:rPr>
            </w:pPr>
            <w:r>
              <w:rPr>
                <w:rFonts w:ascii="Arial" w:cs="Arial" w:eastAsia="Arial" w:hAnsi="Arial"/>
                <w:sz w:val="17"/>
                <w:szCs w:val="17"/>
                <w:color w:val="auto"/>
              </w:rPr>
              <w:t>Depreciation and amortization</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220,357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215,082</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213,847</w:t>
            </w:r>
          </w:p>
        </w:tc>
      </w:tr>
      <w:tr>
        <w:trPr>
          <w:trHeight w:val="203"/>
        </w:trPr>
        <w:tc>
          <w:tcPr>
            <w:tcW w:w="60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(Gain) loss on sale of assets</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(315)</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(1,154)</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03"/>
        </w:trPr>
        <w:tc>
          <w:tcPr>
            <w:tcW w:w="602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Pro rata EBITDA</w:t>
            </w:r>
            <w:r>
              <w:rPr>
                <w:rFonts w:ascii="Arial" w:cs="Arial" w:eastAsia="Arial" w:hAnsi="Arial"/>
                <w:sz w:val="17"/>
                <w:szCs w:val="17"/>
                <w:i w:val="1"/>
                <w:iCs w:val="1"/>
                <w:color w:val="auto"/>
              </w:rPr>
              <w:t>re</w:t>
            </w:r>
            <w:r>
              <w:rPr>
                <w:rFonts w:ascii="Arial" w:cs="Arial" w:eastAsia="Arial" w:hAnsi="Arial"/>
                <w:sz w:val="17"/>
                <w:szCs w:val="17"/>
                <w:color w:val="auto"/>
              </w:rPr>
              <w:t xml:space="preserve"> from unconsolidated joint ventures</w:t>
            </w: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r>
      <w:tr>
        <w:trPr>
          <w:trHeight w:val="196"/>
        </w:trPr>
        <w:tc>
          <w:tcPr>
            <w:tcW w:w="6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EBITDA</w:t>
            </w:r>
            <w:r>
              <w:rPr>
                <w:rFonts w:ascii="Arial" w:cs="Arial" w:eastAsia="Arial" w:hAnsi="Arial"/>
                <w:sz w:val="17"/>
                <w:szCs w:val="17"/>
                <w:i w:val="1"/>
                <w:iCs w:val="1"/>
                <w:color w:val="auto"/>
              </w:rPr>
              <w:t>re</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149,933</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(111,282)</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480,457</w:t>
            </w:r>
          </w:p>
        </w:tc>
      </w:tr>
      <w:tr>
        <w:trPr>
          <w:trHeight w:val="203"/>
        </w:trPr>
        <w:tc>
          <w:tcPr>
            <w:tcW w:w="6020" w:type="dxa"/>
            <w:vAlign w:val="bottom"/>
          </w:tcPr>
          <w:p>
            <w:pPr>
              <w:ind w:left="120"/>
              <w:spacing w:after="0"/>
              <w:rPr>
                <w:sz w:val="20"/>
                <w:szCs w:val="20"/>
                <w:color w:val="auto"/>
              </w:rPr>
            </w:pPr>
            <w:r>
              <w:rPr>
                <w:rFonts w:ascii="Arial" w:cs="Arial" w:eastAsia="Arial" w:hAnsi="Arial"/>
                <w:sz w:val="17"/>
                <w:szCs w:val="17"/>
                <w:color w:val="auto"/>
              </w:rPr>
              <w:t>Preopening costs</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737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1,665</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3,122</w:t>
            </w:r>
          </w:p>
        </w:tc>
      </w:tr>
      <w:tr>
        <w:trPr>
          <w:trHeight w:val="203"/>
        </w:trPr>
        <w:tc>
          <w:tcPr>
            <w:tcW w:w="60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Non-cash lease expense</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4,375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4,474</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4,910</w:t>
            </w:r>
          </w:p>
        </w:tc>
      </w:tr>
      <w:tr>
        <w:trPr>
          <w:trHeight w:val="203"/>
        </w:trPr>
        <w:tc>
          <w:tcPr>
            <w:tcW w:w="6020" w:type="dxa"/>
            <w:vAlign w:val="bottom"/>
          </w:tcPr>
          <w:p>
            <w:pPr>
              <w:ind w:left="120"/>
              <w:spacing w:after="0"/>
              <w:rPr>
                <w:sz w:val="20"/>
                <w:szCs w:val="20"/>
                <w:color w:val="auto"/>
              </w:rPr>
            </w:pPr>
            <w:r>
              <w:rPr>
                <w:rFonts w:ascii="Arial" w:cs="Arial" w:eastAsia="Arial" w:hAnsi="Arial"/>
                <w:sz w:val="17"/>
                <w:szCs w:val="17"/>
                <w:color w:val="auto"/>
              </w:rPr>
              <w:t>Equity-based compensation expense</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12,104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8,732</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7,833</w:t>
            </w:r>
          </w:p>
        </w:tc>
      </w:tr>
      <w:tr>
        <w:trPr>
          <w:trHeight w:val="203"/>
        </w:trPr>
        <w:tc>
          <w:tcPr>
            <w:tcW w:w="60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Pension settlement charge</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1,379</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1,740</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1,904</w:t>
            </w:r>
          </w:p>
        </w:tc>
      </w:tr>
      <w:tr>
        <w:trPr>
          <w:trHeight w:val="203"/>
        </w:trPr>
        <w:tc>
          <w:tcPr>
            <w:tcW w:w="6020" w:type="dxa"/>
            <w:vAlign w:val="bottom"/>
          </w:tcPr>
          <w:p>
            <w:pPr>
              <w:ind w:left="120"/>
              <w:spacing w:after="0"/>
              <w:rPr>
                <w:sz w:val="20"/>
                <w:szCs w:val="20"/>
                <w:color w:val="auto"/>
              </w:rPr>
            </w:pPr>
            <w:r>
              <w:rPr>
                <w:rFonts w:ascii="Arial" w:cs="Arial" w:eastAsia="Arial" w:hAnsi="Arial"/>
                <w:sz w:val="17"/>
                <w:szCs w:val="17"/>
                <w:color w:val="auto"/>
              </w:rPr>
              <w:t>Credit loss on held-to-maturity securities</w:t>
            </w:r>
          </w:p>
        </w:tc>
        <w:tc>
          <w:tcPr>
            <w:tcW w:w="14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32,784</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3"/>
        </w:trPr>
        <w:tc>
          <w:tcPr>
            <w:tcW w:w="60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Interest income on Gaylord National bonds</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5,502</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6,171</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10,272</w:t>
            </w:r>
          </w:p>
        </w:tc>
      </w:tr>
      <w:tr>
        <w:trPr>
          <w:trHeight w:val="203"/>
        </w:trPr>
        <w:tc>
          <w:tcPr>
            <w:tcW w:w="6020" w:type="dxa"/>
            <w:vAlign w:val="bottom"/>
          </w:tcPr>
          <w:p>
            <w:pPr>
              <w:ind w:left="120"/>
              <w:spacing w:after="0"/>
              <w:rPr>
                <w:sz w:val="20"/>
                <w:szCs w:val="20"/>
                <w:color w:val="auto"/>
              </w:rPr>
            </w:pPr>
            <w:r>
              <w:rPr>
                <w:rFonts w:ascii="Arial" w:cs="Arial" w:eastAsia="Arial" w:hAnsi="Arial"/>
                <w:sz w:val="17"/>
                <w:szCs w:val="17"/>
                <w:color w:val="auto"/>
              </w:rPr>
              <w:t>Loss on extinguishment of debt</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2,949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494</w:t>
            </w:r>
          </w:p>
        </w:tc>
      </w:tr>
      <w:tr>
        <w:trPr>
          <w:trHeight w:val="203"/>
        </w:trPr>
        <w:tc>
          <w:tcPr>
            <w:tcW w:w="60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Transaction costs of acquisitions</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15,437</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417</w:t>
            </w:r>
          </w:p>
        </w:tc>
      </w:tr>
      <w:tr>
        <w:trPr>
          <w:trHeight w:val="203"/>
        </w:trPr>
        <w:tc>
          <w:tcPr>
            <w:tcW w:w="6020" w:type="dxa"/>
            <w:vAlign w:val="bottom"/>
          </w:tcPr>
          <w:p>
            <w:pPr>
              <w:ind w:left="120"/>
              <w:spacing w:after="0"/>
              <w:rPr>
                <w:sz w:val="20"/>
                <w:szCs w:val="20"/>
                <w:color w:val="auto"/>
              </w:rPr>
            </w:pPr>
            <w:r>
              <w:rPr>
                <w:rFonts w:ascii="Arial" w:cs="Arial" w:eastAsia="Arial" w:hAnsi="Arial"/>
                <w:sz w:val="17"/>
                <w:szCs w:val="17"/>
                <w:color w:val="auto"/>
              </w:rPr>
              <w:t>Pro rata adjusted EBITDA</w:t>
            </w:r>
            <w:r>
              <w:rPr>
                <w:rFonts w:ascii="Arial" w:cs="Arial" w:eastAsia="Arial" w:hAnsi="Arial"/>
                <w:sz w:val="17"/>
                <w:szCs w:val="17"/>
                <w:i w:val="1"/>
                <w:iCs w:val="1"/>
                <w:color w:val="auto"/>
              </w:rPr>
              <w:t>re</w:t>
            </w:r>
            <w:r>
              <w:rPr>
                <w:rFonts w:ascii="Arial" w:cs="Arial" w:eastAsia="Arial" w:hAnsi="Arial"/>
                <w:sz w:val="17"/>
                <w:szCs w:val="17"/>
                <w:color w:val="auto"/>
              </w:rPr>
              <w:t xml:space="preserve"> from unconsolidated joint ventures</w:t>
            </w:r>
          </w:p>
        </w:tc>
        <w:tc>
          <w:tcPr>
            <w:tcW w:w="14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1,121</w:t>
            </w:r>
          </w:p>
        </w:tc>
      </w:tr>
      <w:tr>
        <w:trPr>
          <w:trHeight w:val="196"/>
        </w:trPr>
        <w:tc>
          <w:tcPr>
            <w:tcW w:w="6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Adjusted EBITDA</w:t>
            </w:r>
            <w:r>
              <w:rPr>
                <w:rFonts w:ascii="Arial" w:cs="Arial" w:eastAsia="Arial" w:hAnsi="Arial"/>
                <w:sz w:val="17"/>
                <w:szCs w:val="17"/>
                <w:i w:val="1"/>
                <w:iCs w:val="1"/>
                <w:color w:val="auto"/>
              </w:rPr>
              <w:t>re</w:t>
            </w: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177,339</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(40,279)</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510,530</w:t>
            </w:r>
          </w:p>
        </w:tc>
      </w:tr>
      <w:tr>
        <w:trPr>
          <w:trHeight w:val="203"/>
        </w:trPr>
        <w:tc>
          <w:tcPr>
            <w:tcW w:w="6020" w:type="dxa"/>
            <w:vAlign w:val="bottom"/>
          </w:tcPr>
          <w:p>
            <w:pPr>
              <w:ind w:left="120"/>
              <w:spacing w:after="0"/>
              <w:rPr>
                <w:sz w:val="20"/>
                <w:szCs w:val="20"/>
                <w:color w:val="auto"/>
              </w:rPr>
            </w:pPr>
            <w:r>
              <w:rPr>
                <w:rFonts w:ascii="Arial" w:cs="Arial" w:eastAsia="Arial" w:hAnsi="Arial"/>
                <w:sz w:val="17"/>
                <w:szCs w:val="17"/>
                <w:color w:val="auto"/>
              </w:rPr>
              <w:t>Adjusted EBITDA</w:t>
            </w:r>
            <w:r>
              <w:rPr>
                <w:rFonts w:ascii="Arial" w:cs="Arial" w:eastAsia="Arial" w:hAnsi="Arial"/>
                <w:sz w:val="17"/>
                <w:szCs w:val="17"/>
                <w:i w:val="1"/>
                <w:iCs w:val="1"/>
                <w:color w:val="auto"/>
              </w:rPr>
              <w:t>re</w:t>
            </w:r>
            <w:r>
              <w:rPr>
                <w:rFonts w:ascii="Arial" w:cs="Arial" w:eastAsia="Arial" w:hAnsi="Arial"/>
                <w:sz w:val="17"/>
                <w:szCs w:val="17"/>
                <w:color w:val="auto"/>
              </w:rPr>
              <w:t xml:space="preserve"> of noncontrolling interest in consolidated joint venture</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1,017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(3,989)</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(31,138)</w:t>
            </w:r>
          </w:p>
        </w:tc>
      </w:tr>
      <w:tr>
        <w:trPr>
          <w:trHeight w:val="196"/>
        </w:trPr>
        <w:tc>
          <w:tcPr>
            <w:tcW w:w="6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7"/>
                <w:shd w:val="clear" w:color="auto" w:fill="CCEEFF"/>
              </w:rPr>
              <w:t>Adjusted EBITDA</w:t>
            </w:r>
            <w:r>
              <w:rPr>
                <w:rFonts w:ascii="Arial" w:cs="Arial" w:eastAsia="Arial" w:hAnsi="Arial"/>
                <w:sz w:val="17"/>
                <w:szCs w:val="17"/>
                <w:i w:val="1"/>
                <w:iCs w:val="1"/>
                <w:color w:val="auto"/>
                <w:w w:val="97"/>
                <w:shd w:val="clear" w:color="auto" w:fill="CCEEFF"/>
              </w:rPr>
              <w:t>re</w:t>
            </w:r>
            <w:r>
              <w:rPr>
                <w:rFonts w:ascii="Arial" w:cs="Arial" w:eastAsia="Arial" w:hAnsi="Arial"/>
                <w:sz w:val="17"/>
                <w:szCs w:val="17"/>
                <w:color w:val="auto"/>
                <w:w w:val="97"/>
                <w:shd w:val="clear" w:color="auto" w:fill="CCEEFF"/>
              </w:rPr>
              <w:t>, excluding noncontrolling interest in consolidated joint venture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shd w:val="clear" w:color="auto" w:fill="CCEEFF"/>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shd w:val="clear" w:color="auto" w:fill="CCEEFF"/>
              </w:rPr>
              <w:t>178,356</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shd w:val="clear" w:color="auto" w:fill="CCEEFF"/>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shd w:val="clear" w:color="auto" w:fill="CCEEFF"/>
              </w:rPr>
              <w:t>(44,268)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shd w:val="clear" w:color="auto" w:fill="CCEEFF"/>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shd w:val="clear" w:color="auto" w:fill="CCEEFF"/>
              </w:rPr>
              <w:t>479,392</w:t>
            </w:r>
          </w:p>
        </w:tc>
      </w:tr>
      <w:tr>
        <w:trPr>
          <w:trHeight w:val="20"/>
        </w:trPr>
        <w:tc>
          <w:tcPr>
            <w:tcW w:w="6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479"/>
        <w:spacing w:after="0" w:line="277" w:lineRule="auto"/>
        <w:rPr>
          <w:sz w:val="20"/>
          <w:szCs w:val="20"/>
          <w:color w:val="auto"/>
        </w:rPr>
      </w:pPr>
      <w:r>
        <w:rPr>
          <w:rFonts w:ascii="Arial" w:cs="Arial" w:eastAsia="Arial" w:hAnsi="Arial"/>
          <w:sz w:val="18"/>
          <w:szCs w:val="18"/>
          <w:color w:val="auto"/>
        </w:rPr>
        <w:t>The following is a reconciliation of our consolidated GAAP net income (loss) to FFO and Adjusted FFO for the years ended December 31, 2021, 2020 and 2019 (in thousands):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9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2019</w:t>
            </w:r>
          </w:p>
        </w:tc>
      </w:tr>
      <w:tr>
        <w:trPr>
          <w:trHeight w:val="21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(194,801)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(460,821)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128,294</w:t>
            </w:r>
          </w:p>
        </w:tc>
      </w:tr>
      <w:tr>
        <w:trPr>
          <w:trHeight w:val="216"/>
        </w:trPr>
        <w:tc>
          <w:tcPr>
            <w:tcW w:w="59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Noncontrolling interest in consolidated joint venture</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42,474</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17,500</w:t>
            </w:r>
          </w:p>
        </w:tc>
      </w:tr>
      <w:tr>
        <w:trPr>
          <w:trHeight w:val="21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available to common shareholders and unit holders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(178,300)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(418,347)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145,794</w:t>
            </w:r>
          </w:p>
        </w:tc>
      </w:tr>
      <w:tr>
        <w:trPr>
          <w:trHeight w:val="216"/>
        </w:trPr>
        <w:tc>
          <w:tcPr>
            <w:tcW w:w="590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220,211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214,933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213,690</w:t>
            </w:r>
          </w:p>
        </w:tc>
      </w:tr>
      <w:tr>
        <w:trPr>
          <w:trHeight w:val="216"/>
        </w:trPr>
        <w:tc>
          <w:tcPr>
            <w:tcW w:w="5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Adjustments for noncontrolling interest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(11,069)</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(33,213)</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(34,538)</w:t>
            </w:r>
          </w:p>
        </w:tc>
      </w:tr>
      <w:tr>
        <w:trPr>
          <w:trHeight w:val="216"/>
        </w:trPr>
        <w:tc>
          <w:tcPr>
            <w:tcW w:w="59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Pro rata adjustments from joint ventures</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FFO available to common shareholders and unit holders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30,915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(236,577)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324,946</w:t>
            </w:r>
          </w:p>
        </w:tc>
      </w:tr>
      <w:tr>
        <w:trPr>
          <w:trHeight w:val="216"/>
        </w:trPr>
        <w:tc>
          <w:tcPr>
            <w:tcW w:w="5900" w:type="dxa"/>
            <w:vAlign w:val="bottom"/>
          </w:tcPr>
          <w:p>
            <w:pPr>
              <w:ind w:left="120"/>
              <w:spacing w:after="0"/>
              <w:rPr>
                <w:sz w:val="20"/>
                <w:szCs w:val="20"/>
                <w:color w:val="auto"/>
              </w:rPr>
            </w:pPr>
            <w:r>
              <w:rPr>
                <w:rFonts w:ascii="Arial" w:cs="Arial" w:eastAsia="Arial" w:hAnsi="Arial"/>
                <w:sz w:val="18"/>
                <w:szCs w:val="18"/>
                <w:color w:val="auto"/>
              </w:rPr>
              <w:t>Right-of-use asset amortization</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16"/>
        </w:trPr>
        <w:tc>
          <w:tcPr>
            <w:tcW w:w="5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Non-cash lease expense</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4,910</w:t>
            </w:r>
          </w:p>
        </w:tc>
      </w:tr>
      <w:tr>
        <w:trPr>
          <w:trHeight w:val="216"/>
        </w:trPr>
        <w:tc>
          <w:tcPr>
            <w:tcW w:w="5900" w:type="dxa"/>
            <w:vAlign w:val="bottom"/>
          </w:tcPr>
          <w:p>
            <w:pPr>
              <w:ind w:left="120"/>
              <w:spacing w:after="0"/>
              <w:rPr>
                <w:sz w:val="20"/>
                <w:szCs w:val="20"/>
                <w:color w:val="auto"/>
              </w:rPr>
            </w:pPr>
            <w:r>
              <w:rPr>
                <w:rFonts w:ascii="Arial" w:cs="Arial" w:eastAsia="Arial" w:hAnsi="Arial"/>
                <w:sz w:val="18"/>
                <w:szCs w:val="18"/>
                <w:color w:val="auto"/>
              </w:rPr>
              <w:t>Pension settlement charge</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1,379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1,740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1,904</w:t>
            </w:r>
          </w:p>
        </w:tc>
      </w:tr>
      <w:tr>
        <w:trPr>
          <w:trHeight w:val="216"/>
        </w:trPr>
        <w:tc>
          <w:tcPr>
            <w:tcW w:w="5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Credit loss on held-to-maturity securities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00" w:type="dxa"/>
            <w:vAlign w:val="bottom"/>
          </w:tcPr>
          <w:p>
            <w:pPr>
              <w:ind w:left="120"/>
              <w:spacing w:after="0"/>
              <w:rPr>
                <w:sz w:val="20"/>
                <w:szCs w:val="20"/>
                <w:color w:val="auto"/>
              </w:rPr>
            </w:pPr>
            <w:r>
              <w:rPr>
                <w:rFonts w:ascii="Arial" w:cs="Arial" w:eastAsia="Arial" w:hAnsi="Arial"/>
                <w:sz w:val="18"/>
                <w:szCs w:val="18"/>
                <w:color w:val="auto"/>
              </w:rPr>
              <w:t>Gain on other assets</w:t>
            </w: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(317)</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(1,161)</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5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Write-off of deferred financing costs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w:t>
            </w:r>
          </w:p>
        </w:tc>
      </w:tr>
      <w:tr>
        <w:trPr>
          <w:trHeight w:val="216"/>
        </w:trPr>
        <w:tc>
          <w:tcPr>
            <w:tcW w:w="5900" w:type="dxa"/>
            <w:vAlign w:val="bottom"/>
          </w:tcPr>
          <w:p>
            <w:pPr>
              <w:ind w:left="120"/>
              <w:spacing w:after="0"/>
              <w:rPr>
                <w:sz w:val="20"/>
                <w:szCs w:val="20"/>
                <w:color w:val="auto"/>
              </w:rPr>
            </w:pPr>
            <w:r>
              <w:rPr>
                <w:rFonts w:ascii="Arial" w:cs="Arial" w:eastAsia="Arial" w:hAnsi="Arial"/>
                <w:sz w:val="18"/>
                <w:szCs w:val="18"/>
                <w:color w:val="auto"/>
              </w:rPr>
              <w:t>Amortization of deferred financing costs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8,790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7,948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7,662</w:t>
            </w:r>
          </w:p>
        </w:tc>
      </w:tr>
      <w:tr>
        <w:trPr>
          <w:trHeight w:val="216"/>
        </w:trPr>
        <w:tc>
          <w:tcPr>
            <w:tcW w:w="5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debt premiums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(279)</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(267)</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5900" w:type="dxa"/>
            <w:vAlign w:val="bottom"/>
          </w:tcPr>
          <w:p>
            <w:pPr>
              <w:ind w:left="120"/>
              <w:spacing w:after="0"/>
              <w:rPr>
                <w:sz w:val="20"/>
                <w:szCs w:val="20"/>
                <w:color w:val="auto"/>
              </w:rPr>
            </w:pPr>
            <w:r>
              <w:rPr>
                <w:rFonts w:ascii="Arial" w:cs="Arial" w:eastAsia="Arial" w:hAnsi="Arial"/>
                <w:sz w:val="18"/>
                <w:szCs w:val="18"/>
                <w:color w:val="auto"/>
              </w:rPr>
              <w:t>Loss on extinguishment of debt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2,949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494</w:t>
            </w:r>
          </w:p>
        </w:tc>
      </w:tr>
      <w:tr>
        <w:trPr>
          <w:trHeight w:val="216"/>
        </w:trPr>
        <w:tc>
          <w:tcPr>
            <w:tcW w:w="5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Adjustments for noncontrolling interest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(294)</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(932)</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w:t>
            </w:r>
          </w:p>
        </w:tc>
      </w:tr>
      <w:tr>
        <w:trPr>
          <w:trHeight w:val="216"/>
        </w:trPr>
        <w:tc>
          <w:tcPr>
            <w:tcW w:w="5900" w:type="dxa"/>
            <w:vAlign w:val="bottom"/>
          </w:tcPr>
          <w:p>
            <w:pPr>
              <w:ind w:left="120"/>
              <w:spacing w:after="0"/>
              <w:rPr>
                <w:sz w:val="20"/>
                <w:szCs w:val="20"/>
                <w:color w:val="auto"/>
              </w:rPr>
            </w:pPr>
            <w:r>
              <w:rPr>
                <w:rFonts w:ascii="Arial" w:cs="Arial" w:eastAsia="Arial" w:hAnsi="Arial"/>
                <w:sz w:val="18"/>
                <w:szCs w:val="18"/>
                <w:color w:val="auto"/>
              </w:rPr>
              <w:t>Transaction costs of acquisitions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15,437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417</w:t>
            </w:r>
          </w:p>
        </w:tc>
      </w:tr>
      <w:tr>
        <w:trPr>
          <w:trHeight w:val="216"/>
        </w:trPr>
        <w:tc>
          <w:tcPr>
            <w:tcW w:w="5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tax expense</w:t>
            </w: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4,006</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26,526</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14,414</w:t>
            </w:r>
          </w:p>
        </w:tc>
      </w:tr>
      <w:tr>
        <w:trPr>
          <w:trHeight w:val="210"/>
        </w:trPr>
        <w:tc>
          <w:tcPr>
            <w:tcW w:w="5900" w:type="dxa"/>
            <w:vAlign w:val="bottom"/>
          </w:tcPr>
          <w:p>
            <w:pPr>
              <w:ind w:left="20"/>
              <w:spacing w:after="0"/>
              <w:rPr>
                <w:sz w:val="20"/>
                <w:szCs w:val="20"/>
                <w:color w:val="auto"/>
              </w:rPr>
            </w:pPr>
            <w:r>
              <w:rPr>
                <w:rFonts w:ascii="Arial" w:cs="Arial" w:eastAsia="Arial" w:hAnsi="Arial"/>
                <w:sz w:val="18"/>
                <w:szCs w:val="18"/>
                <w:color w:val="auto"/>
              </w:rPr>
              <w:t>Adjusted FFO available to common shareholders and unit holders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52,030</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(149,598)</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356,631</w:t>
            </w:r>
          </w:p>
        </w:tc>
      </w:tr>
      <w:tr>
        <w:trPr>
          <w:trHeight w:val="20"/>
        </w:trPr>
        <w:tc>
          <w:tcPr>
            <w:tcW w:w="5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left="60" w:right="159"/>
        <w:spacing w:after="0" w:line="270" w:lineRule="auto"/>
        <w:rPr>
          <w:sz w:val="20"/>
          <w:szCs w:val="20"/>
          <w:color w:val="auto"/>
        </w:rPr>
      </w:pPr>
      <w:r>
        <w:rPr>
          <w:rFonts w:ascii="Arial" w:cs="Arial" w:eastAsia="Arial" w:hAnsi="Arial"/>
          <w:sz w:val="17"/>
          <w:szCs w:val="17"/>
          <w:i w:val="1"/>
          <w:iCs w:val="1"/>
          <w:color w:val="auto"/>
        </w:rPr>
        <w:t>Cash Flows from Operating Activities</w:t>
      </w:r>
      <w:r>
        <w:rPr>
          <w:rFonts w:ascii="Arial" w:cs="Arial" w:eastAsia="Arial" w:hAnsi="Arial"/>
          <w:sz w:val="17"/>
          <w:szCs w:val="17"/>
          <w:color w:val="auto"/>
        </w:rPr>
        <w:t>. Historically, cash flow from operating activities has been the principal source of</w:t>
      </w:r>
      <w:r>
        <w:rPr>
          <w:rFonts w:ascii="Arial" w:cs="Arial" w:eastAsia="Arial" w:hAnsi="Arial"/>
          <w:sz w:val="17"/>
          <w:szCs w:val="17"/>
          <w:i w:val="1"/>
          <w:iCs w:val="1"/>
          <w:color w:val="auto"/>
        </w:rPr>
        <w:t xml:space="preserve"> </w:t>
      </w:r>
      <w:r>
        <w:rPr>
          <w:rFonts w:ascii="Arial" w:cs="Arial" w:eastAsia="Arial" w:hAnsi="Arial"/>
          <w:sz w:val="17"/>
          <w:szCs w:val="17"/>
          <w:color w:val="auto"/>
        </w:rPr>
        <w:t>cash used to fund our operating expenses, interest payments on debt, maintenance capital expenditures, and dividends to stockholders. During 2021, our net cash flows provided by operating activities were $111.3 million, primarily reflecting our net loss before depreciation expense, amortization expense and other non-cash charges of approximately $59.4 million and favorable changes in working capital of approximately $51.8 million. The favorable changes in working capital primarily resulted from an increase in deferred revenues associated with advanced room deposits at our Gaylord Hotels properties and an increase in accrued employment costs and general accrued liabilities as a result of increased business levels, partially offset by an increase in accounts receivable due to an increase in group business at our Gaylord Hotels properties.</w:t>
      </w:r>
    </w:p>
    <w:p>
      <w:pPr>
        <w:spacing w:after="0" w:line="181" w:lineRule="exact"/>
        <w:rPr>
          <w:sz w:val="20"/>
          <w:szCs w:val="20"/>
          <w:color w:val="auto"/>
        </w:rPr>
      </w:pPr>
    </w:p>
    <w:p>
      <w:pPr>
        <w:ind w:left="60" w:right="139"/>
        <w:spacing w:after="0" w:line="291" w:lineRule="auto"/>
        <w:rPr>
          <w:sz w:val="20"/>
          <w:szCs w:val="20"/>
          <w:color w:val="auto"/>
        </w:rPr>
      </w:pPr>
      <w:r>
        <w:rPr>
          <w:rFonts w:ascii="Arial" w:cs="Arial" w:eastAsia="Arial" w:hAnsi="Arial"/>
          <w:sz w:val="16"/>
          <w:szCs w:val="16"/>
          <w:color w:val="auto"/>
        </w:rPr>
        <w:t>During 2020, with our hotels and other assets operating at limited capacity, our net cash flows used in operating activities were $161.5 million, primarily reflecting cash used in our net loss before depreciation expense, amortization expense and other non-cash charges of approximately $148.0 million and unfavorable changes in working capital of approximately $13.5 million. The unfavorable changes in working capital primarily resulted from a decrease in accounts payable and accrued liabilities associated with the payment of incentive compensation and general payables due to property closures or reduced business levels, partially offset by a decrease in accounts receivable due to the collection of previous receivables and the decrease of new receivables due to property closures and a decrease in business for properties that had reopened.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Flows Used in Investing Activities</w:t>
      </w:r>
      <w:r>
        <w:rPr>
          <w:rFonts w:ascii="Arial" w:cs="Arial" w:eastAsia="Arial" w:hAnsi="Arial"/>
          <w:sz w:val="18"/>
          <w:szCs w:val="18"/>
          <w:color w:val="auto"/>
        </w:rPr>
        <w:t>.</w:t>
      </w:r>
    </w:p>
    <w:p>
      <w:pPr>
        <w:spacing w:after="0" w:line="225" w:lineRule="exact"/>
        <w:rPr>
          <w:sz w:val="20"/>
          <w:szCs w:val="20"/>
          <w:color w:val="auto"/>
        </w:rPr>
      </w:pPr>
    </w:p>
    <w:p>
      <w:pPr>
        <w:ind w:left="60" w:right="159"/>
        <w:spacing w:after="0" w:line="279" w:lineRule="auto"/>
        <w:rPr>
          <w:sz w:val="20"/>
          <w:szCs w:val="20"/>
          <w:color w:val="auto"/>
        </w:rPr>
      </w:pPr>
      <w:r>
        <w:rPr>
          <w:rFonts w:ascii="Arial" w:cs="Arial" w:eastAsia="Arial" w:hAnsi="Arial"/>
          <w:sz w:val="17"/>
          <w:szCs w:val="17"/>
          <w:color w:val="auto"/>
        </w:rPr>
        <w:t>During 2021, our primary use of funds for investing activities was the $210.0 million purchase of the remaining 35% interest in the Gaylord Rockies joint venture and adjacent, undeveloped land. In addition, we spent $77.4 million for purchases of property and equipment, which consisted primarily of a rooms renovation at Gaylord National, the expansion of Gaylord Palms, and ongoing maintenance capital expenditures for our existing properties.</w:t>
      </w:r>
    </w:p>
    <w:p>
      <w:pPr>
        <w:spacing w:after="0" w:line="171" w:lineRule="exact"/>
        <w:rPr>
          <w:sz w:val="20"/>
          <w:szCs w:val="20"/>
          <w:color w:val="auto"/>
        </w:rPr>
      </w:pPr>
    </w:p>
    <w:p>
      <w:pPr>
        <w:jc w:val="both"/>
        <w:ind w:left="60" w:right="199"/>
        <w:spacing w:after="0" w:line="263" w:lineRule="auto"/>
        <w:rPr>
          <w:sz w:val="20"/>
          <w:szCs w:val="20"/>
          <w:color w:val="auto"/>
        </w:rPr>
      </w:pPr>
      <w:r>
        <w:rPr>
          <w:rFonts w:ascii="Arial" w:cs="Arial" w:eastAsia="Arial" w:hAnsi="Arial"/>
          <w:sz w:val="18"/>
          <w:szCs w:val="18"/>
          <w:color w:val="auto"/>
        </w:rPr>
        <w:t>During 2020, our primary uses of funds for investing activities were purchases of property and equipment, which totaled $165.5 million, and consisted primarily of the expansion of Gaylord Palms and ongoing maintenance capital expenditures for our existing properties.</w:t>
      </w:r>
    </w:p>
    <w:p>
      <w:pPr>
        <w:spacing w:after="0" w:line="184" w:lineRule="exact"/>
        <w:rPr>
          <w:sz w:val="20"/>
          <w:szCs w:val="20"/>
          <w:color w:val="auto"/>
        </w:rPr>
      </w:pPr>
    </w:p>
    <w:p>
      <w:pPr>
        <w:ind w:left="60" w:right="139"/>
        <w:spacing w:after="0" w:line="257" w:lineRule="auto"/>
        <w:rPr>
          <w:sz w:val="20"/>
          <w:szCs w:val="20"/>
          <w:color w:val="auto"/>
        </w:rPr>
      </w:pPr>
      <w:r>
        <w:rPr>
          <w:rFonts w:ascii="Arial" w:cs="Arial" w:eastAsia="Arial" w:hAnsi="Arial"/>
          <w:sz w:val="18"/>
          <w:szCs w:val="18"/>
          <w:i w:val="1"/>
          <w:iCs w:val="1"/>
          <w:color w:val="auto"/>
        </w:rPr>
        <w:t xml:space="preserve">Cash Flows from Financing Activities. </w:t>
      </w:r>
      <w:r>
        <w:rPr>
          <w:rFonts w:ascii="Arial" w:cs="Arial" w:eastAsia="Arial" w:hAnsi="Arial"/>
          <w:sz w:val="18"/>
          <w:szCs w:val="18"/>
          <w:color w:val="auto"/>
        </w:rPr>
        <w:t>Our cash flows from financing activities reflect primarily the incurrence of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repayment of long-term debt and, during 2020, the payment of dividends. During 2021, net cash flows provided by financing activities were $261.7 million, primarily reflecting net senior note borrowing of $200.0 million and net borrowings under our credit facility of $79.0 million, partially offset by the payment of $10.6 million in deferred financing costs.</w:t>
      </w:r>
    </w:p>
    <w:p>
      <w:pPr>
        <w:spacing w:after="0" w:line="188" w:lineRule="exact"/>
        <w:rPr>
          <w:sz w:val="20"/>
          <w:szCs w:val="20"/>
          <w:color w:val="auto"/>
        </w:rPr>
      </w:pPr>
    </w:p>
    <w:p>
      <w:pPr>
        <w:ind w:left="60" w:right="479"/>
        <w:spacing w:after="0" w:line="308" w:lineRule="auto"/>
        <w:rPr>
          <w:sz w:val="20"/>
          <w:szCs w:val="20"/>
          <w:color w:val="auto"/>
        </w:rPr>
      </w:pPr>
      <w:r>
        <w:rPr>
          <w:rFonts w:ascii="Arial" w:cs="Arial" w:eastAsia="Arial" w:hAnsi="Arial"/>
          <w:sz w:val="17"/>
          <w:szCs w:val="17"/>
          <w:color w:val="auto"/>
        </w:rPr>
        <w:t>During 2020, net cash flows used in financing activities were $6.5 million, primarily reflecting the payment of $102.3 million in cash dividends, partially offset by $101.0 million in net borrowings under our credit facility.</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Liquidity</w:t>
      </w:r>
    </w:p>
    <w:p>
      <w:pPr>
        <w:spacing w:after="0" w:line="225" w:lineRule="exact"/>
        <w:rPr>
          <w:sz w:val="20"/>
          <w:szCs w:val="20"/>
          <w:color w:val="auto"/>
        </w:rPr>
      </w:pPr>
    </w:p>
    <w:p>
      <w:pPr>
        <w:ind w:left="60" w:right="119"/>
        <w:spacing w:after="0" w:line="254" w:lineRule="auto"/>
        <w:rPr>
          <w:sz w:val="20"/>
          <w:szCs w:val="20"/>
          <w:color w:val="auto"/>
        </w:rPr>
      </w:pPr>
      <w:r>
        <w:rPr>
          <w:rFonts w:ascii="Arial" w:cs="Arial" w:eastAsia="Arial" w:hAnsi="Arial"/>
          <w:sz w:val="18"/>
          <w:szCs w:val="18"/>
          <w:color w:val="auto"/>
        </w:rPr>
        <w:t>At December 31, 2021, we had $140.7 million in unrestricted cash and $509.8 million available for borrowing under our revolving credit facility. During 2021, we net borrowed $84.0 million under our revolving credit facility, tendered for and redeemed $400.0 million in aggregate principal amount of senior notes, issued $600.0 million in aggregate principal amount of new senior notes, purchased the remaining 35% of the Gaylord Rockies joint venture that we did not previously own and undeveloped land adjacent to Gaylord Rockies for $210.0 million, and incurred capital expenditures of $77.4 million. These net outflows, offset by cash flows from operations discussed above, were the primary factors in the increase in our cash balance from 2020 to 2021.</w:t>
      </w:r>
    </w:p>
    <w:p>
      <w:pPr>
        <w:spacing w:after="0" w:line="195" w:lineRule="exact"/>
        <w:rPr>
          <w:sz w:val="20"/>
          <w:szCs w:val="20"/>
          <w:color w:val="auto"/>
        </w:rPr>
      </w:pPr>
    </w:p>
    <w:p>
      <w:pPr>
        <w:jc w:val="both"/>
        <w:ind w:left="60" w:right="199"/>
        <w:spacing w:after="0" w:line="311" w:lineRule="auto"/>
        <w:rPr>
          <w:sz w:val="20"/>
          <w:szCs w:val="20"/>
          <w:color w:val="auto"/>
        </w:rPr>
      </w:pPr>
      <w:r>
        <w:rPr>
          <w:rFonts w:ascii="Arial" w:cs="Arial" w:eastAsia="Arial" w:hAnsi="Arial"/>
          <w:sz w:val="16"/>
          <w:szCs w:val="16"/>
          <w:color w:val="auto"/>
        </w:rPr>
        <w:t>We anticipate investing in our operations during 2022 by spending between approximately $150 million and $180 million in capital expenditures, which primarily includes the construction of Ole Red Las Vegas, a re-concepting of the food and beverage options at Gaylord National, enhancements to the offerings at Block 21, and ongoing maintenance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79" w:lineRule="auto"/>
        <w:rPr>
          <w:sz w:val="20"/>
          <w:szCs w:val="20"/>
          <w:color w:val="auto"/>
        </w:rPr>
      </w:pPr>
      <w:r>
        <w:rPr>
          <w:rFonts w:ascii="Arial" w:cs="Arial" w:eastAsia="Arial" w:hAnsi="Arial"/>
          <w:sz w:val="17"/>
          <w:szCs w:val="17"/>
          <w:color w:val="auto"/>
        </w:rPr>
        <w:t>capital of our current facilities. In addition, we plan to spend approximately $125 million, after assumption of existing mortgage debt, to complete the anticipated Block 21 acquisition and intend to contribute up to an additional $12.0 million in capital to the Circle joint venture for working capital needs. We currently have no debt maturities until July 2023. We believe we will be able to refinance our debt agreements prior to their maturities.</w:t>
      </w:r>
    </w:p>
    <w:p>
      <w:pPr>
        <w:spacing w:after="0" w:line="171"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We believe that our cash on hand, together with amounts available for borrowing under our revolving credit facility, will be adequate to fund our general short-term commitments, as well as: (i) current operating expenses, (ii) interest expense on long-term debt obligations, and (iii) financing lease and operating lease obligations until our assets are able to operate at pre-COVID-19 pandemic levels. Our ability to draw on our credit facility is subject to the satisfaction of provisions of the credit facility, as amended.</w:t>
      </w:r>
    </w:p>
    <w:p>
      <w:pPr>
        <w:spacing w:after="0" w:line="188" w:lineRule="exact"/>
        <w:rPr>
          <w:sz w:val="20"/>
          <w:szCs w:val="20"/>
          <w:color w:val="auto"/>
        </w:rPr>
      </w:pPr>
    </w:p>
    <w:p>
      <w:pPr>
        <w:ind w:left="60" w:right="299"/>
        <w:spacing w:after="0" w:line="308" w:lineRule="auto"/>
        <w:rPr>
          <w:sz w:val="20"/>
          <w:szCs w:val="20"/>
          <w:color w:val="auto"/>
        </w:rPr>
      </w:pPr>
      <w:r>
        <w:rPr>
          <w:rFonts w:ascii="Arial" w:cs="Arial" w:eastAsia="Arial" w:hAnsi="Arial"/>
          <w:sz w:val="17"/>
          <w:szCs w:val="17"/>
          <w:color w:val="auto"/>
        </w:rPr>
        <w:t>Our outstanding principal debt agreements are described below. At December 31, 2021, there were no defaults under the covenants related to our outstanding debt based on the amended terms of our credit agreement.</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Principal Debt Agreements</w:t>
      </w:r>
    </w:p>
    <w:p>
      <w:pPr>
        <w:spacing w:after="0" w:line="225" w:lineRule="exact"/>
        <w:rPr>
          <w:sz w:val="20"/>
          <w:szCs w:val="20"/>
          <w:color w:val="auto"/>
        </w:rPr>
      </w:pPr>
    </w:p>
    <w:p>
      <w:pPr>
        <w:ind w:left="60" w:right="179"/>
        <w:spacing w:after="0" w:line="269" w:lineRule="auto"/>
        <w:rPr>
          <w:sz w:val="20"/>
          <w:szCs w:val="20"/>
          <w:color w:val="auto"/>
        </w:rPr>
      </w:pPr>
      <w:r>
        <w:rPr>
          <w:rFonts w:ascii="Arial" w:cs="Arial" w:eastAsia="Arial" w:hAnsi="Arial"/>
          <w:sz w:val="17"/>
          <w:szCs w:val="17"/>
          <w:i w:val="1"/>
          <w:iCs w:val="1"/>
          <w:color w:val="auto"/>
        </w:rPr>
        <w:t>Credit Facility</w:t>
      </w:r>
      <w:r>
        <w:rPr>
          <w:rFonts w:ascii="Arial" w:cs="Arial" w:eastAsia="Arial" w:hAnsi="Arial"/>
          <w:sz w:val="17"/>
          <w:szCs w:val="17"/>
          <w:color w:val="auto"/>
        </w:rPr>
        <w:t>. On October 31, 2019, we entered into a Sixth Amended and Restated Credit Agreement (the “Credit</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among the Company, as a guarantor, the Operating Partnership, as borrower, certain other subsidiaries of the Company party thereto, as guarantors, certain subsidiaries of the Company party thereto, as pledgors, the lenders party thereto and Wells Fargo Bank, N.A., as administrative agent, which amended and restated the Company’s existing credit facility. As amended, our credit facility consists of a $700.0 million senior secured revolving credit facility (the “Revolver”), a $300.0 million senior secured term loan A (the “Term Loan A”), and a $500.0 million senior secured term loan B (the “Term Loan B”), each as discussed below. The Credit Agreement also includes an accordion feature of $600 million and a $50.0 million letter of credit sublimit. In 2020, we entered into two amendments (the “Amendments”) to the Credit Agreement among the same parties, each as discussed below. Additionally, we further amended the Credit Agreement in October 2021 to permit an acquisition during the Credit Agreement’s restricted period (as defined below) and an assumption of indebtedness, subject to certain conditions.</w:t>
      </w:r>
    </w:p>
    <w:p>
      <w:pPr>
        <w:spacing w:after="0" w:line="182" w:lineRule="exact"/>
        <w:rPr>
          <w:sz w:val="20"/>
          <w:szCs w:val="20"/>
          <w:color w:val="auto"/>
        </w:rPr>
      </w:pPr>
    </w:p>
    <w:p>
      <w:pPr>
        <w:ind w:left="60" w:right="99"/>
        <w:spacing w:after="0" w:line="269" w:lineRule="auto"/>
        <w:rPr>
          <w:sz w:val="20"/>
          <w:szCs w:val="20"/>
          <w:color w:val="auto"/>
        </w:rPr>
      </w:pPr>
      <w:r>
        <w:rPr>
          <w:rFonts w:ascii="Arial" w:cs="Arial" w:eastAsia="Arial" w:hAnsi="Arial"/>
          <w:sz w:val="17"/>
          <w:szCs w:val="17"/>
          <w:color w:val="auto"/>
        </w:rPr>
        <w:t>Each of the Revolver, Term Loan A and Term Loan B is guaranteed by us, each of our subsidiaries that own the Gaylord Hotels properties, other than Gaylord Rockies, and certain of our other subsidiaries. Each is secured by (i) a first mortgage lien on the real property of each of our Gaylord Hotels properties, excluding Gaylord Rockies, (ii) pledges of equity interests in our subsidiaries that own the Gaylord Hotels properties, excluding Gaylord Rockies, (iii) pledges of equity interests in the Operating Partnership, our subsidiaries that guarantee the Credit Agreement, and certain other of our subsidiaries, (iv) our personal property and the personal property of the Operating Partnership and our guarantor subsidiaries and (v) all proceeds and products from our Gaylord Hotels properties, excluding Gaylord Rockies. Advances are subject to a 55% borrowing base, based on the appraisal value of the Gaylord Hotels properties (reduced to 50% in the event one of the Gaylord Hotel properties is sold), in each case, excluding Gaylord Rockies. Assets of Gaylord Rockies are not subject to the liens of our credit facility.</w:t>
      </w:r>
    </w:p>
    <w:p>
      <w:pPr>
        <w:spacing w:after="0" w:line="185" w:lineRule="exact"/>
        <w:rPr>
          <w:sz w:val="20"/>
          <w:szCs w:val="20"/>
          <w:color w:val="auto"/>
        </w:rPr>
      </w:pPr>
    </w:p>
    <w:p>
      <w:pPr>
        <w:ind w:left="60" w:right="79"/>
        <w:spacing w:after="0" w:line="279" w:lineRule="auto"/>
        <w:rPr>
          <w:sz w:val="20"/>
          <w:szCs w:val="20"/>
          <w:color w:val="auto"/>
        </w:rPr>
      </w:pPr>
      <w:r>
        <w:rPr>
          <w:rFonts w:ascii="Arial" w:cs="Arial" w:eastAsia="Arial" w:hAnsi="Arial"/>
          <w:sz w:val="17"/>
          <w:szCs w:val="17"/>
          <w:color w:val="auto"/>
        </w:rPr>
        <w:t>In addition, each of the Revolver, Term Loan A and Term Loan B contains certain covenants which, among other things, limit the incurrence of additional indebtedness, investments, dividends, transactions with affiliates, asset sales, acquisitions, mergers and consolidations, liens and encumbrances and other matters customarily restricted in such agreements. The material financial covenants, ratios or tests contained in the Credit Agreement are as follows:</w:t>
      </w:r>
    </w:p>
    <w:p>
      <w:pPr>
        <w:spacing w:after="0" w:line="171" w:lineRule="exact"/>
        <w:rPr>
          <w:sz w:val="20"/>
          <w:szCs w:val="20"/>
          <w:color w:val="auto"/>
        </w:rPr>
      </w:pPr>
    </w:p>
    <w:p>
      <w:pPr>
        <w:ind w:left="720" w:right="459" w:hanging="319"/>
        <w:spacing w:after="0" w:line="277" w:lineRule="auto"/>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must maintain a consolidated funded indebtedness to total asset value ratio as of the end of each calendar quarter of not more than .65 to 1.0.</w:t>
      </w:r>
    </w:p>
    <w:p>
      <w:pPr>
        <w:spacing w:after="0" w:line="170" w:lineRule="exact"/>
        <w:rPr>
          <w:rFonts w:ascii="Arial" w:cs="Arial" w:eastAsia="Arial" w:hAnsi="Arial"/>
          <w:sz w:val="18"/>
          <w:szCs w:val="18"/>
          <w:color w:val="auto"/>
        </w:rPr>
      </w:pPr>
    </w:p>
    <w:p>
      <w:pPr>
        <w:ind w:left="720" w:right="99" w:hanging="319"/>
        <w:spacing w:after="0" w:line="277" w:lineRule="auto"/>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must maintain a consolidated fixed charge coverage ratio, as defined in the Credit Agreement, of not less than 1.50 to 1.00.</w:t>
      </w:r>
    </w:p>
    <w:p>
      <w:pPr>
        <w:spacing w:after="0" w:line="170" w:lineRule="exact"/>
        <w:rPr>
          <w:rFonts w:ascii="Arial" w:cs="Arial" w:eastAsia="Arial" w:hAnsi="Arial"/>
          <w:sz w:val="18"/>
          <w:szCs w:val="18"/>
          <w:color w:val="auto"/>
        </w:rPr>
      </w:pPr>
    </w:p>
    <w:p>
      <w:pPr>
        <w:ind w:left="720" w:right="259" w:hanging="319"/>
        <w:spacing w:after="0" w:line="263" w:lineRule="auto"/>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must maintain an implied debt service coverage ratio (the ratio of adjusted net operating income to monthly principal and interest that would be required if the outstanding balance were amortized over 25 years at an assumed fixed rate) of not less than 1.60 to 1.00.</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7" w:lineRule="auto"/>
        <w:rPr>
          <w:sz w:val="20"/>
          <w:szCs w:val="20"/>
          <w:color w:val="auto"/>
        </w:rPr>
      </w:pPr>
      <w:r>
        <w:rPr>
          <w:rFonts w:ascii="Arial" w:cs="Arial" w:eastAsia="Arial" w:hAnsi="Arial"/>
          <w:sz w:val="18"/>
          <w:szCs w:val="18"/>
          <w:color w:val="auto"/>
        </w:rPr>
        <w:t>The Amendments provide for a waiver of the foregoing financial covenants through March 31, 2022 (the “Temporary Waiver Period”). In addition, the Amendments contain a covenant that we must maintain unrestricted liquidity (in the form of unrestricted cash on hand or undrawn availability under the Revolver) of at least $100 million. In the event we are unable to comply with the Credit Agreement’s financial covenants, we expect to further amend the Credit Agreement or take other mitigating actions prior to a potential breach.</w:t>
      </w:r>
    </w:p>
    <w:p>
      <w:pPr>
        <w:spacing w:after="0" w:line="188" w:lineRule="exact"/>
        <w:rPr>
          <w:sz w:val="20"/>
          <w:szCs w:val="20"/>
          <w:color w:val="auto"/>
        </w:rPr>
      </w:pPr>
    </w:p>
    <w:p>
      <w:pPr>
        <w:ind w:left="60" w:right="159"/>
        <w:spacing w:after="0" w:line="270" w:lineRule="auto"/>
        <w:rPr>
          <w:sz w:val="20"/>
          <w:szCs w:val="20"/>
          <w:color w:val="auto"/>
        </w:rPr>
      </w:pPr>
      <w:r>
        <w:rPr>
          <w:rFonts w:ascii="Arial" w:cs="Arial" w:eastAsia="Arial" w:hAnsi="Arial"/>
          <w:sz w:val="17"/>
          <w:szCs w:val="17"/>
          <w:color w:val="auto"/>
        </w:rPr>
        <w:t>We may elect to terminate the Temporary Waiver Period prior to expiration. For the first quarter following expiration or termination of the Temporary Waiver Period, we will calculate compliance with the financial covenants in the Credit Agreement using a designated annualized calculation based on our most recently completed fiscal quarter. Thereafter, we will be required to satisfy financial covenants at the levels set forth in the Credit Agreement using a designated annualized calculation based on our most recently completed fiscal quarters, as applicable. Pursuant to the Amendments, we are required to use any proceeds from borrowings drawn during the Temporary Waiver Period and until we demonstrate financial covenant compliance following the expiration or earlier termination of the Temporary Waiver Period (the “Restricted Period”) to fund operating expenses, debt service of the Company and its subsidiaries, and permitted capital expenditures and investments.</w:t>
      </w:r>
    </w:p>
    <w:p>
      <w:pPr>
        <w:spacing w:after="0" w:line="181" w:lineRule="exact"/>
        <w:rPr>
          <w:sz w:val="20"/>
          <w:szCs w:val="20"/>
          <w:color w:val="auto"/>
        </w:rPr>
      </w:pPr>
    </w:p>
    <w:p>
      <w:pPr>
        <w:ind w:left="60" w:right="139"/>
        <w:spacing w:after="0" w:line="286" w:lineRule="auto"/>
        <w:rPr>
          <w:sz w:val="20"/>
          <w:szCs w:val="20"/>
          <w:color w:val="auto"/>
        </w:rPr>
      </w:pPr>
      <w:r>
        <w:rPr>
          <w:rFonts w:ascii="Arial" w:cs="Arial" w:eastAsia="Arial" w:hAnsi="Arial"/>
          <w:sz w:val="17"/>
          <w:szCs w:val="17"/>
          <w:color w:val="auto"/>
        </w:rPr>
        <w:t>If an event of default shall occur and be continuing under the Credit Agreement, the commitments under the Credit Agreement may be terminated and the principal amount outstanding under the Credit Agreement, together with all accrued unpaid interest and other amounts owing in respect thereof, may be declared immediately due and payable.</w:t>
      </w:r>
    </w:p>
    <w:p>
      <w:pPr>
        <w:spacing w:after="0" w:line="165" w:lineRule="exact"/>
        <w:rPr>
          <w:sz w:val="20"/>
          <w:szCs w:val="20"/>
          <w:color w:val="auto"/>
        </w:rPr>
      </w:pPr>
    </w:p>
    <w:p>
      <w:pPr>
        <w:jc w:val="both"/>
        <w:ind w:left="60" w:right="79"/>
        <w:spacing w:after="0" w:line="293" w:lineRule="auto"/>
        <w:rPr>
          <w:sz w:val="20"/>
          <w:szCs w:val="20"/>
          <w:color w:val="auto"/>
        </w:rPr>
      </w:pPr>
      <w:r>
        <w:rPr>
          <w:rFonts w:ascii="Arial" w:cs="Arial" w:eastAsia="Arial" w:hAnsi="Arial"/>
          <w:sz w:val="16"/>
          <w:szCs w:val="16"/>
          <w:i w:val="1"/>
          <w:iCs w:val="1"/>
          <w:color w:val="auto"/>
        </w:rPr>
        <w:t xml:space="preserve">Revolving Credit Facility. </w:t>
      </w:r>
      <w:r>
        <w:rPr>
          <w:rFonts w:ascii="Arial" w:cs="Arial" w:eastAsia="Arial" w:hAnsi="Arial"/>
          <w:sz w:val="16"/>
          <w:szCs w:val="16"/>
          <w:color w:val="auto"/>
        </w:rPr>
        <w:t>Pursuant to the Credit Agreement, we extended the maturity of the Revolver to March 31, 2024,</w:t>
      </w:r>
      <w:r>
        <w:rPr>
          <w:rFonts w:ascii="Arial" w:cs="Arial" w:eastAsia="Arial" w:hAnsi="Arial"/>
          <w:sz w:val="16"/>
          <w:szCs w:val="16"/>
          <w:i w:val="1"/>
          <w:iCs w:val="1"/>
          <w:color w:val="auto"/>
        </w:rPr>
        <w:t xml:space="preserve"> </w:t>
      </w:r>
      <w:r>
        <w:rPr>
          <w:rFonts w:ascii="Arial" w:cs="Arial" w:eastAsia="Arial" w:hAnsi="Arial"/>
          <w:sz w:val="16"/>
          <w:szCs w:val="16"/>
          <w:color w:val="auto"/>
        </w:rPr>
        <w:t>with two additional six-month extension options, at our election. Borrowings under the Revolver bear interest at an annual rate equal to, at our option, either (i) LIBOR plus the applicable margin ranging from 1.40% to 1.95%, dependent upon our funded debt to total asset value ratio (as defined in the Credit Agreement) or (ii) a base rate as set in the Credit Agreement. Pursuant to the Amendments, beginning April 1, 2021 through the end of the Restricted Period, the interest rate on LIBOR-based borrowings under the Revolver will be LIBOR plus 2.25%. Principal is payable in full at maturity.</w:t>
      </w:r>
    </w:p>
    <w:p>
      <w:pPr>
        <w:spacing w:after="0" w:line="164" w:lineRule="exact"/>
        <w:rPr>
          <w:sz w:val="20"/>
          <w:szCs w:val="20"/>
          <w:color w:val="auto"/>
        </w:rPr>
      </w:pPr>
    </w:p>
    <w:p>
      <w:pPr>
        <w:ind w:left="60" w:right="79"/>
        <w:spacing w:after="0" w:line="279" w:lineRule="auto"/>
        <w:rPr>
          <w:sz w:val="20"/>
          <w:szCs w:val="20"/>
          <w:color w:val="auto"/>
        </w:rPr>
      </w:pPr>
      <w:r>
        <w:rPr>
          <w:rFonts w:ascii="Arial" w:cs="Arial" w:eastAsia="Arial" w:hAnsi="Arial"/>
          <w:sz w:val="17"/>
          <w:szCs w:val="17"/>
          <w:color w:val="auto"/>
        </w:rPr>
        <w:t>At December 31, 2021, $190.0 million of borrowings were outstanding under the Revolver, and the lending banks had issued $0.2 million of letters of credit under the Credit Agreement, which left $509.8 million of availability under the Revolver (subject to the satisfaction of debt incurrence tests under the indentures governing our $600 Million 4.50% Senior Notes and our $700 Million 4.75% Senior Notes, which we met at December 31, 2021).</w:t>
      </w:r>
    </w:p>
    <w:p>
      <w:pPr>
        <w:spacing w:after="0" w:line="171" w:lineRule="exact"/>
        <w:rPr>
          <w:sz w:val="20"/>
          <w:szCs w:val="20"/>
          <w:color w:val="auto"/>
        </w:rPr>
      </w:pPr>
    </w:p>
    <w:p>
      <w:pPr>
        <w:ind w:left="60" w:right="239"/>
        <w:spacing w:after="0" w:line="293" w:lineRule="auto"/>
        <w:rPr>
          <w:sz w:val="20"/>
          <w:szCs w:val="20"/>
          <w:color w:val="auto"/>
        </w:rPr>
      </w:pPr>
      <w:r>
        <w:rPr>
          <w:rFonts w:ascii="Arial" w:cs="Arial" w:eastAsia="Arial" w:hAnsi="Arial"/>
          <w:sz w:val="16"/>
          <w:szCs w:val="16"/>
          <w:i w:val="1"/>
          <w:iCs w:val="1"/>
          <w:color w:val="auto"/>
        </w:rPr>
        <w:t xml:space="preserve">Term Loan A Facility. </w:t>
      </w:r>
      <w:r>
        <w:rPr>
          <w:rFonts w:ascii="Arial" w:cs="Arial" w:eastAsia="Arial" w:hAnsi="Arial"/>
          <w:sz w:val="16"/>
          <w:szCs w:val="16"/>
          <w:color w:val="auto"/>
        </w:rPr>
        <w:t>Pursuant to the Credit Agreement, we extended the maturity date of the Term Loan A to March 31,</w:t>
      </w:r>
      <w:r>
        <w:rPr>
          <w:rFonts w:ascii="Arial" w:cs="Arial" w:eastAsia="Arial" w:hAnsi="Arial"/>
          <w:sz w:val="16"/>
          <w:szCs w:val="16"/>
          <w:i w:val="1"/>
          <w:iCs w:val="1"/>
          <w:color w:val="auto"/>
        </w:rPr>
        <w:t xml:space="preserve"> </w:t>
      </w:r>
      <w:r>
        <w:rPr>
          <w:rFonts w:ascii="Arial" w:cs="Arial" w:eastAsia="Arial" w:hAnsi="Arial"/>
          <w:sz w:val="16"/>
          <w:szCs w:val="16"/>
          <w:color w:val="auto"/>
        </w:rPr>
        <w:t>2025. Borrowings bear interest at an annual rate equal to, at our option, either (i) LIBOR plus the applicable margin ranging from 1.35% to 1.90%, dependent upon our funded debt to total asset value ratio (as defined in the Credit Agreement) or (ii) a base rate as set in the Credit Agreement. Pursuant to the Amendments, beginning April 1, 2021 through the end of the Restricted Period, the interest rate on LIBOR-based borrowings under the Term Loan A will be LIBOR plus 2.25%. Amounts borrowed under the Term Loan A that are repaid or prepaid may not be reborrowed.</w:t>
      </w:r>
    </w:p>
    <w:p>
      <w:pPr>
        <w:spacing w:after="0" w:line="164" w:lineRule="exact"/>
        <w:rPr>
          <w:sz w:val="20"/>
          <w:szCs w:val="20"/>
          <w:color w:val="auto"/>
        </w:rPr>
      </w:pPr>
    </w:p>
    <w:p>
      <w:pPr>
        <w:ind w:left="60" w:right="139"/>
        <w:spacing w:after="0" w:line="284" w:lineRule="auto"/>
        <w:rPr>
          <w:sz w:val="20"/>
          <w:szCs w:val="20"/>
          <w:color w:val="auto"/>
        </w:rPr>
      </w:pPr>
      <w:r>
        <w:rPr>
          <w:rFonts w:ascii="Arial" w:cs="Arial" w:eastAsia="Arial" w:hAnsi="Arial"/>
          <w:sz w:val="16"/>
          <w:szCs w:val="16"/>
          <w:i w:val="1"/>
          <w:iCs w:val="1"/>
          <w:color w:val="auto"/>
        </w:rPr>
        <w:t xml:space="preserve">Term Loan B Facility. </w:t>
      </w:r>
      <w:r>
        <w:rPr>
          <w:rFonts w:ascii="Arial" w:cs="Arial" w:eastAsia="Arial" w:hAnsi="Arial"/>
          <w:sz w:val="16"/>
          <w:szCs w:val="16"/>
          <w:color w:val="auto"/>
        </w:rPr>
        <w:t>The Term Loan B has a maturity date of May 11, 2024. The applicable interest rate margins on</w:t>
      </w:r>
      <w:r>
        <w:rPr>
          <w:rFonts w:ascii="Arial" w:cs="Arial" w:eastAsia="Arial" w:hAnsi="Arial"/>
          <w:sz w:val="16"/>
          <w:szCs w:val="16"/>
          <w:i w:val="1"/>
          <w:iCs w:val="1"/>
          <w:color w:val="auto"/>
        </w:rPr>
        <w:t xml:space="preserve"> </w:t>
      </w:r>
      <w:r>
        <w:rPr>
          <w:rFonts w:ascii="Arial" w:cs="Arial" w:eastAsia="Arial" w:hAnsi="Arial"/>
          <w:sz w:val="16"/>
          <w:szCs w:val="16"/>
          <w:color w:val="auto"/>
        </w:rPr>
        <w:t>borrowings under the Term Loan B are, at our option, either (i) LIBOR plus 2.00% or (ii) a base rate as set in the Credit Agreement. At December 31, 2021, the interest rate on the Term Loan B was LIBOR plus 2.00%. In October 2019, we entered into four interest rate swaps with a total notional amount of $350.0 million to fix the LIBOR portion of the interest rate, at rates between 1.2235% and 1.2315%, through May 11, 2023. We have designated these interest rate swaps as effective cash flow hedges. The Term Loan B amortizes in equal quarterly installments in aggregate annual amounts equal to 1.0% of the original principal amount of $500.0 million, with the balance due at maturity. In addition, if for any</w:t>
      </w:r>
    </w:p>
    <w:p>
      <w:pPr>
        <w:spacing w:after="0" w:line="2" w:lineRule="exact"/>
        <w:rPr>
          <w:sz w:val="20"/>
          <w:szCs w:val="20"/>
          <w:color w:val="auto"/>
        </w:rPr>
      </w:pPr>
    </w:p>
    <w:p>
      <w:pPr>
        <w:jc w:val="both"/>
        <w:ind w:left="60" w:right="459"/>
        <w:spacing w:after="0" w:line="255" w:lineRule="auto"/>
        <w:rPr>
          <w:sz w:val="20"/>
          <w:szCs w:val="20"/>
          <w:color w:val="auto"/>
        </w:rPr>
      </w:pPr>
      <w:r>
        <w:rPr>
          <w:rFonts w:ascii="Arial" w:cs="Arial" w:eastAsia="Arial" w:hAnsi="Arial"/>
          <w:sz w:val="18"/>
          <w:szCs w:val="18"/>
          <w:color w:val="auto"/>
        </w:rPr>
        <w:t>fiscal year there is Excess Cash Flow (as defined in the Credit Agreement), an additional principal amount is required. Amounts borrowed under the Term Loan B that are repaid or prepaid may not be reborrowed. At December 31, 2021, $376.3 million in borrowings were outstanding under the Term Loan B.</w:t>
      </w:r>
    </w:p>
    <w:p>
      <w:pPr>
        <w:spacing w:after="0" w:line="190" w:lineRule="exact"/>
        <w:rPr>
          <w:sz w:val="20"/>
          <w:szCs w:val="20"/>
          <w:color w:val="auto"/>
        </w:rPr>
      </w:pPr>
    </w:p>
    <w:p>
      <w:pPr>
        <w:jc w:val="both"/>
        <w:ind w:left="60" w:right="799"/>
        <w:spacing w:after="0" w:line="311" w:lineRule="auto"/>
        <w:rPr>
          <w:sz w:val="20"/>
          <w:szCs w:val="20"/>
          <w:color w:val="auto"/>
        </w:rPr>
      </w:pPr>
      <w:r>
        <w:rPr>
          <w:rFonts w:ascii="Arial" w:cs="Arial" w:eastAsia="Arial" w:hAnsi="Arial"/>
          <w:sz w:val="16"/>
          <w:szCs w:val="16"/>
          <w:i w:val="1"/>
          <w:iCs w:val="1"/>
          <w:color w:val="auto"/>
        </w:rPr>
        <w:t xml:space="preserve">$700 Million 4.75% Senior Notes. </w:t>
      </w:r>
      <w:r>
        <w:rPr>
          <w:rFonts w:ascii="Arial" w:cs="Arial" w:eastAsia="Arial" w:hAnsi="Arial"/>
          <w:sz w:val="16"/>
          <w:szCs w:val="16"/>
          <w:color w:val="auto"/>
        </w:rPr>
        <w:t>In September 2019, the Operating Partnership and Finco completed the private</w:t>
      </w:r>
      <w:r>
        <w:rPr>
          <w:rFonts w:ascii="Arial" w:cs="Arial" w:eastAsia="Arial" w:hAnsi="Arial"/>
          <w:sz w:val="16"/>
          <w:szCs w:val="16"/>
          <w:i w:val="1"/>
          <w:iCs w:val="1"/>
          <w:color w:val="auto"/>
        </w:rPr>
        <w:t xml:space="preserve"> </w:t>
      </w:r>
      <w:r>
        <w:rPr>
          <w:rFonts w:ascii="Arial" w:cs="Arial" w:eastAsia="Arial" w:hAnsi="Arial"/>
          <w:sz w:val="16"/>
          <w:szCs w:val="16"/>
          <w:color w:val="auto"/>
        </w:rPr>
        <w:t>placement of $500.0 million in aggregate principal amount of senior notes due 2027, which are guaranteed by the Company and its subsidiaries that guarantee the Credit Agreement. The $500 Million 4.75% Senior Notes and</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8" w:lineRule="auto"/>
        <w:rPr>
          <w:sz w:val="20"/>
          <w:szCs w:val="20"/>
          <w:color w:val="auto"/>
        </w:rPr>
      </w:pPr>
      <w:r>
        <w:rPr>
          <w:rFonts w:ascii="Arial" w:cs="Arial" w:eastAsia="Arial" w:hAnsi="Arial"/>
          <w:sz w:val="17"/>
          <w:szCs w:val="17"/>
          <w:color w:val="auto"/>
        </w:rPr>
        <w:t>guarantees were issued pursuant to an indenture by and among the issuing subsidiaries and the guarantors and U.S. Bank National Association as trustee. The $500 Million 4.75% Senior Notes have a maturity date of October 15, 2027 and bear interest at 4.75% per annum, payable semi-annually in cash in arrears on April 15 and October 15 of each year. The $500 Million 4.75% Senior Notes are general unsecured and unsubordinated obligations of the issuing subsidiaries and rank equal in right of payment with such subsidiaries’ existing and future senior unsecured indebtedness, including the $600 Million 4.50% Senior Notes, and senior in right of payment to future subordinated indebtedness, if any. The $500 Million 4.75%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$500 Million 4.75%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$500 Million 4.75% Senior Notes.</w:t>
      </w:r>
    </w:p>
    <w:p>
      <w:pPr>
        <w:spacing w:after="0" w:line="159" w:lineRule="exact"/>
        <w:rPr>
          <w:sz w:val="20"/>
          <w:szCs w:val="20"/>
          <w:color w:val="auto"/>
        </w:rPr>
      </w:pPr>
    </w:p>
    <w:p>
      <w:pPr>
        <w:ind w:left="60" w:right="159"/>
        <w:spacing w:after="0" w:line="286" w:lineRule="auto"/>
        <w:rPr>
          <w:sz w:val="20"/>
          <w:szCs w:val="20"/>
          <w:color w:val="auto"/>
        </w:rPr>
      </w:pPr>
      <w:r>
        <w:rPr>
          <w:rFonts w:ascii="Arial" w:cs="Arial" w:eastAsia="Arial" w:hAnsi="Arial"/>
          <w:sz w:val="16"/>
          <w:szCs w:val="16"/>
          <w:color w:val="auto"/>
        </w:rPr>
        <w:t>In October 2019, we completed a tack-on private placement of $200.0 million in aggregate principal amount of 4.75% senior notes due 2027 (the “additional 2027 notes”) at an issue price of 101.250% of their aggregate principal amount plus accrued interest from the September 19, 2019 issue date for the $500 Million 4.75% Senior Notes. The additional 2027 notes and the $500 Million 4.75% Senior Notes constitute a single class of securities (collectively, the “$700 Million</w:t>
      </w:r>
    </w:p>
    <w:p>
      <w:pPr>
        <w:spacing w:after="0" w:line="1" w:lineRule="exact"/>
        <w:rPr>
          <w:sz w:val="20"/>
          <w:szCs w:val="20"/>
          <w:color w:val="auto"/>
        </w:rPr>
      </w:pPr>
    </w:p>
    <w:p>
      <w:pPr>
        <w:ind w:left="60" w:right="179"/>
        <w:spacing w:after="0" w:line="260" w:lineRule="auto"/>
        <w:rPr>
          <w:sz w:val="20"/>
          <w:szCs w:val="20"/>
          <w:color w:val="auto"/>
        </w:rPr>
      </w:pPr>
      <w:r>
        <w:rPr>
          <w:rFonts w:ascii="Arial" w:cs="Arial" w:eastAsia="Arial" w:hAnsi="Arial"/>
          <w:sz w:val="18"/>
          <w:szCs w:val="18"/>
          <w:color w:val="auto"/>
        </w:rPr>
        <w:t>4.75% Senior Notes”). All other terms and conditions of the additional 2027 notes are identical to the $500 Million 4.75% Senior Notes.</w:t>
      </w:r>
    </w:p>
    <w:p>
      <w:pPr>
        <w:spacing w:after="0" w:line="185" w:lineRule="exact"/>
        <w:rPr>
          <w:sz w:val="20"/>
          <w:szCs w:val="20"/>
          <w:color w:val="auto"/>
        </w:rPr>
      </w:pPr>
    </w:p>
    <w:p>
      <w:pPr>
        <w:ind w:left="60" w:right="319"/>
        <w:spacing w:after="0" w:line="273" w:lineRule="auto"/>
        <w:rPr>
          <w:sz w:val="20"/>
          <w:szCs w:val="20"/>
          <w:color w:val="auto"/>
        </w:rPr>
      </w:pPr>
      <w:r>
        <w:rPr>
          <w:rFonts w:ascii="Arial" w:cs="Arial" w:eastAsia="Arial" w:hAnsi="Arial"/>
          <w:sz w:val="17"/>
          <w:szCs w:val="17"/>
          <w:color w:val="auto"/>
        </w:rPr>
        <w:t>The $700 Million 4.75% Senior Notes are redeemable before October 15, 2022, in whole or in part, at 100.00%, plus accrued and unpaid interest thereon to, but not including, the redemption date, plus a make-whole premium. The $700 Million 4.75% Senior Notes will be redeemable, in whole or in part, at any time on or after October 15, 2022 at a redemption price expressed as a percentage of the principal amount thereof, which percentage is 103.563%, 102.375%, 101.188%, and 100.00% beginning on October 15 of 2022, 2023, 2024, and 2025, respectively, plus accrued and unpaid interest thereon to, but not including, the redemption date.</w:t>
      </w:r>
    </w:p>
    <w:p>
      <w:pPr>
        <w:spacing w:after="0" w:line="137"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color w:val="auto"/>
        </w:rPr>
        <w:t>We completed a registered offer to exchange the $700 Million 4.75% Senior Notes for registered notes with substantially identical terms as the $700 Million 4.75% Senior Notes in July 2020.</w:t>
      </w:r>
    </w:p>
    <w:p>
      <w:pPr>
        <w:spacing w:after="0" w:line="130" w:lineRule="exact"/>
        <w:rPr>
          <w:sz w:val="20"/>
          <w:szCs w:val="20"/>
          <w:color w:val="auto"/>
        </w:rPr>
      </w:pPr>
    </w:p>
    <w:p>
      <w:pPr>
        <w:ind w:left="60" w:right="219"/>
        <w:spacing w:after="0" w:line="285" w:lineRule="auto"/>
        <w:rPr>
          <w:sz w:val="20"/>
          <w:szCs w:val="20"/>
          <w:color w:val="auto"/>
        </w:rPr>
      </w:pPr>
      <w:r>
        <w:rPr>
          <w:rFonts w:ascii="Arial" w:cs="Arial" w:eastAsia="Arial" w:hAnsi="Arial"/>
          <w:sz w:val="16"/>
          <w:szCs w:val="16"/>
          <w:i w:val="1"/>
          <w:iCs w:val="1"/>
          <w:color w:val="auto"/>
        </w:rPr>
        <w:t>$600 Million 4.50% Senior Notes</w:t>
      </w:r>
      <w:r>
        <w:rPr>
          <w:rFonts w:ascii="Arial" w:cs="Arial" w:eastAsia="Arial" w:hAnsi="Arial"/>
          <w:sz w:val="16"/>
          <w:szCs w:val="16"/>
          <w:color w:val="auto"/>
        </w:rPr>
        <w:t>. On February 17, 2021, the Operating Partnership and Finco completed the private</w:t>
      </w:r>
      <w:r>
        <w:rPr>
          <w:rFonts w:ascii="Arial" w:cs="Arial" w:eastAsia="Arial" w:hAnsi="Arial"/>
          <w:sz w:val="16"/>
          <w:szCs w:val="16"/>
          <w:i w:val="1"/>
          <w:iCs w:val="1"/>
          <w:color w:val="auto"/>
        </w:rPr>
        <w:t xml:space="preserve"> </w:t>
      </w:r>
      <w:r>
        <w:rPr>
          <w:rFonts w:ascii="Arial" w:cs="Arial" w:eastAsia="Arial" w:hAnsi="Arial"/>
          <w:sz w:val="16"/>
          <w:szCs w:val="16"/>
          <w:color w:val="auto"/>
        </w:rPr>
        <w:t>placement of $600.0 million in aggregate principal amount of senior notes due 2029, which are guaranteed by the Company and its subsidiaries that guarantee the Credit Agreement. The $600 Million 4.50% Senior Notes and guarantees were issued pursuant to an indenture by and among the issuing subsidiaries and the guarantors and U.S. Bank National Association as trustee. The $600 Million 5% Senior Notes have a maturity date of February 15, 2029 and bear interest at</w:t>
      </w:r>
    </w:p>
    <w:p>
      <w:pPr>
        <w:spacing w:after="0" w:line="2" w:lineRule="exact"/>
        <w:rPr>
          <w:sz w:val="20"/>
          <w:szCs w:val="20"/>
          <w:color w:val="auto"/>
        </w:rPr>
      </w:pPr>
    </w:p>
    <w:p>
      <w:pPr>
        <w:ind w:left="60" w:right="139"/>
        <w:spacing w:after="0" w:line="267" w:lineRule="auto"/>
        <w:rPr>
          <w:sz w:val="20"/>
          <w:szCs w:val="20"/>
          <w:color w:val="auto"/>
        </w:rPr>
      </w:pPr>
      <w:r>
        <w:rPr>
          <w:rFonts w:ascii="Arial" w:cs="Arial" w:eastAsia="Arial" w:hAnsi="Arial"/>
          <w:sz w:val="17"/>
          <w:szCs w:val="17"/>
          <w:color w:val="auto"/>
        </w:rPr>
        <w:t>4.50% per annum, payable semi-annually in cash in arrears on February 15 and August 15 each year, beginning on August 15, 2021. The $600 Million 4.50% Senior Notes are general unsecured and unsubordinated obligations of the issuing subsidiaries and rank equal in right of payment with such subsidiaries’ existing and future senior unsecured indebtedness, including the $700 Million 4.75% Senior Notes, and senior in right of payment to future subordinated indebtedness, if any. The $600 Million 4.50%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$600 Million 4.50%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$600 Million 4.50% Senior Notes.</w:t>
      </w:r>
    </w:p>
    <w:p>
      <w:pPr>
        <w:spacing w:after="0" w:line="186" w:lineRule="exact"/>
        <w:rPr>
          <w:sz w:val="20"/>
          <w:szCs w:val="20"/>
          <w:color w:val="auto"/>
        </w:rPr>
      </w:pPr>
    </w:p>
    <w:p>
      <w:pPr>
        <w:jc w:val="both"/>
        <w:ind w:left="60" w:right="459"/>
        <w:spacing w:after="0" w:line="301" w:lineRule="auto"/>
        <w:rPr>
          <w:sz w:val="20"/>
          <w:szCs w:val="20"/>
          <w:color w:val="auto"/>
        </w:rPr>
      </w:pPr>
      <w:r>
        <w:rPr>
          <w:rFonts w:ascii="Arial" w:cs="Arial" w:eastAsia="Arial" w:hAnsi="Arial"/>
          <w:sz w:val="16"/>
          <w:szCs w:val="16"/>
          <w:color w:val="auto"/>
        </w:rPr>
        <w:t>The net proceeds from the issuance of the $600 Million 4.50% Senior Notes totaled approximately $591 million, after deducting the initial purchasers’ discounts, commissions and offering expenses. We used a significant portion of these proceeds to tender and redeem our previous $400 Million 5% Senior Notes, as discussed below, and to repay all of the amounts then outstanding under the Revolver. We used the remaining net proceeds for general corporate purposes.</w:t>
      </w:r>
    </w:p>
    <w:p>
      <w:pPr>
        <w:spacing w:after="0" w:line="157" w:lineRule="exact"/>
        <w:rPr>
          <w:sz w:val="20"/>
          <w:szCs w:val="20"/>
          <w:color w:val="auto"/>
        </w:rPr>
      </w:pPr>
    </w:p>
    <w:p>
      <w:pPr>
        <w:jc w:val="both"/>
        <w:ind w:left="60" w:right="479"/>
        <w:spacing w:after="0" w:line="342" w:lineRule="auto"/>
        <w:rPr>
          <w:sz w:val="20"/>
          <w:szCs w:val="20"/>
          <w:color w:val="auto"/>
        </w:rPr>
      </w:pPr>
      <w:r>
        <w:rPr>
          <w:rFonts w:ascii="Arial" w:cs="Arial" w:eastAsia="Arial" w:hAnsi="Arial"/>
          <w:sz w:val="16"/>
          <w:szCs w:val="16"/>
          <w:color w:val="auto"/>
        </w:rPr>
        <w:t>The $600 Million 4.50% Senior Notes are redeemable before February 15, 2024, in whole or in part, at 100.00%, plus accrued and unpaid interest thereon to, but not including, the redemption date, plus a make-whole premium. The $600</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color w:val="auto"/>
        </w:rPr>
        <w:t>Million 4.50% Senior Notes will be redeemable, in whole or in part, at any time on or after February 15, 2024 at a redemption price expressed as a percentage of the principal amount thereof, which percentage is 102.250%, 101.500%, 100.750%, and 100.000% beginning on February 15 of 2024, 2025, 2026, and 2027, respectively, plus accrued and unpaid interest thereon to, but not including, the redemption date.</w:t>
      </w:r>
    </w:p>
    <w:p>
      <w:pPr>
        <w:spacing w:after="0" w:line="187" w:lineRule="exact"/>
        <w:rPr>
          <w:sz w:val="20"/>
          <w:szCs w:val="20"/>
          <w:color w:val="auto"/>
        </w:rPr>
      </w:pPr>
    </w:p>
    <w:p>
      <w:pPr>
        <w:ind w:left="60" w:right="139"/>
        <w:spacing w:after="0" w:line="255" w:lineRule="auto"/>
        <w:rPr>
          <w:sz w:val="20"/>
          <w:szCs w:val="20"/>
          <w:color w:val="auto"/>
        </w:rPr>
      </w:pPr>
      <w:r>
        <w:rPr>
          <w:rFonts w:ascii="Arial" w:cs="Arial" w:eastAsia="Arial" w:hAnsi="Arial"/>
          <w:sz w:val="18"/>
          <w:szCs w:val="18"/>
          <w:i w:val="1"/>
          <w:iCs w:val="1"/>
          <w:color w:val="auto"/>
        </w:rPr>
        <w:t>Tender for and Redemption of $400 Million 5% Senior Notes</w:t>
      </w:r>
      <w:r>
        <w:rPr>
          <w:rFonts w:ascii="Arial" w:cs="Arial" w:eastAsia="Arial" w:hAnsi="Arial"/>
          <w:sz w:val="18"/>
          <w:szCs w:val="18"/>
          <w:color w:val="auto"/>
        </w:rPr>
        <w:t>. In February 2021, we completed a cash tender offer for any</w:t>
      </w:r>
      <w:r>
        <w:rPr>
          <w:rFonts w:ascii="Arial" w:cs="Arial" w:eastAsia="Arial" w:hAnsi="Arial"/>
          <w:sz w:val="18"/>
          <w:szCs w:val="18"/>
          <w:i w:val="1"/>
          <w:iCs w:val="1"/>
          <w:color w:val="auto"/>
        </w:rPr>
        <w:t xml:space="preserve"> </w:t>
      </w:r>
      <w:r>
        <w:rPr>
          <w:rFonts w:ascii="Arial" w:cs="Arial" w:eastAsia="Arial" w:hAnsi="Arial"/>
          <w:sz w:val="18"/>
          <w:szCs w:val="18"/>
          <w:color w:val="auto"/>
        </w:rPr>
        <w:t>and all outstanding $400 Million 5% Senior Notes. Pursuant to the tender offer, $161.9 million aggregate principal amount of the $400 Million 5% Senior Notes were validly tendered. Subsequent to the expiration of the tender offer, in February 2021 we gave irrevocable notice of the redemption of all remaining $400 Million 5% Senior Notes not tendered in the tender offer. We used a portion of the proceeds from the issuance of the $600 Million 4.50% Senior Notes to fund the tender offer and redemption.</w:t>
      </w:r>
    </w:p>
    <w:p>
      <w:pPr>
        <w:spacing w:after="0" w:line="192" w:lineRule="exact"/>
        <w:rPr>
          <w:sz w:val="20"/>
          <w:szCs w:val="20"/>
          <w:color w:val="auto"/>
        </w:rPr>
      </w:pPr>
    </w:p>
    <w:p>
      <w:pPr>
        <w:ind w:left="60" w:right="119"/>
        <w:spacing w:after="0" w:line="287" w:lineRule="auto"/>
        <w:rPr>
          <w:sz w:val="20"/>
          <w:szCs w:val="20"/>
          <w:color w:val="auto"/>
        </w:rPr>
      </w:pPr>
      <w:r>
        <w:rPr>
          <w:rFonts w:ascii="Arial" w:cs="Arial" w:eastAsia="Arial" w:hAnsi="Arial"/>
          <w:sz w:val="16"/>
          <w:szCs w:val="16"/>
          <w:i w:val="1"/>
          <w:iCs w:val="1"/>
          <w:color w:val="auto"/>
        </w:rPr>
        <w:t>$800 Million Term Loan (Gaylord Rockies)</w:t>
      </w:r>
      <w:r>
        <w:rPr>
          <w:rFonts w:ascii="Arial" w:cs="Arial" w:eastAsia="Arial" w:hAnsi="Arial"/>
          <w:sz w:val="16"/>
          <w:szCs w:val="16"/>
          <w:color w:val="auto"/>
        </w:rPr>
        <w:t>. On July 2, 2019, Aurora Convention Center Hotel, LLC and Aurora</w:t>
      </w:r>
      <w:r>
        <w:rPr>
          <w:rFonts w:ascii="Arial" w:cs="Arial" w:eastAsia="Arial" w:hAnsi="Arial"/>
          <w:sz w:val="16"/>
          <w:szCs w:val="16"/>
          <w:i w:val="1"/>
          <w:iCs w:val="1"/>
          <w:color w:val="auto"/>
        </w:rPr>
        <w:t xml:space="preserve"> </w:t>
      </w:r>
      <w:r>
        <w:rPr>
          <w:rFonts w:ascii="Arial" w:cs="Arial" w:eastAsia="Arial" w:hAnsi="Arial"/>
          <w:sz w:val="16"/>
          <w:szCs w:val="16"/>
          <w:color w:val="auto"/>
        </w:rPr>
        <w:t>Convention Center Hotel Lessee, LLC, subsidiaries of the entities comprising the previous Gaylord Rockies joint venture, entered into a Second Amended and Restated Loan Agreement (the “Gaylord Rockies Loan”) with Wells Fargo Bank, National Association, as administrative agent, which refinanced Gaylord Rockies’s existing $500 million construction loan and $39 million mezzanine loan, which were scheduled to mature in December 2019. The Gaylord Rockies Loan consists of an $800.0 million secured term loan facility and also includes the option for an additional $80.0 million of borrowing capacity should we pursue a future expansion of Gaylord Rockies, which was announced in February 2020 but has been postponed as a result of the COVID-19 pandemic. The Gaylord Rockies Loan matures July 2, 2023 with three, one-year extension options, subject to certain requirements in the Gaylord Rockies Loan, and bears interest at LIBOR plus 2.50%. Simultaneous with closing, Gaylord Rockies entered into an interest rate swap to fix the LIBOR portion of the interest rate at 1.65% for the first three years of the loan. We have designated this interest rate swap as an effective cash flow hedge.</w:t>
      </w:r>
    </w:p>
    <w:p>
      <w:pPr>
        <w:spacing w:after="0" w:line="172" w:lineRule="exact"/>
        <w:rPr>
          <w:sz w:val="20"/>
          <w:szCs w:val="20"/>
          <w:color w:val="auto"/>
        </w:rPr>
      </w:pPr>
    </w:p>
    <w:p>
      <w:pPr>
        <w:ind w:left="60" w:right="119"/>
        <w:spacing w:after="0" w:line="273" w:lineRule="auto"/>
        <w:rPr>
          <w:sz w:val="20"/>
          <w:szCs w:val="20"/>
          <w:color w:val="auto"/>
        </w:rPr>
      </w:pPr>
      <w:r>
        <w:rPr>
          <w:rFonts w:ascii="Arial" w:cs="Arial" w:eastAsia="Arial" w:hAnsi="Arial"/>
          <w:sz w:val="17"/>
          <w:szCs w:val="17"/>
          <w:color w:val="auto"/>
        </w:rPr>
        <w:t>The Gaylord Rockies Loan is secured by a deed of trust lien on the Gaylord Rockies real estate and related assets. We have entered into limited repayment and carry guaranties that, in the aggregate, guarantee repayment of 10% of the principal debt, together with interest and operating expenses, which are to be released once Gaylord Rockies achieves a certain debt service coverage threshold as defined in the Gaylord Rockies Loan. Generally, the Gaylord Rockies Loan is non-recourse to the Company, subject to (i) those limited guaranties, (ii) a completion guaranty in the event the expansion is pursued, and (iii) customary non-recourse carve-outs.</w:t>
      </w:r>
    </w:p>
    <w:p>
      <w:pPr>
        <w:spacing w:after="0" w:line="178" w:lineRule="exact"/>
        <w:rPr>
          <w:sz w:val="20"/>
          <w:szCs w:val="20"/>
          <w:color w:val="auto"/>
        </w:rPr>
      </w:pPr>
    </w:p>
    <w:p>
      <w:pPr>
        <w:ind w:left="60" w:right="119"/>
        <w:spacing w:after="0" w:line="257" w:lineRule="auto"/>
        <w:rPr>
          <w:sz w:val="20"/>
          <w:szCs w:val="20"/>
          <w:color w:val="auto"/>
        </w:rPr>
      </w:pPr>
      <w:r>
        <w:rPr>
          <w:rFonts w:ascii="Arial" w:cs="Arial" w:eastAsia="Arial" w:hAnsi="Arial"/>
          <w:sz w:val="18"/>
          <w:szCs w:val="18"/>
          <w:color w:val="auto"/>
        </w:rPr>
        <w:t>On June 30, 2020, the Gaylord Rockies Loan was amended (the “Loan Amendment”) to modify the Gaylord Rockies Loan to (i) provide for the ability to use cash for certain purposes, even during a Cash Sweep Period (as defined in the Loan Agreement), which Gaylord Rockies was in beginning in July 2020, (ii) extend the deadline for construction of an expansion to Gaylord Rockies to commence, and (iii) provide favorable changes to the debt service coverage ratio provisions.</w:t>
      </w:r>
    </w:p>
    <w:p>
      <w:pPr>
        <w:spacing w:after="0" w:line="188"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color w:val="auto"/>
        </w:rPr>
        <w:t>The Loan Amendment includes restrictions on distributions to our subsidiaries that own Gaylord Rockies and requires a certain level of equity financing for a Gaylord Rockies expansion.</w:t>
      </w:r>
    </w:p>
    <w:p>
      <w:pPr>
        <w:spacing w:after="0" w:line="170" w:lineRule="exact"/>
        <w:rPr>
          <w:sz w:val="20"/>
          <w:szCs w:val="20"/>
          <w:color w:val="auto"/>
        </w:rPr>
      </w:pPr>
    </w:p>
    <w:p>
      <w:pPr>
        <w:ind w:left="60" w:right="79"/>
        <w:spacing w:after="0" w:line="342" w:lineRule="auto"/>
        <w:rPr>
          <w:sz w:val="20"/>
          <w:szCs w:val="20"/>
          <w:color w:val="auto"/>
        </w:rPr>
      </w:pPr>
      <w:r>
        <w:rPr>
          <w:rFonts w:ascii="Arial" w:cs="Arial" w:eastAsia="Arial" w:hAnsi="Arial"/>
          <w:sz w:val="16"/>
          <w:szCs w:val="16"/>
          <w:i w:val="1"/>
          <w:iCs w:val="1"/>
          <w:color w:val="auto"/>
        </w:rPr>
        <w:t>Additional Debt Limitations</w:t>
      </w:r>
      <w:r>
        <w:rPr>
          <w:rFonts w:ascii="Arial" w:cs="Arial" w:eastAsia="Arial" w:hAnsi="Arial"/>
          <w:sz w:val="16"/>
          <w:szCs w:val="16"/>
          <w:color w:val="auto"/>
        </w:rPr>
        <w:t>. Pursuant to the terms of the management agreements and pooling agreement with Marriott for</w:t>
      </w:r>
      <w:r>
        <w:rPr>
          <w:rFonts w:ascii="Arial" w:cs="Arial" w:eastAsia="Arial" w:hAnsi="Arial"/>
          <w:sz w:val="16"/>
          <w:szCs w:val="16"/>
          <w:i w:val="1"/>
          <w:iCs w:val="1"/>
          <w:color w:val="auto"/>
        </w:rPr>
        <w:t xml:space="preserve"> </w:t>
      </w:r>
      <w:r>
        <w:rPr>
          <w:rFonts w:ascii="Arial" w:cs="Arial" w:eastAsia="Arial" w:hAnsi="Arial"/>
          <w:sz w:val="16"/>
          <w:szCs w:val="16"/>
          <w:color w:val="auto"/>
        </w:rPr>
        <w:t>our Gaylord Hotels properties, excluding Gaylord Rockies, we are subject to certain debt limitations described below.</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management agreements provide for the following limitations on indebtedness encumbering a hotel:</w:t>
      </w:r>
    </w:p>
    <w:p>
      <w:pPr>
        <w:spacing w:after="0" w:line="225" w:lineRule="exact"/>
        <w:rPr>
          <w:sz w:val="20"/>
          <w:szCs w:val="20"/>
          <w:color w:val="auto"/>
        </w:rPr>
      </w:pPr>
    </w:p>
    <w:p>
      <w:pPr>
        <w:ind w:left="720" w:right="359" w:hanging="319"/>
        <w:spacing w:after="0" w:line="277" w:lineRule="auto"/>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aggregate principal balance of all mortgage and mezzanine debt encumbering the hotel shall be no greater than 75% of the fair market value of the hotel; and</w:t>
      </w:r>
    </w:p>
    <w:p>
      <w:pPr>
        <w:spacing w:after="0" w:line="170" w:lineRule="exact"/>
        <w:rPr>
          <w:rFonts w:ascii="Arial" w:cs="Arial" w:eastAsia="Arial" w:hAnsi="Arial"/>
          <w:sz w:val="18"/>
          <w:szCs w:val="18"/>
          <w:color w:val="auto"/>
        </w:rPr>
      </w:pPr>
    </w:p>
    <w:p>
      <w:pPr>
        <w:ind w:left="720" w:right="119" w:hanging="319"/>
        <w:spacing w:after="0" w:line="263" w:lineRule="auto"/>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ratio of (a) aggregate Operating Profit (as defined in the management agreement) in the 12 months prior to the closing on the mortgage or mezzanine debt to (b) annual debt service for the hotel shall equal or exceed 1.2:1; but is subject to the pooling agreement described below.</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pooled limitations on Secured Debt (as defined in the pooling agreement) are as follows:</w:t>
      </w:r>
    </w:p>
    <w:p>
      <w:pPr>
        <w:spacing w:after="0" w:line="225" w:lineRule="exact"/>
        <w:rPr>
          <w:sz w:val="20"/>
          <w:szCs w:val="20"/>
          <w:color w:val="auto"/>
        </w:rPr>
      </w:pPr>
    </w:p>
    <w:p>
      <w:pPr>
        <w:ind w:left="720" w:right="199" w:hanging="319"/>
        <w:spacing w:after="0" w:line="277" w:lineRule="auto"/>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aggregate principal balance of all mortgage and mezzanine debt on Pooled Hotels (as defined in the pooling agreement), shall be no more than 75% of the fair market value of Pooled Hotels.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ratio of (a) aggregate Operating Profit (as defined in the pooling agreement) of Pooled Hotels in the</w:t>
      </w:r>
    </w:p>
    <w:p>
      <w:pPr>
        <w:spacing w:after="0" w:line="34" w:lineRule="exact"/>
        <w:rPr>
          <w:rFonts w:ascii="Arial" w:cs="Arial" w:eastAsia="Arial" w:hAnsi="Arial"/>
          <w:sz w:val="17"/>
          <w:szCs w:val="17"/>
          <w:color w:val="auto"/>
        </w:rPr>
      </w:pPr>
    </w:p>
    <w:p>
      <w:pPr>
        <w:ind w:left="720" w:right="239"/>
        <w:spacing w:after="0" w:line="260" w:lineRule="auto"/>
        <w:rPr>
          <w:rFonts w:ascii="Arial" w:cs="Arial" w:eastAsia="Arial" w:hAnsi="Arial"/>
          <w:sz w:val="17"/>
          <w:szCs w:val="17"/>
          <w:color w:val="auto"/>
        </w:rPr>
      </w:pPr>
      <w:r>
        <w:rPr>
          <w:rFonts w:ascii="Arial" w:cs="Arial" w:eastAsia="Arial" w:hAnsi="Arial"/>
          <w:sz w:val="18"/>
          <w:szCs w:val="18"/>
          <w:color w:val="auto"/>
        </w:rPr>
        <w:t>12 months prior to closing on any mortgage or mezzanine debt, to (b) annual debt service for the Pooled Hotels, shall equal or exceed 1.2:1.</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Gaylord Rockies is not a Pooled Hotel for this purpose.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Estimated Interest on Principal Debt Agreements</w:t>
      </w:r>
    </w:p>
    <w:p>
      <w:pPr>
        <w:spacing w:after="0" w:line="225" w:lineRule="exact"/>
        <w:rPr>
          <w:sz w:val="20"/>
          <w:szCs w:val="20"/>
          <w:color w:val="auto"/>
        </w:rPr>
      </w:pPr>
    </w:p>
    <w:p>
      <w:pPr>
        <w:ind w:left="60" w:right="139"/>
        <w:spacing w:after="0" w:line="254" w:lineRule="auto"/>
        <w:rPr>
          <w:sz w:val="20"/>
          <w:szCs w:val="20"/>
          <w:color w:val="auto"/>
        </w:rPr>
      </w:pPr>
      <w:r>
        <w:rPr>
          <w:rFonts w:ascii="Arial" w:cs="Arial" w:eastAsia="Arial" w:hAnsi="Arial"/>
          <w:sz w:val="18"/>
          <w:szCs w:val="18"/>
          <w:color w:val="auto"/>
        </w:rPr>
        <w:t>Based on the stated interest rates on our fixed-rate debt and the rates in effect at December 31, 2021 for our variable-rate date after considering interest rate swaps, our estimated interest obligations over the next five years are $401.2 million. These estimated obligations are $114.4 million in 2022, $92.6 million in 2023, $71.8 million in 2024, $62.1 million in 2025, and $60.3 million in 2026. Variable rates, as well as outstanding principal balances, could change in future periods. See “Principal Debt Agreements” above for a discussion of our outstanding long-term debt. See “Supplemental Cash Flow Information” in Note 1 to our consolidated financial statements included herein for a discussion of the interest we paid during 2021, 2020 and 2019.</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Supplemental Guarantor Financial Information</w:t>
      </w:r>
    </w:p>
    <w:p>
      <w:pPr>
        <w:spacing w:after="0" w:line="225" w:lineRule="exact"/>
        <w:rPr>
          <w:sz w:val="20"/>
          <w:szCs w:val="20"/>
          <w:color w:val="auto"/>
        </w:rPr>
      </w:pPr>
    </w:p>
    <w:p>
      <w:pPr>
        <w:ind w:left="60" w:right="99"/>
        <w:spacing w:after="0" w:line="287" w:lineRule="auto"/>
        <w:rPr>
          <w:sz w:val="20"/>
          <w:szCs w:val="20"/>
          <w:color w:val="auto"/>
        </w:rPr>
      </w:pPr>
      <w:r>
        <w:rPr>
          <w:rFonts w:ascii="Arial" w:cs="Arial" w:eastAsia="Arial" w:hAnsi="Arial"/>
          <w:sz w:val="16"/>
          <w:szCs w:val="16"/>
          <w:color w:val="auto"/>
        </w:rPr>
        <w:t>The Company’s $600 Million 4.50% Senior Notes and $700 Million 4.75% Senior Notes were each issued by the Issuers and are guaranteed on a senior unsecured basis by the Company (as the parent company), each of the Operating Partnership’s subsidiaries that own the Gaylord Hotels properties, excluding Gaylord Rockies, and certain other of the Company’s subsidiaries, each of which also guarantees the Operating Partnership’s Credit Agreement, as amended (such subsidiary guarantors, together with the Company, the “Guarantors”). The Guarantors are 100% owned by the Operating Partnership or the Company, and the guarantees are full and unconditional and joint and several. The guarantees rank equally in right of payment with each Guarantor’s existing and future senior unsecured indebtedness and senior in right of payment to all future subordinated indebtedness, if any, of such Guarantor. Not all of the Company’s subsidiaries have guaranteed the Company’s $600 Million 4.50% Senior Notes and $700 Million 4.75% Senior Notes, and the guarantees are structurally subordinated to all indebtedness and other obligations of such subsidiaries that have not guaranteed the Company’s $600 Million 4.50% Senior Notes and $700 Million 4.75% Senior Notes.</w:t>
      </w:r>
    </w:p>
    <w:p>
      <w:pPr>
        <w:spacing w:after="0" w:line="172" w:lineRule="exact"/>
        <w:rPr>
          <w:sz w:val="20"/>
          <w:szCs w:val="20"/>
          <w:color w:val="auto"/>
        </w:rPr>
      </w:pPr>
    </w:p>
    <w:p>
      <w:pPr>
        <w:jc w:val="both"/>
        <w:ind w:left="60" w:right="139"/>
        <w:spacing w:after="0" w:line="286" w:lineRule="auto"/>
        <w:rPr>
          <w:sz w:val="20"/>
          <w:szCs w:val="20"/>
          <w:color w:val="auto"/>
        </w:rPr>
      </w:pPr>
      <w:r>
        <w:rPr>
          <w:rFonts w:ascii="Arial" w:cs="Arial" w:eastAsia="Arial" w:hAnsi="Arial"/>
          <w:sz w:val="17"/>
          <w:szCs w:val="17"/>
          <w:color w:val="auto"/>
        </w:rPr>
        <w:t>The following tables present summarized financial information for the Issuers and the Guarantors on a combined basis and the intercompany balances and transactions between these parties, as well as any investments in or equity in earnings from non-guarantor subsidiaries, have been eliminated (amounts in thousands):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4080" w:type="dxa"/>
            <w:vAlign w:val="bottom"/>
            <w:tcBorders>
              <w:bottom w:val="single" w:sz="8" w:color="CCEEFF"/>
            </w:tcBorders>
          </w:tcPr>
          <w:p>
            <w:pPr>
              <w:spacing w:after="0"/>
              <w:rPr>
                <w:sz w:val="14"/>
                <w:szCs w:val="14"/>
                <w:color w:val="auto"/>
              </w:rPr>
            </w:pPr>
          </w:p>
        </w:tc>
        <w:tc>
          <w:tcPr>
            <w:tcW w:w="33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Net receivables due from non-guarantor subsidiaries</w:t>
            </w:r>
          </w:p>
        </w:tc>
        <w:tc>
          <w:tcPr>
            <w:tcW w:w="33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552,246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33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1,603,226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assets</w:t>
            </w:r>
          </w:p>
        </w:tc>
        <w:tc>
          <w:tcPr>
            <w:tcW w:w="33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2,155,472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liabilities</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2,274,640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8"/>
                <w:szCs w:val="18"/>
                <w:color w:val="auto"/>
              </w:rPr>
              <w:t>Total noncontrolling interest</w:t>
            </w:r>
          </w:p>
        </w:tc>
        <w:tc>
          <w:tcPr>
            <w:tcW w:w="334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vMerge w:val="continue"/>
          </w:tcPr>
          <w:p>
            <w:pPr>
              <w:spacing w:after="0"/>
              <w:rPr>
                <w:sz w:val="17"/>
                <w:szCs w:val="17"/>
                <w:color w:val="auto"/>
              </w:rPr>
            </w:pPr>
          </w:p>
        </w:tc>
        <w:tc>
          <w:tcPr>
            <w:tcW w:w="3340" w:type="dxa"/>
            <w:vAlign w:val="bottom"/>
            <w:vMerge w:val="continue"/>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(159)</w:t>
            </w:r>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340" w:type="dxa"/>
            <w:vAlign w:val="bottom"/>
            <w:vMerge w:val="restart"/>
          </w:tcPr>
          <w:p>
            <w:pPr>
              <w:jc w:val="right"/>
              <w:ind w:right="2770"/>
              <w:spacing w:after="0"/>
              <w:rPr>
                <w:sz w:val="20"/>
                <w:szCs w:val="20"/>
                <w:color w:val="auto"/>
              </w:rPr>
            </w:pPr>
            <w:r>
              <w:rPr>
                <w:rFonts w:ascii="Arial" w:cs="Arial" w:eastAsia="Arial" w:hAnsi="Arial"/>
                <w:sz w:val="18"/>
                <w:szCs w:val="18"/>
                <w:color w:val="auto"/>
              </w:rPr>
              <w:t>63</w:t>
            </w: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08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0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172"/>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766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31, 2021</w:t>
            </w:r>
          </w:p>
        </w:tc>
      </w:tr>
      <w:tr>
        <w:trPr>
          <w:trHeight w:val="210"/>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from third-parties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r>
      <w:tr>
        <w:trPr>
          <w:trHeight w:val="216"/>
        </w:trPr>
        <w:tc>
          <w:tcPr>
            <w:tcW w:w="7660" w:type="dxa"/>
            <w:vAlign w:val="bottom"/>
          </w:tcPr>
          <w:p>
            <w:pPr>
              <w:ind w:left="20"/>
              <w:spacing w:after="0"/>
              <w:rPr>
                <w:sz w:val="20"/>
                <w:szCs w:val="20"/>
                <w:color w:val="auto"/>
              </w:rPr>
            </w:pPr>
            <w:r>
              <w:rPr>
                <w:rFonts w:ascii="Arial" w:cs="Arial" w:eastAsia="Arial" w:hAnsi="Arial"/>
                <w:sz w:val="18"/>
                <w:szCs w:val="18"/>
                <w:color w:val="auto"/>
              </w:rPr>
              <w:t>Revenues from non-guarantor subsidiaries</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175,769</w:t>
            </w:r>
          </w:p>
        </w:tc>
      </w:tr>
      <w:tr>
        <w:trPr>
          <w:trHeight w:val="216"/>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(excluding expenses to non-guarantor subsidiaries)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114,468</w:t>
            </w:r>
          </w:p>
        </w:tc>
      </w:tr>
      <w:tr>
        <w:trPr>
          <w:trHeight w:val="216"/>
        </w:trPr>
        <w:tc>
          <w:tcPr>
            <w:tcW w:w="7660" w:type="dxa"/>
            <w:vAlign w:val="bottom"/>
          </w:tcPr>
          <w:p>
            <w:pPr>
              <w:ind w:left="20"/>
              <w:spacing w:after="0"/>
              <w:rPr>
                <w:sz w:val="20"/>
                <w:szCs w:val="20"/>
                <w:color w:val="auto"/>
              </w:rPr>
            </w:pPr>
            <w:r>
              <w:rPr>
                <w:rFonts w:ascii="Arial" w:cs="Arial" w:eastAsia="Arial" w:hAnsi="Arial"/>
                <w:sz w:val="18"/>
                <w:szCs w:val="18"/>
                <w:color w:val="auto"/>
              </w:rPr>
              <w:t>Expenses to non-guarantor subsidiaries</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10,897</w:t>
            </w:r>
          </w:p>
        </w:tc>
      </w:tr>
      <w:tr>
        <w:trPr>
          <w:trHeight w:val="216"/>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50,903</w:t>
            </w:r>
          </w:p>
        </w:tc>
      </w:tr>
      <w:tr>
        <w:trPr>
          <w:trHeight w:val="216"/>
        </w:trPr>
        <w:tc>
          <w:tcPr>
            <w:tcW w:w="7660" w:type="dxa"/>
            <w:vAlign w:val="bottom"/>
          </w:tcPr>
          <w:p>
            <w:pPr>
              <w:ind w:left="20"/>
              <w:spacing w:after="0"/>
              <w:rPr>
                <w:sz w:val="20"/>
                <w:szCs w:val="20"/>
                <w:color w:val="auto"/>
              </w:rPr>
            </w:pPr>
            <w:r>
              <w:rPr>
                <w:rFonts w:ascii="Arial" w:cs="Arial" w:eastAsia="Arial" w:hAnsi="Arial"/>
                <w:sz w:val="18"/>
                <w:szCs w:val="18"/>
                <w:color w:val="auto"/>
              </w:rPr>
              <w:t>Interest income from non-guarantor subsidiaries</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18,805</w:t>
            </w:r>
          </w:p>
        </w:tc>
      </w:tr>
      <w:tr>
        <w:trPr>
          <w:trHeight w:val="216"/>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(22,396)</w:t>
            </w:r>
          </w:p>
        </w:tc>
      </w:tr>
      <w:tr>
        <w:trPr>
          <w:trHeight w:val="230"/>
        </w:trPr>
        <w:tc>
          <w:tcPr>
            <w:tcW w:w="7660" w:type="dxa"/>
            <w:vAlign w:val="bottom"/>
          </w:tcPr>
          <w:p>
            <w:pPr>
              <w:ind w:left="20"/>
              <w:spacing w:after="0"/>
              <w:rPr>
                <w:sz w:val="20"/>
                <w:szCs w:val="20"/>
                <w:color w:val="auto"/>
              </w:rPr>
            </w:pPr>
            <w:r>
              <w:rPr>
                <w:rFonts w:ascii="Arial" w:cs="Arial" w:eastAsia="Arial" w:hAnsi="Arial"/>
                <w:sz w:val="18"/>
                <w:szCs w:val="18"/>
                <w:color w:val="auto"/>
              </w:rPr>
              <w:t>Net loss available to common stockholders</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(21,062)</w:t>
            </w:r>
          </w:p>
        </w:tc>
      </w:tr>
    </w:tbl>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left="60" w:right="119"/>
        <w:spacing w:after="0" w:line="270" w:lineRule="auto"/>
        <w:rPr>
          <w:sz w:val="20"/>
          <w:szCs w:val="20"/>
          <w:color w:val="auto"/>
        </w:rPr>
      </w:pPr>
      <w:r>
        <w:rPr>
          <w:rFonts w:ascii="Arial" w:cs="Arial" w:eastAsia="Arial" w:hAnsi="Arial"/>
          <w:sz w:val="17"/>
          <w:szCs w:val="17"/>
          <w:color w:val="auto"/>
        </w:rPr>
        <w:t>Item 7, “Management’s Discussion and Analysis of Financial Condition and Results of Operations” discusses our consolidated financial statements, which have been prepared in accordance with U.S. generally accepted accounting principles. Accounting estimates are an integral part of the preparation of the consolidated financial statements and the financial reporting process and are based upon current judgments. 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reported period. Certain accounting estimates are particularly sensitive because of their complexity and the possibility that future events affecting them may differ materially from our current judgments and estimates.</w:t>
      </w:r>
    </w:p>
    <w:p>
      <w:pPr>
        <w:spacing w:after="0" w:line="181" w:lineRule="exact"/>
        <w:rPr>
          <w:sz w:val="20"/>
          <w:szCs w:val="20"/>
          <w:color w:val="auto"/>
        </w:rPr>
      </w:pPr>
    </w:p>
    <w:p>
      <w:pPr>
        <w:ind w:left="60" w:right="239"/>
        <w:spacing w:after="0" w:line="275" w:lineRule="auto"/>
        <w:rPr>
          <w:sz w:val="20"/>
          <w:szCs w:val="20"/>
          <w:color w:val="auto"/>
        </w:rPr>
      </w:pPr>
      <w:r>
        <w:rPr>
          <w:rFonts w:ascii="Arial" w:cs="Arial" w:eastAsia="Arial" w:hAnsi="Arial"/>
          <w:sz w:val="17"/>
          <w:szCs w:val="17"/>
          <w:color w:val="auto"/>
        </w:rPr>
        <w:t>This listing of critical accounting policies is not intended to be a comprehensive list of all of our accounting policies. In many cases, the accounting treatment of a particular transaction is specifically dictated by generally accepted accounting principles, with no need for management’s judgment regarding accounting policy. We believe that of our significant accounting policies, which are discussed in Note 1 to the consolidated financial statements included herein, the following involve a higher degree of judgment and complexity.</w:t>
      </w:r>
    </w:p>
    <w:p>
      <w:pPr>
        <w:spacing w:after="0" w:line="176" w:lineRule="exact"/>
        <w:rPr>
          <w:sz w:val="20"/>
          <w:szCs w:val="20"/>
          <w:color w:val="auto"/>
        </w:rPr>
      </w:pPr>
    </w:p>
    <w:p>
      <w:pPr>
        <w:ind w:left="60" w:right="199"/>
        <w:spacing w:after="0" w:line="287" w:lineRule="auto"/>
        <w:rPr>
          <w:sz w:val="20"/>
          <w:szCs w:val="20"/>
          <w:color w:val="auto"/>
        </w:rPr>
      </w:pPr>
      <w:r>
        <w:rPr>
          <w:rFonts w:ascii="Arial" w:cs="Arial" w:eastAsia="Arial" w:hAnsi="Arial"/>
          <w:sz w:val="16"/>
          <w:szCs w:val="16"/>
          <w:b w:val="1"/>
          <w:bCs w:val="1"/>
          <w:i w:val="1"/>
          <w:iCs w:val="1"/>
          <w:color w:val="auto"/>
        </w:rPr>
        <w:t xml:space="preserve">Revenue recognition. </w:t>
      </w:r>
      <w:r>
        <w:rPr>
          <w:rFonts w:ascii="Arial" w:cs="Arial" w:eastAsia="Arial" w:hAnsi="Arial"/>
          <w:sz w:val="16"/>
          <w:szCs w:val="16"/>
          <w:color w:val="auto"/>
        </w:rPr>
        <w:t>Revenues from occupied hotel rooms are recognized over time as the daily hotel stay is provided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hotel groups and guests. Revenues from concessions, food and beverage sales, and group meeting services are recognized over the period or at the time those goods or services are delivered to the hotel group or guest. Revenues from ancillary services at our hotels, such as spa, parking, and transportation services, are generally recognized at the time the goods or services are provided. Cancellation fees and attrition fees, which are charged to groups when they do not fulfill the minimum number of room nights or minimum food and beverage spending requirements originally contracted for, are generally recognized as revenue in the period we determine it is probable that a significant reversal in the amount of revenue recognized will not occur, which is typically the period these fees are collected. We generally recognize revenues from the Entertainment segment at the point in time that services are provided or goods are delivered or shipped to the customer, as applicable. Entertainment segment revenues from licenses of content are recognized at the point in time the content is delivered to the licensee and the licensee can use and benefit from the content. Revenue related to content provided to Circle is eliminated for the portion of Circle that the Company owns.</w:t>
      </w:r>
    </w:p>
    <w:p>
      <w:pPr>
        <w:spacing w:after="0" w:line="168" w:lineRule="exact"/>
        <w:rPr>
          <w:sz w:val="20"/>
          <w:szCs w:val="20"/>
          <w:color w:val="auto"/>
        </w:rPr>
      </w:pPr>
    </w:p>
    <w:p>
      <w:pPr>
        <w:ind w:left="60" w:right="79"/>
        <w:spacing w:after="0" w:line="296" w:lineRule="auto"/>
        <w:rPr>
          <w:sz w:val="20"/>
          <w:szCs w:val="20"/>
          <w:color w:val="auto"/>
        </w:rPr>
      </w:pPr>
      <w:r>
        <w:rPr>
          <w:rFonts w:ascii="Arial" w:cs="Arial" w:eastAsia="Arial" w:hAnsi="Arial"/>
          <w:sz w:val="16"/>
          <w:szCs w:val="16"/>
          <w:b w:val="1"/>
          <w:bCs w:val="1"/>
          <w:i w:val="1"/>
          <w:iCs w:val="1"/>
          <w:color w:val="auto"/>
        </w:rPr>
        <w:t xml:space="preserve">Impairment of long-lived and other assets. </w:t>
      </w:r>
      <w:r>
        <w:rPr>
          <w:rFonts w:ascii="Arial" w:cs="Arial" w:eastAsia="Arial" w:hAnsi="Arial"/>
          <w:sz w:val="16"/>
          <w:szCs w:val="16"/>
          <w:color w:val="auto"/>
        </w:rPr>
        <w:t>In accounting for our long-lived and other assets, we assess our long-lived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assets for impairment whenever events or changes in circumstances indicate that the carrying value of the assets or asset group may not be recoverable. Factors we consider when assessing whether impairment indicators exist include (i) significant under-performance relative to historical or projected future operating results, (ii) significant changes in the manner of our use of assets or the strategy for our overall business, or (iii) significant negative industry or economic trends.</w:t>
      </w:r>
    </w:p>
    <w:p>
      <w:pPr>
        <w:spacing w:after="0" w:line="161" w:lineRule="exact"/>
        <w:rPr>
          <w:sz w:val="20"/>
          <w:szCs w:val="20"/>
          <w:color w:val="auto"/>
        </w:rPr>
      </w:pPr>
    </w:p>
    <w:p>
      <w:pPr>
        <w:ind w:left="60" w:right="79"/>
        <w:spacing w:after="0" w:line="301" w:lineRule="auto"/>
        <w:rPr>
          <w:sz w:val="20"/>
          <w:szCs w:val="20"/>
          <w:color w:val="auto"/>
        </w:rPr>
      </w:pPr>
      <w:r>
        <w:rPr>
          <w:rFonts w:ascii="Arial" w:cs="Arial" w:eastAsia="Arial" w:hAnsi="Arial"/>
          <w:sz w:val="16"/>
          <w:szCs w:val="16"/>
          <w:color w:val="auto"/>
        </w:rPr>
        <w:t>Recoverability of property and equipment and definite-lived intangible assets that will continue to be used is measured by comparing the carrying amount of the asset or asset group to the related total future undiscounted net cash flows. If an asset or asset group’s carrying value is not recoverable through those cash flows, the asset group is considered to be impaired. The impairment is measured by the difference between the assets’ carrying amount and their fair value, which</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93" w:lineRule="auto"/>
        <w:rPr>
          <w:sz w:val="20"/>
          <w:szCs w:val="20"/>
          <w:color w:val="auto"/>
        </w:rPr>
      </w:pPr>
      <w:r>
        <w:rPr>
          <w:rFonts w:ascii="Arial" w:cs="Arial" w:eastAsia="Arial" w:hAnsi="Arial"/>
          <w:sz w:val="16"/>
          <w:szCs w:val="16"/>
          <w:color w:val="auto"/>
        </w:rPr>
        <w:t>is estimated using discounted cash flow analyses that utilize comprehensive cash flow projections, as well as observable market data to the extent available. Estimating the total future undiscounted net cash flows, as well as the fair value of assets or asset groups, if necessary, requires management to make assumptions and projections of future cash flows, long-term growth rates, asset holding periods, and other factors. The assumptions used to assess impairment consider historical trends, macroeconomic conditions, and projections consistent with our operating strategy. Changes in these estimates and assumptions can have a significant impact on the assessment, which could result in material impairment losses.</w:t>
      </w:r>
    </w:p>
    <w:p>
      <w:pPr>
        <w:spacing w:after="0" w:line="164" w:lineRule="exact"/>
        <w:rPr>
          <w:sz w:val="20"/>
          <w:szCs w:val="20"/>
          <w:color w:val="auto"/>
        </w:rPr>
      </w:pPr>
    </w:p>
    <w:p>
      <w:pPr>
        <w:ind w:left="60" w:right="159"/>
        <w:spacing w:after="0" w:line="257" w:lineRule="auto"/>
        <w:rPr>
          <w:sz w:val="20"/>
          <w:szCs w:val="20"/>
          <w:color w:val="auto"/>
        </w:rPr>
      </w:pPr>
      <w:r>
        <w:rPr>
          <w:rFonts w:ascii="Arial" w:cs="Arial" w:eastAsia="Arial" w:hAnsi="Arial"/>
          <w:sz w:val="18"/>
          <w:szCs w:val="18"/>
          <w:b w:val="1"/>
          <w:bCs w:val="1"/>
          <w:i w:val="1"/>
          <w:iCs w:val="1"/>
          <w:color w:val="auto"/>
        </w:rPr>
        <w:t xml:space="preserve">Credit losses on financial assets. </w:t>
      </w:r>
      <w:r>
        <w:rPr>
          <w:rFonts w:ascii="Arial" w:cs="Arial" w:eastAsia="Arial" w:hAnsi="Arial"/>
          <w:sz w:val="18"/>
          <w:szCs w:val="18"/>
          <w:color w:val="auto"/>
        </w:rPr>
        <w:t>We assess our financial assets, including the bonds we received in 2008 related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Gaylord National construction (“Gaylord National Bonds”), and our accounts receivable for credit losses utilizing the expected loss model prescribed by ASC 326, “</w:t>
      </w:r>
      <w:r>
        <w:rPr>
          <w:rFonts w:ascii="Arial" w:cs="Arial" w:eastAsia="Arial" w:hAnsi="Arial"/>
          <w:sz w:val="18"/>
          <w:szCs w:val="18"/>
          <w:i w:val="1"/>
          <w:iCs w:val="1"/>
          <w:color w:val="auto"/>
        </w:rPr>
        <w:t>Financial Instruments – Credit Losses</w:t>
      </w:r>
      <w:r>
        <w:rPr>
          <w:rFonts w:ascii="Arial" w:cs="Arial" w:eastAsia="Arial" w:hAnsi="Arial"/>
          <w:sz w:val="18"/>
          <w:szCs w:val="18"/>
          <w:color w:val="auto"/>
        </w:rPr>
        <w:t>,” and record a reserve, in the form of an allowance for credit losses, against the amortized cost basis for the portion of the financial asset that will not be recovered due to credit losses.</w:t>
      </w:r>
    </w:p>
    <w:p>
      <w:pPr>
        <w:spacing w:after="0" w:line="188" w:lineRule="exact"/>
        <w:rPr>
          <w:sz w:val="20"/>
          <w:szCs w:val="20"/>
          <w:color w:val="auto"/>
        </w:rPr>
      </w:pPr>
    </w:p>
    <w:p>
      <w:pPr>
        <w:ind w:left="60" w:right="99"/>
        <w:spacing w:after="0" w:line="288" w:lineRule="auto"/>
        <w:rPr>
          <w:sz w:val="20"/>
          <w:szCs w:val="20"/>
          <w:color w:val="auto"/>
        </w:rPr>
      </w:pPr>
      <w:r>
        <w:rPr>
          <w:rFonts w:ascii="Arial" w:cs="Arial" w:eastAsia="Arial" w:hAnsi="Arial"/>
          <w:sz w:val="16"/>
          <w:szCs w:val="16"/>
          <w:color w:val="auto"/>
        </w:rPr>
        <w:t>We provide credit loss reserves for the Gaylord National Bonds by comparing the amortized cost basis to their fair value. If the amortized cost basis exceeds the fair value, an expected credit loss exists and the allowance for credit losses is measured as the difference between the bonds’ amortized cost basis and fair value, which is estimated using discounted cash flow analyses that utilize comprehensive cash flow projections over the contractual life of the bonds, as well as observable market data to the extent available. Our estimate of the fair value of the Gaylord National Bonds is sensitive to the significant assumptions of the discounted cash flow analysis, which include the projections of hotel taxes (which are based on expected hotel rooms revenues) and property taxes, both of which are affected by expectations about future market and economic conditions, particularly those in the Washington D.C. market. Further, such assumptions require significant judgment as the Gaylord National Bonds and related projected cash flows continue for an extended period of time through 2037 and include the uncertainty of the impact of the COVID-19 pandemic.</w:t>
      </w:r>
    </w:p>
    <w:p>
      <w:pPr>
        <w:spacing w:after="0" w:line="168" w:lineRule="exact"/>
        <w:rPr>
          <w:sz w:val="20"/>
          <w:szCs w:val="20"/>
          <w:color w:val="auto"/>
        </w:rPr>
      </w:pPr>
    </w:p>
    <w:p>
      <w:pPr>
        <w:ind w:left="60" w:right="339"/>
        <w:spacing w:after="0" w:line="263" w:lineRule="auto"/>
        <w:rPr>
          <w:sz w:val="20"/>
          <w:szCs w:val="20"/>
          <w:color w:val="auto"/>
        </w:rPr>
      </w:pPr>
      <w:r>
        <w:rPr>
          <w:rFonts w:ascii="Arial" w:cs="Arial" w:eastAsia="Arial" w:hAnsi="Arial"/>
          <w:sz w:val="18"/>
          <w:szCs w:val="18"/>
          <w:color w:val="auto"/>
        </w:rPr>
        <w:t>We provide for credit loss reserves for trade receivables based upon a percentage of accounts receivable that considers historical write-offs, current economic conditions, and management’s expectations about future economic conditions, as well as periodic evaluations of the aging of accounts receivable.</w:t>
      </w:r>
    </w:p>
    <w:p>
      <w:pPr>
        <w:spacing w:after="0" w:line="184" w:lineRule="exact"/>
        <w:rPr>
          <w:sz w:val="20"/>
          <w:szCs w:val="20"/>
          <w:color w:val="auto"/>
        </w:rPr>
      </w:pPr>
    </w:p>
    <w:p>
      <w:pPr>
        <w:ind w:left="60" w:right="99"/>
        <w:spacing w:after="0" w:line="288" w:lineRule="auto"/>
        <w:rPr>
          <w:sz w:val="20"/>
          <w:szCs w:val="20"/>
          <w:color w:val="auto"/>
        </w:rPr>
      </w:pPr>
      <w:r>
        <w:rPr>
          <w:rFonts w:ascii="Arial" w:cs="Arial" w:eastAsia="Arial" w:hAnsi="Arial"/>
          <w:sz w:val="16"/>
          <w:szCs w:val="16"/>
          <w:b w:val="1"/>
          <w:bCs w:val="1"/>
          <w:i w:val="1"/>
          <w:iCs w:val="1"/>
          <w:color w:val="auto"/>
        </w:rPr>
        <w:t xml:space="preserve">Stock-based compensation. </w:t>
      </w:r>
      <w:r>
        <w:rPr>
          <w:rFonts w:ascii="Arial" w:cs="Arial" w:eastAsia="Arial" w:hAnsi="Arial"/>
          <w:sz w:val="16"/>
          <w:szCs w:val="16"/>
          <w:color w:val="auto"/>
        </w:rPr>
        <w:t>For awards of restricted stock units, we measure compensation expense based on the fair value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awards on the date of grant. The fair value of time-based awards is determined based on the closing trading price of our common shares on the measurement date, which is generally the date of grant. The fair value of performance-based awards is determined using a Monte Carlo simulation. A Monte Carlo simulation requires the use of a number of assumptions, including historical volatility and correlation of the price of our common shares and the price of the common shares of a peer group, a risk-free rate of return, and an expected term. For each award, compensation expense is recognized on a straight-line basis over the vesting period. For both time-based awards and performance-based awards, once the total amount of compensation expense is determined on the date of the grant, no adjustments are made to the amount recognized each period, unless there is a change to a non-market condition assumption. No compensation expense is recognized for awards for which employees do not render the requisite service.</w:t>
      </w:r>
    </w:p>
    <w:p>
      <w:pPr>
        <w:spacing w:after="0" w:line="164" w:lineRule="exact"/>
        <w:rPr>
          <w:sz w:val="20"/>
          <w:szCs w:val="20"/>
          <w:color w:val="auto"/>
        </w:rPr>
      </w:pPr>
    </w:p>
    <w:p>
      <w:pPr>
        <w:ind w:left="60" w:right="419"/>
        <w:spacing w:after="0" w:line="289" w:lineRule="auto"/>
        <w:rPr>
          <w:sz w:val="20"/>
          <w:szCs w:val="20"/>
          <w:color w:val="auto"/>
        </w:rPr>
      </w:pPr>
      <w:r>
        <w:rPr>
          <w:rFonts w:ascii="Arial" w:cs="Arial" w:eastAsia="Arial" w:hAnsi="Arial"/>
          <w:sz w:val="17"/>
          <w:szCs w:val="17"/>
          <w:b w:val="1"/>
          <w:bCs w:val="1"/>
          <w:i w:val="1"/>
          <w:iCs w:val="1"/>
          <w:color w:val="auto"/>
        </w:rPr>
        <w:t>Derivative financial instruments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have entered into and may in the future enter into additional interest rate swap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agreements to hedge against interest rate fluctuations. The Company does not use derivatives for trading or speculative purposes and currently does not hold any derivatives that are not designated as hedges.</w:t>
      </w:r>
    </w:p>
    <w:p>
      <w:pPr>
        <w:spacing w:after="0" w:line="108" w:lineRule="exact"/>
        <w:rPr>
          <w:sz w:val="20"/>
          <w:szCs w:val="20"/>
          <w:color w:val="auto"/>
        </w:rPr>
      </w:pPr>
    </w:p>
    <w:p>
      <w:pPr>
        <w:ind w:left="60" w:right="219"/>
        <w:spacing w:after="0" w:line="257" w:lineRule="auto"/>
        <w:rPr>
          <w:sz w:val="20"/>
          <w:szCs w:val="20"/>
          <w:color w:val="auto"/>
        </w:rPr>
      </w:pPr>
      <w:r>
        <w:rPr>
          <w:rFonts w:ascii="Arial" w:cs="Arial" w:eastAsia="Arial" w:hAnsi="Arial"/>
          <w:sz w:val="18"/>
          <w:szCs w:val="18"/>
          <w:color w:val="auto"/>
        </w:rPr>
        <w:t>For derivatives designated as and that qualify as cash flow hedges of interest rate risk, the gain or loss on the derivative resulting from recording each instrument at estimated fair value is recorded in accumulated other comprehensive loss and subsequently reclassified to interest expense in the same period during which the hedged transaction affects earnings. These amounts reported in accumulated other comprehensive loss will be reclassified to interest expense as interest payments are made on the related variable-rate debt.</w:t>
      </w:r>
    </w:p>
    <w:p>
      <w:pPr>
        <w:spacing w:after="0" w:line="134" w:lineRule="exact"/>
        <w:rPr>
          <w:sz w:val="20"/>
          <w:szCs w:val="20"/>
          <w:color w:val="auto"/>
        </w:rPr>
      </w:pPr>
    </w:p>
    <w:p>
      <w:pPr>
        <w:ind w:left="60" w:right="99"/>
        <w:spacing w:after="0" w:line="279" w:lineRule="auto"/>
        <w:rPr>
          <w:sz w:val="20"/>
          <w:szCs w:val="20"/>
          <w:color w:val="auto"/>
        </w:rPr>
      </w:pPr>
      <w:r>
        <w:rPr>
          <w:rFonts w:ascii="Arial" w:cs="Arial" w:eastAsia="Arial" w:hAnsi="Arial"/>
          <w:sz w:val="17"/>
          <w:szCs w:val="17"/>
          <w:color w:val="auto"/>
        </w:rPr>
        <w:t>We determine the fair values of our interest rate swap contracts based on a widely accepted valuation methodology of netting the discounted future fixed cash flows and the discounted expected variable cash flow, using interest rates derived from observable market interest rate curves and volatilities, with appropriate adjustments for any significant impact of non-performance risk of the parties to the swap contracts. We believe it is unlikely that materially different</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63" w:lineRule="auto"/>
        <w:rPr>
          <w:sz w:val="20"/>
          <w:szCs w:val="20"/>
          <w:color w:val="auto"/>
        </w:rPr>
      </w:pPr>
      <w:r>
        <w:rPr>
          <w:rFonts w:ascii="Arial" w:cs="Arial" w:eastAsia="Arial" w:hAnsi="Arial"/>
          <w:sz w:val="18"/>
          <w:szCs w:val="18"/>
          <w:color w:val="auto"/>
        </w:rPr>
        <w:t>estimates for the fair value of financial derivative instruments would be made or reported based on other reasonable assumptions or conditions suggested by actual historical experience and other data available at the time the estimates were made.</w:t>
      </w:r>
    </w:p>
    <w:p>
      <w:pPr>
        <w:spacing w:after="0" w:line="130" w:lineRule="exact"/>
        <w:rPr>
          <w:sz w:val="20"/>
          <w:szCs w:val="20"/>
          <w:color w:val="auto"/>
        </w:rPr>
      </w:pPr>
    </w:p>
    <w:p>
      <w:pPr>
        <w:ind w:left="60" w:right="279"/>
        <w:spacing w:after="0" w:line="272" w:lineRule="auto"/>
        <w:rPr>
          <w:sz w:val="20"/>
          <w:szCs w:val="20"/>
          <w:color w:val="auto"/>
        </w:rPr>
      </w:pPr>
      <w:r>
        <w:rPr>
          <w:rFonts w:ascii="Arial" w:cs="Arial" w:eastAsia="Arial" w:hAnsi="Arial"/>
          <w:sz w:val="17"/>
          <w:szCs w:val="17"/>
          <w:b w:val="1"/>
          <w:bCs w:val="1"/>
          <w:i w:val="1"/>
          <w:iCs w:val="1"/>
          <w:color w:val="auto"/>
        </w:rPr>
        <w:t xml:space="preserve">Depreciation and amortization. </w:t>
      </w:r>
      <w:r>
        <w:rPr>
          <w:rFonts w:ascii="Arial" w:cs="Arial" w:eastAsia="Arial" w:hAnsi="Arial"/>
          <w:sz w:val="17"/>
          <w:szCs w:val="17"/>
          <w:color w:val="auto"/>
        </w:rPr>
        <w:t>Depreciation expense is based on the estimated useful life of our fixed assets.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Amortization expense for leasehold improvements is based on the shorter of the lease term or the estimated useful life of the related assets, and amortization expense for intangibles acquired as part of a business combination is based on the specific circumstances of each intangible asset. The lives of the assets are based on a number of assumptions, including cost and timing of capital expenditures to maintain and refurbish the assets, as well as specific market and economic conditions. While management believes its estimates are reasonable, a change in the estimated lives could affect our depreciation expense in future periods.</w:t>
      </w:r>
    </w:p>
    <w:p>
      <w:pPr>
        <w:spacing w:after="0" w:line="123" w:lineRule="exact"/>
        <w:rPr>
          <w:sz w:val="20"/>
          <w:szCs w:val="20"/>
          <w:color w:val="auto"/>
        </w:rPr>
      </w:pPr>
    </w:p>
    <w:p>
      <w:pPr>
        <w:ind w:left="60" w:right="299"/>
        <w:spacing w:after="0" w:line="263"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As a REIT, generally we will not be subject to federal corporate income taxes on ordinary taxable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capital gains income from real estate investments that we distribute to our stockholders. We will continue to be required to pay federal and state corporate income taxes on earnings of our TRSs.</w:t>
      </w:r>
    </w:p>
    <w:p>
      <w:pPr>
        <w:spacing w:after="0" w:line="130"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color w:val="auto"/>
        </w:rPr>
        <w:t>Our deferred tax assets and liabilities are recognized for the future tax consequences attributable to differences between the financial statement carrying amounts of existing assets and liabilities and their respective tax bases, using enacted tax rates expected to apply to taxable income in the years in which those temporary differences are expected to be recovered or settled.</w:t>
      </w:r>
    </w:p>
    <w:p>
      <w:pPr>
        <w:spacing w:after="0" w:line="133" w:lineRule="exact"/>
        <w:rPr>
          <w:sz w:val="20"/>
          <w:szCs w:val="20"/>
          <w:color w:val="auto"/>
        </w:rPr>
      </w:pPr>
    </w:p>
    <w:p>
      <w:pPr>
        <w:jc w:val="both"/>
        <w:ind w:left="60" w:right="139"/>
        <w:spacing w:after="0" w:line="263" w:lineRule="auto"/>
        <w:rPr>
          <w:sz w:val="20"/>
          <w:szCs w:val="20"/>
          <w:color w:val="auto"/>
        </w:rPr>
      </w:pPr>
      <w:r>
        <w:rPr>
          <w:rFonts w:ascii="Arial" w:cs="Arial" w:eastAsia="Arial" w:hAnsi="Arial"/>
          <w:sz w:val="18"/>
          <w:szCs w:val="18"/>
          <w:color w:val="auto"/>
        </w:rPr>
        <w:t>We must assess the likelihood that we will be able to recover our deferred tax assets. If recovery is not likely, the provision for taxes is increased by recording a reserve, in the form of a valuation allowance, against the estimated deferred tax assets that will not ultimately be recoverable.</w:t>
      </w:r>
    </w:p>
    <w:p>
      <w:pPr>
        <w:spacing w:after="0" w:line="130" w:lineRule="exact"/>
        <w:rPr>
          <w:sz w:val="20"/>
          <w:szCs w:val="20"/>
          <w:color w:val="auto"/>
        </w:rPr>
      </w:pPr>
    </w:p>
    <w:p>
      <w:pPr>
        <w:ind w:left="60" w:right="119"/>
        <w:spacing w:after="0" w:line="293" w:lineRule="auto"/>
        <w:rPr>
          <w:sz w:val="20"/>
          <w:szCs w:val="20"/>
          <w:color w:val="auto"/>
        </w:rPr>
      </w:pPr>
      <w:r>
        <w:rPr>
          <w:rFonts w:ascii="Arial" w:cs="Arial" w:eastAsia="Arial" w:hAnsi="Arial"/>
          <w:sz w:val="16"/>
          <w:szCs w:val="16"/>
          <w:color w:val="auto"/>
        </w:rPr>
        <w:t>In addition, we must evaluate uncertainties in the application of complex tax regulations in the calculation of tax liabilities. We provide for uncertain tax positions and the related interest and penalties based upon management’s assessment of whether a tax benefit is more likely than not to be sustained upon examination by tax authorities. We make this assessment based on only the technical merits of the tax position. At December 31, 2021 and 2020, we had no accruals for unrecognized tax benefits. We recognize interest and penalties related to uncertain tax positions, if any, in income tax expense. At December 31, 2021 and 2020, we have accrued no interest or penalties related to uncertain tax positions.</w:t>
      </w:r>
    </w:p>
    <w:p>
      <w:pPr>
        <w:spacing w:after="0" w:line="164" w:lineRule="exact"/>
        <w:rPr>
          <w:sz w:val="20"/>
          <w:szCs w:val="20"/>
          <w:color w:val="auto"/>
        </w:rPr>
      </w:pPr>
    </w:p>
    <w:p>
      <w:pPr>
        <w:ind w:left="60" w:right="99"/>
        <w:spacing w:after="0" w:line="272" w:lineRule="auto"/>
        <w:rPr>
          <w:sz w:val="20"/>
          <w:szCs w:val="20"/>
          <w:color w:val="auto"/>
        </w:rPr>
      </w:pPr>
      <w:r>
        <w:rPr>
          <w:rFonts w:ascii="Arial" w:cs="Arial" w:eastAsia="Arial" w:hAnsi="Arial"/>
          <w:sz w:val="17"/>
          <w:szCs w:val="17"/>
          <w:b w:val="1"/>
          <w:bCs w:val="1"/>
          <w:i w:val="1"/>
          <w:iCs w:val="1"/>
          <w:color w:val="auto"/>
        </w:rPr>
        <w:t xml:space="preserve">Pension plans. </w:t>
      </w:r>
      <w:r>
        <w:rPr>
          <w:rFonts w:ascii="Arial" w:cs="Arial" w:eastAsia="Arial" w:hAnsi="Arial"/>
          <w:sz w:val="17"/>
          <w:szCs w:val="17"/>
          <w:color w:val="auto"/>
        </w:rPr>
        <w:t>The costs and obligations of our pension plans recognized in our consolidated financial statements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determined from actuarial valuations, which are dependent on significant assumptions, judgments, and estimates. These assumptions, judgments, and estimates, which include discount rates at which the liabilities could be settled at the measurement date, expected return on plan assets and mortality rates, are evaluated at each annual measurement date. In accordance with generally accepted accounting principles, actual results that differ from these assumptions, judgments, and estimates are accumulated and amortized over future periods and, therefore, affect expense recognized and obligations recorded in future periods.</w:t>
      </w:r>
    </w:p>
    <w:p>
      <w:pPr>
        <w:spacing w:after="0" w:line="177" w:lineRule="exact"/>
        <w:rPr>
          <w:sz w:val="20"/>
          <w:szCs w:val="20"/>
          <w:color w:val="auto"/>
        </w:rPr>
      </w:pPr>
    </w:p>
    <w:p>
      <w:pPr>
        <w:ind w:left="60" w:right="139"/>
        <w:spacing w:after="0" w:line="301" w:lineRule="auto"/>
        <w:rPr>
          <w:sz w:val="20"/>
          <w:szCs w:val="20"/>
          <w:color w:val="auto"/>
        </w:rPr>
      </w:pPr>
      <w:r>
        <w:rPr>
          <w:rFonts w:ascii="Arial" w:cs="Arial" w:eastAsia="Arial" w:hAnsi="Arial"/>
          <w:sz w:val="16"/>
          <w:szCs w:val="16"/>
          <w:color w:val="auto"/>
        </w:rPr>
        <w:t>The discount rate utilized for determining future benefit obligations is based on the market rate of a broad-based index of high-quality bonds receiving an AA- or better rating from a recognized rating agency on our annual measurement date that is matched to the future expected cash flows of the benefit plans by annual periods. The resulting discount rate for the pension plan increased from 1.95% at December 31, 2020 to 2.42% at December 31, 2021.</w:t>
      </w:r>
    </w:p>
    <w:p>
      <w:pPr>
        <w:spacing w:after="0" w:line="157" w:lineRule="exact"/>
        <w:rPr>
          <w:sz w:val="20"/>
          <w:szCs w:val="20"/>
          <w:color w:val="auto"/>
        </w:rPr>
      </w:pPr>
    </w:p>
    <w:p>
      <w:pPr>
        <w:ind w:left="60" w:right="79"/>
        <w:spacing w:after="0" w:line="289" w:lineRule="auto"/>
        <w:rPr>
          <w:sz w:val="20"/>
          <w:szCs w:val="20"/>
          <w:color w:val="auto"/>
        </w:rPr>
      </w:pPr>
      <w:r>
        <w:rPr>
          <w:rFonts w:ascii="Arial" w:cs="Arial" w:eastAsia="Arial" w:hAnsi="Arial"/>
          <w:sz w:val="16"/>
          <w:szCs w:val="16"/>
          <w:color w:val="auto"/>
        </w:rPr>
        <w:t>We determine the overall expected long-term return on plan assets based on our estimate of the return that plan assets will provide over the period that benefits are expected to be paid out. In preparing this estimate, we assess the rates of return on each allocation of plan assets and advice by our third-party actuary and investment consultants. The expected return on plan assets is a long-term assumption that is determined at the beginning of each year and generally does not significantly change annually. While historical returns are considered, the rate of return assumption is primarily based on projections of expected returns, using economic data and financial models to estimate the probability of returns. The probability distribution of annualized returns for the portfolio using current asset allocations is used to determine the expected range of returns for a ten-to-twenty-year horizon. While management believes that the assumptions used are appropriate, differences in actual experience or changes in assumptions may affect our pension expense. The expected</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9" w:lineRule="auto"/>
        <w:rPr>
          <w:sz w:val="20"/>
          <w:szCs w:val="20"/>
          <w:color w:val="auto"/>
        </w:rPr>
      </w:pPr>
      <w:r>
        <w:rPr>
          <w:rFonts w:ascii="Arial" w:cs="Arial" w:eastAsia="Arial" w:hAnsi="Arial"/>
          <w:sz w:val="17"/>
          <w:szCs w:val="17"/>
          <w:color w:val="auto"/>
        </w:rPr>
        <w:t>return on plan assets assumption used for determining net periodic pension expense for 2021 and 2020 was 6.0% and 6.5%, respectively. Actual return on plan assets for 2021 and 2020 was 13.0% and 16.8%, respectively. Our historical actual return averaged 10.6% for the ten-year period ended December 31, 2021. In the future, we may make additional discretionary contributions to the plan or we could be required to make mandatory cash funding payments.</w:t>
      </w:r>
    </w:p>
    <w:p>
      <w:pPr>
        <w:spacing w:after="0" w:line="171" w:lineRule="exact"/>
        <w:rPr>
          <w:sz w:val="20"/>
          <w:szCs w:val="20"/>
          <w:color w:val="auto"/>
        </w:rPr>
      </w:pPr>
    </w:p>
    <w:p>
      <w:pPr>
        <w:ind w:left="60" w:right="519"/>
        <w:spacing w:after="0" w:line="277" w:lineRule="auto"/>
        <w:rPr>
          <w:sz w:val="20"/>
          <w:szCs w:val="20"/>
          <w:color w:val="auto"/>
        </w:rPr>
      </w:pPr>
      <w:r>
        <w:rPr>
          <w:rFonts w:ascii="Arial" w:cs="Arial" w:eastAsia="Arial" w:hAnsi="Arial"/>
          <w:sz w:val="18"/>
          <w:szCs w:val="18"/>
          <w:color w:val="auto"/>
        </w:rPr>
        <w:t>The mortality rate assumption used for determining future benefit obligations as of December 31, 2021 and 2020 was based on the Pri-2012 Total Dataset Mortality Table.</w:t>
      </w:r>
    </w:p>
    <w:p>
      <w:pPr>
        <w:spacing w:after="0" w:line="170" w:lineRule="exact"/>
        <w:rPr>
          <w:sz w:val="20"/>
          <w:szCs w:val="20"/>
          <w:color w:val="auto"/>
        </w:rPr>
      </w:pPr>
    </w:p>
    <w:p>
      <w:pPr>
        <w:ind w:left="60" w:right="99"/>
        <w:spacing w:after="0" w:line="255" w:lineRule="auto"/>
        <w:rPr>
          <w:sz w:val="20"/>
          <w:szCs w:val="20"/>
          <w:color w:val="auto"/>
        </w:rPr>
      </w:pPr>
      <w:r>
        <w:rPr>
          <w:rFonts w:ascii="Arial" w:cs="Arial" w:eastAsia="Arial" w:hAnsi="Arial"/>
          <w:sz w:val="18"/>
          <w:szCs w:val="18"/>
          <w:color w:val="auto"/>
        </w:rPr>
        <w:t>While management believes that the assumptions used are appropriate, differences in actual experience or changes in assumptions may affect our pension obligations and expense. For example, holding all other assumptions constant, a 1% increase or decrease in the assumed discount rate related to the retirement plan would increase (decrease) 2021 net periodic pension expense by approximately $0.2 million and $0.3 million, respectively. Likewise, a 1% increase or decrease in the assumed rate of return on plan assets would (decrease) increase 2021 net periodic pension expense by approximately $0.7 million.</w:t>
      </w:r>
    </w:p>
    <w:p>
      <w:pPr>
        <w:spacing w:after="0" w:line="192" w:lineRule="exact"/>
        <w:rPr>
          <w:sz w:val="20"/>
          <w:szCs w:val="20"/>
          <w:color w:val="auto"/>
        </w:rPr>
      </w:pPr>
    </w:p>
    <w:p>
      <w:pPr>
        <w:ind w:left="60" w:right="119"/>
        <w:spacing w:after="0" w:line="287" w:lineRule="auto"/>
        <w:rPr>
          <w:sz w:val="20"/>
          <w:szCs w:val="20"/>
          <w:color w:val="auto"/>
        </w:rPr>
      </w:pPr>
      <w:r>
        <w:rPr>
          <w:rFonts w:ascii="Arial" w:cs="Arial" w:eastAsia="Arial" w:hAnsi="Arial"/>
          <w:sz w:val="16"/>
          <w:szCs w:val="16"/>
          <w:b w:val="1"/>
          <w:bCs w:val="1"/>
          <w:i w:val="1"/>
          <w:iCs w:val="1"/>
          <w:color w:val="auto"/>
        </w:rPr>
        <w:t xml:space="preserve">Acquisitions and Purchase Price Allocations. </w:t>
      </w:r>
      <w:r>
        <w:rPr>
          <w:rFonts w:ascii="Arial" w:cs="Arial" w:eastAsia="Arial" w:hAnsi="Arial"/>
          <w:sz w:val="16"/>
          <w:szCs w:val="16"/>
          <w:color w:val="auto"/>
        </w:rPr>
        <w:t>Accounting for the acquisition of an entity as a business combination,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becoming the primary beneficiary of a previously unconsolidated variable interest entity, requires an allocation of the purchase price to the assets acquired and the liabilities assumed in the transaction at their respective estimated fair values, which requires us to make significant estimates and assumptions regarding the fair value of the acquired assets and liabilities assumed. We may engage third parties to provide valuation services to assist in the fair value determinations of the long-lived assets acquired and the liabilities assumed. The most difficult estimations of individual fair values are those involving long-lived assets, such as property, equipment, and intangible assets, that are assumed as part of the transaction, as well as any noncontrolling interests. When making fair value determinations, we consider market data for similar assets, expected cash flows discounted at risk-adjusted rates, and replacement cost for assets, among other information. Management judgment is required when making the significant assumptions used to value long-lived and identifiable intangible assets, which include projected revenue growth, estimated cash flows, discount rates, and other factors.</w:t>
      </w:r>
    </w:p>
    <w:p>
      <w:pPr>
        <w:spacing w:after="0" w:line="172" w:lineRule="exact"/>
        <w:rPr>
          <w:sz w:val="20"/>
          <w:szCs w:val="20"/>
          <w:color w:val="auto"/>
        </w:rPr>
      </w:pPr>
    </w:p>
    <w:p>
      <w:pPr>
        <w:ind w:left="60" w:right="59"/>
        <w:spacing w:after="0" w:line="296" w:lineRule="auto"/>
        <w:rPr>
          <w:sz w:val="20"/>
          <w:szCs w:val="20"/>
          <w:color w:val="auto"/>
        </w:rPr>
      </w:pPr>
      <w:r>
        <w:rPr>
          <w:rFonts w:ascii="Arial" w:cs="Arial" w:eastAsia="Arial" w:hAnsi="Arial"/>
          <w:sz w:val="16"/>
          <w:szCs w:val="16"/>
          <w:b w:val="1"/>
          <w:bCs w:val="1"/>
          <w:i w:val="1"/>
          <w:iCs w:val="1"/>
          <w:color w:val="auto"/>
        </w:rPr>
        <w:t xml:space="preserve">Legal Contingencies. </w:t>
      </w:r>
      <w:r>
        <w:rPr>
          <w:rFonts w:ascii="Arial" w:cs="Arial" w:eastAsia="Arial" w:hAnsi="Arial"/>
          <w:sz w:val="16"/>
          <w:szCs w:val="16"/>
          <w:color w:val="auto"/>
        </w:rPr>
        <w:t>We are subject to various legal proceedings and claims, the outcomes of which are subject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significant uncertainty. We record an accrual for loss contingencies when a loss is probable and the amount of the loss can be reasonably estimated, the determination of which requires significant judgment. We review these accruals each reporting period and make revisions based on changes in facts and circumstances, but resolution of legal matters in a manner inconsistent with our expectations could have a material impact on our financial condition and operating results.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left="60" w:right="499"/>
        <w:spacing w:after="0" w:line="277" w:lineRule="auto"/>
        <w:rPr>
          <w:sz w:val="20"/>
          <w:szCs w:val="20"/>
          <w:color w:val="auto"/>
        </w:rPr>
      </w:pPr>
      <w:r>
        <w:rPr>
          <w:rFonts w:ascii="Arial" w:cs="Arial" w:eastAsia="Arial" w:hAnsi="Arial"/>
          <w:sz w:val="18"/>
          <w:szCs w:val="18"/>
          <w:color w:val="auto"/>
        </w:rPr>
        <w:t>For a discussion of recently issued accounting standards, see Note 1 to our consolidated financial statements included herein.</w:t>
      </w:r>
    </w:p>
    <w:p>
      <w:pPr>
        <w:spacing w:after="0" w:line="166" w:lineRule="exact"/>
        <w:rPr>
          <w:sz w:val="20"/>
          <w:szCs w:val="20"/>
          <w:color w:val="auto"/>
        </w:rPr>
      </w:pPr>
    </w:p>
    <w:p>
      <w:pPr>
        <w:ind w:left="60"/>
        <w:spacing w:after="0"/>
        <w:tabs>
          <w:tab w:leader="none" w:pos="12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9" w:lineRule="exact"/>
        <w:rPr>
          <w:sz w:val="20"/>
          <w:szCs w:val="20"/>
          <w:color w:val="auto"/>
        </w:rPr>
      </w:pPr>
    </w:p>
    <w:p>
      <w:pPr>
        <w:ind w:left="60" w:right="59"/>
        <w:spacing w:after="0" w:line="275" w:lineRule="auto"/>
        <w:rPr>
          <w:sz w:val="20"/>
          <w:szCs w:val="20"/>
          <w:color w:val="auto"/>
        </w:rPr>
      </w:pPr>
      <w:r>
        <w:rPr>
          <w:rFonts w:ascii="Arial" w:cs="Arial" w:eastAsia="Arial" w:hAnsi="Arial"/>
          <w:sz w:val="17"/>
          <w:szCs w:val="17"/>
          <w:color w:val="auto"/>
        </w:rPr>
        <w:t>Market risk is the risk of loss arising from adverse changes in market rates and prices, such as interest rates, foreign currency exchange rates and commodity prices. Our primary exposures to market risk are from changes in interest rates and changes in asset values of investments that fund our pension plan. See Item 7, “Management’s Discussion and Analysis of Financial Condition and Results of Operations,” and Item 1A, “Risk Factors,” in this Annual Report on Form 10-K for more discussion on how interest rate increases affect our operations and financial condition.</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 Related to Changes in Interest Rates</w:t>
      </w:r>
    </w:p>
    <w:p>
      <w:pPr>
        <w:spacing w:after="0" w:line="229" w:lineRule="exact"/>
        <w:rPr>
          <w:sz w:val="20"/>
          <w:szCs w:val="20"/>
          <w:color w:val="auto"/>
        </w:rPr>
      </w:pPr>
    </w:p>
    <w:p>
      <w:pPr>
        <w:ind w:left="60" w:right="219"/>
        <w:spacing w:after="0" w:line="259" w:lineRule="auto"/>
        <w:rPr>
          <w:sz w:val="20"/>
          <w:szCs w:val="20"/>
          <w:color w:val="auto"/>
        </w:rPr>
      </w:pPr>
      <w:r>
        <w:rPr>
          <w:rFonts w:ascii="Arial" w:cs="Arial" w:eastAsia="Arial" w:hAnsi="Arial"/>
          <w:sz w:val="18"/>
          <w:szCs w:val="18"/>
          <w:color w:val="auto"/>
        </w:rPr>
        <w:t>At December 31, 2021, borrowings outstanding under our Revolver bore interest at an annual rate of LIBOR plus 2.25%, subject to adjustment as defined in the agreement. If LIBOR were to increase by 100 basis points, our annual interest cost on the $190.0 million in borrowings outstanding under the Revolver at December 31, 2021 would increase by approximately $1.9 million.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9" w:lineRule="auto"/>
        <w:rPr>
          <w:sz w:val="20"/>
          <w:szCs w:val="20"/>
          <w:color w:val="auto"/>
        </w:rPr>
      </w:pPr>
      <w:r>
        <w:rPr>
          <w:rFonts w:ascii="Arial" w:cs="Arial" w:eastAsia="Arial" w:hAnsi="Arial"/>
          <w:sz w:val="18"/>
          <w:szCs w:val="18"/>
          <w:color w:val="auto"/>
        </w:rPr>
        <w:t>At December 31, 2021, borrowings outstanding under our Term Loan A bore interest at an annual rate of LIBOR plus 2.25%, subject to adjustment as defined in the agreement. If LIBOR were to increase by 100 basis points, our annual interest cost on the $300.0 million in borrowings outstanding under the Term Loan A at December 31, 2021 would increase by approximately $3.0 million.</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7"/>
          <w:szCs w:val="17"/>
          <w:color w:val="auto"/>
        </w:rPr>
        <w:t>At December 31, 2021, borrowings outstanding under our Term Loan B bore interest at an annual rate of LIBOR plus</w:t>
      </w:r>
    </w:p>
    <w:p>
      <w:pPr>
        <w:spacing w:after="0" w:line="35" w:lineRule="exact"/>
        <w:rPr>
          <w:sz w:val="20"/>
          <w:szCs w:val="20"/>
          <w:color w:val="auto"/>
        </w:rPr>
      </w:pPr>
    </w:p>
    <w:p>
      <w:pPr>
        <w:ind w:left="60" w:right="199"/>
        <w:spacing w:after="0" w:line="253" w:lineRule="auto"/>
        <w:rPr>
          <w:sz w:val="20"/>
          <w:szCs w:val="20"/>
          <w:color w:val="auto"/>
        </w:rPr>
      </w:pPr>
      <w:r>
        <w:rPr>
          <w:rFonts w:ascii="Arial" w:cs="Arial" w:eastAsia="Arial" w:hAnsi="Arial"/>
          <w:sz w:val="18"/>
          <w:szCs w:val="18"/>
          <w:color w:val="auto"/>
        </w:rPr>
        <w:t>2.00%, subject to adjustment as defined in the agreement. We have hedged our interest rate exposure on $350.0 million of borrowings under the Term Loan B with interest rate swaps that fix the LIBOR portion of interest payments through May 2023. If LIBOR were to increase by 100 basis points, our annual interest cost on the $26.3 million in borrowings outstanding under the Term Loan B that are not hedged at December 31, 2021 would increase by approximately $0.3 million.</w:t>
      </w:r>
    </w:p>
    <w:p>
      <w:pPr>
        <w:spacing w:after="0" w:line="191" w:lineRule="exact"/>
        <w:rPr>
          <w:sz w:val="20"/>
          <w:szCs w:val="20"/>
          <w:color w:val="auto"/>
        </w:rPr>
      </w:pPr>
    </w:p>
    <w:p>
      <w:pPr>
        <w:jc w:val="both"/>
        <w:ind w:left="60" w:right="199"/>
        <w:spacing w:after="0" w:line="301" w:lineRule="auto"/>
        <w:rPr>
          <w:sz w:val="20"/>
          <w:szCs w:val="20"/>
          <w:color w:val="auto"/>
        </w:rPr>
      </w:pPr>
      <w:r>
        <w:rPr>
          <w:rFonts w:ascii="Arial" w:cs="Arial" w:eastAsia="Arial" w:hAnsi="Arial"/>
          <w:sz w:val="16"/>
          <w:szCs w:val="16"/>
          <w:color w:val="auto"/>
        </w:rPr>
        <w:t>At December 31, 2021, borrowings outstanding under the Gaylord Rockies Loan bore interest at an annual rate of LIBOR plus 2.50%. We have hedged our interest rate exposure with an interest rate swap that fixes the LIBOR portion of interest payments through August 2022. If we do not enter into an additional interest rate swap, we will be subject to interest rate risk under the Gaylord Rockies Loan from August 2022 through the maturity date of July 2023.</w:t>
      </w:r>
    </w:p>
    <w:p>
      <w:pPr>
        <w:spacing w:after="0" w:line="157" w:lineRule="exact"/>
        <w:rPr>
          <w:sz w:val="20"/>
          <w:szCs w:val="20"/>
          <w:color w:val="auto"/>
        </w:rPr>
      </w:pPr>
    </w:p>
    <w:p>
      <w:pPr>
        <w:ind w:left="60" w:right="159"/>
        <w:spacing w:after="0" w:line="286" w:lineRule="auto"/>
        <w:rPr>
          <w:sz w:val="20"/>
          <w:szCs w:val="20"/>
          <w:color w:val="auto"/>
        </w:rPr>
      </w:pPr>
      <w:r>
        <w:rPr>
          <w:rFonts w:ascii="Arial" w:cs="Arial" w:eastAsia="Arial" w:hAnsi="Arial"/>
          <w:sz w:val="17"/>
          <w:szCs w:val="17"/>
          <w:color w:val="auto"/>
        </w:rPr>
        <w:t>Certain of our outstanding cash balances are occasionally invested overnight with high credit quality financial institutions. We do not have significant exposure to changing interest rates on invested cash at December 31, 2021. As a result, the interest rate market risk implicit in these investments at December 31, 2021, if any, is low.</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 Related to Changes in Asset Values that Fund our Pension Plans</w:t>
      </w:r>
    </w:p>
    <w:p>
      <w:pPr>
        <w:spacing w:after="0" w:line="229"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The expected rates of return on the assets that fund our defined benefit pension plan are based on the asset allocation of the plan and the long-term projected return on those assets, which represent a diversified mix of equity securities, fixed income securities and cash. At December 31, 2021, the value of the investments in the pension fund was $72.5 million, and an immediate ten percent decrease in the value of the investments in the fund would have reduced the value of the fund by approximately $7.3 million.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jc w:val="both"/>
        <w:ind w:left="60" w:right="99"/>
        <w:spacing w:after="0" w:line="263" w:lineRule="auto"/>
        <w:rPr>
          <w:sz w:val="20"/>
          <w:szCs w:val="20"/>
          <w:color w:val="auto"/>
        </w:rPr>
      </w:pPr>
      <w:r>
        <w:rPr>
          <w:rFonts w:ascii="Arial" w:cs="Arial" w:eastAsia="Arial" w:hAnsi="Arial"/>
          <w:sz w:val="18"/>
          <w:szCs w:val="18"/>
          <w:color w:val="auto"/>
        </w:rPr>
        <w:t>Based upon our overall market risk exposures at December 31, 2021, we believe that the effects of changes in interest rates related to our borrowings and asset values of investments that fund our pension plan could be material to our consolidated financial position, results of operations or cash flows.</w:t>
      </w:r>
    </w:p>
    <w:p>
      <w:pPr>
        <w:spacing w:after="0" w:line="180"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229" w:lineRule="exact"/>
        <w:rPr>
          <w:sz w:val="20"/>
          <w:szCs w:val="20"/>
          <w:color w:val="auto"/>
        </w:rPr>
      </w:pPr>
    </w:p>
    <w:p>
      <w:pPr>
        <w:jc w:val="both"/>
        <w:ind w:left="60" w:right="99"/>
        <w:spacing w:after="0" w:line="277" w:lineRule="auto"/>
        <w:rPr>
          <w:sz w:val="20"/>
          <w:szCs w:val="20"/>
          <w:color w:val="auto"/>
        </w:rPr>
      </w:pPr>
      <w:r>
        <w:rPr>
          <w:rFonts w:ascii="Arial" w:cs="Arial" w:eastAsia="Arial" w:hAnsi="Arial"/>
          <w:sz w:val="18"/>
          <w:szCs w:val="18"/>
          <w:color w:val="auto"/>
        </w:rPr>
        <w:t>Information with respect to this Item is contained in the Company’s consolidated financial statements included in the Index beginning on page 77 of this Annual Report on Form 10-K and incorporated by reference herein.</w:t>
      </w:r>
    </w:p>
    <w:p>
      <w:pPr>
        <w:spacing w:after="0" w:line="166"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12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229" w:lineRule="exact"/>
        <w:rPr>
          <w:sz w:val="20"/>
          <w:szCs w:val="20"/>
          <w:color w:val="auto"/>
        </w:rPr>
      </w:pPr>
    </w:p>
    <w:p>
      <w:pPr>
        <w:ind w:left="60" w:right="59"/>
        <w:spacing w:after="0" w:line="255"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we conducted an evaluation of our disclosure controls and procedures, as such term is defined under Rule 13a-15(e) and Rule 15d-15(e) promulgated under the Securities Exchange Act of 1934, as amended (the “Exchange Act”), as of the end of the period covered by this Annual Report. Based on this evaluation, our principal executive officer and our principal financial officer concluded that our disclosure controls and procedures were effective, as of the end of the period covered by this Annual Report.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left="60" w:right="119"/>
        <w:spacing w:after="0" w:line="275"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Rules 13a-15(f) and 15d-15(f) under the Exchange Act. The Company’s internal control over financial reporting is designed to provide reasonable assurance regarding the reliability of financial reporting and the preparation of financial statements for external purposes in accordance with generally accepted accounting principles. The Company’s internal control over financial reporting includes those policies and procedures that:</w:t>
      </w:r>
    </w:p>
    <w:p>
      <w:pPr>
        <w:spacing w:after="0" w:line="176" w:lineRule="exact"/>
        <w:rPr>
          <w:sz w:val="20"/>
          <w:szCs w:val="20"/>
          <w:color w:val="auto"/>
        </w:rPr>
      </w:pPr>
    </w:p>
    <w:p>
      <w:pPr>
        <w:ind w:left="720" w:right="279" w:hanging="319"/>
        <w:spacing w:after="0" w:line="277" w:lineRule="auto"/>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70" w:lineRule="exact"/>
        <w:rPr>
          <w:rFonts w:ascii="Arial" w:cs="Arial" w:eastAsia="Arial" w:hAnsi="Arial"/>
          <w:sz w:val="18"/>
          <w:szCs w:val="18"/>
          <w:color w:val="auto"/>
        </w:rPr>
      </w:pPr>
    </w:p>
    <w:p>
      <w:pPr>
        <w:ind w:left="720" w:right="159" w:hanging="319"/>
        <w:spacing w:after="0" w:line="259" w:lineRule="auto"/>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86" w:lineRule="exact"/>
        <w:rPr>
          <w:rFonts w:ascii="Arial" w:cs="Arial" w:eastAsia="Arial" w:hAnsi="Arial"/>
          <w:sz w:val="18"/>
          <w:szCs w:val="18"/>
          <w:color w:val="auto"/>
        </w:rPr>
      </w:pPr>
    </w:p>
    <w:p>
      <w:pPr>
        <w:ind w:left="720" w:right="699" w:hanging="319"/>
        <w:spacing w:after="0" w:line="342" w:lineRule="auto"/>
        <w:tabs>
          <w:tab w:leader="none" w:pos="7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provide reasonable assurance regarding prevention or timely detection of unauthorized acquisition, use or disposition of the Company’s assets that could have a material effect on the financial statements.</w:t>
      </w:r>
    </w:p>
    <w:p>
      <w:pPr>
        <w:spacing w:after="0" w:line="124" w:lineRule="exact"/>
        <w:rPr>
          <w:sz w:val="20"/>
          <w:szCs w:val="20"/>
          <w:color w:val="auto"/>
        </w:rPr>
      </w:pPr>
    </w:p>
    <w:p>
      <w:pPr>
        <w:jc w:val="both"/>
        <w:ind w:left="60" w:right="159"/>
        <w:spacing w:after="0" w:line="311"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9" w:lineRule="exact"/>
        <w:rPr>
          <w:sz w:val="20"/>
          <w:szCs w:val="20"/>
          <w:color w:val="auto"/>
        </w:rPr>
      </w:pPr>
    </w:p>
    <w:p>
      <w:pPr>
        <w:ind w:left="60" w:right="159"/>
        <w:spacing w:after="0" w:line="286" w:lineRule="auto"/>
        <w:rPr>
          <w:sz w:val="20"/>
          <w:szCs w:val="20"/>
          <w:color w:val="auto"/>
        </w:rPr>
      </w:pPr>
      <w:r>
        <w:rPr>
          <w:rFonts w:ascii="Arial" w:cs="Arial" w:eastAsia="Arial" w:hAnsi="Arial"/>
          <w:sz w:val="17"/>
          <w:szCs w:val="17"/>
          <w:color w:val="auto"/>
        </w:rPr>
        <w:t>Management assessed the effectiveness of the Company’s internal control over financial reporting as of December 31, 2021. In making this assessment, management used the criteria set forth by the Committee of Sponsoring Organizations of the Treadway Commission (2013 framework) in Internal Control - Integrated Framework.</w:t>
      </w:r>
    </w:p>
    <w:p>
      <w:pPr>
        <w:spacing w:after="0" w:line="165"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Based on management’s assessment and those criteria, management believes that, as of December 31, 2021, the Company’s internal control over financial reporting was effective.</w:t>
      </w:r>
    </w:p>
    <w:p>
      <w:pPr>
        <w:spacing w:after="0" w:line="170"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color w:val="auto"/>
        </w:rPr>
        <w:t>The Company’s independent registered public accounting firm, Ernst &amp; Young LLP, has issued an attestation report on the Company’s internal control over financial reporting, which is included herein.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left="60" w:right="419"/>
        <w:spacing w:after="0" w:line="263"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quarter ended December 31, 2021 that have materially affected, or are reasonably likely to materially affect, our internal control over financial reporting.</w:t>
      </w:r>
    </w:p>
    <w:p>
      <w:pPr>
        <w:spacing w:after="0" w:line="180" w:lineRule="exact"/>
        <w:rPr>
          <w:sz w:val="20"/>
          <w:szCs w:val="20"/>
          <w:color w:val="auto"/>
        </w:rPr>
      </w:pPr>
    </w:p>
    <w:p>
      <w:pPr>
        <w:ind w:left="60"/>
        <w:spacing w:after="0"/>
        <w:tabs>
          <w:tab w:leader="none" w:pos="12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229" w:lineRule="exact"/>
        <w:rPr>
          <w:sz w:val="20"/>
          <w:szCs w:val="20"/>
          <w:color w:val="auto"/>
        </w:rPr>
      </w:pPr>
    </w:p>
    <w:p>
      <w:pPr>
        <w:ind w:left="60" w:right="79"/>
        <w:spacing w:after="0" w:line="279" w:lineRule="auto"/>
        <w:rPr>
          <w:sz w:val="20"/>
          <w:szCs w:val="20"/>
          <w:color w:val="auto"/>
        </w:rPr>
      </w:pPr>
      <w:r>
        <w:rPr>
          <w:rFonts w:ascii="Arial" w:cs="Arial" w:eastAsia="Arial" w:hAnsi="Arial"/>
          <w:sz w:val="17"/>
          <w:szCs w:val="17"/>
          <w:color w:val="auto"/>
        </w:rPr>
        <w:t>Information about our Board of Directors required by Item 401 of Regulation S-K is incorporated herein by reference to the discussion under the heading “Election of the Ten (10) Nominees for Director Identified in this Proxy Statement” in our Proxy Statement for the 2022 Annual Meeting of Stockholders, to be filed with the SEC. Information regarding procedures for stockholder nominations to our Board of Directors required by Item 407(c)(3) of Regulation S-K is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99"/>
        <w:spacing w:after="0" w:line="342" w:lineRule="auto"/>
        <w:rPr>
          <w:sz w:val="20"/>
          <w:szCs w:val="20"/>
          <w:color w:val="auto"/>
        </w:rPr>
      </w:pPr>
      <w:r>
        <w:rPr>
          <w:rFonts w:ascii="Arial" w:cs="Arial" w:eastAsia="Arial" w:hAnsi="Arial"/>
          <w:sz w:val="16"/>
          <w:szCs w:val="16"/>
          <w:color w:val="auto"/>
        </w:rPr>
        <w:t>incorporated by reference to the discussion under the heading “Submitting Stockholder Proposals and Nominations for 2023 Annual Meeting” in our Proxy Statement for the 2022 Annual Meeting of Stockholders, to be filed with the SEC.</w:t>
      </w:r>
    </w:p>
    <w:p>
      <w:pPr>
        <w:spacing w:after="0" w:line="124" w:lineRule="exact"/>
        <w:rPr>
          <w:sz w:val="20"/>
          <w:szCs w:val="20"/>
          <w:color w:val="auto"/>
        </w:rPr>
      </w:pPr>
    </w:p>
    <w:p>
      <w:pPr>
        <w:ind w:left="60" w:right="199"/>
        <w:spacing w:after="0" w:line="308" w:lineRule="auto"/>
        <w:rPr>
          <w:sz w:val="20"/>
          <w:szCs w:val="20"/>
          <w:color w:val="auto"/>
        </w:rPr>
      </w:pPr>
      <w:r>
        <w:rPr>
          <w:rFonts w:ascii="Arial" w:cs="Arial" w:eastAsia="Arial" w:hAnsi="Arial"/>
          <w:sz w:val="17"/>
          <w:szCs w:val="17"/>
          <w:color w:val="auto"/>
        </w:rPr>
        <w:t>Certain other information concerning executive officers and certain other officers of the Company is included in Item 1 of Part I of this Annual Report on Form 10-K under the caption “Information about our Executive Officers.”</w:t>
      </w:r>
    </w:p>
    <w:p>
      <w:pPr>
        <w:spacing w:after="0" w:line="146" w:lineRule="exact"/>
        <w:rPr>
          <w:sz w:val="20"/>
          <w:szCs w:val="20"/>
          <w:color w:val="auto"/>
        </w:rPr>
      </w:pPr>
    </w:p>
    <w:p>
      <w:pPr>
        <w:ind w:left="60" w:right="179"/>
        <w:spacing w:after="0" w:line="275" w:lineRule="auto"/>
        <w:rPr>
          <w:sz w:val="20"/>
          <w:szCs w:val="20"/>
          <w:color w:val="auto"/>
        </w:rPr>
      </w:pPr>
      <w:r>
        <w:rPr>
          <w:rFonts w:ascii="Arial" w:cs="Arial" w:eastAsia="Arial" w:hAnsi="Arial"/>
          <w:sz w:val="17"/>
          <w:szCs w:val="17"/>
          <w:color w:val="auto"/>
        </w:rPr>
        <w:t>The Company has a separately designated audit committee of the Board of Directors established in accordance with the Exchange Act. Alvin Bowles, Christian Brickman, Fazal Merchant and Christine Pantoya currently serve as members of the Audit Committee, and Mr. Merchant serves as its chairman. Our Board of Directors has determined that Mr. Brickman and Mr. Merchant are “audit committee financial experts” as defined by the SEC and are independent, as that term is defined in the Exchange Act and the listing standards of the New York Stock Exchange.</w:t>
      </w:r>
    </w:p>
    <w:p>
      <w:pPr>
        <w:spacing w:after="0" w:line="176" w:lineRule="exact"/>
        <w:rPr>
          <w:sz w:val="20"/>
          <w:szCs w:val="20"/>
          <w:color w:val="auto"/>
        </w:rPr>
      </w:pPr>
    </w:p>
    <w:p>
      <w:pPr>
        <w:ind w:left="60" w:right="59"/>
        <w:spacing w:after="0" w:line="286" w:lineRule="auto"/>
        <w:rPr>
          <w:sz w:val="20"/>
          <w:szCs w:val="20"/>
          <w:color w:val="auto"/>
        </w:rPr>
      </w:pPr>
      <w:r>
        <w:rPr>
          <w:rFonts w:ascii="Arial" w:cs="Arial" w:eastAsia="Arial" w:hAnsi="Arial"/>
          <w:sz w:val="16"/>
          <w:szCs w:val="16"/>
          <w:color w:val="auto"/>
        </w:rPr>
        <w:t>Our Board of Directors has adopted a Code of Business Conduct and Ethics applicable to the members of our Board of Directors and our officers, including our Principal Executive Officer, Principal Financial Officer and Principal Accounting Officer. In addition, the Board of Directors has adopted Corporate Governance Guidelines and restated charters for our Audit Committee, Human Resources Committee, and Nominating and Corporate Governance Committee. You can access our Code of Business Conduct and Ethics, Corporate Governance Guidelines and current committee charters on our website at www.rymanhp.com or request a copy of any of the foregoing by writing to the following address: Ryman Hospitality Properties, Inc., Attention: Secretary, One Gaylord Drive, Nashville, Tennessee 37214. The Company will make any legally required disclosures regarding amendments to, or waivers of, provisions of the Code of Business Conduct and Ethics, Corporate Governance Guidelines or current committee charters on its website. In accordance with the corporate governance listing standards of the New York Stock Exchange, the Company has designated Mr. Robert S. Prather, Jr. as the lead director at all meetings of non-management directors, which meetings will be held on a regular basis. Stockholders, employees and other interested parties may communicate with Mr. Prather, individual non-management directors, or the non-management directors as a group, by email at boardofdirectors@rymanhp.com.</w:t>
      </w:r>
    </w:p>
    <w:p>
      <w:pPr>
        <w:spacing w:after="0" w:line="170" w:lineRule="exact"/>
        <w:rPr>
          <w:sz w:val="20"/>
          <w:szCs w:val="20"/>
          <w:color w:val="auto"/>
        </w:rPr>
      </w:pPr>
    </w:p>
    <w:p>
      <w:pPr>
        <w:ind w:left="60"/>
        <w:spacing w:after="0"/>
        <w:tabs>
          <w:tab w:leader="none" w:pos="11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229" w:lineRule="exact"/>
        <w:rPr>
          <w:sz w:val="20"/>
          <w:szCs w:val="20"/>
          <w:color w:val="auto"/>
        </w:rPr>
      </w:pPr>
    </w:p>
    <w:p>
      <w:pPr>
        <w:ind w:left="60" w:right="79"/>
        <w:spacing w:after="0" w:line="271" w:lineRule="auto"/>
        <w:rPr>
          <w:sz w:val="20"/>
          <w:szCs w:val="20"/>
          <w:color w:val="auto"/>
        </w:rPr>
      </w:pPr>
      <w:r>
        <w:rPr>
          <w:rFonts w:ascii="Arial" w:cs="Arial" w:eastAsia="Arial" w:hAnsi="Arial"/>
          <w:sz w:val="17"/>
          <w:szCs w:val="17"/>
          <w:color w:val="auto"/>
        </w:rPr>
        <w:t>The information required by this Item is incorporated herein by reference to the discussions under the headings “Director Compensation,” “Compensation Discussion and Analysis,” “Executive Compensation – 2021 Summary Compensation Table,” “2021 Grants of Plan-Based Awards,” “Outstanding Equity Awards at 2021 Fiscal Year End,” “2021 Option Exercises and Stock Vested,” “Other Compensation Information – Pension Benefits,” “Other Compensation Information – Nonqualified Deferred Compensation,” “Other Compensation Information – 2021 Nonqualified Deferred Compensation Table,” “Potential Payments on Termination or Change of Control,” “Committees of the Board – Compensation Committee Interlocks and Insider Participation,” and “Human Resources Committee Report” in our Proxy Statement for the 2022 Annual Meeting of Stockholders, to be filed with the SEC.</w:t>
      </w:r>
    </w:p>
    <w:p>
      <w:pPr>
        <w:spacing w:after="0" w:line="174"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229" w:lineRule="exact"/>
        <w:rPr>
          <w:sz w:val="20"/>
          <w:szCs w:val="20"/>
          <w:color w:val="auto"/>
        </w:rPr>
      </w:pPr>
    </w:p>
    <w:p>
      <w:pPr>
        <w:ind w:left="60" w:right="439"/>
        <w:spacing w:after="0" w:line="263" w:lineRule="auto"/>
        <w:rPr>
          <w:sz w:val="20"/>
          <w:szCs w:val="20"/>
          <w:color w:val="auto"/>
        </w:rPr>
      </w:pPr>
      <w:r>
        <w:rPr>
          <w:rFonts w:ascii="Arial" w:cs="Arial" w:eastAsia="Arial" w:hAnsi="Arial"/>
          <w:sz w:val="18"/>
          <w:szCs w:val="18"/>
          <w:color w:val="auto"/>
        </w:rPr>
        <w:t>The information required by this Item is incorporated herein by reference to the discussions under the headings “Stock Ownership” and “Equity Compensation Plan Information” in our Proxy Statement for the 2022 Annual Meeting of Stockholders, to be filed with the SEC.</w:t>
      </w:r>
    </w:p>
    <w:p>
      <w:pPr>
        <w:spacing w:after="0" w:line="180" w:lineRule="exact"/>
        <w:rPr>
          <w:sz w:val="20"/>
          <w:szCs w:val="20"/>
          <w:color w:val="auto"/>
        </w:rPr>
      </w:pPr>
    </w:p>
    <w:p>
      <w:pPr>
        <w:ind w:left="60"/>
        <w:spacing w:after="0"/>
        <w:tabs>
          <w:tab w:leader="none" w:pos="12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229" w:lineRule="exact"/>
        <w:rPr>
          <w:sz w:val="20"/>
          <w:szCs w:val="20"/>
          <w:color w:val="auto"/>
        </w:rPr>
      </w:pPr>
    </w:p>
    <w:p>
      <w:pPr>
        <w:jc w:val="both"/>
        <w:ind w:left="60" w:right="159"/>
        <w:spacing w:after="0" w:line="263" w:lineRule="auto"/>
        <w:rPr>
          <w:sz w:val="20"/>
          <w:szCs w:val="20"/>
          <w:color w:val="auto"/>
        </w:rPr>
      </w:pPr>
      <w:r>
        <w:rPr>
          <w:rFonts w:ascii="Arial" w:cs="Arial" w:eastAsia="Arial" w:hAnsi="Arial"/>
          <w:sz w:val="18"/>
          <w:szCs w:val="18"/>
          <w:color w:val="auto"/>
        </w:rPr>
        <w:t>The information required by this Item is incorporated herein by reference to the discussions under the headings “Company Information – Corporate Governance – Independence of Directors” and “Certain Transactions” in our Proxy Statement for the 2022 Annual Meeting of Stockholders, to be filed with the SEC.</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2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Accountant Fees and Services</w:t>
      </w:r>
    </w:p>
    <w:p>
      <w:pPr>
        <w:spacing w:after="0" w:line="229" w:lineRule="exact"/>
        <w:rPr>
          <w:sz w:val="20"/>
          <w:szCs w:val="20"/>
          <w:color w:val="auto"/>
        </w:rPr>
      </w:pPr>
    </w:p>
    <w:p>
      <w:pPr>
        <w:ind w:left="60" w:right="139"/>
        <w:spacing w:after="0" w:line="263" w:lineRule="auto"/>
        <w:rPr>
          <w:sz w:val="20"/>
          <w:szCs w:val="20"/>
          <w:color w:val="auto"/>
        </w:rPr>
      </w:pPr>
      <w:r>
        <w:rPr>
          <w:rFonts w:ascii="Arial" w:cs="Arial" w:eastAsia="Arial" w:hAnsi="Arial"/>
          <w:sz w:val="18"/>
          <w:szCs w:val="18"/>
          <w:color w:val="auto"/>
        </w:rPr>
        <w:t>The information required by this Item is incorporated herein by reference to the discussion under the heading “Our Independent Registered Public Accounting Firm” in our Proxy Statement for the 2022 Annual Meeting of Stockholders, to be filed with the SEC.</w:t>
      </w:r>
    </w:p>
    <w:p>
      <w:pPr>
        <w:spacing w:after="0" w:line="180"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229" w:lineRule="exact"/>
        <w:rPr>
          <w:sz w:val="20"/>
          <w:szCs w:val="20"/>
          <w:color w:val="auto"/>
        </w:rPr>
      </w:pPr>
    </w:p>
    <w:p>
      <w:pPr>
        <w:ind w:left="60"/>
        <w:spacing w:after="0"/>
        <w:tabs>
          <w:tab w:leader="none" w:pos="66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i w:val="1"/>
          <w:iCs w:val="1"/>
          <w:color w:val="auto"/>
        </w:rPr>
        <w:t>Financial Statements</w:t>
      </w:r>
    </w:p>
    <w:p>
      <w:pPr>
        <w:spacing w:after="0" w:line="225"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The accompanying index to financial statements on page 77 of this Annual Report on Form 10-K is provided in response to this Item.</w:t>
      </w:r>
    </w:p>
    <w:p>
      <w:pPr>
        <w:spacing w:after="0" w:line="170" w:lineRule="exact"/>
        <w:rPr>
          <w:sz w:val="20"/>
          <w:szCs w:val="20"/>
          <w:color w:val="auto"/>
        </w:rPr>
      </w:pPr>
    </w:p>
    <w:p>
      <w:pPr>
        <w:ind w:left="60"/>
        <w:spacing w:after="0"/>
        <w:tabs>
          <w:tab w:leader="none" w:pos="66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i w:val="1"/>
          <w:iCs w:val="1"/>
          <w:color w:val="auto"/>
        </w:rPr>
        <w:t>Financial Statement Schedules</w:t>
      </w:r>
    </w:p>
    <w:p>
      <w:pPr>
        <w:spacing w:after="0" w:line="225"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The following financial statement schedules are filed as a part of this report and are included herein beginning on page 117 of this Annual Report on Form 10-K:</w:t>
      </w:r>
    </w:p>
    <w:p>
      <w:pPr>
        <w:spacing w:after="0" w:line="170" w:lineRule="exact"/>
        <w:rPr>
          <w:sz w:val="20"/>
          <w:szCs w:val="20"/>
          <w:color w:val="auto"/>
        </w:rPr>
      </w:pPr>
    </w:p>
    <w:p>
      <w:pPr>
        <w:ind w:left="720" w:hanging="319"/>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Schedule II – Valuation and Qualifying Accounts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Schedule III – Real Estate and Accumulated Depreciation</w:t>
      </w:r>
    </w:p>
    <w:p>
      <w:pPr>
        <w:spacing w:after="0" w:line="225"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All other financial statement schedules for which provision is made in the applicable accounting regulations of the SEC are not required under the related instructions or are inapplicable and, therefore, have been omitted.</w:t>
      </w:r>
    </w:p>
    <w:p>
      <w:pPr>
        <w:spacing w:after="0" w:line="170" w:lineRule="exact"/>
        <w:rPr>
          <w:sz w:val="20"/>
          <w:szCs w:val="20"/>
          <w:color w:val="auto"/>
        </w:rPr>
      </w:pPr>
    </w:p>
    <w:p>
      <w:pPr>
        <w:ind w:left="60"/>
        <w:spacing w:after="0"/>
        <w:tabs>
          <w:tab w:leader="none" w:pos="660" w:val="left"/>
        </w:tabs>
        <w:rPr>
          <w:sz w:val="20"/>
          <w:szCs w:val="20"/>
          <w:color w:val="auto"/>
        </w:rPr>
      </w:pPr>
      <w:r>
        <w:rPr>
          <w:rFonts w:ascii="Arial" w:cs="Arial" w:eastAsia="Arial" w:hAnsi="Arial"/>
          <w:sz w:val="18"/>
          <w:szCs w:val="18"/>
          <w:color w:val="auto"/>
        </w:rPr>
        <w:t>(a)(3)</w:t>
      </w:r>
      <w:r>
        <w:rPr>
          <w:sz w:val="20"/>
          <w:szCs w:val="20"/>
          <w:color w:val="auto"/>
        </w:rPr>
        <w:tab/>
      </w:r>
      <w:r>
        <w:rPr>
          <w:rFonts w:ascii="Arial" w:cs="Arial" w:eastAsia="Arial" w:hAnsi="Arial"/>
          <w:sz w:val="18"/>
          <w:szCs w:val="18"/>
          <w:i w:val="1"/>
          <w:iCs w:val="1"/>
          <w:color w:val="auto"/>
        </w:rPr>
        <w:t>Exhibits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exhibits are filed with this Annual Report on Form 10-K or are incorporated herein by reference:</w:t>
      </w:r>
    </w:p>
    <w:p>
      <w:pPr>
        <w:spacing w:after="0" w:line="200" w:lineRule="exact"/>
        <w:rPr>
          <w:sz w:val="20"/>
          <w:szCs w:val="20"/>
          <w:color w:val="auto"/>
        </w:rPr>
      </w:pP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5180" w:type="dxa"/>
            <w:vAlign w:val="bottom"/>
            <w:gridSpan w:val="12"/>
            <w:vMerge w:val="restart"/>
          </w:tcPr>
          <w:p>
            <w:pPr>
              <w:ind w:left="7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5180" w:type="dxa"/>
            <w:vAlign w:val="bottom"/>
            <w:gridSpan w:val="1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3.1</w:t>
            </w:r>
          </w:p>
        </w:tc>
        <w:tc>
          <w:tcPr>
            <w:tcW w:w="36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7580" w:type="dxa"/>
            <w:vAlign w:val="bottom"/>
            <w:tcBorders>
              <w:top w:val="single" w:sz="8" w:color="auto"/>
              <w:bottom w:val="single" w:sz="8" w:color="0000EE"/>
            </w:tcBorders>
            <w:gridSpan w:val="10"/>
          </w:tcPr>
          <w:p>
            <w:pPr>
              <w:spacing w:after="0" w:line="169" w:lineRule="exact"/>
              <w:rPr>
                <w:rFonts w:ascii="Arial" w:cs="Arial" w:eastAsia="Arial" w:hAnsi="Arial"/>
                <w:sz w:val="18"/>
                <w:szCs w:val="18"/>
                <w:color w:val="0000EE"/>
                <w:w w:val="90"/>
              </w:rPr>
            </w:pPr>
            <w:hyperlink r:id="rId83">
              <w:r>
                <w:rPr>
                  <w:rFonts w:ascii="Arial" w:cs="Arial" w:eastAsia="Arial" w:hAnsi="Arial"/>
                  <w:sz w:val="18"/>
                  <w:szCs w:val="18"/>
                  <w:color w:val="0000EE"/>
                  <w:w w:val="90"/>
                </w:rPr>
                <w:t>Amended and Restated Certificate of Incorporation of the Company (incorporated by reference to Exhibit</w:t>
              </w:r>
            </w:hyperlink>
          </w:p>
        </w:tc>
        <w:tc>
          <w:tcPr>
            <w:tcW w:w="220" w:type="dxa"/>
            <w:vAlign w:val="bottom"/>
            <w:tcBorders>
              <w:top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20" w:type="dxa"/>
            <w:vAlign w:val="bottom"/>
            <w:gridSpan w:val="15"/>
          </w:tcPr>
          <w:p>
            <w:pPr>
              <w:spacing w:after="0" w:line="196" w:lineRule="exact"/>
              <w:rPr>
                <w:rFonts w:ascii="Arial" w:cs="Arial" w:eastAsia="Arial" w:hAnsi="Arial"/>
                <w:sz w:val="18"/>
                <w:szCs w:val="18"/>
                <w:color w:val="0000EE"/>
              </w:rPr>
            </w:pPr>
            <w:hyperlink r:id="rId83">
              <w:r>
                <w:rPr>
                  <w:rFonts w:ascii="Arial" w:cs="Arial" w:eastAsia="Arial" w:hAnsi="Arial"/>
                  <w:sz w:val="18"/>
                  <w:szCs w:val="18"/>
                  <w:color w:val="0000EE"/>
                </w:rPr>
                <w:t>3.</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to the Company’s Current Report on Form 8-K filed October 1, 2012).</w:t>
              </w:r>
            </w:hyperlink>
          </w:p>
        </w:tc>
        <w:tc>
          <w:tcPr>
            <w:tcW w:w="0" w:type="dxa"/>
            <w:vAlign w:val="bottom"/>
          </w:tcPr>
          <w:p>
            <w:pPr>
              <w:spacing w:after="0"/>
              <w:rPr>
                <w:sz w:val="1"/>
                <w:szCs w:val="1"/>
                <w:color w:val="auto"/>
              </w:rPr>
            </w:pPr>
          </w:p>
        </w:tc>
      </w:tr>
      <w:tr>
        <w:trPr>
          <w:trHeight w:val="20"/>
        </w:trPr>
        <w:tc>
          <w:tcPr>
            <w:tcW w:w="74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3.2</w:t>
            </w:r>
          </w:p>
        </w:tc>
        <w:tc>
          <w:tcPr>
            <w:tcW w:w="360" w:type="dxa"/>
            <w:vAlign w:val="bottom"/>
          </w:tcPr>
          <w:p>
            <w:pPr>
              <w:spacing w:after="0"/>
              <w:rPr>
                <w:sz w:val="17"/>
                <w:szCs w:val="17"/>
                <w:color w:val="auto"/>
              </w:rPr>
            </w:pPr>
          </w:p>
        </w:tc>
        <w:tc>
          <w:tcPr>
            <w:tcW w:w="774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84">
              <w:r>
                <w:rPr>
                  <w:rFonts w:ascii="Arial" w:cs="Arial" w:eastAsia="Arial" w:hAnsi="Arial"/>
                  <w:sz w:val="18"/>
                  <w:szCs w:val="18"/>
                  <w:color w:val="0000EE"/>
                  <w:w w:val="90"/>
                </w:rPr>
                <w:t>Amended and Restated Bylaws of the Company (incorporated by reference to Exhibit 3.2 to the Company’s</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74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84">
              <w:r>
                <w:rPr>
                  <w:rFonts w:ascii="Arial" w:cs="Arial" w:eastAsia="Arial" w:hAnsi="Arial"/>
                  <w:sz w:val="18"/>
                  <w:szCs w:val="18"/>
                  <w:color w:val="0000EE"/>
                  <w:w w:val="91"/>
                </w:rPr>
                <w:t>Current Report on Form 8-K filed October 1, 2012).</w:t>
              </w:r>
            </w:hyperlink>
          </w:p>
        </w:tc>
        <w:tc>
          <w:tcPr>
            <w:tcW w:w="40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4.1</w:t>
            </w:r>
          </w:p>
        </w:tc>
        <w:tc>
          <w:tcPr>
            <w:tcW w:w="360" w:type="dxa"/>
            <w:vAlign w:val="bottom"/>
          </w:tcPr>
          <w:p>
            <w:pPr>
              <w:spacing w:after="0"/>
              <w:rPr>
                <w:sz w:val="17"/>
                <w:szCs w:val="17"/>
                <w:color w:val="auto"/>
              </w:rPr>
            </w:pPr>
          </w:p>
        </w:tc>
        <w:tc>
          <w:tcPr>
            <w:tcW w:w="746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85">
              <w:r>
                <w:rPr>
                  <w:rFonts w:ascii="Arial" w:cs="Arial" w:eastAsia="Arial" w:hAnsi="Arial"/>
                  <w:sz w:val="18"/>
                  <w:szCs w:val="18"/>
                  <w:color w:val="0000EE"/>
                  <w:w w:val="91"/>
                </w:rPr>
                <w:t>Specimen of Common Stock certificate of the Company (incorporated by reference to Exhibit 4.1 to the</w:t>
              </w:r>
            </w:hyperlink>
          </w:p>
        </w:tc>
        <w:tc>
          <w:tcPr>
            <w:tcW w:w="3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20" w:type="dxa"/>
            <w:vAlign w:val="bottom"/>
            <w:gridSpan w:val="15"/>
          </w:tcPr>
          <w:p>
            <w:pPr>
              <w:spacing w:after="0" w:line="196" w:lineRule="exact"/>
              <w:rPr>
                <w:rFonts w:ascii="Arial" w:cs="Arial" w:eastAsia="Arial" w:hAnsi="Arial"/>
                <w:sz w:val="18"/>
                <w:szCs w:val="18"/>
                <w:color w:val="0000EE"/>
              </w:rPr>
            </w:pPr>
            <w:hyperlink r:id="rId85">
              <w:r>
                <w:rPr>
                  <w:rFonts w:ascii="Arial" w:cs="Arial" w:eastAsia="Arial" w:hAnsi="Arial"/>
                  <w:sz w:val="18"/>
                  <w:szCs w:val="18"/>
                  <w:color w:val="0000EE"/>
                </w:rPr>
                <w:t>Company’s Current Report on Form 8-K filed September 24, 2012).</w:t>
              </w:r>
            </w:hyperlink>
          </w:p>
        </w:tc>
        <w:tc>
          <w:tcPr>
            <w:tcW w:w="0" w:type="dxa"/>
            <w:vAlign w:val="bottom"/>
          </w:tcPr>
          <w:p>
            <w:pPr>
              <w:spacing w:after="0"/>
              <w:rPr>
                <w:sz w:val="1"/>
                <w:szCs w:val="1"/>
                <w:color w:val="auto"/>
              </w:rPr>
            </w:pPr>
          </w:p>
        </w:tc>
      </w:tr>
      <w:tr>
        <w:trPr>
          <w:trHeight w:val="20"/>
        </w:trPr>
        <w:tc>
          <w:tcPr>
            <w:tcW w:w="74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0" w:type="dxa"/>
            <w:vAlign w:val="bottom"/>
            <w:gridSpan w:val="2"/>
          </w:tcPr>
          <w:p>
            <w:pPr>
              <w:ind w:left="20"/>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19"/>
                <w:szCs w:val="19"/>
                <w:color w:val="auto"/>
              </w:rPr>
            </w:pPr>
          </w:p>
        </w:tc>
        <w:tc>
          <w:tcPr>
            <w:tcW w:w="7820" w:type="dxa"/>
            <w:vAlign w:val="bottom"/>
            <w:gridSpan w:val="15"/>
          </w:tcPr>
          <w:p>
            <w:pPr>
              <w:spacing w:after="0"/>
              <w:rPr>
                <w:sz w:val="20"/>
                <w:szCs w:val="20"/>
                <w:color w:val="auto"/>
              </w:rPr>
            </w:pPr>
            <w:r>
              <w:rPr>
                <w:rFonts w:ascii="Arial" w:cs="Arial" w:eastAsia="Arial" w:hAnsi="Arial"/>
                <w:sz w:val="18"/>
                <w:szCs w:val="18"/>
                <w:color w:val="auto"/>
              </w:rPr>
              <w:t>Reference is made to Exhibits 3.1 and 3.2 hereof for instruments defining the rights of common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20" w:type="dxa"/>
            <w:vAlign w:val="bottom"/>
            <w:gridSpan w:val="15"/>
          </w:tcPr>
          <w:p>
            <w:pPr>
              <w:spacing w:after="0"/>
              <w:rPr>
                <w:sz w:val="20"/>
                <w:szCs w:val="20"/>
                <w:color w:val="auto"/>
              </w:rPr>
            </w:pPr>
            <w:r>
              <w:rPr>
                <w:rFonts w:ascii="Arial" w:cs="Arial" w:eastAsia="Arial" w:hAnsi="Arial"/>
                <w:sz w:val="18"/>
                <w:szCs w:val="18"/>
                <w:color w:val="auto"/>
              </w:rPr>
              <w:t>stockholders of the Company.</w:t>
            </w:r>
          </w:p>
        </w:tc>
        <w:tc>
          <w:tcPr>
            <w:tcW w:w="0" w:type="dxa"/>
            <w:vAlign w:val="bottom"/>
          </w:tcPr>
          <w:p>
            <w:pPr>
              <w:spacing w:after="0"/>
              <w:rPr>
                <w:sz w:val="1"/>
                <w:szCs w:val="1"/>
                <w:color w:val="auto"/>
              </w:rPr>
            </w:pPr>
          </w:p>
        </w:tc>
      </w:tr>
      <w:tr>
        <w:trPr>
          <w:trHeight w:val="190"/>
        </w:trPr>
        <w:tc>
          <w:tcPr>
            <w:tcW w:w="74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4.3</w:t>
            </w:r>
          </w:p>
        </w:tc>
        <w:tc>
          <w:tcPr>
            <w:tcW w:w="360" w:type="dxa"/>
            <w:vAlign w:val="bottom"/>
          </w:tcPr>
          <w:p>
            <w:pPr>
              <w:spacing w:after="0"/>
              <w:rPr>
                <w:sz w:val="16"/>
                <w:szCs w:val="16"/>
                <w:color w:val="auto"/>
              </w:rPr>
            </w:pPr>
          </w:p>
        </w:tc>
        <w:tc>
          <w:tcPr>
            <w:tcW w:w="7820" w:type="dxa"/>
            <w:vAlign w:val="bottom"/>
            <w:gridSpan w:val="15"/>
          </w:tcPr>
          <w:p>
            <w:pPr>
              <w:spacing w:after="0" w:line="190" w:lineRule="exact"/>
              <w:rPr>
                <w:rFonts w:ascii="Arial" w:cs="Arial" w:eastAsia="Arial" w:hAnsi="Arial"/>
                <w:sz w:val="18"/>
                <w:szCs w:val="18"/>
                <w:color w:val="0000EE"/>
                <w:w w:val="96"/>
              </w:rPr>
            </w:pPr>
            <w:hyperlink r:id="rId86">
              <w:r>
                <w:rPr>
                  <w:rFonts w:ascii="Arial" w:cs="Arial" w:eastAsia="Arial" w:hAnsi="Arial"/>
                  <w:sz w:val="18"/>
                  <w:szCs w:val="18"/>
                  <w:color w:val="0000EE"/>
                  <w:w w:val="96"/>
                </w:rPr>
                <w:t>Description of Securities (incorporated by reference to Exhibit 4.3 to the Company’s Annual Report 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86">
              <w:r>
                <w:rPr>
                  <w:rFonts w:ascii="Arial" w:cs="Arial" w:eastAsia="Arial" w:hAnsi="Arial"/>
                  <w:sz w:val="18"/>
                  <w:szCs w:val="18"/>
                  <w:color w:val="0000EE"/>
                  <w:w w:val="91"/>
                </w:rPr>
                <w:t>Form 10-K filed February 25, 2020).</w:t>
              </w:r>
            </w:hyperlink>
          </w:p>
        </w:tc>
        <w:tc>
          <w:tcPr>
            <w:tcW w:w="4760" w:type="dxa"/>
            <w:vAlign w:val="bottom"/>
            <w:tcBorders>
              <w:top w:val="single" w:sz="8" w:color="0000EE"/>
            </w:tcBorders>
            <w:gridSpan w:val="6"/>
          </w:tcPr>
          <w:p>
            <w:pPr>
              <w:spacing w:after="0"/>
              <w:rPr>
                <w:sz w:val="17"/>
                <w:szCs w:val="17"/>
                <w:color w:val="auto"/>
              </w:rPr>
            </w:pPr>
          </w:p>
        </w:tc>
        <w:tc>
          <w:tcPr>
            <w:tcW w:w="4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4.4</w:t>
            </w:r>
          </w:p>
        </w:tc>
        <w:tc>
          <w:tcPr>
            <w:tcW w:w="360" w:type="dxa"/>
            <w:vAlign w:val="bottom"/>
          </w:tcPr>
          <w:p>
            <w:pPr>
              <w:spacing w:after="0"/>
              <w:rPr>
                <w:sz w:val="17"/>
                <w:szCs w:val="17"/>
                <w:color w:val="auto"/>
              </w:rPr>
            </w:pPr>
          </w:p>
        </w:tc>
        <w:tc>
          <w:tcPr>
            <w:tcW w:w="780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r:id="rId87">
              <w:r>
                <w:rPr>
                  <w:rFonts w:ascii="Arial" w:cs="Arial" w:eastAsia="Arial" w:hAnsi="Arial"/>
                  <w:sz w:val="18"/>
                  <w:szCs w:val="18"/>
                  <w:color w:val="0000EE"/>
                  <w:w w:val="89"/>
                </w:rPr>
                <w:t>Indenture, dated as of September 19, 2019, among RHP Hotel Properties, LP and RHP Finance Corporation,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20" w:type="dxa"/>
            <w:vAlign w:val="bottom"/>
            <w:gridSpan w:val="15"/>
          </w:tcPr>
          <w:p>
            <w:pPr>
              <w:spacing w:after="0" w:line="196" w:lineRule="exact"/>
              <w:rPr>
                <w:rFonts w:ascii="Arial" w:cs="Arial" w:eastAsia="Arial" w:hAnsi="Arial"/>
                <w:sz w:val="18"/>
                <w:szCs w:val="18"/>
                <w:color w:val="0000EE"/>
                <w:w w:val="91"/>
              </w:rPr>
            </w:pPr>
            <w:hyperlink r:id="rId87">
              <w:r>
                <w:rPr>
                  <w:rFonts w:ascii="Arial" w:cs="Arial" w:eastAsia="Arial" w:hAnsi="Arial"/>
                  <w:sz w:val="18"/>
                  <w:szCs w:val="18"/>
                  <w:color w:val="0000EE"/>
                  <w:w w:val="91"/>
                </w:rPr>
                <w:t>as the issuers, Ryman Hospitality Properties, Inc., as a guarantor, each of the subsidiary guarantors named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r:id="rId87">
              <w:r>
                <w:rPr>
                  <w:rFonts w:ascii="Arial" w:cs="Arial" w:eastAsia="Arial" w:hAnsi="Arial"/>
                  <w:sz w:val="18"/>
                  <w:szCs w:val="18"/>
                  <w:color w:val="0000EE"/>
                  <w:w w:val="89"/>
                </w:rPr>
                <w:t>therein and U.S. Bank National Association, as trustee, relating to the 4.750% Senior Notes due 2027</w:t>
              </w:r>
            </w:hyperlink>
          </w:p>
        </w:tc>
        <w:tc>
          <w:tcPr>
            <w:tcW w:w="320" w:type="dxa"/>
            <w:vAlign w:val="bottom"/>
            <w:tcBorders>
              <w:top w:val="single" w:sz="8" w:color="0000EE"/>
            </w:tcBorders>
            <w:gridSpan w:val="3"/>
          </w:tcPr>
          <w:p>
            <w:pPr>
              <w:spacing w:after="0"/>
              <w:rPr>
                <w:sz w:val="17"/>
                <w:szCs w:val="17"/>
                <w:color w:val="auto"/>
              </w:rPr>
            </w:pPr>
          </w:p>
        </w:tc>
        <w:tc>
          <w:tcPr>
            <w:tcW w:w="2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20" w:type="dxa"/>
            <w:vAlign w:val="bottom"/>
            <w:gridSpan w:val="15"/>
          </w:tcPr>
          <w:p>
            <w:pPr>
              <w:spacing w:after="0" w:line="196" w:lineRule="exact"/>
              <w:rPr>
                <w:rFonts w:ascii="Arial" w:cs="Arial" w:eastAsia="Arial" w:hAnsi="Arial"/>
                <w:sz w:val="18"/>
                <w:szCs w:val="18"/>
                <w:color w:val="0000EE"/>
                <w:w w:val="91"/>
              </w:rPr>
            </w:pPr>
            <w:hyperlink r:id="rId87">
              <w:r>
                <w:rPr>
                  <w:rFonts w:ascii="Arial" w:cs="Arial" w:eastAsia="Arial" w:hAnsi="Arial"/>
                  <w:sz w:val="18"/>
                  <w:szCs w:val="18"/>
                  <w:color w:val="0000EE"/>
                  <w:w w:val="91"/>
                </w:rPr>
                <w:t>(incorporated by reference to Exhibit 4.1 to the Company’s Current Report on Form 8-K filed September 19,</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2"/>
              </w:rPr>
            </w:pPr>
            <w:hyperlink r:id="rId87">
              <w:r>
                <w:rPr>
                  <w:rFonts w:ascii="Arial" w:cs="Arial" w:eastAsia="Arial" w:hAnsi="Arial"/>
                  <w:sz w:val="18"/>
                  <w:szCs w:val="18"/>
                  <w:color w:val="0000EE"/>
                  <w:w w:val="82"/>
                </w:rPr>
                <w:t>2019).</w:t>
              </w:r>
            </w:hyperlink>
          </w:p>
        </w:tc>
        <w:tc>
          <w:tcPr>
            <w:tcW w:w="220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9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4.5</w:t>
            </w:r>
          </w:p>
        </w:tc>
        <w:tc>
          <w:tcPr>
            <w:tcW w:w="360" w:type="dxa"/>
            <w:vAlign w:val="bottom"/>
          </w:tcPr>
          <w:p>
            <w:pPr>
              <w:spacing w:after="0"/>
              <w:rPr>
                <w:sz w:val="17"/>
                <w:szCs w:val="17"/>
                <w:color w:val="auto"/>
              </w:rPr>
            </w:pPr>
          </w:p>
        </w:tc>
        <w:tc>
          <w:tcPr>
            <w:tcW w:w="768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87">
              <w:r>
                <w:rPr>
                  <w:rFonts w:ascii="Arial" w:cs="Arial" w:eastAsia="Arial" w:hAnsi="Arial"/>
                  <w:sz w:val="18"/>
                  <w:szCs w:val="18"/>
                  <w:color w:val="0000EE"/>
                  <w:w w:val="90"/>
                </w:rPr>
                <w:t>Form of 4.750% Senior Note due 2027 (incorporated by reference to Exhibit 4.2 to the Company’s Current</w:t>
              </w:r>
            </w:hyperlink>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20" w:type="dxa"/>
            <w:vAlign w:val="bottom"/>
            <w:gridSpan w:val="15"/>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Report on Form 8-K filed September 19, 2019).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20" w:type="dxa"/>
            <w:vAlign w:val="bottom"/>
            <w:gridSpan w:val="4"/>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740" w:type="dxa"/>
            <w:vAlign w:val="bottom"/>
            <w:gridSpan w:val="5"/>
          </w:tcPr>
          <w:p>
            <w:pPr>
              <w:jc w:val="right"/>
              <w:ind w:right="280"/>
              <w:spacing w:after="0"/>
              <w:rPr>
                <w:sz w:val="20"/>
                <w:szCs w:val="20"/>
                <w:color w:val="auto"/>
              </w:rPr>
            </w:pPr>
            <w:r>
              <w:rPr>
                <w:rFonts w:ascii="Arial" w:cs="Arial" w:eastAsia="Arial" w:hAnsi="Arial"/>
                <w:sz w:val="18"/>
                <w:szCs w:val="18"/>
                <w:color w:val="auto"/>
              </w:rPr>
              <w:t>71</w:t>
            </w: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80" w:type="dxa"/>
            <w:vAlign w:val="bottom"/>
          </w:tcPr>
          <w:p>
            <w:pPr>
              <w:ind w:left="20"/>
              <w:spacing w:after="0"/>
              <w:rPr>
                <w:sz w:val="20"/>
                <w:szCs w:val="20"/>
                <w:color w:val="auto"/>
              </w:rPr>
            </w:pPr>
            <w:r>
              <w:rPr>
                <w:rFonts w:ascii="Arial" w:cs="Arial" w:eastAsia="Arial" w:hAnsi="Arial"/>
                <w:sz w:val="18"/>
                <w:szCs w:val="18"/>
                <w:color w:val="auto"/>
              </w:rPr>
              <w:t>4.6</w:t>
            </w:r>
          </w:p>
        </w:tc>
        <w:tc>
          <w:tcPr>
            <w:tcW w:w="7640" w:type="dxa"/>
            <w:vAlign w:val="bottom"/>
            <w:tcBorders>
              <w:bottom w:val="single" w:sz="8" w:color="0000EE"/>
            </w:tcBorders>
            <w:gridSpan w:val="24"/>
          </w:tcPr>
          <w:p>
            <w:pPr>
              <w:spacing w:after="0"/>
              <w:rPr>
                <w:rFonts w:ascii="Arial" w:cs="Arial" w:eastAsia="Arial" w:hAnsi="Arial"/>
                <w:sz w:val="18"/>
                <w:szCs w:val="18"/>
                <w:color w:val="0000EE"/>
                <w:w w:val="90"/>
              </w:rPr>
            </w:pPr>
            <w:hyperlink r:id="rId88">
              <w:r>
                <w:rPr>
                  <w:rFonts w:ascii="Arial" w:cs="Arial" w:eastAsia="Arial" w:hAnsi="Arial"/>
                  <w:sz w:val="18"/>
                  <w:szCs w:val="18"/>
                  <w:color w:val="0000EE"/>
                  <w:w w:val="90"/>
                </w:rPr>
                <w:t>Supplemental Indenture No. 1, dated as of October 8, 2019, by and among RHP Hotel Properties, LP, and</w:t>
              </w:r>
            </w:hyperlink>
          </w:p>
        </w:tc>
        <w:tc>
          <w:tcPr>
            <w:tcW w:w="200" w:type="dxa"/>
            <w:vAlign w:val="bottom"/>
            <w:gridSpan w:val="8"/>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48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r:id="rId88">
              <w:r>
                <w:rPr>
                  <w:rFonts w:ascii="Arial" w:cs="Arial" w:eastAsia="Arial" w:hAnsi="Arial"/>
                  <w:sz w:val="18"/>
                  <w:szCs w:val="18"/>
                  <w:color w:val="0000EE"/>
                  <w:w w:val="89"/>
                </w:rPr>
                <w:t>RHP Finance Corporation, as the issuers, Ryman Hospitality Properties, Inc., as a guarantor, each of the</w:t>
              </w:r>
            </w:hyperlink>
          </w:p>
        </w:tc>
        <w:tc>
          <w:tcPr>
            <w:tcW w:w="360" w:type="dxa"/>
            <w:vAlign w:val="bottom"/>
            <w:gridSpan w:val="14"/>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74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r:id="rId88">
              <w:r>
                <w:rPr>
                  <w:rFonts w:ascii="Arial" w:cs="Arial" w:eastAsia="Arial" w:hAnsi="Arial"/>
                  <w:sz w:val="18"/>
                  <w:szCs w:val="18"/>
                  <w:color w:val="0000EE"/>
                  <w:w w:val="90"/>
                </w:rPr>
                <w:t>subsidiary guarantors named therein and U.S. Bank National Association, as trustee, relating to the 4.750%</w:t>
              </w:r>
            </w:hyperlink>
          </w:p>
        </w:tc>
        <w:tc>
          <w:tcPr>
            <w:tcW w:w="100" w:type="dxa"/>
            <w:vAlign w:val="bottom"/>
            <w:gridSpan w:val="4"/>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74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r:id="rId88">
              <w:r>
                <w:rPr>
                  <w:rFonts w:ascii="Arial" w:cs="Arial" w:eastAsia="Arial" w:hAnsi="Arial"/>
                  <w:sz w:val="18"/>
                  <w:szCs w:val="18"/>
                  <w:color w:val="0000EE"/>
                  <w:w w:val="90"/>
                </w:rPr>
                <w:t>Senior Notes due 2027 (incorporated by reference to Exhibit 4.3 to the Company’s Current Report on Form</w:t>
              </w:r>
            </w:hyperlink>
          </w:p>
        </w:tc>
        <w:tc>
          <w:tcPr>
            <w:tcW w:w="100" w:type="dxa"/>
            <w:vAlign w:val="bottom"/>
            <w:gridSpan w:val="4"/>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1980" w:type="dxa"/>
            <w:vAlign w:val="bottom"/>
            <w:tcBorders>
              <w:bottom w:val="single" w:sz="8" w:color="0000EE"/>
            </w:tcBorders>
          </w:tcPr>
          <w:p>
            <w:pPr>
              <w:spacing w:after="0" w:line="196" w:lineRule="exact"/>
              <w:rPr>
                <w:rFonts w:ascii="Arial" w:cs="Arial" w:eastAsia="Arial" w:hAnsi="Arial"/>
                <w:sz w:val="18"/>
                <w:szCs w:val="18"/>
                <w:color w:val="0000EE"/>
                <w:w w:val="92"/>
              </w:rPr>
            </w:pPr>
            <w:hyperlink r:id="rId88">
              <w:r>
                <w:rPr>
                  <w:rFonts w:ascii="Arial" w:cs="Arial" w:eastAsia="Arial" w:hAnsi="Arial"/>
                  <w:sz w:val="18"/>
                  <w:szCs w:val="18"/>
                  <w:color w:val="0000EE"/>
                  <w:w w:val="92"/>
                </w:rPr>
                <w:t>8-K filed October 8, 2019).</w:t>
              </w:r>
            </w:hyperlink>
          </w:p>
        </w:tc>
        <w:tc>
          <w:tcPr>
            <w:tcW w:w="5860" w:type="dxa"/>
            <w:vAlign w:val="bottom"/>
            <w:gridSpan w:val="31"/>
          </w:tcPr>
          <w:p>
            <w:pPr>
              <w:spacing w:after="0"/>
              <w:rPr>
                <w:sz w:val="17"/>
                <w:szCs w:val="17"/>
                <w:color w:val="auto"/>
              </w:rPr>
            </w:pPr>
          </w:p>
        </w:tc>
      </w:tr>
      <w:tr>
        <w:trPr>
          <w:trHeight w:val="196"/>
        </w:trPr>
        <w:tc>
          <w:tcPr>
            <w:tcW w:w="1080" w:type="dxa"/>
            <w:vAlign w:val="bottom"/>
          </w:tcPr>
          <w:p>
            <w:pPr>
              <w:ind w:left="20"/>
              <w:spacing w:after="0" w:line="196" w:lineRule="exact"/>
              <w:rPr>
                <w:sz w:val="20"/>
                <w:szCs w:val="20"/>
                <w:color w:val="auto"/>
              </w:rPr>
            </w:pPr>
            <w:r>
              <w:rPr>
                <w:rFonts w:ascii="Arial" w:cs="Arial" w:eastAsia="Arial" w:hAnsi="Arial"/>
                <w:sz w:val="18"/>
                <w:szCs w:val="18"/>
                <w:color w:val="auto"/>
              </w:rPr>
              <w:t>4.7</w:t>
            </w:r>
          </w:p>
        </w:tc>
        <w:tc>
          <w:tcPr>
            <w:tcW w:w="774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r:id="rId89">
              <w:r>
                <w:rPr>
                  <w:rFonts w:ascii="Arial" w:cs="Arial" w:eastAsia="Arial" w:hAnsi="Arial"/>
                  <w:sz w:val="18"/>
                  <w:szCs w:val="18"/>
                  <w:color w:val="0000EE"/>
                  <w:w w:val="90"/>
                </w:rPr>
                <w:t>Indenture, dated as of February 17, 2021, among RHP Hotel Properties, LP, and RHP Finance Corporation,</w:t>
              </w:r>
            </w:hyperlink>
          </w:p>
        </w:tc>
        <w:tc>
          <w:tcPr>
            <w:tcW w:w="100" w:type="dxa"/>
            <w:vAlign w:val="bottom"/>
            <w:gridSpan w:val="4"/>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2"/>
          </w:tcPr>
          <w:p>
            <w:pPr>
              <w:spacing w:after="0" w:line="196" w:lineRule="exact"/>
              <w:rPr>
                <w:rFonts w:ascii="Arial" w:cs="Arial" w:eastAsia="Arial" w:hAnsi="Arial"/>
                <w:sz w:val="18"/>
                <w:szCs w:val="18"/>
                <w:color w:val="0000EE"/>
                <w:w w:val="90"/>
              </w:rPr>
            </w:pPr>
            <w:hyperlink r:id="rId89">
              <w:r>
                <w:rPr>
                  <w:rFonts w:ascii="Arial" w:cs="Arial" w:eastAsia="Arial" w:hAnsi="Arial"/>
                  <w:sz w:val="18"/>
                  <w:szCs w:val="18"/>
                  <w:color w:val="0000EE"/>
                  <w:w w:val="90"/>
                </w:rPr>
                <w:t>as the issuers, Ryman Hospitality Properties, Inc., as a guarantor, each of the guarantors named therein and</w:t>
              </w:r>
            </w:hyperlink>
          </w:p>
        </w:tc>
      </w:tr>
      <w:tr>
        <w:trPr>
          <w:trHeight w:val="20"/>
        </w:trPr>
        <w:tc>
          <w:tcPr>
            <w:tcW w:w="1080" w:type="dxa"/>
            <w:vAlign w:val="bottom"/>
          </w:tcPr>
          <w:p>
            <w:pPr>
              <w:spacing w:after="0" w:line="20" w:lineRule="exact"/>
              <w:rPr>
                <w:sz w:val="1"/>
                <w:szCs w:val="1"/>
                <w:color w:val="auto"/>
              </w:rPr>
            </w:pPr>
          </w:p>
        </w:tc>
        <w:tc>
          <w:tcPr>
            <w:tcW w:w="30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2"/>
          </w:tcPr>
          <w:p>
            <w:pPr>
              <w:spacing w:after="0" w:line="196" w:lineRule="exact"/>
              <w:rPr>
                <w:rFonts w:ascii="Arial" w:cs="Arial" w:eastAsia="Arial" w:hAnsi="Arial"/>
                <w:sz w:val="18"/>
                <w:szCs w:val="18"/>
                <w:color w:val="0000EE"/>
                <w:w w:val="92"/>
              </w:rPr>
            </w:pPr>
            <w:hyperlink r:id="rId89">
              <w:r>
                <w:rPr>
                  <w:rFonts w:ascii="Arial" w:cs="Arial" w:eastAsia="Arial" w:hAnsi="Arial"/>
                  <w:sz w:val="18"/>
                  <w:szCs w:val="18"/>
                  <w:color w:val="0000EE"/>
                  <w:w w:val="92"/>
                </w:rPr>
                <w:t>U.S. Bank National Association, as trustee, relating to the 4.500% Senior Notes due 2029 (incorporated by</w:t>
              </w:r>
            </w:hyperlink>
          </w:p>
        </w:tc>
      </w:tr>
      <w:tr>
        <w:trPr>
          <w:trHeight w:val="196"/>
        </w:trPr>
        <w:tc>
          <w:tcPr>
            <w:tcW w:w="1080" w:type="dxa"/>
            <w:vAlign w:val="bottom"/>
          </w:tcPr>
          <w:p>
            <w:pPr>
              <w:spacing w:after="0"/>
              <w:rPr>
                <w:sz w:val="17"/>
                <w:szCs w:val="17"/>
                <w:color w:val="auto"/>
              </w:rPr>
            </w:pPr>
          </w:p>
        </w:tc>
        <w:tc>
          <w:tcPr>
            <w:tcW w:w="69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89">
              <w:r>
                <w:rPr>
                  <w:rFonts w:ascii="Arial" w:cs="Arial" w:eastAsia="Arial" w:hAnsi="Arial"/>
                  <w:sz w:val="18"/>
                  <w:szCs w:val="18"/>
                  <w:color w:val="0000EE"/>
                  <w:w w:val="91"/>
                </w:rPr>
                <w:t>reference to Exhibit 4.1 to the Company’s Current Report on Form 8-K filed February 17, 2021).</w:t>
              </w:r>
            </w:hyperlink>
          </w:p>
        </w:tc>
        <w:tc>
          <w:tcPr>
            <w:tcW w:w="700" w:type="dxa"/>
            <w:vAlign w:val="bottom"/>
            <w:tcBorders>
              <w:top w:val="single" w:sz="8" w:color="0000EE"/>
            </w:tcBorders>
            <w:gridSpan w:val="14"/>
          </w:tcPr>
          <w:p>
            <w:pPr>
              <w:spacing w:after="0"/>
              <w:rPr>
                <w:sz w:val="17"/>
                <w:szCs w:val="17"/>
                <w:color w:val="auto"/>
              </w:rPr>
            </w:pPr>
          </w:p>
        </w:tc>
        <w:tc>
          <w:tcPr>
            <w:tcW w:w="160" w:type="dxa"/>
            <w:vAlign w:val="bottom"/>
            <w:gridSpan w:val="7"/>
          </w:tcPr>
          <w:p>
            <w:pPr>
              <w:spacing w:after="0"/>
              <w:rPr>
                <w:sz w:val="17"/>
                <w:szCs w:val="17"/>
                <w:color w:val="auto"/>
              </w:rPr>
            </w:pPr>
          </w:p>
        </w:tc>
      </w:tr>
      <w:tr>
        <w:trPr>
          <w:trHeight w:val="196"/>
        </w:trPr>
        <w:tc>
          <w:tcPr>
            <w:tcW w:w="1080" w:type="dxa"/>
            <w:vAlign w:val="bottom"/>
          </w:tcPr>
          <w:p>
            <w:pPr>
              <w:ind w:left="20"/>
              <w:spacing w:after="0" w:line="196" w:lineRule="exact"/>
              <w:rPr>
                <w:sz w:val="20"/>
                <w:szCs w:val="20"/>
                <w:color w:val="auto"/>
              </w:rPr>
            </w:pPr>
            <w:r>
              <w:rPr>
                <w:rFonts w:ascii="Arial" w:cs="Arial" w:eastAsia="Arial" w:hAnsi="Arial"/>
                <w:sz w:val="18"/>
                <w:szCs w:val="18"/>
                <w:color w:val="auto"/>
              </w:rPr>
              <w:t>4.8</w:t>
            </w:r>
          </w:p>
        </w:tc>
        <w:tc>
          <w:tcPr>
            <w:tcW w:w="770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89">
              <w:r>
                <w:rPr>
                  <w:rFonts w:ascii="Arial" w:cs="Arial" w:eastAsia="Arial" w:hAnsi="Arial"/>
                  <w:sz w:val="18"/>
                  <w:szCs w:val="18"/>
                  <w:color w:val="0000EE"/>
                  <w:w w:val="91"/>
                </w:rPr>
                <w:t>Form of 4.500% Senior Note due 2029 (incorporated by reference to Exhibit 4.2 to the Company’s Current</w:t>
              </w:r>
            </w:hyperlink>
          </w:p>
        </w:tc>
        <w:tc>
          <w:tcPr>
            <w:tcW w:w="140" w:type="dxa"/>
            <w:vAlign w:val="bottom"/>
            <w:gridSpan w:val="6"/>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2"/>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Report on Form 8-K filed February 17, 2021).</w:t>
              </w:r>
            </w:hyperlink>
          </w:p>
        </w:tc>
      </w:tr>
      <w:tr>
        <w:trPr>
          <w:trHeight w:val="20"/>
        </w:trPr>
        <w:tc>
          <w:tcPr>
            <w:tcW w:w="1080" w:type="dxa"/>
            <w:vAlign w:val="bottom"/>
          </w:tcPr>
          <w:p>
            <w:pPr>
              <w:spacing w:after="0" w:line="20" w:lineRule="exact"/>
              <w:rPr>
                <w:sz w:val="1"/>
                <w:szCs w:val="1"/>
                <w:color w:val="auto"/>
              </w:rPr>
            </w:pPr>
          </w:p>
        </w:tc>
        <w:tc>
          <w:tcPr>
            <w:tcW w:w="30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ind w:left="20"/>
              <w:spacing w:after="0" w:line="196" w:lineRule="exact"/>
              <w:rPr>
                <w:sz w:val="20"/>
                <w:szCs w:val="20"/>
                <w:color w:val="auto"/>
              </w:rPr>
            </w:pPr>
            <w:r>
              <w:rPr>
                <w:rFonts w:ascii="Arial" w:cs="Arial" w:eastAsia="Arial" w:hAnsi="Arial"/>
                <w:sz w:val="18"/>
                <w:szCs w:val="18"/>
                <w:color w:val="auto"/>
              </w:rPr>
              <w:t>10.1†</w:t>
            </w:r>
          </w:p>
        </w:tc>
        <w:tc>
          <w:tcPr>
            <w:tcW w:w="7840" w:type="dxa"/>
            <w:vAlign w:val="bottom"/>
            <w:gridSpan w:val="32"/>
          </w:tcPr>
          <w:p>
            <w:pPr>
              <w:spacing w:after="0" w:line="196" w:lineRule="exact"/>
              <w:rPr>
                <w:rFonts w:ascii="Arial" w:cs="Arial" w:eastAsia="Arial" w:hAnsi="Arial"/>
                <w:sz w:val="18"/>
                <w:szCs w:val="18"/>
                <w:color w:val="0000EE"/>
                <w:w w:val="93"/>
              </w:rPr>
            </w:pPr>
            <w:hyperlink r:id="rId90">
              <w:r>
                <w:rPr>
                  <w:rFonts w:ascii="Arial" w:cs="Arial" w:eastAsia="Arial" w:hAnsi="Arial"/>
                  <w:sz w:val="18"/>
                  <w:szCs w:val="18"/>
                  <w:color w:val="0000EE"/>
                  <w:w w:val="93"/>
                </w:rPr>
                <w:t>Sixth Amended and Restated Credit Agreement dated as of October 31, 2019, among Ryman Hospitality</w:t>
              </w:r>
            </w:hyperlink>
          </w:p>
        </w:tc>
      </w:tr>
      <w:tr>
        <w:trPr>
          <w:trHeight w:val="20"/>
        </w:trPr>
        <w:tc>
          <w:tcPr>
            <w:tcW w:w="1080" w:type="dxa"/>
            <w:vAlign w:val="bottom"/>
          </w:tcPr>
          <w:p>
            <w:pPr>
              <w:spacing w:after="0" w:line="20" w:lineRule="exact"/>
              <w:rPr>
                <w:sz w:val="1"/>
                <w:szCs w:val="1"/>
                <w:color w:val="auto"/>
              </w:rPr>
            </w:pPr>
          </w:p>
        </w:tc>
        <w:tc>
          <w:tcPr>
            <w:tcW w:w="30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2"/>
          </w:tcPr>
          <w:p>
            <w:pPr>
              <w:spacing w:after="0" w:line="196" w:lineRule="exact"/>
              <w:rPr>
                <w:rFonts w:ascii="Arial" w:cs="Arial" w:eastAsia="Arial" w:hAnsi="Arial"/>
                <w:sz w:val="18"/>
                <w:szCs w:val="18"/>
                <w:color w:val="0000EE"/>
                <w:w w:val="91"/>
              </w:rPr>
            </w:pPr>
            <w:hyperlink r:id="rId90">
              <w:r>
                <w:rPr>
                  <w:rFonts w:ascii="Arial" w:cs="Arial" w:eastAsia="Arial" w:hAnsi="Arial"/>
                  <w:sz w:val="18"/>
                  <w:szCs w:val="18"/>
                  <w:color w:val="0000EE"/>
                  <w:w w:val="91"/>
                </w:rPr>
                <w:t>Properties, Inc., as a guarantor, RHP Hotel Properties, LP, as borrower, certain other subsidiaries of Ryman</w:t>
              </w:r>
            </w:hyperlink>
          </w:p>
        </w:tc>
      </w:tr>
      <w:tr>
        <w:trPr>
          <w:trHeight w:val="196"/>
        </w:trPr>
        <w:tc>
          <w:tcPr>
            <w:tcW w:w="1080" w:type="dxa"/>
            <w:vAlign w:val="bottom"/>
          </w:tcPr>
          <w:p>
            <w:pPr>
              <w:spacing w:after="0"/>
              <w:rPr>
                <w:sz w:val="17"/>
                <w:szCs w:val="17"/>
                <w:color w:val="auto"/>
              </w:rPr>
            </w:pPr>
          </w:p>
        </w:tc>
        <w:tc>
          <w:tcPr>
            <w:tcW w:w="70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r:id="rId90">
              <w:r>
                <w:rPr>
                  <w:rFonts w:ascii="Arial" w:cs="Arial" w:eastAsia="Arial" w:hAnsi="Arial"/>
                  <w:sz w:val="18"/>
                  <w:szCs w:val="18"/>
                  <w:color w:val="0000EE"/>
                  <w:w w:val="90"/>
                </w:rPr>
                <w:t>Hospitality Properties, Inc. party thereto, as guarantors, certain subsidiaries of Ryman Hospitality</w:t>
              </w:r>
            </w:hyperlink>
          </w:p>
        </w:tc>
        <w:tc>
          <w:tcPr>
            <w:tcW w:w="680" w:type="dxa"/>
            <w:vAlign w:val="bottom"/>
            <w:tcBorders>
              <w:top w:val="single" w:sz="8" w:color="0000EE"/>
            </w:tcBorders>
            <w:gridSpan w:val="14"/>
          </w:tcPr>
          <w:p>
            <w:pPr>
              <w:spacing w:after="0"/>
              <w:rPr>
                <w:sz w:val="17"/>
                <w:szCs w:val="17"/>
                <w:color w:val="auto"/>
              </w:rPr>
            </w:pPr>
          </w:p>
        </w:tc>
        <w:tc>
          <w:tcPr>
            <w:tcW w:w="140" w:type="dxa"/>
            <w:vAlign w:val="bottom"/>
            <w:gridSpan w:val="6"/>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10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r:id="rId90">
              <w:r>
                <w:rPr>
                  <w:rFonts w:ascii="Arial" w:cs="Arial" w:eastAsia="Arial" w:hAnsi="Arial"/>
                  <w:sz w:val="18"/>
                  <w:szCs w:val="18"/>
                  <w:color w:val="0000EE"/>
                  <w:w w:val="89"/>
                </w:rPr>
                <w:t>Properties, Inc. party thereto, as pledgors, the lenders party thereto and Wells Fargo Bank National</w:t>
              </w:r>
            </w:hyperlink>
          </w:p>
        </w:tc>
        <w:tc>
          <w:tcPr>
            <w:tcW w:w="740" w:type="dxa"/>
            <w:vAlign w:val="bottom"/>
            <w:gridSpan w:val="19"/>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60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90">
              <w:r>
                <w:rPr>
                  <w:rFonts w:ascii="Arial" w:cs="Arial" w:eastAsia="Arial" w:hAnsi="Arial"/>
                  <w:sz w:val="18"/>
                  <w:szCs w:val="18"/>
                  <w:color w:val="0000EE"/>
                  <w:w w:val="91"/>
                </w:rPr>
                <w:t>Association, as administrative agent (incorporated by reference to Exhibit 10.1 to the Company’s Current</w:t>
              </w:r>
            </w:hyperlink>
          </w:p>
        </w:tc>
        <w:tc>
          <w:tcPr>
            <w:tcW w:w="240" w:type="dxa"/>
            <w:vAlign w:val="bottom"/>
            <w:gridSpan w:val="10"/>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2"/>
          </w:tcPr>
          <w:p>
            <w:pPr>
              <w:spacing w:after="0" w:line="196" w:lineRule="exact"/>
              <w:rPr>
                <w:rFonts w:ascii="Arial" w:cs="Arial" w:eastAsia="Arial" w:hAnsi="Arial"/>
                <w:sz w:val="18"/>
                <w:szCs w:val="18"/>
                <w:color w:val="0000EE"/>
              </w:rPr>
            </w:pPr>
            <w:hyperlink r:id="rId90">
              <w:r>
                <w:rPr>
                  <w:rFonts w:ascii="Arial" w:cs="Arial" w:eastAsia="Arial" w:hAnsi="Arial"/>
                  <w:sz w:val="18"/>
                  <w:szCs w:val="18"/>
                  <w:color w:val="0000EE"/>
                </w:rPr>
                <w:t>Report on Form 8-K filed November 1, 2019).</w:t>
              </w:r>
            </w:hyperlink>
          </w:p>
        </w:tc>
      </w:tr>
      <w:tr>
        <w:trPr>
          <w:trHeight w:val="20"/>
        </w:trPr>
        <w:tc>
          <w:tcPr>
            <w:tcW w:w="1080" w:type="dxa"/>
            <w:vAlign w:val="bottom"/>
          </w:tcPr>
          <w:p>
            <w:pPr>
              <w:spacing w:after="0" w:line="20" w:lineRule="exact"/>
              <w:rPr>
                <w:sz w:val="1"/>
                <w:szCs w:val="1"/>
                <w:color w:val="auto"/>
              </w:rPr>
            </w:pPr>
          </w:p>
        </w:tc>
        <w:tc>
          <w:tcPr>
            <w:tcW w:w="30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ind w:left="20"/>
              <w:spacing w:after="0" w:line="196" w:lineRule="exact"/>
              <w:rPr>
                <w:sz w:val="20"/>
                <w:szCs w:val="20"/>
                <w:color w:val="auto"/>
              </w:rPr>
            </w:pPr>
            <w:r>
              <w:rPr>
                <w:rFonts w:ascii="Arial" w:cs="Arial" w:eastAsia="Arial" w:hAnsi="Arial"/>
                <w:sz w:val="18"/>
                <w:szCs w:val="18"/>
                <w:color w:val="auto"/>
              </w:rPr>
              <w:t>10.2</w:t>
            </w:r>
          </w:p>
        </w:tc>
        <w:tc>
          <w:tcPr>
            <w:tcW w:w="762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r:id="rId91">
              <w:r>
                <w:rPr>
                  <w:rFonts w:ascii="Arial" w:cs="Arial" w:eastAsia="Arial" w:hAnsi="Arial"/>
                  <w:sz w:val="18"/>
                  <w:szCs w:val="18"/>
                  <w:color w:val="0000EE"/>
                  <w:w w:val="92"/>
                </w:rPr>
                <w:t>Amendment No. 1 to Sixth Amended Credit Agreement, dated April 23, 2020, among Ryman Hospitality</w:t>
              </w:r>
            </w:hyperlink>
          </w:p>
        </w:tc>
        <w:tc>
          <w:tcPr>
            <w:tcW w:w="220" w:type="dxa"/>
            <w:vAlign w:val="bottom"/>
            <w:gridSpan w:val="9"/>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2"/>
          </w:tcPr>
          <w:p>
            <w:pPr>
              <w:spacing w:after="0" w:line="196" w:lineRule="exact"/>
              <w:rPr>
                <w:rFonts w:ascii="Arial" w:cs="Arial" w:eastAsia="Arial" w:hAnsi="Arial"/>
                <w:sz w:val="18"/>
                <w:szCs w:val="18"/>
                <w:color w:val="0000EE"/>
                <w:w w:val="91"/>
              </w:rPr>
            </w:pPr>
            <w:hyperlink r:id="rId91">
              <w:r>
                <w:rPr>
                  <w:rFonts w:ascii="Arial" w:cs="Arial" w:eastAsia="Arial" w:hAnsi="Arial"/>
                  <w:sz w:val="18"/>
                  <w:szCs w:val="18"/>
                  <w:color w:val="0000EE"/>
                  <w:w w:val="91"/>
                </w:rPr>
                <w:t>Properties, Inc., as a guarantor, RHP Hotel Properties, LP, as borrower, certain other subsidiaries of Ryman</w:t>
              </w:r>
            </w:hyperlink>
          </w:p>
        </w:tc>
      </w:tr>
      <w:tr>
        <w:trPr>
          <w:trHeight w:val="196"/>
        </w:trPr>
        <w:tc>
          <w:tcPr>
            <w:tcW w:w="1080" w:type="dxa"/>
            <w:vAlign w:val="bottom"/>
          </w:tcPr>
          <w:p>
            <w:pPr>
              <w:spacing w:after="0"/>
              <w:rPr>
                <w:sz w:val="17"/>
                <w:szCs w:val="17"/>
                <w:color w:val="auto"/>
              </w:rPr>
            </w:pPr>
          </w:p>
        </w:tc>
        <w:tc>
          <w:tcPr>
            <w:tcW w:w="70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r:id="rId91">
              <w:r>
                <w:rPr>
                  <w:rFonts w:ascii="Arial" w:cs="Arial" w:eastAsia="Arial" w:hAnsi="Arial"/>
                  <w:sz w:val="18"/>
                  <w:szCs w:val="18"/>
                  <w:color w:val="0000EE"/>
                  <w:w w:val="90"/>
                </w:rPr>
                <w:t>Hospitality Properties, Inc. party thereto, as guarantors, certain subsidiaries of Ryman Hospitality</w:t>
              </w:r>
            </w:hyperlink>
          </w:p>
        </w:tc>
        <w:tc>
          <w:tcPr>
            <w:tcW w:w="680" w:type="dxa"/>
            <w:vAlign w:val="bottom"/>
            <w:tcBorders>
              <w:top w:val="single" w:sz="8" w:color="0000EE"/>
            </w:tcBorders>
            <w:gridSpan w:val="14"/>
          </w:tcPr>
          <w:p>
            <w:pPr>
              <w:spacing w:after="0"/>
              <w:rPr>
                <w:sz w:val="17"/>
                <w:szCs w:val="17"/>
                <w:color w:val="auto"/>
              </w:rPr>
            </w:pPr>
          </w:p>
        </w:tc>
        <w:tc>
          <w:tcPr>
            <w:tcW w:w="140" w:type="dxa"/>
            <w:vAlign w:val="bottom"/>
            <w:gridSpan w:val="6"/>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10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r:id="rId91">
              <w:r>
                <w:rPr>
                  <w:rFonts w:ascii="Arial" w:cs="Arial" w:eastAsia="Arial" w:hAnsi="Arial"/>
                  <w:sz w:val="18"/>
                  <w:szCs w:val="18"/>
                  <w:color w:val="0000EE"/>
                  <w:w w:val="89"/>
                </w:rPr>
                <w:t>Properties, Inc. party thereto, as pledgors, the lenders party thereto and Wells Fargo Bank National</w:t>
              </w:r>
            </w:hyperlink>
          </w:p>
        </w:tc>
        <w:tc>
          <w:tcPr>
            <w:tcW w:w="740" w:type="dxa"/>
            <w:vAlign w:val="bottom"/>
            <w:gridSpan w:val="19"/>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60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91">
              <w:r>
                <w:rPr>
                  <w:rFonts w:ascii="Arial" w:cs="Arial" w:eastAsia="Arial" w:hAnsi="Arial"/>
                  <w:sz w:val="18"/>
                  <w:szCs w:val="18"/>
                  <w:color w:val="0000EE"/>
                  <w:w w:val="91"/>
                </w:rPr>
                <w:t>Association, as administrative agent (incorporated by reference to Exhibit 10.1 to the Company’s Current</w:t>
              </w:r>
            </w:hyperlink>
          </w:p>
        </w:tc>
        <w:tc>
          <w:tcPr>
            <w:tcW w:w="240" w:type="dxa"/>
            <w:vAlign w:val="bottom"/>
            <w:gridSpan w:val="10"/>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306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r:id="rId91">
              <w:r>
                <w:rPr>
                  <w:rFonts w:ascii="Arial" w:cs="Arial" w:eastAsia="Arial" w:hAnsi="Arial"/>
                  <w:sz w:val="18"/>
                  <w:szCs w:val="18"/>
                  <w:color w:val="0000EE"/>
                  <w:w w:val="93"/>
                </w:rPr>
                <w:t>Report on Form 8-K filed April 24, 2020).</w:t>
              </w:r>
            </w:hyperlink>
          </w:p>
        </w:tc>
        <w:tc>
          <w:tcPr>
            <w:tcW w:w="4780" w:type="dxa"/>
            <w:vAlign w:val="bottom"/>
            <w:gridSpan w:val="30"/>
          </w:tcPr>
          <w:p>
            <w:pPr>
              <w:spacing w:after="0"/>
              <w:rPr>
                <w:sz w:val="17"/>
                <w:szCs w:val="17"/>
                <w:color w:val="auto"/>
              </w:rPr>
            </w:pPr>
          </w:p>
        </w:tc>
      </w:tr>
      <w:tr>
        <w:trPr>
          <w:trHeight w:val="196"/>
        </w:trPr>
        <w:tc>
          <w:tcPr>
            <w:tcW w:w="1080" w:type="dxa"/>
            <w:vAlign w:val="bottom"/>
          </w:tcPr>
          <w:p>
            <w:pPr>
              <w:ind w:left="20"/>
              <w:spacing w:after="0" w:line="196" w:lineRule="exact"/>
              <w:rPr>
                <w:sz w:val="20"/>
                <w:szCs w:val="20"/>
                <w:color w:val="auto"/>
              </w:rPr>
            </w:pPr>
            <w:r>
              <w:rPr>
                <w:rFonts w:ascii="Arial" w:cs="Arial" w:eastAsia="Arial" w:hAnsi="Arial"/>
                <w:sz w:val="18"/>
                <w:szCs w:val="18"/>
                <w:color w:val="auto"/>
              </w:rPr>
              <w:t>10.3</w:t>
            </w:r>
          </w:p>
        </w:tc>
        <w:tc>
          <w:tcPr>
            <w:tcW w:w="754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r:id="rId92">
              <w:r>
                <w:rPr>
                  <w:rFonts w:ascii="Arial" w:cs="Arial" w:eastAsia="Arial" w:hAnsi="Arial"/>
                  <w:sz w:val="18"/>
                  <w:szCs w:val="18"/>
                  <w:color w:val="0000EE"/>
                  <w:w w:val="89"/>
                </w:rPr>
                <w:t>Amendment No. 2 to Sixth Amended and Restated Credit Agreement, dated December 22, 2020, among</w:t>
              </w:r>
            </w:hyperlink>
          </w:p>
        </w:tc>
        <w:tc>
          <w:tcPr>
            <w:tcW w:w="300" w:type="dxa"/>
            <w:vAlign w:val="bottom"/>
            <w:gridSpan w:val="13"/>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2"/>
          </w:tcPr>
          <w:p>
            <w:pPr>
              <w:spacing w:after="0" w:line="196" w:lineRule="exact"/>
              <w:rPr>
                <w:rFonts w:ascii="Arial" w:cs="Arial" w:eastAsia="Arial" w:hAnsi="Arial"/>
                <w:sz w:val="18"/>
                <w:szCs w:val="18"/>
                <w:color w:val="0000EE"/>
                <w:w w:val="94"/>
              </w:rPr>
            </w:pPr>
            <w:hyperlink r:id="rId92">
              <w:r>
                <w:rPr>
                  <w:rFonts w:ascii="Arial" w:cs="Arial" w:eastAsia="Arial" w:hAnsi="Arial"/>
                  <w:sz w:val="18"/>
                  <w:szCs w:val="18"/>
                  <w:color w:val="0000EE"/>
                  <w:w w:val="94"/>
                </w:rPr>
                <w:t>Ryman Hospitality Properties, Inc., as a guarantor, RHP Hotel Properties, LP, as borrower, certain other</w:t>
              </w:r>
            </w:hyperlink>
          </w:p>
        </w:tc>
      </w:tr>
      <w:tr>
        <w:trPr>
          <w:trHeight w:val="20"/>
        </w:trPr>
        <w:tc>
          <w:tcPr>
            <w:tcW w:w="1080" w:type="dxa"/>
            <w:vAlign w:val="bottom"/>
          </w:tcPr>
          <w:p>
            <w:pPr>
              <w:spacing w:after="0" w:line="20" w:lineRule="exact"/>
              <w:rPr>
                <w:sz w:val="1"/>
                <w:szCs w:val="1"/>
                <w:color w:val="auto"/>
              </w:rPr>
            </w:pPr>
          </w:p>
        </w:tc>
        <w:tc>
          <w:tcPr>
            <w:tcW w:w="3200" w:type="dxa"/>
            <w:vAlign w:val="bottom"/>
            <w:gridSpan w:val="3"/>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7820" w:type="dxa"/>
            <w:vAlign w:val="bottom"/>
            <w:tcBorders>
              <w:bottom w:val="single" w:sz="8" w:color="0000EE"/>
            </w:tcBorders>
            <w:gridSpan w:val="31"/>
          </w:tcPr>
          <w:p>
            <w:pPr>
              <w:spacing w:after="0" w:line="196" w:lineRule="exact"/>
              <w:rPr>
                <w:rFonts w:ascii="Arial" w:cs="Arial" w:eastAsia="Arial" w:hAnsi="Arial"/>
                <w:sz w:val="18"/>
                <w:szCs w:val="18"/>
                <w:color w:val="0000EE"/>
                <w:w w:val="90"/>
              </w:rPr>
            </w:pPr>
            <w:hyperlink r:id="rId92">
              <w:r>
                <w:rPr>
                  <w:rFonts w:ascii="Arial" w:cs="Arial" w:eastAsia="Arial" w:hAnsi="Arial"/>
                  <w:sz w:val="18"/>
                  <w:szCs w:val="18"/>
                  <w:color w:val="0000EE"/>
                  <w:w w:val="90"/>
                </w:rPr>
                <w:t>subsidiaries of Ryman Hospitality Properties, Inc. party thereto, as guarantors, certain subsidiaries of Ryman</w:t>
              </w:r>
            </w:hyperlink>
          </w:p>
        </w:tc>
        <w:tc>
          <w:tcPr>
            <w:tcW w:w="2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28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92">
              <w:r>
                <w:rPr>
                  <w:rFonts w:ascii="Arial" w:cs="Arial" w:eastAsia="Arial" w:hAnsi="Arial"/>
                  <w:sz w:val="18"/>
                  <w:szCs w:val="18"/>
                  <w:color w:val="0000EE"/>
                  <w:w w:val="90"/>
                </w:rPr>
                <w:t>Hospitality Properties, Inc. party thereto, as pledgors, the lenders party thereto and Wells Fargo Bank</w:t>
              </w:r>
            </w:hyperlink>
          </w:p>
        </w:tc>
        <w:tc>
          <w:tcPr>
            <w:tcW w:w="560" w:type="dxa"/>
            <w:vAlign w:val="bottom"/>
            <w:gridSpan w:val="18"/>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68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92">
              <w:r>
                <w:rPr>
                  <w:rFonts w:ascii="Arial" w:cs="Arial" w:eastAsia="Arial" w:hAnsi="Arial"/>
                  <w:sz w:val="18"/>
                  <w:szCs w:val="18"/>
                  <w:color w:val="0000EE"/>
                  <w:w w:val="91"/>
                </w:rPr>
                <w:t>National Association, as administrative agent (incorporated by reference to Exhibit 10.1 to the Company’s</w:t>
              </w:r>
            </w:hyperlink>
          </w:p>
        </w:tc>
        <w:tc>
          <w:tcPr>
            <w:tcW w:w="160" w:type="dxa"/>
            <w:vAlign w:val="bottom"/>
            <w:gridSpan w:val="7"/>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2"/>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Current Report on Form 8-K filed December 22, 2020).</w:t>
              </w:r>
            </w:hyperlink>
          </w:p>
        </w:tc>
      </w:tr>
      <w:tr>
        <w:trPr>
          <w:trHeight w:val="20"/>
        </w:trPr>
        <w:tc>
          <w:tcPr>
            <w:tcW w:w="1080" w:type="dxa"/>
            <w:vAlign w:val="bottom"/>
          </w:tcPr>
          <w:p>
            <w:pPr>
              <w:spacing w:after="0" w:line="20" w:lineRule="exact"/>
              <w:rPr>
                <w:sz w:val="1"/>
                <w:szCs w:val="1"/>
                <w:color w:val="auto"/>
              </w:rPr>
            </w:pPr>
          </w:p>
        </w:tc>
        <w:tc>
          <w:tcPr>
            <w:tcW w:w="3200" w:type="dxa"/>
            <w:vAlign w:val="bottom"/>
            <w:gridSpan w:val="3"/>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080" w:type="dxa"/>
            <w:vAlign w:val="bottom"/>
          </w:tcPr>
          <w:p>
            <w:pPr>
              <w:ind w:left="20"/>
              <w:spacing w:after="0" w:line="196" w:lineRule="exact"/>
              <w:rPr>
                <w:sz w:val="20"/>
                <w:szCs w:val="20"/>
                <w:color w:val="auto"/>
              </w:rPr>
            </w:pPr>
            <w:r>
              <w:rPr>
                <w:rFonts w:ascii="Arial" w:cs="Arial" w:eastAsia="Arial" w:hAnsi="Arial"/>
                <w:sz w:val="18"/>
                <w:szCs w:val="18"/>
                <w:color w:val="auto"/>
              </w:rPr>
              <w:t>10.4</w:t>
            </w:r>
          </w:p>
        </w:tc>
        <w:tc>
          <w:tcPr>
            <w:tcW w:w="772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r:id="rId93">
              <w:r>
                <w:rPr>
                  <w:rFonts w:ascii="Arial" w:cs="Arial" w:eastAsia="Arial" w:hAnsi="Arial"/>
                  <w:sz w:val="18"/>
                  <w:szCs w:val="18"/>
                  <w:color w:val="0000EE"/>
                  <w:w w:val="90"/>
                </w:rPr>
                <w:t>Amendment No. 3 to Sixth Amended and Restated Credit Agreement, dated April 30, 2021, among Ryman</w:t>
              </w:r>
            </w:hyperlink>
          </w:p>
        </w:tc>
        <w:tc>
          <w:tcPr>
            <w:tcW w:w="120" w:type="dxa"/>
            <w:vAlign w:val="bottom"/>
            <w:gridSpan w:val="5"/>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00" w:type="dxa"/>
            <w:vAlign w:val="bottom"/>
            <w:tcBorders>
              <w:bottom w:val="single" w:sz="8" w:color="0000EE"/>
            </w:tcBorders>
            <w:gridSpan w:val="30"/>
          </w:tcPr>
          <w:p>
            <w:pPr>
              <w:spacing w:after="0" w:line="196" w:lineRule="exact"/>
              <w:rPr>
                <w:rFonts w:ascii="Arial" w:cs="Arial" w:eastAsia="Arial" w:hAnsi="Arial"/>
                <w:sz w:val="18"/>
                <w:szCs w:val="18"/>
                <w:color w:val="0000EE"/>
                <w:w w:val="90"/>
              </w:rPr>
            </w:pPr>
            <w:hyperlink r:id="rId93">
              <w:r>
                <w:rPr>
                  <w:rFonts w:ascii="Arial" w:cs="Arial" w:eastAsia="Arial" w:hAnsi="Arial"/>
                  <w:sz w:val="18"/>
                  <w:szCs w:val="18"/>
                  <w:color w:val="0000EE"/>
                  <w:w w:val="90"/>
                </w:rPr>
                <w:t>Hospitality Properties, Inc., as a guarantor, RHP Hotel Properties, LP, as borrower, certain other subsidiaries</w:t>
              </w:r>
            </w:hyperlink>
          </w:p>
        </w:tc>
        <w:tc>
          <w:tcPr>
            <w:tcW w:w="40" w:type="dxa"/>
            <w:vAlign w:val="bottom"/>
            <w:gridSpan w:val="2"/>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2"/>
          </w:tcPr>
          <w:p>
            <w:pPr>
              <w:spacing w:after="0" w:line="196" w:lineRule="exact"/>
              <w:rPr>
                <w:rFonts w:ascii="Arial" w:cs="Arial" w:eastAsia="Arial" w:hAnsi="Arial"/>
                <w:sz w:val="18"/>
                <w:szCs w:val="18"/>
                <w:color w:val="0000EE"/>
                <w:w w:val="91"/>
              </w:rPr>
            </w:pPr>
            <w:hyperlink r:id="rId93">
              <w:r>
                <w:rPr>
                  <w:rFonts w:ascii="Arial" w:cs="Arial" w:eastAsia="Arial" w:hAnsi="Arial"/>
                  <w:sz w:val="18"/>
                  <w:szCs w:val="18"/>
                  <w:color w:val="0000EE"/>
                  <w:w w:val="91"/>
                </w:rPr>
                <w:t>of Ryman Hospitality Properties, Inc. party thereto, as guarantors, certain subsidiaries of Ryman Hospitality</w:t>
              </w:r>
            </w:hyperlink>
          </w:p>
        </w:tc>
      </w:tr>
      <w:tr>
        <w:trPr>
          <w:trHeight w:val="196"/>
        </w:trPr>
        <w:tc>
          <w:tcPr>
            <w:tcW w:w="1080" w:type="dxa"/>
            <w:vAlign w:val="bottom"/>
          </w:tcPr>
          <w:p>
            <w:pPr>
              <w:spacing w:after="0"/>
              <w:rPr>
                <w:sz w:val="17"/>
                <w:szCs w:val="17"/>
                <w:color w:val="auto"/>
              </w:rPr>
            </w:pPr>
          </w:p>
        </w:tc>
        <w:tc>
          <w:tcPr>
            <w:tcW w:w="71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r:id="rId93">
              <w:r>
                <w:rPr>
                  <w:rFonts w:ascii="Arial" w:cs="Arial" w:eastAsia="Arial" w:hAnsi="Arial"/>
                  <w:sz w:val="18"/>
                  <w:szCs w:val="18"/>
                  <w:color w:val="0000EE"/>
                  <w:w w:val="89"/>
                </w:rPr>
                <w:t>Properties, Inc. party thereto, as pledgors, the lenders party thereto and Wells Fargo Bank National</w:t>
              </w:r>
            </w:hyperlink>
          </w:p>
        </w:tc>
        <w:tc>
          <w:tcPr>
            <w:tcW w:w="660" w:type="dxa"/>
            <w:vAlign w:val="bottom"/>
            <w:tcBorders>
              <w:top w:val="single" w:sz="8" w:color="0000EE"/>
            </w:tcBorders>
            <w:gridSpan w:val="16"/>
          </w:tcPr>
          <w:p>
            <w:pPr>
              <w:spacing w:after="0"/>
              <w:rPr>
                <w:sz w:val="17"/>
                <w:szCs w:val="17"/>
                <w:color w:val="auto"/>
              </w:rPr>
            </w:pPr>
          </w:p>
        </w:tc>
        <w:tc>
          <w:tcPr>
            <w:tcW w:w="80" w:type="dxa"/>
            <w:vAlign w:val="bottom"/>
            <w:gridSpan w:val="3"/>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2"/>
          </w:tcPr>
          <w:p>
            <w:pPr>
              <w:spacing w:after="0" w:line="196" w:lineRule="exact"/>
              <w:rPr>
                <w:rFonts w:ascii="Arial" w:cs="Arial" w:eastAsia="Arial" w:hAnsi="Arial"/>
                <w:sz w:val="18"/>
                <w:szCs w:val="18"/>
                <w:color w:val="0000EE"/>
                <w:w w:val="92"/>
              </w:rPr>
            </w:pPr>
            <w:hyperlink r:id="rId93">
              <w:r>
                <w:rPr>
                  <w:rFonts w:ascii="Arial" w:cs="Arial" w:eastAsia="Arial" w:hAnsi="Arial"/>
                  <w:sz w:val="18"/>
                  <w:szCs w:val="18"/>
                  <w:color w:val="0000EE"/>
                  <w:w w:val="92"/>
                </w:rPr>
                <w:t>Association, as administrative agent (incorporated by reference to Exhibit 10.4 to the Company’s Quarterly</w:t>
              </w:r>
            </w:hyperlink>
          </w:p>
        </w:tc>
      </w:tr>
      <w:tr>
        <w:trPr>
          <w:trHeight w:val="196"/>
        </w:trPr>
        <w:tc>
          <w:tcPr>
            <w:tcW w:w="1080" w:type="dxa"/>
            <w:vAlign w:val="bottom"/>
          </w:tcPr>
          <w:p>
            <w:pPr>
              <w:spacing w:after="0"/>
              <w:rPr>
                <w:sz w:val="17"/>
                <w:szCs w:val="17"/>
                <w:color w:val="auto"/>
              </w:rPr>
            </w:pPr>
          </w:p>
        </w:tc>
        <w:tc>
          <w:tcPr>
            <w:tcW w:w="32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93">
              <w:r>
                <w:rPr>
                  <w:rFonts w:ascii="Arial" w:cs="Arial" w:eastAsia="Arial" w:hAnsi="Arial"/>
                  <w:sz w:val="18"/>
                  <w:szCs w:val="18"/>
                  <w:color w:val="0000EE"/>
                  <w:w w:val="91"/>
                </w:rPr>
                <w:t>Report on Form 10-Q filed August 3, 2021).</w:t>
              </w:r>
            </w:hyperlink>
          </w:p>
        </w:tc>
        <w:tc>
          <w:tcPr>
            <w:tcW w:w="4520" w:type="dxa"/>
            <w:vAlign w:val="bottom"/>
            <w:tcBorders>
              <w:top w:val="single" w:sz="8" w:color="0000EE"/>
            </w:tcBorders>
            <w:gridSpan w:val="24"/>
          </w:tcPr>
          <w:p>
            <w:pPr>
              <w:spacing w:after="0"/>
              <w:rPr>
                <w:sz w:val="17"/>
                <w:szCs w:val="17"/>
                <w:color w:val="auto"/>
              </w:rPr>
            </w:pPr>
          </w:p>
        </w:tc>
        <w:tc>
          <w:tcPr>
            <w:tcW w:w="120" w:type="dxa"/>
            <w:vAlign w:val="bottom"/>
            <w:gridSpan w:val="5"/>
          </w:tcPr>
          <w:p>
            <w:pPr>
              <w:spacing w:after="0"/>
              <w:rPr>
                <w:sz w:val="17"/>
                <w:szCs w:val="17"/>
                <w:color w:val="auto"/>
              </w:rPr>
            </w:pPr>
          </w:p>
        </w:tc>
      </w:tr>
      <w:tr>
        <w:trPr>
          <w:trHeight w:val="196"/>
        </w:trPr>
        <w:tc>
          <w:tcPr>
            <w:tcW w:w="1080" w:type="dxa"/>
            <w:vAlign w:val="bottom"/>
          </w:tcPr>
          <w:p>
            <w:pPr>
              <w:ind w:left="20"/>
              <w:spacing w:after="0" w:line="196" w:lineRule="exact"/>
              <w:rPr>
                <w:sz w:val="20"/>
                <w:szCs w:val="20"/>
                <w:color w:val="auto"/>
              </w:rPr>
            </w:pPr>
            <w:r>
              <w:rPr>
                <w:rFonts w:ascii="Arial" w:cs="Arial" w:eastAsia="Arial" w:hAnsi="Arial"/>
                <w:sz w:val="18"/>
                <w:szCs w:val="18"/>
                <w:color w:val="auto"/>
              </w:rPr>
              <w:t>10.5</w:t>
            </w:r>
          </w:p>
        </w:tc>
        <w:tc>
          <w:tcPr>
            <w:tcW w:w="7840" w:type="dxa"/>
            <w:vAlign w:val="bottom"/>
            <w:gridSpan w:val="32"/>
          </w:tcPr>
          <w:p>
            <w:pPr>
              <w:spacing w:after="0" w:line="196" w:lineRule="exact"/>
              <w:rPr>
                <w:rFonts w:ascii="Arial" w:cs="Arial" w:eastAsia="Arial" w:hAnsi="Arial"/>
                <w:sz w:val="18"/>
                <w:szCs w:val="18"/>
                <w:color w:val="0000EE"/>
                <w:w w:val="91"/>
              </w:rPr>
            </w:pPr>
            <w:hyperlink r:id="rId94">
              <w:r>
                <w:rPr>
                  <w:rFonts w:ascii="Arial" w:cs="Arial" w:eastAsia="Arial" w:hAnsi="Arial"/>
                  <w:sz w:val="18"/>
                  <w:szCs w:val="18"/>
                  <w:color w:val="0000EE"/>
                  <w:w w:val="91"/>
                </w:rPr>
                <w:t>Amendment No. 4 to Sixth Amended and Restated Credit Agreement, dated as of October 26, 2021, among</w:t>
              </w:r>
            </w:hyperlink>
          </w:p>
        </w:tc>
      </w:tr>
      <w:tr>
        <w:trPr>
          <w:trHeight w:val="196"/>
        </w:trPr>
        <w:tc>
          <w:tcPr>
            <w:tcW w:w="1080" w:type="dxa"/>
            <w:vAlign w:val="bottom"/>
          </w:tcPr>
          <w:p>
            <w:pPr>
              <w:spacing w:after="0"/>
              <w:rPr>
                <w:sz w:val="17"/>
                <w:szCs w:val="17"/>
                <w:color w:val="auto"/>
              </w:rPr>
            </w:pPr>
          </w:p>
        </w:tc>
        <w:tc>
          <w:tcPr>
            <w:tcW w:w="7740" w:type="dxa"/>
            <w:vAlign w:val="bottom"/>
            <w:tcBorders>
              <w:top w:val="single" w:sz="8" w:color="0000EE"/>
            </w:tcBorders>
            <w:gridSpan w:val="28"/>
          </w:tcPr>
          <w:p>
            <w:pPr>
              <w:spacing w:after="0" w:line="196" w:lineRule="exact"/>
              <w:rPr>
                <w:rFonts w:ascii="Arial" w:cs="Arial" w:eastAsia="Arial" w:hAnsi="Arial"/>
                <w:sz w:val="18"/>
                <w:szCs w:val="18"/>
                <w:color w:val="0000EE"/>
                <w:w w:val="93"/>
              </w:rPr>
            </w:pPr>
            <w:hyperlink r:id="rId94">
              <w:r>
                <w:rPr>
                  <w:rFonts w:ascii="Arial" w:cs="Arial" w:eastAsia="Arial" w:hAnsi="Arial"/>
                  <w:sz w:val="18"/>
                  <w:szCs w:val="18"/>
                  <w:color w:val="0000EE"/>
                  <w:w w:val="93"/>
                </w:rPr>
                <w:t>Ryman Hospitality Properties, Inc., as a guarantor, RHP Hotel Properties, LP, as borrower, certain other</w:t>
              </w:r>
            </w:hyperlink>
          </w:p>
        </w:tc>
        <w:tc>
          <w:tcPr>
            <w:tcW w:w="100" w:type="dxa"/>
            <w:vAlign w:val="bottom"/>
            <w:gridSpan w:val="4"/>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3860" w:type="dxa"/>
            <w:vAlign w:val="bottom"/>
            <w:gridSpan w:val="6"/>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7820" w:type="dxa"/>
            <w:vAlign w:val="bottom"/>
            <w:tcBorders>
              <w:bottom w:val="single" w:sz="8" w:color="0000EE"/>
            </w:tcBorders>
            <w:gridSpan w:val="31"/>
          </w:tcPr>
          <w:p>
            <w:pPr>
              <w:spacing w:after="0" w:line="196" w:lineRule="exact"/>
              <w:rPr>
                <w:rFonts w:ascii="Arial" w:cs="Arial" w:eastAsia="Arial" w:hAnsi="Arial"/>
                <w:sz w:val="18"/>
                <w:szCs w:val="18"/>
                <w:color w:val="0000EE"/>
                <w:w w:val="90"/>
              </w:rPr>
            </w:pPr>
            <w:hyperlink r:id="rId94">
              <w:r>
                <w:rPr>
                  <w:rFonts w:ascii="Arial" w:cs="Arial" w:eastAsia="Arial" w:hAnsi="Arial"/>
                  <w:sz w:val="18"/>
                  <w:szCs w:val="18"/>
                  <w:color w:val="0000EE"/>
                  <w:w w:val="90"/>
                </w:rPr>
                <w:t>subsidiaries of Ryman Hospitality Properties, Inc. party thereto, as guarantors, certain subsidiaries of Ryman</w:t>
              </w:r>
            </w:hyperlink>
          </w:p>
        </w:tc>
        <w:tc>
          <w:tcPr>
            <w:tcW w:w="2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28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94">
              <w:r>
                <w:rPr>
                  <w:rFonts w:ascii="Arial" w:cs="Arial" w:eastAsia="Arial" w:hAnsi="Arial"/>
                  <w:sz w:val="18"/>
                  <w:szCs w:val="18"/>
                  <w:color w:val="0000EE"/>
                  <w:w w:val="90"/>
                </w:rPr>
                <w:t>Hospitality Properties, Inc. party thereto, as pledgors, the lenders party thereto and Wells Fargo Bank</w:t>
              </w:r>
            </w:hyperlink>
          </w:p>
        </w:tc>
        <w:tc>
          <w:tcPr>
            <w:tcW w:w="560" w:type="dxa"/>
            <w:vAlign w:val="bottom"/>
            <w:gridSpan w:val="18"/>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68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94">
              <w:r>
                <w:rPr>
                  <w:rFonts w:ascii="Arial" w:cs="Arial" w:eastAsia="Arial" w:hAnsi="Arial"/>
                  <w:sz w:val="18"/>
                  <w:szCs w:val="18"/>
                  <w:color w:val="0000EE"/>
                  <w:w w:val="91"/>
                </w:rPr>
                <w:t>National Association, as administrative agent (incorporated by reference to Exhibit 10.1 to the Company’s</w:t>
              </w:r>
            </w:hyperlink>
          </w:p>
        </w:tc>
        <w:tc>
          <w:tcPr>
            <w:tcW w:w="160" w:type="dxa"/>
            <w:vAlign w:val="bottom"/>
            <w:gridSpan w:val="7"/>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386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94">
              <w:r>
                <w:rPr>
                  <w:rFonts w:ascii="Arial" w:cs="Arial" w:eastAsia="Arial" w:hAnsi="Arial"/>
                  <w:sz w:val="18"/>
                  <w:szCs w:val="18"/>
                  <w:color w:val="0000EE"/>
                  <w:w w:val="92"/>
                </w:rPr>
                <w:t>Current Report on Form 8-K filed October 27, 2021).</w:t>
              </w:r>
            </w:hyperlink>
          </w:p>
        </w:tc>
        <w:tc>
          <w:tcPr>
            <w:tcW w:w="3980" w:type="dxa"/>
            <w:vAlign w:val="bottom"/>
            <w:gridSpan w:val="26"/>
          </w:tcPr>
          <w:p>
            <w:pPr>
              <w:spacing w:after="0"/>
              <w:rPr>
                <w:sz w:val="17"/>
                <w:szCs w:val="17"/>
                <w:color w:val="auto"/>
              </w:rPr>
            </w:pPr>
          </w:p>
        </w:tc>
      </w:tr>
      <w:tr>
        <w:trPr>
          <w:trHeight w:val="196"/>
        </w:trPr>
        <w:tc>
          <w:tcPr>
            <w:tcW w:w="1080" w:type="dxa"/>
            <w:vAlign w:val="bottom"/>
          </w:tcPr>
          <w:p>
            <w:pPr>
              <w:ind w:left="20"/>
              <w:spacing w:after="0" w:line="196" w:lineRule="exact"/>
              <w:rPr>
                <w:sz w:val="20"/>
                <w:szCs w:val="20"/>
                <w:color w:val="auto"/>
              </w:rPr>
            </w:pPr>
            <w:r>
              <w:rPr>
                <w:rFonts w:ascii="Arial" w:cs="Arial" w:eastAsia="Arial" w:hAnsi="Arial"/>
                <w:sz w:val="18"/>
                <w:szCs w:val="18"/>
                <w:color w:val="auto"/>
              </w:rPr>
              <w:t>10.6</w:t>
            </w:r>
          </w:p>
        </w:tc>
        <w:tc>
          <w:tcPr>
            <w:tcW w:w="7840" w:type="dxa"/>
            <w:vAlign w:val="bottom"/>
            <w:gridSpan w:val="32"/>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Opryland Hotel-Florida Ground Lease, dated as of March 3, 1999, by and between Xentury City</w:t>
              </w:r>
            </w:hyperlink>
          </w:p>
        </w:tc>
      </w:tr>
      <w:tr>
        <w:trPr>
          <w:trHeight w:val="20"/>
        </w:trPr>
        <w:tc>
          <w:tcPr>
            <w:tcW w:w="1080" w:type="dxa"/>
            <w:vAlign w:val="bottom"/>
          </w:tcPr>
          <w:p>
            <w:pPr>
              <w:spacing w:after="0" w:line="20" w:lineRule="exact"/>
              <w:rPr>
                <w:sz w:val="1"/>
                <w:szCs w:val="1"/>
                <w:color w:val="auto"/>
              </w:rPr>
            </w:pPr>
          </w:p>
        </w:tc>
        <w:tc>
          <w:tcPr>
            <w:tcW w:w="5060" w:type="dxa"/>
            <w:vAlign w:val="bottom"/>
            <w:gridSpan w:val="8"/>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2"/>
          </w:tcPr>
          <w:p>
            <w:pPr>
              <w:spacing w:after="0" w:line="196" w:lineRule="exact"/>
              <w:rPr>
                <w:rFonts w:ascii="Arial" w:cs="Arial" w:eastAsia="Arial" w:hAnsi="Arial"/>
                <w:sz w:val="18"/>
                <w:szCs w:val="18"/>
                <w:color w:val="0000EE"/>
                <w:w w:val="92"/>
              </w:rPr>
            </w:pPr>
            <w:hyperlink r:id="rId95">
              <w:r>
                <w:rPr>
                  <w:rFonts w:ascii="Arial" w:cs="Arial" w:eastAsia="Arial" w:hAnsi="Arial"/>
                  <w:sz w:val="18"/>
                  <w:szCs w:val="18"/>
                  <w:color w:val="0000EE"/>
                  <w:w w:val="92"/>
                </w:rPr>
                <w:t>Development Company, L.L.C., and Opryland Hotel-Florida Limited Partnership (incorporated by reference</w:t>
              </w:r>
            </w:hyperlink>
          </w:p>
        </w:tc>
      </w:tr>
      <w:tr>
        <w:trPr>
          <w:trHeight w:val="196"/>
        </w:trPr>
        <w:tc>
          <w:tcPr>
            <w:tcW w:w="1080" w:type="dxa"/>
            <w:vAlign w:val="bottom"/>
          </w:tcPr>
          <w:p>
            <w:pPr>
              <w:spacing w:after="0"/>
              <w:rPr>
                <w:sz w:val="17"/>
                <w:szCs w:val="17"/>
                <w:color w:val="auto"/>
              </w:rPr>
            </w:pPr>
          </w:p>
        </w:tc>
        <w:tc>
          <w:tcPr>
            <w:tcW w:w="758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91"/>
              </w:rPr>
            </w:pPr>
            <w:hyperlink r:id="rId95">
              <w:r>
                <w:rPr>
                  <w:rFonts w:ascii="Arial" w:cs="Arial" w:eastAsia="Arial" w:hAnsi="Arial"/>
                  <w:sz w:val="18"/>
                  <w:szCs w:val="18"/>
                  <w:color w:val="0000EE"/>
                  <w:w w:val="91"/>
                </w:rPr>
                <w:t>to Exhibit 10.11 to the Company’s Annual Report on Form 10-K for the year ended December 31, 1999).</w:t>
              </w:r>
            </w:hyperlink>
          </w:p>
        </w:tc>
        <w:tc>
          <w:tcPr>
            <w:tcW w:w="220" w:type="dxa"/>
            <w:vAlign w:val="bottom"/>
            <w:tcBorders>
              <w:top w:val="single" w:sz="8" w:color="0000EE"/>
            </w:tcBorders>
            <w:gridSpan w:val="9"/>
          </w:tcPr>
          <w:p>
            <w:pPr>
              <w:spacing w:after="0"/>
              <w:rPr>
                <w:sz w:val="17"/>
                <w:szCs w:val="17"/>
                <w:color w:val="auto"/>
              </w:rPr>
            </w:pPr>
          </w:p>
        </w:tc>
        <w:tc>
          <w:tcPr>
            <w:tcW w:w="40" w:type="dxa"/>
            <w:vAlign w:val="bottom"/>
            <w:gridSpan w:val="2"/>
          </w:tcPr>
          <w:p>
            <w:pPr>
              <w:spacing w:after="0"/>
              <w:rPr>
                <w:sz w:val="17"/>
                <w:szCs w:val="17"/>
                <w:color w:val="auto"/>
              </w:rPr>
            </w:pPr>
          </w:p>
        </w:tc>
      </w:tr>
      <w:tr>
        <w:trPr>
          <w:trHeight w:val="196"/>
        </w:trPr>
        <w:tc>
          <w:tcPr>
            <w:tcW w:w="1080" w:type="dxa"/>
            <w:vAlign w:val="bottom"/>
          </w:tcPr>
          <w:p>
            <w:pPr>
              <w:ind w:left="20"/>
              <w:spacing w:after="0" w:line="196" w:lineRule="exact"/>
              <w:rPr>
                <w:sz w:val="20"/>
                <w:szCs w:val="20"/>
                <w:color w:val="auto"/>
              </w:rPr>
            </w:pPr>
            <w:r>
              <w:rPr>
                <w:rFonts w:ascii="Arial" w:cs="Arial" w:eastAsia="Arial" w:hAnsi="Arial"/>
                <w:sz w:val="18"/>
                <w:szCs w:val="18"/>
                <w:color w:val="auto"/>
              </w:rPr>
              <w:t>10.7</w:t>
            </w:r>
          </w:p>
        </w:tc>
        <w:tc>
          <w:tcPr>
            <w:tcW w:w="7840" w:type="dxa"/>
            <w:vAlign w:val="bottom"/>
            <w:gridSpan w:val="32"/>
          </w:tcPr>
          <w:p>
            <w:pPr>
              <w:spacing w:after="0" w:line="196" w:lineRule="exact"/>
              <w:rPr>
                <w:rFonts w:ascii="Arial" w:cs="Arial" w:eastAsia="Arial" w:hAnsi="Arial"/>
                <w:sz w:val="18"/>
                <w:szCs w:val="18"/>
                <w:color w:val="0000EE"/>
                <w:w w:val="96"/>
              </w:rPr>
            </w:pPr>
            <w:hyperlink r:id="rId96">
              <w:r>
                <w:rPr>
                  <w:rFonts w:ascii="Arial" w:cs="Arial" w:eastAsia="Arial" w:hAnsi="Arial"/>
                  <w:sz w:val="18"/>
                  <w:szCs w:val="18"/>
                  <w:color w:val="0000EE"/>
                  <w:w w:val="96"/>
                </w:rPr>
                <w:t>Hotel/ Convention Center Sublease Agreement, dated as of May 16, 2000, by and between the City of</w:t>
              </w:r>
            </w:hyperlink>
          </w:p>
        </w:tc>
      </w:tr>
      <w:tr>
        <w:trPr>
          <w:trHeight w:val="20"/>
        </w:trPr>
        <w:tc>
          <w:tcPr>
            <w:tcW w:w="1080" w:type="dxa"/>
            <w:vAlign w:val="bottom"/>
          </w:tcPr>
          <w:p>
            <w:pPr>
              <w:spacing w:after="0" w:line="20" w:lineRule="exact"/>
              <w:rPr>
                <w:sz w:val="1"/>
                <w:szCs w:val="1"/>
                <w:color w:val="auto"/>
              </w:rPr>
            </w:pPr>
          </w:p>
        </w:tc>
        <w:tc>
          <w:tcPr>
            <w:tcW w:w="5060" w:type="dxa"/>
            <w:vAlign w:val="bottom"/>
            <w:gridSpan w:val="8"/>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80" w:type="dxa"/>
            <w:vAlign w:val="bottom"/>
            <w:gridSpan w:val="12"/>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746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96">
              <w:r>
                <w:rPr>
                  <w:rFonts w:ascii="Arial" w:cs="Arial" w:eastAsia="Arial" w:hAnsi="Arial"/>
                  <w:sz w:val="18"/>
                  <w:szCs w:val="18"/>
                  <w:color w:val="0000EE"/>
                  <w:w w:val="91"/>
                </w:rPr>
                <w:t>Grapevine, Texas and Opryland Hotel-Texas Limited Partnership (incorporated by reference to Exhibit</w:t>
              </w:r>
            </w:hyperlink>
          </w:p>
        </w:tc>
        <w:tc>
          <w:tcPr>
            <w:tcW w:w="380" w:type="dxa"/>
            <w:vAlign w:val="bottom"/>
            <w:gridSpan w:val="15"/>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68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96">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21</w:t>
              </w:r>
              <w:r>
                <w:rPr>
                  <w:rFonts w:ascii="Arial" w:cs="Arial" w:eastAsia="Arial" w:hAnsi="Arial"/>
                  <w:sz w:val="18"/>
                  <w:szCs w:val="18"/>
                  <w:color w:val="0000EE"/>
                  <w:w w:val="90"/>
                </w:rPr>
                <w:t xml:space="preserve"> to the Company’s Annual Report on Form 10-K for the year ended December 31, 2002).</w:t>
              </w:r>
            </w:hyperlink>
          </w:p>
        </w:tc>
        <w:tc>
          <w:tcPr>
            <w:tcW w:w="1020" w:type="dxa"/>
            <w:vAlign w:val="bottom"/>
            <w:gridSpan w:val="23"/>
          </w:tcPr>
          <w:p>
            <w:pPr>
              <w:spacing w:after="0"/>
              <w:rPr>
                <w:sz w:val="17"/>
                <w:szCs w:val="17"/>
                <w:color w:val="auto"/>
              </w:rPr>
            </w:pPr>
          </w:p>
        </w:tc>
      </w:tr>
      <w:tr>
        <w:trPr>
          <w:trHeight w:val="196"/>
        </w:trPr>
        <w:tc>
          <w:tcPr>
            <w:tcW w:w="1080" w:type="dxa"/>
            <w:vAlign w:val="bottom"/>
          </w:tcPr>
          <w:p>
            <w:pPr>
              <w:ind w:left="20"/>
              <w:spacing w:after="0" w:line="196" w:lineRule="exact"/>
              <w:rPr>
                <w:sz w:val="20"/>
                <w:szCs w:val="20"/>
                <w:color w:val="auto"/>
              </w:rPr>
            </w:pPr>
            <w:r>
              <w:rPr>
                <w:rFonts w:ascii="Arial" w:cs="Arial" w:eastAsia="Arial" w:hAnsi="Arial"/>
                <w:sz w:val="18"/>
                <w:szCs w:val="18"/>
                <w:color w:val="auto"/>
              </w:rPr>
              <w:t>10.8</w:t>
            </w:r>
          </w:p>
        </w:tc>
        <w:tc>
          <w:tcPr>
            <w:tcW w:w="740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r:id="rId97">
              <w:r>
                <w:rPr>
                  <w:rFonts w:ascii="Arial" w:cs="Arial" w:eastAsia="Arial" w:hAnsi="Arial"/>
                  <w:sz w:val="18"/>
                  <w:szCs w:val="18"/>
                  <w:color w:val="0000EE"/>
                  <w:w w:val="89"/>
                </w:rPr>
                <w:t>Sublease Addendum Number 1, dated July 28, 2000, by and between the City of Grapevine, Texas and</w:t>
              </w:r>
            </w:hyperlink>
          </w:p>
        </w:tc>
        <w:tc>
          <w:tcPr>
            <w:tcW w:w="440" w:type="dxa"/>
            <w:vAlign w:val="bottom"/>
            <w:gridSpan w:val="16"/>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56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97">
              <w:r>
                <w:rPr>
                  <w:rFonts w:ascii="Arial" w:cs="Arial" w:eastAsia="Arial" w:hAnsi="Arial"/>
                  <w:sz w:val="18"/>
                  <w:szCs w:val="18"/>
                  <w:color w:val="0000EE"/>
                  <w:w w:val="91"/>
                </w:rPr>
                <w:t>Opryland Hotel-Texas Limited Partnership (incorporated by reference to Exhibit 10.22 to the Company’s</w:t>
              </w:r>
            </w:hyperlink>
          </w:p>
        </w:tc>
        <w:tc>
          <w:tcPr>
            <w:tcW w:w="280" w:type="dxa"/>
            <w:vAlign w:val="bottom"/>
            <w:gridSpan w:val="12"/>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2"/>
          </w:tcPr>
          <w:p>
            <w:pPr>
              <w:spacing w:after="0" w:line="196" w:lineRule="exact"/>
              <w:rPr>
                <w:rFonts w:ascii="Arial" w:cs="Arial" w:eastAsia="Arial" w:hAnsi="Arial"/>
                <w:sz w:val="18"/>
                <w:szCs w:val="18"/>
                <w:color w:val="0000EE"/>
              </w:rPr>
            </w:pPr>
            <w:hyperlink r:id="rId97">
              <w:r>
                <w:rPr>
                  <w:rFonts w:ascii="Arial" w:cs="Arial" w:eastAsia="Arial" w:hAnsi="Arial"/>
                  <w:sz w:val="18"/>
                  <w:szCs w:val="18"/>
                  <w:color w:val="0000EE"/>
                </w:rPr>
                <w:t>Annual Report on Form 10-K for the year ended December 31, 2002).</w:t>
              </w:r>
            </w:hyperlink>
          </w:p>
        </w:tc>
      </w:tr>
      <w:tr>
        <w:trPr>
          <w:trHeight w:val="669"/>
        </w:trPr>
        <w:tc>
          <w:tcPr>
            <w:tcW w:w="1080" w:type="dxa"/>
            <w:vAlign w:val="bottom"/>
          </w:tcPr>
          <w:p>
            <w:pPr>
              <w:spacing w:after="0"/>
              <w:rPr>
                <w:sz w:val="24"/>
                <w:szCs w:val="24"/>
                <w:color w:val="auto"/>
              </w:rPr>
            </w:pPr>
          </w:p>
        </w:tc>
        <w:tc>
          <w:tcPr>
            <w:tcW w:w="3860" w:type="dxa"/>
            <w:vAlign w:val="bottom"/>
            <w:tcBorders>
              <w:top w:val="single" w:sz="8" w:color="0000EE"/>
            </w:tcBorders>
            <w:gridSpan w:val="6"/>
          </w:tcPr>
          <w:p>
            <w:pPr>
              <w:ind w:left="3300"/>
              <w:spacing w:after="0"/>
              <w:rPr>
                <w:sz w:val="20"/>
                <w:szCs w:val="20"/>
                <w:color w:val="auto"/>
              </w:rPr>
            </w:pPr>
            <w:r>
              <w:rPr>
                <w:rFonts w:ascii="Arial" w:cs="Arial" w:eastAsia="Arial" w:hAnsi="Arial"/>
                <w:sz w:val="18"/>
                <w:szCs w:val="18"/>
                <w:color w:val="auto"/>
              </w:rPr>
              <w:t>72</w:t>
            </w:r>
          </w:p>
        </w:tc>
        <w:tc>
          <w:tcPr>
            <w:tcW w:w="14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10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80" w:type="dxa"/>
            <w:vAlign w:val="bottom"/>
          </w:tcPr>
          <w:p>
            <w:pPr>
              <w:ind w:left="20"/>
              <w:spacing w:after="0"/>
              <w:rPr>
                <w:sz w:val="20"/>
                <w:szCs w:val="20"/>
                <w:color w:val="auto"/>
              </w:rPr>
            </w:pPr>
            <w:r>
              <w:rPr>
                <w:rFonts w:ascii="Arial" w:cs="Arial" w:eastAsia="Arial" w:hAnsi="Arial"/>
                <w:sz w:val="18"/>
                <w:szCs w:val="18"/>
                <w:color w:val="auto"/>
              </w:rPr>
              <w:t>10.9</w:t>
            </w:r>
          </w:p>
        </w:tc>
        <w:tc>
          <w:tcPr>
            <w:tcW w:w="7140" w:type="dxa"/>
            <w:vAlign w:val="bottom"/>
            <w:tcBorders>
              <w:bottom w:val="single" w:sz="8" w:color="0000EE"/>
            </w:tcBorders>
            <w:gridSpan w:val="17"/>
          </w:tcPr>
          <w:p>
            <w:pPr>
              <w:spacing w:after="0"/>
              <w:rPr>
                <w:rFonts w:ascii="Arial" w:cs="Arial" w:eastAsia="Arial" w:hAnsi="Arial"/>
                <w:sz w:val="18"/>
                <w:szCs w:val="18"/>
                <w:color w:val="0000EE"/>
                <w:w w:val="90"/>
              </w:rPr>
            </w:pPr>
            <w:hyperlink r:id="rId98">
              <w:r>
                <w:rPr>
                  <w:rFonts w:ascii="Arial" w:cs="Arial" w:eastAsia="Arial" w:hAnsi="Arial"/>
                  <w:sz w:val="18"/>
                  <w:szCs w:val="18"/>
                  <w:color w:val="0000EE"/>
                  <w:w w:val="90"/>
                </w:rPr>
                <w:t>First Amended and Restated Agreement of Limited Partnership of RHP Hotel Properties, LP, dated</w:t>
              </w:r>
            </w:hyperlink>
          </w:p>
        </w:tc>
        <w:tc>
          <w:tcPr>
            <w:tcW w:w="700" w:type="dxa"/>
            <w:vAlign w:val="bottom"/>
            <w:gridSpan w:val="20"/>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00" w:type="dxa"/>
            <w:vAlign w:val="bottom"/>
            <w:tcBorders>
              <w:bottom w:val="single" w:sz="8" w:color="0000EE"/>
            </w:tcBorders>
            <w:gridSpan w:val="35"/>
          </w:tcPr>
          <w:p>
            <w:pPr>
              <w:spacing w:after="0" w:line="196" w:lineRule="exact"/>
              <w:rPr>
                <w:rFonts w:ascii="Arial" w:cs="Arial" w:eastAsia="Arial" w:hAnsi="Arial"/>
                <w:sz w:val="18"/>
                <w:szCs w:val="18"/>
                <w:color w:val="0000EE"/>
                <w:w w:val="90"/>
              </w:rPr>
            </w:pPr>
            <w:hyperlink r:id="rId98">
              <w:r>
                <w:rPr>
                  <w:rFonts w:ascii="Arial" w:cs="Arial" w:eastAsia="Arial" w:hAnsi="Arial"/>
                  <w:sz w:val="18"/>
                  <w:szCs w:val="18"/>
                  <w:color w:val="0000EE"/>
                  <w:w w:val="90"/>
                </w:rPr>
                <w:t>December 31, 2018 (incorporated by reference to Exhibit 10.1 to the Company’s Current Report on Form 8-</w:t>
              </w:r>
            </w:hyperlink>
          </w:p>
        </w:tc>
        <w:tc>
          <w:tcPr>
            <w:tcW w:w="40" w:type="dxa"/>
            <w:vAlign w:val="bottom"/>
            <w:gridSpan w:val="2"/>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7"/>
          </w:tcPr>
          <w:p>
            <w:pPr>
              <w:spacing w:after="0" w:line="196" w:lineRule="exact"/>
              <w:rPr>
                <w:rFonts w:ascii="Arial" w:cs="Arial" w:eastAsia="Arial" w:hAnsi="Arial"/>
                <w:sz w:val="18"/>
                <w:szCs w:val="18"/>
                <w:color w:val="0000EE"/>
              </w:rPr>
            </w:pPr>
            <w:hyperlink r:id="rId98">
              <w:r>
                <w:rPr>
                  <w:rFonts w:ascii="Arial" w:cs="Arial" w:eastAsia="Arial" w:hAnsi="Arial"/>
                  <w:sz w:val="18"/>
                  <w:szCs w:val="18"/>
                  <w:color w:val="0000EE"/>
                </w:rPr>
                <w:t>K filed January 7, 2019.</w:t>
              </w:r>
            </w:hyperlink>
          </w:p>
        </w:tc>
      </w:tr>
      <w:tr>
        <w:trPr>
          <w:trHeight w:val="20"/>
        </w:trPr>
        <w:tc>
          <w:tcPr>
            <w:tcW w:w="108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ind w:left="20"/>
              <w:spacing w:after="0" w:line="196" w:lineRule="exact"/>
              <w:rPr>
                <w:sz w:val="20"/>
                <w:szCs w:val="20"/>
                <w:color w:val="auto"/>
              </w:rPr>
            </w:pPr>
            <w:r>
              <w:rPr>
                <w:rFonts w:ascii="Arial" w:cs="Arial" w:eastAsia="Arial" w:hAnsi="Arial"/>
                <w:sz w:val="18"/>
                <w:szCs w:val="18"/>
                <w:color w:val="auto"/>
              </w:rPr>
              <w:t>10.10†</w:t>
            </w:r>
          </w:p>
        </w:tc>
        <w:tc>
          <w:tcPr>
            <w:tcW w:w="7840" w:type="dxa"/>
            <w:vAlign w:val="bottom"/>
            <w:gridSpan w:val="37"/>
          </w:tcPr>
          <w:p>
            <w:pPr>
              <w:spacing w:after="0" w:line="196" w:lineRule="exact"/>
              <w:rPr>
                <w:rFonts w:ascii="Arial" w:cs="Arial" w:eastAsia="Arial" w:hAnsi="Arial"/>
                <w:sz w:val="18"/>
                <w:szCs w:val="18"/>
                <w:color w:val="0000EE"/>
                <w:w w:val="90"/>
              </w:rPr>
            </w:pPr>
            <w:hyperlink r:id="rId99">
              <w:r>
                <w:rPr>
                  <w:rFonts w:ascii="Arial" w:cs="Arial" w:eastAsia="Arial" w:hAnsi="Arial"/>
                  <w:sz w:val="18"/>
                  <w:szCs w:val="18"/>
                  <w:color w:val="0000EE"/>
                  <w:w w:val="90"/>
                </w:rPr>
                <w:t>Second Amended and Restated Loan Agreement entered into as of July 2, 2019, among Aurora Convention</w:t>
              </w:r>
            </w:hyperlink>
          </w:p>
        </w:tc>
      </w:tr>
      <w:tr>
        <w:trPr>
          <w:trHeight w:val="20"/>
        </w:trPr>
        <w:tc>
          <w:tcPr>
            <w:tcW w:w="1080" w:type="dxa"/>
            <w:vAlign w:val="bottom"/>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7"/>
          </w:tcPr>
          <w:p>
            <w:pPr>
              <w:spacing w:after="0" w:line="196" w:lineRule="exact"/>
              <w:rPr>
                <w:rFonts w:ascii="Arial" w:cs="Arial" w:eastAsia="Arial" w:hAnsi="Arial"/>
                <w:sz w:val="18"/>
                <w:szCs w:val="18"/>
                <w:color w:val="0000EE"/>
                <w:w w:val="92"/>
              </w:rPr>
            </w:pPr>
            <w:hyperlink r:id="rId99">
              <w:r>
                <w:rPr>
                  <w:rFonts w:ascii="Arial" w:cs="Arial" w:eastAsia="Arial" w:hAnsi="Arial"/>
                  <w:sz w:val="18"/>
                  <w:szCs w:val="18"/>
                  <w:color w:val="0000EE"/>
                  <w:w w:val="92"/>
                </w:rPr>
                <w:t>Center Hotel, LLC, Aurora Convention Center Hotel Lessee, LLC, Wells Fargo Bank, National Association,</w:t>
              </w:r>
            </w:hyperlink>
          </w:p>
        </w:tc>
      </w:tr>
      <w:tr>
        <w:trPr>
          <w:trHeight w:val="196"/>
        </w:trPr>
        <w:tc>
          <w:tcPr>
            <w:tcW w:w="1080" w:type="dxa"/>
            <w:vAlign w:val="bottom"/>
          </w:tcPr>
          <w:p>
            <w:pPr>
              <w:spacing w:after="0"/>
              <w:rPr>
                <w:sz w:val="17"/>
                <w:szCs w:val="17"/>
                <w:color w:val="auto"/>
              </w:rPr>
            </w:pPr>
          </w:p>
        </w:tc>
        <w:tc>
          <w:tcPr>
            <w:tcW w:w="7800" w:type="dxa"/>
            <w:vAlign w:val="bottom"/>
            <w:tcBorders>
              <w:top w:val="single" w:sz="8" w:color="0000EE"/>
            </w:tcBorders>
            <w:gridSpan w:val="35"/>
          </w:tcPr>
          <w:p>
            <w:pPr>
              <w:spacing w:after="0" w:line="196" w:lineRule="exact"/>
              <w:rPr>
                <w:rFonts w:ascii="Arial" w:cs="Arial" w:eastAsia="Arial" w:hAnsi="Arial"/>
                <w:sz w:val="18"/>
                <w:szCs w:val="18"/>
                <w:color w:val="0000EE"/>
                <w:w w:val="97"/>
              </w:rPr>
            </w:pPr>
            <w:hyperlink r:id="rId99">
              <w:r>
                <w:rPr>
                  <w:rFonts w:ascii="Arial" w:cs="Arial" w:eastAsia="Arial" w:hAnsi="Arial"/>
                  <w:sz w:val="18"/>
                  <w:szCs w:val="18"/>
                  <w:color w:val="0000EE"/>
                  <w:w w:val="97"/>
                </w:rPr>
                <w:t>as administrative agent, and the financial institutions from time to time party thereto (incorporated by</w:t>
              </w:r>
            </w:hyperlink>
          </w:p>
        </w:tc>
        <w:tc>
          <w:tcPr>
            <w:tcW w:w="40" w:type="dxa"/>
            <w:vAlign w:val="bottom"/>
            <w:gridSpan w:val="2"/>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3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99">
              <w:r>
                <w:rPr>
                  <w:rFonts w:ascii="Arial" w:cs="Arial" w:eastAsia="Arial" w:hAnsi="Arial"/>
                  <w:sz w:val="18"/>
                  <w:szCs w:val="18"/>
                  <w:color w:val="0000EE"/>
                </w:rPr>
                <w:t>reference to Exhibit 10.1 to the Company’s Current Report on Form 8-K filed July 5, 2019).</w:t>
              </w:r>
            </w:hyperlink>
          </w:p>
        </w:tc>
        <w:tc>
          <w:tcPr>
            <w:tcW w:w="540" w:type="dxa"/>
            <w:vAlign w:val="bottom"/>
            <w:gridSpan w:val="18"/>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ind w:left="20"/>
              <w:spacing w:after="0" w:line="196" w:lineRule="exact"/>
              <w:rPr>
                <w:sz w:val="20"/>
                <w:szCs w:val="20"/>
                <w:color w:val="auto"/>
              </w:rPr>
            </w:pPr>
            <w:r>
              <w:rPr>
                <w:rFonts w:ascii="Arial" w:cs="Arial" w:eastAsia="Arial" w:hAnsi="Arial"/>
                <w:sz w:val="18"/>
                <w:szCs w:val="18"/>
                <w:color w:val="auto"/>
              </w:rPr>
              <w:t>10.11</w:t>
            </w:r>
          </w:p>
        </w:tc>
        <w:tc>
          <w:tcPr>
            <w:tcW w:w="696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100">
              <w:r>
                <w:rPr>
                  <w:rFonts w:ascii="Arial" w:cs="Arial" w:eastAsia="Arial" w:hAnsi="Arial"/>
                  <w:sz w:val="18"/>
                  <w:szCs w:val="18"/>
                  <w:color w:val="0000EE"/>
                  <w:w w:val="90"/>
                </w:rPr>
                <w:t>Amendment No. 1 to Second Amended and Restated Loan Agreement and Modification to Loan</w:t>
              </w:r>
            </w:hyperlink>
          </w:p>
        </w:tc>
        <w:tc>
          <w:tcPr>
            <w:tcW w:w="880" w:type="dxa"/>
            <w:vAlign w:val="bottom"/>
            <w:gridSpan w:val="23"/>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7"/>
          </w:tcPr>
          <w:p>
            <w:pPr>
              <w:spacing w:after="0" w:line="196" w:lineRule="exact"/>
              <w:rPr>
                <w:rFonts w:ascii="Arial" w:cs="Arial" w:eastAsia="Arial" w:hAnsi="Arial"/>
                <w:sz w:val="18"/>
                <w:szCs w:val="18"/>
                <w:color w:val="0000EE"/>
                <w:w w:val="97"/>
              </w:rPr>
            </w:pPr>
            <w:hyperlink r:id="rId100">
              <w:r>
                <w:rPr>
                  <w:rFonts w:ascii="Arial" w:cs="Arial" w:eastAsia="Arial" w:hAnsi="Arial"/>
                  <w:sz w:val="18"/>
                  <w:szCs w:val="18"/>
                  <w:color w:val="0000EE"/>
                  <w:w w:val="97"/>
                </w:rPr>
                <w:t>Documents, dated as of June 30, 2020, by and among Aurora Convention Center Hotel, LLC, Aurora</w:t>
              </w:r>
            </w:hyperlink>
          </w:p>
        </w:tc>
      </w:tr>
      <w:tr>
        <w:trPr>
          <w:trHeight w:val="20"/>
        </w:trPr>
        <w:tc>
          <w:tcPr>
            <w:tcW w:w="1080" w:type="dxa"/>
            <w:vAlign w:val="bottom"/>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7820" w:type="dxa"/>
            <w:vAlign w:val="bottom"/>
            <w:tcBorders>
              <w:bottom w:val="single" w:sz="8" w:color="0000EE"/>
            </w:tcBorders>
            <w:gridSpan w:val="36"/>
          </w:tcPr>
          <w:p>
            <w:pPr>
              <w:spacing w:after="0" w:line="196" w:lineRule="exact"/>
              <w:rPr>
                <w:rFonts w:ascii="Arial" w:cs="Arial" w:eastAsia="Arial" w:hAnsi="Arial"/>
                <w:sz w:val="18"/>
                <w:szCs w:val="18"/>
                <w:color w:val="0000EE"/>
                <w:w w:val="90"/>
              </w:rPr>
            </w:pPr>
            <w:hyperlink r:id="rId100">
              <w:r>
                <w:rPr>
                  <w:rFonts w:ascii="Arial" w:cs="Arial" w:eastAsia="Arial" w:hAnsi="Arial"/>
                  <w:sz w:val="18"/>
                  <w:szCs w:val="18"/>
                  <w:color w:val="0000EE"/>
                  <w:w w:val="90"/>
                </w:rPr>
                <w:t>Convention Center Hotel Lessee, LLC, Wells Fargo Bank National Association, as administrative agent, and</w:t>
              </w:r>
            </w:hyperlink>
          </w:p>
        </w:tc>
        <w:tc>
          <w:tcPr>
            <w:tcW w:w="2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7"/>
          </w:tcPr>
          <w:p>
            <w:pPr>
              <w:spacing w:after="0" w:line="196" w:lineRule="exact"/>
              <w:rPr>
                <w:rFonts w:ascii="Arial" w:cs="Arial" w:eastAsia="Arial" w:hAnsi="Arial"/>
                <w:sz w:val="18"/>
                <w:szCs w:val="18"/>
                <w:color w:val="0000EE"/>
                <w:w w:val="96"/>
              </w:rPr>
            </w:pPr>
            <w:hyperlink r:id="rId100">
              <w:r>
                <w:rPr>
                  <w:rFonts w:ascii="Arial" w:cs="Arial" w:eastAsia="Arial" w:hAnsi="Arial"/>
                  <w:sz w:val="18"/>
                  <w:szCs w:val="18"/>
                  <w:color w:val="0000EE"/>
                  <w:w w:val="96"/>
                </w:rPr>
                <w:t>the lenders from time to time party thereto (incorporated by reference to Exhibit 10.2 to the Company’s</w:t>
              </w:r>
            </w:hyperlink>
          </w:p>
        </w:tc>
      </w:tr>
      <w:tr>
        <w:trPr>
          <w:trHeight w:val="196"/>
        </w:trPr>
        <w:tc>
          <w:tcPr>
            <w:tcW w:w="1080" w:type="dxa"/>
            <w:vAlign w:val="bottom"/>
          </w:tcPr>
          <w:p>
            <w:pPr>
              <w:spacing w:after="0"/>
              <w:rPr>
                <w:sz w:val="17"/>
                <w:szCs w:val="17"/>
                <w:color w:val="auto"/>
              </w:rPr>
            </w:pPr>
          </w:p>
        </w:tc>
        <w:tc>
          <w:tcPr>
            <w:tcW w:w="39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r:id="rId100">
              <w:r>
                <w:rPr>
                  <w:rFonts w:ascii="Arial" w:cs="Arial" w:eastAsia="Arial" w:hAnsi="Arial"/>
                  <w:sz w:val="18"/>
                  <w:szCs w:val="18"/>
                  <w:color w:val="0000EE"/>
                  <w:w w:val="92"/>
                </w:rPr>
                <w:t>Quarterly Report on Form 10-Q filed August 6, 2020).</w:t>
              </w:r>
            </w:hyperlink>
          </w:p>
        </w:tc>
        <w:tc>
          <w:tcPr>
            <w:tcW w:w="3520" w:type="dxa"/>
            <w:vAlign w:val="bottom"/>
            <w:tcBorders>
              <w:top w:val="single" w:sz="8" w:color="0000EE"/>
            </w:tcBorders>
            <w:gridSpan w:val="14"/>
          </w:tcPr>
          <w:p>
            <w:pPr>
              <w:spacing w:after="0"/>
              <w:rPr>
                <w:sz w:val="17"/>
                <w:szCs w:val="17"/>
                <w:color w:val="auto"/>
              </w:rPr>
            </w:pPr>
          </w:p>
        </w:tc>
        <w:tc>
          <w:tcPr>
            <w:tcW w:w="380" w:type="dxa"/>
            <w:vAlign w:val="bottom"/>
            <w:gridSpan w:val="15"/>
          </w:tcPr>
          <w:p>
            <w:pPr>
              <w:spacing w:after="0"/>
              <w:rPr>
                <w:sz w:val="17"/>
                <w:szCs w:val="17"/>
                <w:color w:val="auto"/>
              </w:rPr>
            </w:pPr>
          </w:p>
        </w:tc>
      </w:tr>
      <w:tr>
        <w:trPr>
          <w:trHeight w:val="196"/>
        </w:trPr>
        <w:tc>
          <w:tcPr>
            <w:tcW w:w="1080" w:type="dxa"/>
            <w:vAlign w:val="bottom"/>
          </w:tcPr>
          <w:p>
            <w:pPr>
              <w:ind w:left="20"/>
              <w:spacing w:after="0" w:line="196" w:lineRule="exact"/>
              <w:rPr>
                <w:sz w:val="20"/>
                <w:szCs w:val="20"/>
                <w:color w:val="auto"/>
              </w:rPr>
            </w:pPr>
            <w:r>
              <w:rPr>
                <w:rFonts w:ascii="Arial" w:cs="Arial" w:eastAsia="Arial" w:hAnsi="Arial"/>
                <w:sz w:val="18"/>
                <w:szCs w:val="18"/>
                <w:color w:val="auto"/>
              </w:rPr>
              <w:t>10.12</w:t>
            </w:r>
          </w:p>
        </w:tc>
        <w:tc>
          <w:tcPr>
            <w:tcW w:w="7740" w:type="dxa"/>
            <w:vAlign w:val="bottom"/>
            <w:tcBorders>
              <w:bottom w:val="single" w:sz="8" w:color="0000EE"/>
            </w:tcBorders>
            <w:gridSpan w:val="33"/>
          </w:tcPr>
          <w:p>
            <w:pPr>
              <w:spacing w:after="0" w:line="196" w:lineRule="exact"/>
              <w:rPr>
                <w:rFonts w:ascii="Arial" w:cs="Arial" w:eastAsia="Arial" w:hAnsi="Arial"/>
                <w:sz w:val="18"/>
                <w:szCs w:val="18"/>
                <w:color w:val="0000EE"/>
                <w:w w:val="90"/>
              </w:rPr>
            </w:pPr>
            <w:hyperlink r:id="rId101">
              <w:r>
                <w:rPr>
                  <w:rFonts w:ascii="Arial" w:cs="Arial" w:eastAsia="Arial" w:hAnsi="Arial"/>
                  <w:sz w:val="18"/>
                  <w:szCs w:val="18"/>
                  <w:color w:val="0000EE"/>
                  <w:w w:val="90"/>
                </w:rPr>
                <w:t>Amendment No. 2 to Second Amended and Restated Loan Agreement and Modification to Guaranty, dated</w:t>
              </w:r>
            </w:hyperlink>
          </w:p>
        </w:tc>
        <w:tc>
          <w:tcPr>
            <w:tcW w:w="100" w:type="dxa"/>
            <w:vAlign w:val="bottom"/>
            <w:gridSpan w:val="4"/>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720" w:type="dxa"/>
            <w:vAlign w:val="bottom"/>
            <w:tcBorders>
              <w:bottom w:val="single" w:sz="8" w:color="0000EE"/>
            </w:tcBorders>
            <w:gridSpan w:val="32"/>
          </w:tcPr>
          <w:p>
            <w:pPr>
              <w:spacing w:after="0" w:line="196" w:lineRule="exact"/>
              <w:rPr>
                <w:rFonts w:ascii="Arial" w:cs="Arial" w:eastAsia="Arial" w:hAnsi="Arial"/>
                <w:sz w:val="18"/>
                <w:szCs w:val="18"/>
                <w:color w:val="0000EE"/>
                <w:w w:val="91"/>
              </w:rPr>
            </w:pPr>
            <w:hyperlink r:id="rId101">
              <w:r>
                <w:rPr>
                  <w:rFonts w:ascii="Arial" w:cs="Arial" w:eastAsia="Arial" w:hAnsi="Arial"/>
                  <w:sz w:val="18"/>
                  <w:szCs w:val="18"/>
                  <w:color w:val="0000EE"/>
                  <w:w w:val="91"/>
                </w:rPr>
                <w:t>as of May 7, 2021, by and among Aurora Convention Center Hotel, LLC, Aurora Convention Center Hotel</w:t>
              </w:r>
            </w:hyperlink>
          </w:p>
        </w:tc>
        <w:tc>
          <w:tcPr>
            <w:tcW w:w="120" w:type="dxa"/>
            <w:vAlign w:val="bottom"/>
            <w:gridSpan w:val="5"/>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740" w:type="dxa"/>
            <w:vAlign w:val="bottom"/>
            <w:tcBorders>
              <w:bottom w:val="single" w:sz="8" w:color="0000EE"/>
            </w:tcBorders>
            <w:gridSpan w:val="33"/>
          </w:tcPr>
          <w:p>
            <w:pPr>
              <w:spacing w:after="0" w:line="196" w:lineRule="exact"/>
              <w:rPr>
                <w:rFonts w:ascii="Arial" w:cs="Arial" w:eastAsia="Arial" w:hAnsi="Arial"/>
                <w:sz w:val="18"/>
                <w:szCs w:val="18"/>
                <w:color w:val="0000EE"/>
                <w:w w:val="90"/>
              </w:rPr>
            </w:pPr>
            <w:hyperlink r:id="rId101">
              <w:r>
                <w:rPr>
                  <w:rFonts w:ascii="Arial" w:cs="Arial" w:eastAsia="Arial" w:hAnsi="Arial"/>
                  <w:sz w:val="18"/>
                  <w:szCs w:val="18"/>
                  <w:color w:val="0000EE"/>
                  <w:w w:val="90"/>
                </w:rPr>
                <w:t>Lessee, LLC, Wells Fargo Bank National Association, as administrative agent, and the lenders from time to</w:t>
              </w:r>
            </w:hyperlink>
          </w:p>
        </w:tc>
        <w:tc>
          <w:tcPr>
            <w:tcW w:w="100" w:type="dxa"/>
            <w:vAlign w:val="bottom"/>
            <w:gridSpan w:val="4"/>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600" w:type="dxa"/>
            <w:vAlign w:val="bottom"/>
            <w:tcBorders>
              <w:bottom w:val="single" w:sz="8" w:color="0000EE"/>
            </w:tcBorders>
            <w:gridSpan w:val="28"/>
          </w:tcPr>
          <w:p>
            <w:pPr>
              <w:spacing w:after="0" w:line="196" w:lineRule="exact"/>
              <w:rPr>
                <w:rFonts w:ascii="Arial" w:cs="Arial" w:eastAsia="Arial" w:hAnsi="Arial"/>
                <w:sz w:val="18"/>
                <w:szCs w:val="18"/>
                <w:color w:val="0000EE"/>
                <w:w w:val="91"/>
              </w:rPr>
            </w:pPr>
            <w:hyperlink r:id="rId101">
              <w:r>
                <w:rPr>
                  <w:rFonts w:ascii="Arial" w:cs="Arial" w:eastAsia="Arial" w:hAnsi="Arial"/>
                  <w:sz w:val="18"/>
                  <w:szCs w:val="18"/>
                  <w:color w:val="0000EE"/>
                  <w:w w:val="91"/>
                </w:rPr>
                <w:t>time party thereto (incorporated by reference to Exhibit 10.2 to the Company’s Quarterly Report on Form</w:t>
              </w:r>
            </w:hyperlink>
          </w:p>
        </w:tc>
        <w:tc>
          <w:tcPr>
            <w:tcW w:w="240" w:type="dxa"/>
            <w:vAlign w:val="bottom"/>
            <w:gridSpan w:val="9"/>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202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101">
              <w:r>
                <w:rPr>
                  <w:rFonts w:ascii="Arial" w:cs="Arial" w:eastAsia="Arial" w:hAnsi="Arial"/>
                  <w:sz w:val="18"/>
                  <w:szCs w:val="18"/>
                  <w:color w:val="0000EE"/>
                  <w:w w:val="92"/>
                </w:rPr>
                <w:t>10-Q filed August 3, 2021).</w:t>
              </w:r>
            </w:hyperlink>
          </w:p>
        </w:tc>
        <w:tc>
          <w:tcPr>
            <w:tcW w:w="5820" w:type="dxa"/>
            <w:vAlign w:val="bottom"/>
            <w:gridSpan w:val="34"/>
          </w:tcPr>
          <w:p>
            <w:pPr>
              <w:spacing w:after="0"/>
              <w:rPr>
                <w:sz w:val="17"/>
                <w:szCs w:val="17"/>
                <w:color w:val="auto"/>
              </w:rPr>
            </w:pPr>
          </w:p>
        </w:tc>
      </w:tr>
      <w:tr>
        <w:trPr>
          <w:trHeight w:val="196"/>
        </w:trPr>
        <w:tc>
          <w:tcPr>
            <w:tcW w:w="1080" w:type="dxa"/>
            <w:vAlign w:val="bottom"/>
          </w:tcPr>
          <w:p>
            <w:pPr>
              <w:ind w:left="20"/>
              <w:spacing w:after="0" w:line="196" w:lineRule="exact"/>
              <w:rPr>
                <w:sz w:val="20"/>
                <w:szCs w:val="20"/>
                <w:color w:val="auto"/>
              </w:rPr>
            </w:pPr>
            <w:r>
              <w:rPr>
                <w:rFonts w:ascii="Arial" w:cs="Arial" w:eastAsia="Arial" w:hAnsi="Arial"/>
                <w:sz w:val="18"/>
                <w:szCs w:val="18"/>
                <w:color w:val="auto"/>
              </w:rPr>
              <w:t>10.13</w:t>
            </w:r>
          </w:p>
        </w:tc>
        <w:tc>
          <w:tcPr>
            <w:tcW w:w="7540" w:type="dxa"/>
            <w:vAlign w:val="bottom"/>
            <w:tcBorders>
              <w:bottom w:val="single" w:sz="8" w:color="0000EE"/>
            </w:tcBorders>
            <w:gridSpan w:val="25"/>
          </w:tcPr>
          <w:p>
            <w:pPr>
              <w:spacing w:after="0" w:line="196" w:lineRule="exact"/>
              <w:rPr>
                <w:rFonts w:ascii="Arial" w:cs="Arial" w:eastAsia="Arial" w:hAnsi="Arial"/>
                <w:sz w:val="18"/>
                <w:szCs w:val="18"/>
                <w:color w:val="0000EE"/>
                <w:w w:val="92"/>
              </w:rPr>
            </w:pPr>
            <w:hyperlink r:id="rId102">
              <w:r>
                <w:rPr>
                  <w:rFonts w:ascii="Arial" w:cs="Arial" w:eastAsia="Arial" w:hAnsi="Arial"/>
                  <w:sz w:val="18"/>
                  <w:szCs w:val="18"/>
                  <w:color w:val="0000EE"/>
                  <w:w w:val="92"/>
                </w:rPr>
                <w:t>ATM Equity Distribution Agreement, dated May 27, 2021, by and among Ryman Hospitality Properties,</w:t>
              </w:r>
            </w:hyperlink>
          </w:p>
        </w:tc>
        <w:tc>
          <w:tcPr>
            <w:tcW w:w="300" w:type="dxa"/>
            <w:vAlign w:val="bottom"/>
            <w:gridSpan w:val="12"/>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7"/>
          </w:tcPr>
          <w:p>
            <w:pPr>
              <w:spacing w:after="0" w:line="196" w:lineRule="exact"/>
              <w:rPr>
                <w:rFonts w:ascii="Arial" w:cs="Arial" w:eastAsia="Arial" w:hAnsi="Arial"/>
                <w:sz w:val="18"/>
                <w:szCs w:val="18"/>
                <w:color w:val="0000EE"/>
                <w:w w:val="91"/>
              </w:rPr>
            </w:pPr>
            <w:hyperlink r:id="rId102">
              <w:r>
                <w:rPr>
                  <w:rFonts w:ascii="Arial" w:cs="Arial" w:eastAsia="Arial" w:hAnsi="Arial"/>
                  <w:sz w:val="18"/>
                  <w:szCs w:val="18"/>
                  <w:color w:val="0000EE"/>
                  <w:w w:val="91"/>
                </w:rPr>
                <w:t>Inc. and the sales agents named therein (incorporated by reference to Exhibit 1.1 to the Company’s Current</w:t>
              </w:r>
            </w:hyperlink>
          </w:p>
        </w:tc>
      </w:tr>
      <w:tr>
        <w:trPr>
          <w:trHeight w:val="196"/>
        </w:trPr>
        <w:tc>
          <w:tcPr>
            <w:tcW w:w="1080" w:type="dxa"/>
            <w:vAlign w:val="bottom"/>
          </w:tcPr>
          <w:p>
            <w:pPr>
              <w:spacing w:after="0"/>
              <w:rPr>
                <w:sz w:val="17"/>
                <w:szCs w:val="17"/>
                <w:color w:val="auto"/>
              </w:rPr>
            </w:pPr>
          </w:p>
        </w:tc>
        <w:tc>
          <w:tcPr>
            <w:tcW w:w="770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r:id="rId102">
              <w:r>
                <w:rPr>
                  <w:rFonts w:ascii="Arial" w:cs="Arial" w:eastAsia="Arial" w:hAnsi="Arial"/>
                  <w:sz w:val="18"/>
                  <w:szCs w:val="18"/>
                  <w:color w:val="0000EE"/>
                </w:rPr>
                <w:t>Report on Form 8-K filed May 27, 2021).</w:t>
              </w:r>
            </w:hyperlink>
          </w:p>
        </w:tc>
        <w:tc>
          <w:tcPr>
            <w:tcW w:w="140" w:type="dxa"/>
            <w:vAlign w:val="bottom"/>
            <w:gridSpan w:val="6"/>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1080" w:type="dxa"/>
            <w:vAlign w:val="bottom"/>
          </w:tcPr>
          <w:p>
            <w:pPr>
              <w:ind w:left="20"/>
              <w:spacing w:after="0" w:line="196" w:lineRule="exact"/>
              <w:rPr>
                <w:sz w:val="20"/>
                <w:szCs w:val="20"/>
                <w:color w:val="auto"/>
              </w:rPr>
            </w:pPr>
            <w:r>
              <w:rPr>
                <w:rFonts w:ascii="Arial" w:cs="Arial" w:eastAsia="Arial" w:hAnsi="Arial"/>
                <w:sz w:val="18"/>
                <w:szCs w:val="18"/>
                <w:color w:val="auto"/>
              </w:rPr>
              <w:t>10.14</w:t>
            </w:r>
          </w:p>
        </w:tc>
        <w:tc>
          <w:tcPr>
            <w:tcW w:w="7840" w:type="dxa"/>
            <w:vAlign w:val="bottom"/>
            <w:gridSpan w:val="37"/>
          </w:tcPr>
          <w:p>
            <w:pPr>
              <w:spacing w:after="0" w:line="196" w:lineRule="exact"/>
              <w:rPr>
                <w:rFonts w:ascii="Arial" w:cs="Arial" w:eastAsia="Arial" w:hAnsi="Arial"/>
                <w:sz w:val="18"/>
                <w:szCs w:val="18"/>
                <w:color w:val="0000EE"/>
                <w:w w:val="95"/>
              </w:rPr>
            </w:pPr>
            <w:hyperlink r:id="rId103">
              <w:r>
                <w:rPr>
                  <w:rFonts w:ascii="Arial" w:cs="Arial" w:eastAsia="Arial" w:hAnsi="Arial"/>
                  <w:sz w:val="18"/>
                  <w:szCs w:val="18"/>
                  <w:color w:val="0000EE"/>
                  <w:w w:val="95"/>
                </w:rPr>
                <w:t>Purchase Agreement (Joint Venture Interests), dated April 30, 2021, by and among RHPAHO, LLC and</w:t>
              </w:r>
            </w:hyperlink>
          </w:p>
        </w:tc>
      </w:tr>
      <w:tr>
        <w:trPr>
          <w:trHeight w:val="20"/>
        </w:trPr>
        <w:tc>
          <w:tcPr>
            <w:tcW w:w="1080" w:type="dxa"/>
            <w:vAlign w:val="bottom"/>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7740" w:type="dxa"/>
            <w:vAlign w:val="bottom"/>
            <w:tcBorders>
              <w:bottom w:val="single" w:sz="8" w:color="0000EE"/>
            </w:tcBorders>
            <w:gridSpan w:val="33"/>
          </w:tcPr>
          <w:p>
            <w:pPr>
              <w:spacing w:after="0" w:line="196" w:lineRule="exact"/>
              <w:rPr>
                <w:rFonts w:ascii="Arial" w:cs="Arial" w:eastAsia="Arial" w:hAnsi="Arial"/>
                <w:sz w:val="18"/>
                <w:szCs w:val="18"/>
                <w:color w:val="0000EE"/>
                <w:w w:val="91"/>
              </w:rPr>
            </w:pPr>
            <w:hyperlink r:id="rId103">
              <w:r>
                <w:rPr>
                  <w:rFonts w:ascii="Arial" w:cs="Arial" w:eastAsia="Arial" w:hAnsi="Arial"/>
                  <w:sz w:val="18"/>
                  <w:szCs w:val="18"/>
                  <w:color w:val="0000EE"/>
                  <w:w w:val="91"/>
                </w:rPr>
                <w:t>RHPAHP, LLC, as purchasers, and Aurora Convention Center Hotel Partners, LLC and RIDA Aurora 2018</w:t>
              </w:r>
            </w:hyperlink>
          </w:p>
        </w:tc>
        <w:tc>
          <w:tcPr>
            <w:tcW w:w="100" w:type="dxa"/>
            <w:vAlign w:val="bottom"/>
            <w:gridSpan w:val="4"/>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680" w:type="dxa"/>
            <w:vAlign w:val="bottom"/>
            <w:tcBorders>
              <w:bottom w:val="single" w:sz="8" w:color="0000EE"/>
            </w:tcBorders>
            <w:gridSpan w:val="30"/>
          </w:tcPr>
          <w:p>
            <w:pPr>
              <w:spacing w:after="0" w:line="196" w:lineRule="exact"/>
              <w:rPr>
                <w:rFonts w:ascii="Arial" w:cs="Arial" w:eastAsia="Arial" w:hAnsi="Arial"/>
                <w:sz w:val="18"/>
                <w:szCs w:val="18"/>
                <w:color w:val="0000EE"/>
                <w:w w:val="91"/>
              </w:rPr>
            </w:pPr>
            <w:hyperlink r:id="rId103">
              <w:r>
                <w:rPr>
                  <w:rFonts w:ascii="Arial" w:cs="Arial" w:eastAsia="Arial" w:hAnsi="Arial"/>
                  <w:sz w:val="18"/>
                  <w:szCs w:val="18"/>
                  <w:color w:val="0000EE"/>
                  <w:w w:val="91"/>
                </w:rPr>
                <w:t>Acquisition, LLC, as sellers (incorporated by reference to Exhibit 10.3 to the Company’s Quarterly Report</w:t>
              </w:r>
            </w:hyperlink>
          </w:p>
        </w:tc>
        <w:tc>
          <w:tcPr>
            <w:tcW w:w="160" w:type="dxa"/>
            <w:vAlign w:val="bottom"/>
            <w:gridSpan w:val="7"/>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7"/>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on Form 10-Q filed August 3, 2021).</w:t>
              </w:r>
            </w:hyperlink>
          </w:p>
        </w:tc>
      </w:tr>
      <w:tr>
        <w:trPr>
          <w:trHeight w:val="20"/>
        </w:trPr>
        <w:tc>
          <w:tcPr>
            <w:tcW w:w="1080" w:type="dxa"/>
            <w:vAlign w:val="bottom"/>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22"/>
        </w:trPr>
        <w:tc>
          <w:tcPr>
            <w:tcW w:w="1080" w:type="dxa"/>
            <w:vAlign w:val="bottom"/>
          </w:tcPr>
          <w:p>
            <w:pPr>
              <w:ind w:left="20"/>
              <w:spacing w:after="0"/>
              <w:rPr>
                <w:sz w:val="20"/>
                <w:szCs w:val="20"/>
                <w:color w:val="auto"/>
              </w:rPr>
            </w:pPr>
            <w:r>
              <w:rPr>
                <w:rFonts w:ascii="Arial" w:cs="Arial" w:eastAsia="Arial" w:hAnsi="Arial"/>
                <w:sz w:val="18"/>
                <w:szCs w:val="18"/>
                <w:color w:val="auto"/>
              </w:rPr>
              <w:t>10.15#</w:t>
            </w:r>
          </w:p>
        </w:tc>
        <w:tc>
          <w:tcPr>
            <w:tcW w:w="7840" w:type="dxa"/>
            <w:vAlign w:val="bottom"/>
            <w:gridSpan w:val="37"/>
          </w:tcPr>
          <w:p>
            <w:pPr>
              <w:spacing w:after="0"/>
              <w:rPr>
                <w:sz w:val="20"/>
                <w:szCs w:val="20"/>
                <w:color w:val="auto"/>
              </w:rPr>
            </w:pPr>
            <w:r>
              <w:rPr>
                <w:rFonts w:ascii="Arial" w:cs="Arial" w:eastAsia="Arial" w:hAnsi="Arial"/>
                <w:sz w:val="18"/>
                <w:szCs w:val="18"/>
                <w:color w:val="auto"/>
                <w:w w:val="93"/>
              </w:rPr>
              <w:t>The Opryland USA Inc. Supplemental Deferred Compensation Plan (incorporated by reference to Exhibit</w:t>
            </w:r>
          </w:p>
        </w:tc>
      </w:tr>
      <w:tr>
        <w:trPr>
          <w:trHeight w:val="216"/>
        </w:trPr>
        <w:tc>
          <w:tcPr>
            <w:tcW w:w="1080" w:type="dxa"/>
            <w:vAlign w:val="bottom"/>
          </w:tcPr>
          <w:p>
            <w:pPr>
              <w:spacing w:after="0"/>
              <w:rPr>
                <w:sz w:val="18"/>
                <w:szCs w:val="18"/>
                <w:color w:val="auto"/>
              </w:rPr>
            </w:pPr>
          </w:p>
        </w:tc>
        <w:tc>
          <w:tcPr>
            <w:tcW w:w="7840" w:type="dxa"/>
            <w:vAlign w:val="bottom"/>
            <w:gridSpan w:val="37"/>
          </w:tcPr>
          <w:p>
            <w:pPr>
              <w:spacing w:after="0"/>
              <w:rPr>
                <w:sz w:val="20"/>
                <w:szCs w:val="20"/>
                <w:color w:val="auto"/>
              </w:rPr>
            </w:pPr>
            <w:r>
              <w:rPr>
                <w:rFonts w:ascii="Arial" w:cs="Arial" w:eastAsia="Arial" w:hAnsi="Arial"/>
                <w:sz w:val="18"/>
                <w:szCs w:val="18"/>
                <w:color w:val="auto"/>
              </w:rPr>
              <w:t>10.11 to the former Gaylord Entertainment Company’s Registration Statement on Form S-1).</w:t>
            </w:r>
          </w:p>
        </w:tc>
      </w:tr>
      <w:tr>
        <w:trPr>
          <w:trHeight w:val="190"/>
        </w:trPr>
        <w:tc>
          <w:tcPr>
            <w:tcW w:w="1080" w:type="dxa"/>
            <w:vAlign w:val="bottom"/>
          </w:tcPr>
          <w:p>
            <w:pPr>
              <w:ind w:left="20"/>
              <w:spacing w:after="0" w:line="190" w:lineRule="exact"/>
              <w:rPr>
                <w:sz w:val="20"/>
                <w:szCs w:val="20"/>
                <w:color w:val="auto"/>
              </w:rPr>
            </w:pPr>
            <w:r>
              <w:rPr>
                <w:rFonts w:ascii="Arial" w:cs="Arial" w:eastAsia="Arial" w:hAnsi="Arial"/>
                <w:sz w:val="18"/>
                <w:szCs w:val="18"/>
                <w:color w:val="auto"/>
              </w:rPr>
              <w:t>10.16#</w:t>
            </w:r>
          </w:p>
        </w:tc>
        <w:tc>
          <w:tcPr>
            <w:tcW w:w="7780" w:type="dxa"/>
            <w:vAlign w:val="bottom"/>
            <w:tcBorders>
              <w:bottom w:val="single" w:sz="8" w:color="0000EE"/>
            </w:tcBorders>
            <w:gridSpan w:val="34"/>
          </w:tcPr>
          <w:p>
            <w:pPr>
              <w:spacing w:after="0" w:line="190" w:lineRule="exact"/>
              <w:rPr>
                <w:rFonts w:ascii="Arial" w:cs="Arial" w:eastAsia="Arial" w:hAnsi="Arial"/>
                <w:sz w:val="18"/>
                <w:szCs w:val="18"/>
                <w:color w:val="0000EE"/>
                <w:w w:val="91"/>
              </w:rPr>
            </w:pPr>
            <w:hyperlink r:id="rId104">
              <w:r>
                <w:rPr>
                  <w:rFonts w:ascii="Arial" w:cs="Arial" w:eastAsia="Arial" w:hAnsi="Arial"/>
                  <w:sz w:val="18"/>
                  <w:szCs w:val="18"/>
                  <w:color w:val="0000EE"/>
                  <w:w w:val="91"/>
                </w:rPr>
                <w:t>Gaylord Entertainment Company Retirement Benefit Restoration Plan (incorporated by reference to Exhibit</w:t>
              </w:r>
            </w:hyperlink>
          </w:p>
        </w:tc>
        <w:tc>
          <w:tcPr>
            <w:tcW w:w="60" w:type="dxa"/>
            <w:vAlign w:val="bottom"/>
            <w:gridSpan w:val="3"/>
          </w:tcPr>
          <w:p>
            <w:pPr>
              <w:spacing w:after="0"/>
              <w:rPr>
                <w:sz w:val="16"/>
                <w:szCs w:val="16"/>
                <w:color w:val="auto"/>
              </w:rPr>
            </w:pPr>
          </w:p>
        </w:tc>
      </w:tr>
      <w:tr>
        <w:trPr>
          <w:trHeight w:val="196"/>
        </w:trPr>
        <w:tc>
          <w:tcPr>
            <w:tcW w:w="1080" w:type="dxa"/>
            <w:vAlign w:val="bottom"/>
          </w:tcPr>
          <w:p>
            <w:pPr>
              <w:spacing w:after="0"/>
              <w:rPr>
                <w:sz w:val="17"/>
                <w:szCs w:val="17"/>
                <w:color w:val="auto"/>
              </w:rPr>
            </w:pPr>
          </w:p>
        </w:tc>
        <w:tc>
          <w:tcPr>
            <w:tcW w:w="68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104">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19</w:t>
              </w:r>
              <w:r>
                <w:rPr>
                  <w:rFonts w:ascii="Arial" w:cs="Arial" w:eastAsia="Arial" w:hAnsi="Arial"/>
                  <w:sz w:val="18"/>
                  <w:szCs w:val="18"/>
                  <w:color w:val="0000EE"/>
                  <w:w w:val="90"/>
                </w:rPr>
                <w:t xml:space="preserve"> to the Company’s Annual Report on Form 10-K for the year ended December 31, 2000).</w:t>
              </w:r>
            </w:hyperlink>
          </w:p>
        </w:tc>
        <w:tc>
          <w:tcPr>
            <w:tcW w:w="1020" w:type="dxa"/>
            <w:vAlign w:val="bottom"/>
            <w:gridSpan w:val="24"/>
          </w:tcPr>
          <w:p>
            <w:pPr>
              <w:spacing w:after="0"/>
              <w:rPr>
                <w:sz w:val="17"/>
                <w:szCs w:val="17"/>
                <w:color w:val="auto"/>
              </w:rPr>
            </w:pPr>
          </w:p>
        </w:tc>
      </w:tr>
      <w:tr>
        <w:trPr>
          <w:trHeight w:val="196"/>
        </w:trPr>
        <w:tc>
          <w:tcPr>
            <w:tcW w:w="1080" w:type="dxa"/>
            <w:vAlign w:val="bottom"/>
          </w:tcPr>
          <w:p>
            <w:pPr>
              <w:ind w:left="20"/>
              <w:spacing w:after="0" w:line="196" w:lineRule="exact"/>
              <w:rPr>
                <w:sz w:val="20"/>
                <w:szCs w:val="20"/>
                <w:color w:val="auto"/>
              </w:rPr>
            </w:pPr>
            <w:r>
              <w:rPr>
                <w:rFonts w:ascii="Arial" w:cs="Arial" w:eastAsia="Arial" w:hAnsi="Arial"/>
                <w:sz w:val="18"/>
                <w:szCs w:val="18"/>
                <w:color w:val="auto"/>
              </w:rPr>
              <w:t>10.17#</w:t>
            </w:r>
          </w:p>
        </w:tc>
        <w:tc>
          <w:tcPr>
            <w:tcW w:w="706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05">
              <w:r>
                <w:rPr>
                  <w:rFonts w:ascii="Arial" w:cs="Arial" w:eastAsia="Arial" w:hAnsi="Arial"/>
                  <w:sz w:val="18"/>
                  <w:szCs w:val="18"/>
                  <w:color w:val="0000EE"/>
                  <w:w w:val="91"/>
                </w:rPr>
                <w:t>Executive Employment Agreement of Colin V. Reed, dated February 25, 2008, with the Company</w:t>
              </w:r>
            </w:hyperlink>
          </w:p>
        </w:tc>
        <w:tc>
          <w:tcPr>
            <w:tcW w:w="780" w:type="dxa"/>
            <w:vAlign w:val="bottom"/>
            <w:gridSpan w:val="22"/>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7"/>
          </w:tcPr>
          <w:p>
            <w:pPr>
              <w:spacing w:after="0" w:line="196" w:lineRule="exact"/>
              <w:rPr>
                <w:rFonts w:ascii="Arial" w:cs="Arial" w:eastAsia="Arial" w:hAnsi="Arial"/>
                <w:sz w:val="18"/>
                <w:szCs w:val="18"/>
                <w:color w:val="0000EE"/>
                <w:w w:val="96"/>
              </w:rPr>
            </w:pPr>
            <w:hyperlink r:id="rId105">
              <w:r>
                <w:rPr>
                  <w:rFonts w:ascii="Arial" w:cs="Arial" w:eastAsia="Arial" w:hAnsi="Arial"/>
                  <w:sz w:val="18"/>
                  <w:szCs w:val="18"/>
                  <w:color w:val="0000EE"/>
                  <w:w w:val="96"/>
                </w:rPr>
                <w:t>(incorporated by reference to Exhibit 10.1 to the Company’s Current Report on Form 8-K filed with the</w:t>
              </w:r>
            </w:hyperlink>
          </w:p>
        </w:tc>
      </w:tr>
      <w:tr>
        <w:trPr>
          <w:trHeight w:val="196"/>
        </w:trPr>
        <w:tc>
          <w:tcPr>
            <w:tcW w:w="1080" w:type="dxa"/>
            <w:vAlign w:val="bottom"/>
          </w:tcPr>
          <w:p>
            <w:pPr>
              <w:spacing w:after="0"/>
              <w:rPr>
                <w:sz w:val="17"/>
                <w:szCs w:val="17"/>
                <w:color w:val="auto"/>
              </w:rPr>
            </w:pPr>
          </w:p>
        </w:tc>
        <w:tc>
          <w:tcPr>
            <w:tcW w:w="20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r:id="rId105">
              <w:r>
                <w:rPr>
                  <w:rFonts w:ascii="Arial" w:cs="Arial" w:eastAsia="Arial" w:hAnsi="Arial"/>
                  <w:sz w:val="18"/>
                  <w:szCs w:val="18"/>
                  <w:color w:val="0000EE"/>
                  <w:w w:val="89"/>
                </w:rPr>
                <w:t>SEC on February 27, 2008).</w:t>
              </w:r>
            </w:hyperlink>
          </w:p>
        </w:tc>
        <w:tc>
          <w:tcPr>
            <w:tcW w:w="5420" w:type="dxa"/>
            <w:vAlign w:val="bottom"/>
            <w:tcBorders>
              <w:top w:val="single" w:sz="8" w:color="0000EE"/>
            </w:tcBorders>
            <w:gridSpan w:val="18"/>
          </w:tcPr>
          <w:p>
            <w:pPr>
              <w:spacing w:after="0"/>
              <w:rPr>
                <w:sz w:val="17"/>
                <w:szCs w:val="17"/>
                <w:color w:val="auto"/>
              </w:rPr>
            </w:pPr>
          </w:p>
        </w:tc>
        <w:tc>
          <w:tcPr>
            <w:tcW w:w="380" w:type="dxa"/>
            <w:vAlign w:val="bottom"/>
            <w:gridSpan w:val="15"/>
          </w:tcPr>
          <w:p>
            <w:pPr>
              <w:spacing w:after="0"/>
              <w:rPr>
                <w:sz w:val="17"/>
                <w:szCs w:val="17"/>
                <w:color w:val="auto"/>
              </w:rPr>
            </w:pPr>
          </w:p>
        </w:tc>
      </w:tr>
      <w:tr>
        <w:trPr>
          <w:trHeight w:val="196"/>
        </w:trPr>
        <w:tc>
          <w:tcPr>
            <w:tcW w:w="1080" w:type="dxa"/>
            <w:vAlign w:val="bottom"/>
          </w:tcPr>
          <w:p>
            <w:pPr>
              <w:ind w:left="20"/>
              <w:spacing w:after="0" w:line="196" w:lineRule="exact"/>
              <w:rPr>
                <w:sz w:val="20"/>
                <w:szCs w:val="20"/>
                <w:color w:val="auto"/>
              </w:rPr>
            </w:pPr>
            <w:r>
              <w:rPr>
                <w:rFonts w:ascii="Arial" w:cs="Arial" w:eastAsia="Arial" w:hAnsi="Arial"/>
                <w:sz w:val="18"/>
                <w:szCs w:val="18"/>
                <w:color w:val="auto"/>
              </w:rPr>
              <w:t>10.18#</w:t>
            </w:r>
          </w:p>
        </w:tc>
        <w:tc>
          <w:tcPr>
            <w:tcW w:w="764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r:id="rId106">
              <w:r>
                <w:rPr>
                  <w:rFonts w:ascii="Arial" w:cs="Arial" w:eastAsia="Arial" w:hAnsi="Arial"/>
                  <w:sz w:val="18"/>
                  <w:szCs w:val="18"/>
                  <w:color w:val="0000EE"/>
                  <w:w w:val="91"/>
                </w:rPr>
                <w:t>First Amendment to Executive Employment Agreement of Colin V. Reed, dated December 18, 2008, with</w:t>
              </w:r>
            </w:hyperlink>
          </w:p>
        </w:tc>
        <w:tc>
          <w:tcPr>
            <w:tcW w:w="200" w:type="dxa"/>
            <w:vAlign w:val="bottom"/>
            <w:gridSpan w:val="8"/>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600" w:type="dxa"/>
            <w:vAlign w:val="bottom"/>
            <w:tcBorders>
              <w:bottom w:val="single" w:sz="8" w:color="0000EE"/>
            </w:tcBorders>
            <w:gridSpan w:val="28"/>
          </w:tcPr>
          <w:p>
            <w:pPr>
              <w:spacing w:after="0" w:line="196" w:lineRule="exact"/>
              <w:rPr>
                <w:rFonts w:ascii="Arial" w:cs="Arial" w:eastAsia="Arial" w:hAnsi="Arial"/>
                <w:sz w:val="18"/>
                <w:szCs w:val="18"/>
                <w:color w:val="0000EE"/>
                <w:w w:val="91"/>
              </w:rPr>
            </w:pPr>
            <w:hyperlink r:id="rId106">
              <w:r>
                <w:rPr>
                  <w:rFonts w:ascii="Arial" w:cs="Arial" w:eastAsia="Arial" w:hAnsi="Arial"/>
                  <w:sz w:val="18"/>
                  <w:szCs w:val="18"/>
                  <w:color w:val="0000EE"/>
                  <w:w w:val="91"/>
                </w:rPr>
                <w:t>Company (incorporated by reference to Exhibit 10.3 of the Company’s Current Report on Form 8-K filed</w:t>
              </w:r>
            </w:hyperlink>
          </w:p>
        </w:tc>
        <w:tc>
          <w:tcPr>
            <w:tcW w:w="240" w:type="dxa"/>
            <w:vAlign w:val="bottom"/>
            <w:gridSpan w:val="9"/>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276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106">
              <w:r>
                <w:rPr>
                  <w:rFonts w:ascii="Arial" w:cs="Arial" w:eastAsia="Arial" w:hAnsi="Arial"/>
                  <w:sz w:val="18"/>
                  <w:szCs w:val="18"/>
                  <w:color w:val="0000EE"/>
                  <w:w w:val="90"/>
                </w:rPr>
                <w:t>with the SEC on December 23, 2008).</w:t>
              </w:r>
            </w:hyperlink>
          </w:p>
        </w:tc>
        <w:tc>
          <w:tcPr>
            <w:tcW w:w="5080" w:type="dxa"/>
            <w:vAlign w:val="bottom"/>
            <w:gridSpan w:val="31"/>
          </w:tcPr>
          <w:p>
            <w:pPr>
              <w:spacing w:after="0"/>
              <w:rPr>
                <w:sz w:val="17"/>
                <w:szCs w:val="17"/>
                <w:color w:val="auto"/>
              </w:rPr>
            </w:pPr>
          </w:p>
        </w:tc>
      </w:tr>
      <w:tr>
        <w:trPr>
          <w:trHeight w:val="196"/>
        </w:trPr>
        <w:tc>
          <w:tcPr>
            <w:tcW w:w="1080" w:type="dxa"/>
            <w:vAlign w:val="bottom"/>
          </w:tcPr>
          <w:p>
            <w:pPr>
              <w:ind w:left="20"/>
              <w:spacing w:after="0" w:line="196" w:lineRule="exact"/>
              <w:rPr>
                <w:sz w:val="20"/>
                <w:szCs w:val="20"/>
                <w:color w:val="auto"/>
              </w:rPr>
            </w:pPr>
            <w:r>
              <w:rPr>
                <w:rFonts w:ascii="Arial" w:cs="Arial" w:eastAsia="Arial" w:hAnsi="Arial"/>
                <w:sz w:val="18"/>
                <w:szCs w:val="18"/>
                <w:color w:val="auto"/>
              </w:rPr>
              <w:t>10.19#</w:t>
            </w:r>
          </w:p>
        </w:tc>
        <w:tc>
          <w:tcPr>
            <w:tcW w:w="7600" w:type="dxa"/>
            <w:vAlign w:val="bottom"/>
            <w:tcBorders>
              <w:bottom w:val="single" w:sz="8" w:color="0000EE"/>
            </w:tcBorders>
            <w:gridSpan w:val="28"/>
          </w:tcPr>
          <w:p>
            <w:pPr>
              <w:spacing w:after="0" w:line="196" w:lineRule="exact"/>
              <w:rPr>
                <w:rFonts w:ascii="Arial" w:cs="Arial" w:eastAsia="Arial" w:hAnsi="Arial"/>
                <w:sz w:val="18"/>
                <w:szCs w:val="18"/>
                <w:color w:val="0000EE"/>
                <w:w w:val="89"/>
              </w:rPr>
            </w:pPr>
            <w:hyperlink r:id="rId107">
              <w:r>
                <w:rPr>
                  <w:rFonts w:ascii="Arial" w:cs="Arial" w:eastAsia="Arial" w:hAnsi="Arial"/>
                  <w:sz w:val="18"/>
                  <w:szCs w:val="18"/>
                  <w:color w:val="0000EE"/>
                  <w:w w:val="89"/>
                </w:rPr>
                <w:t>Second Amendment to Executive Employment Agreement, dated September 3, 2010, by and between the</w:t>
              </w:r>
            </w:hyperlink>
          </w:p>
        </w:tc>
        <w:tc>
          <w:tcPr>
            <w:tcW w:w="240" w:type="dxa"/>
            <w:vAlign w:val="bottom"/>
            <w:gridSpan w:val="9"/>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720" w:type="dxa"/>
            <w:vAlign w:val="bottom"/>
            <w:tcBorders>
              <w:bottom w:val="single" w:sz="8" w:color="0000EE"/>
            </w:tcBorders>
            <w:gridSpan w:val="32"/>
          </w:tcPr>
          <w:p>
            <w:pPr>
              <w:spacing w:after="0" w:line="196" w:lineRule="exact"/>
              <w:rPr>
                <w:rFonts w:ascii="Arial" w:cs="Arial" w:eastAsia="Arial" w:hAnsi="Arial"/>
                <w:sz w:val="18"/>
                <w:szCs w:val="18"/>
                <w:color w:val="0000EE"/>
                <w:w w:val="90"/>
              </w:rPr>
            </w:pPr>
            <w:hyperlink r:id="rId107">
              <w:r>
                <w:rPr>
                  <w:rFonts w:ascii="Arial" w:cs="Arial" w:eastAsia="Arial" w:hAnsi="Arial"/>
                  <w:sz w:val="18"/>
                  <w:szCs w:val="18"/>
                  <w:color w:val="0000EE"/>
                  <w:w w:val="90"/>
                </w:rPr>
                <w:t>Company and Colin V. Reed (incorporated by reference to Exhibit 10.2 to the Company’s Quarterly Report</w:t>
              </w:r>
            </w:hyperlink>
          </w:p>
        </w:tc>
        <w:tc>
          <w:tcPr>
            <w:tcW w:w="120" w:type="dxa"/>
            <w:vAlign w:val="bottom"/>
            <w:gridSpan w:val="5"/>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418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r:id="rId107">
              <w:r>
                <w:rPr>
                  <w:rFonts w:ascii="Arial" w:cs="Arial" w:eastAsia="Arial" w:hAnsi="Arial"/>
                  <w:sz w:val="18"/>
                  <w:szCs w:val="18"/>
                  <w:color w:val="0000EE"/>
                  <w:w w:val="89"/>
                </w:rPr>
                <w:t>on Form 10-Q for the quarter ended September 30, 2010).</w:t>
              </w:r>
            </w:hyperlink>
          </w:p>
        </w:tc>
        <w:tc>
          <w:tcPr>
            <w:tcW w:w="3660" w:type="dxa"/>
            <w:vAlign w:val="bottom"/>
            <w:gridSpan w:val="28"/>
          </w:tcPr>
          <w:p>
            <w:pPr>
              <w:spacing w:after="0"/>
              <w:rPr>
                <w:sz w:val="17"/>
                <w:szCs w:val="17"/>
                <w:color w:val="auto"/>
              </w:rPr>
            </w:pPr>
          </w:p>
        </w:tc>
      </w:tr>
      <w:tr>
        <w:trPr>
          <w:trHeight w:val="196"/>
        </w:trPr>
        <w:tc>
          <w:tcPr>
            <w:tcW w:w="1080" w:type="dxa"/>
            <w:vAlign w:val="bottom"/>
          </w:tcPr>
          <w:p>
            <w:pPr>
              <w:ind w:left="20"/>
              <w:spacing w:after="0" w:line="196" w:lineRule="exact"/>
              <w:rPr>
                <w:sz w:val="20"/>
                <w:szCs w:val="20"/>
                <w:color w:val="auto"/>
              </w:rPr>
            </w:pPr>
            <w:r>
              <w:rPr>
                <w:rFonts w:ascii="Arial" w:cs="Arial" w:eastAsia="Arial" w:hAnsi="Arial"/>
                <w:sz w:val="18"/>
                <w:szCs w:val="18"/>
                <w:color w:val="auto"/>
              </w:rPr>
              <w:t>10.20#</w:t>
            </w:r>
          </w:p>
        </w:tc>
        <w:tc>
          <w:tcPr>
            <w:tcW w:w="7840" w:type="dxa"/>
            <w:vAlign w:val="bottom"/>
            <w:gridSpan w:val="37"/>
          </w:tcPr>
          <w:p>
            <w:pPr>
              <w:spacing w:after="0" w:line="196" w:lineRule="exact"/>
              <w:rPr>
                <w:rFonts w:ascii="Arial" w:cs="Arial" w:eastAsia="Arial" w:hAnsi="Arial"/>
                <w:sz w:val="18"/>
                <w:szCs w:val="18"/>
                <w:color w:val="0000EE"/>
                <w:w w:val="93"/>
              </w:rPr>
            </w:pPr>
            <w:hyperlink r:id="rId108">
              <w:r>
                <w:rPr>
                  <w:rFonts w:ascii="Arial" w:cs="Arial" w:eastAsia="Arial" w:hAnsi="Arial"/>
                  <w:sz w:val="18"/>
                  <w:szCs w:val="18"/>
                  <w:color w:val="0000EE"/>
                  <w:w w:val="93"/>
                </w:rPr>
                <w:t>Third Amendment to Executive Employment Agreement, dated as of November 5, 2012, by and between</w:t>
              </w:r>
            </w:hyperlink>
          </w:p>
        </w:tc>
      </w:tr>
      <w:tr>
        <w:trPr>
          <w:trHeight w:val="196"/>
        </w:trPr>
        <w:tc>
          <w:tcPr>
            <w:tcW w:w="1080" w:type="dxa"/>
            <w:vAlign w:val="bottom"/>
          </w:tcPr>
          <w:p>
            <w:pPr>
              <w:spacing w:after="0"/>
              <w:rPr>
                <w:sz w:val="17"/>
                <w:szCs w:val="17"/>
                <w:color w:val="auto"/>
              </w:rPr>
            </w:pPr>
          </w:p>
        </w:tc>
        <w:tc>
          <w:tcPr>
            <w:tcW w:w="7580" w:type="dxa"/>
            <w:vAlign w:val="bottom"/>
            <w:tcBorders>
              <w:top w:val="single" w:sz="8" w:color="0000EE"/>
            </w:tcBorders>
            <w:gridSpan w:val="27"/>
          </w:tcPr>
          <w:p>
            <w:pPr>
              <w:spacing w:after="0" w:line="196" w:lineRule="exact"/>
              <w:rPr>
                <w:rFonts w:ascii="Arial" w:cs="Arial" w:eastAsia="Arial" w:hAnsi="Arial"/>
                <w:sz w:val="18"/>
                <w:szCs w:val="18"/>
                <w:color w:val="0000EE"/>
                <w:w w:val="92"/>
              </w:rPr>
            </w:pPr>
            <w:hyperlink r:id="rId108">
              <w:r>
                <w:rPr>
                  <w:rFonts w:ascii="Arial" w:cs="Arial" w:eastAsia="Arial" w:hAnsi="Arial"/>
                  <w:sz w:val="18"/>
                  <w:szCs w:val="18"/>
                  <w:color w:val="0000EE"/>
                  <w:w w:val="92"/>
                </w:rPr>
                <w:t>the Company and Colin V. Reed (incorporated by reference to Exhibit 10.5 to the Company’s Quarterly</w:t>
              </w:r>
            </w:hyperlink>
          </w:p>
        </w:tc>
        <w:tc>
          <w:tcPr>
            <w:tcW w:w="260" w:type="dxa"/>
            <w:vAlign w:val="bottom"/>
            <w:gridSpan w:val="10"/>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46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Report on Form 10-Q for the quarter ended September 30, 2012).</w:t>
              </w:r>
            </w:hyperlink>
          </w:p>
        </w:tc>
        <w:tc>
          <w:tcPr>
            <w:tcW w:w="380" w:type="dxa"/>
            <w:vAlign w:val="bottom"/>
            <w:gridSpan w:val="15"/>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2480" w:type="dxa"/>
            <w:vAlign w:val="bottom"/>
            <w:gridSpan w:val="8"/>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196"/>
        </w:trPr>
        <w:tc>
          <w:tcPr>
            <w:tcW w:w="1080" w:type="dxa"/>
            <w:vAlign w:val="bottom"/>
          </w:tcPr>
          <w:p>
            <w:pPr>
              <w:ind w:left="20"/>
              <w:spacing w:after="0" w:line="196" w:lineRule="exact"/>
              <w:rPr>
                <w:sz w:val="20"/>
                <w:szCs w:val="20"/>
                <w:color w:val="auto"/>
              </w:rPr>
            </w:pPr>
            <w:r>
              <w:rPr>
                <w:rFonts w:ascii="Arial" w:cs="Arial" w:eastAsia="Arial" w:hAnsi="Arial"/>
                <w:sz w:val="18"/>
                <w:szCs w:val="18"/>
                <w:color w:val="auto"/>
              </w:rPr>
              <w:t>10.21#</w:t>
            </w:r>
          </w:p>
        </w:tc>
        <w:tc>
          <w:tcPr>
            <w:tcW w:w="7740" w:type="dxa"/>
            <w:vAlign w:val="bottom"/>
            <w:tcBorders>
              <w:bottom w:val="single" w:sz="8" w:color="0000EE"/>
            </w:tcBorders>
            <w:gridSpan w:val="33"/>
          </w:tcPr>
          <w:p>
            <w:pPr>
              <w:spacing w:after="0" w:line="196" w:lineRule="exact"/>
              <w:rPr>
                <w:rFonts w:ascii="Arial" w:cs="Arial" w:eastAsia="Arial" w:hAnsi="Arial"/>
                <w:sz w:val="18"/>
                <w:szCs w:val="18"/>
                <w:color w:val="0000EE"/>
                <w:w w:val="90"/>
              </w:rPr>
            </w:pPr>
            <w:hyperlink r:id="rId109">
              <w:r>
                <w:rPr>
                  <w:rFonts w:ascii="Arial" w:cs="Arial" w:eastAsia="Arial" w:hAnsi="Arial"/>
                  <w:sz w:val="18"/>
                  <w:szCs w:val="18"/>
                  <w:color w:val="0000EE"/>
                  <w:w w:val="90"/>
                </w:rPr>
                <w:t>Fourth Amendment to Executive Employment Agreement, dated as of December 31, 2020, by and between</w:t>
              </w:r>
            </w:hyperlink>
          </w:p>
        </w:tc>
        <w:tc>
          <w:tcPr>
            <w:tcW w:w="100" w:type="dxa"/>
            <w:vAlign w:val="bottom"/>
            <w:gridSpan w:val="4"/>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38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r:id="rId109">
              <w:r>
                <w:rPr>
                  <w:rFonts w:ascii="Arial" w:cs="Arial" w:eastAsia="Arial" w:hAnsi="Arial"/>
                  <w:sz w:val="18"/>
                  <w:szCs w:val="18"/>
                  <w:color w:val="0000EE"/>
                  <w:w w:val="90"/>
                </w:rPr>
                <w:t>the Company and Colin V. Reed (incorporated by reference to Exhibit 10.17 to the Company’s Annual</w:t>
              </w:r>
            </w:hyperlink>
          </w:p>
        </w:tc>
        <w:tc>
          <w:tcPr>
            <w:tcW w:w="460" w:type="dxa"/>
            <w:vAlign w:val="bottom"/>
            <w:gridSpan w:val="17"/>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448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109">
              <w:r>
                <w:rPr>
                  <w:rFonts w:ascii="Arial" w:cs="Arial" w:eastAsia="Arial" w:hAnsi="Arial"/>
                  <w:sz w:val="18"/>
                  <w:szCs w:val="18"/>
                  <w:color w:val="0000EE"/>
                  <w:w w:val="90"/>
                </w:rPr>
                <w:t>Report on Form 10-K for the year ended December 31, 2020).</w:t>
              </w:r>
            </w:hyperlink>
          </w:p>
        </w:tc>
        <w:tc>
          <w:tcPr>
            <w:tcW w:w="3360" w:type="dxa"/>
            <w:vAlign w:val="bottom"/>
            <w:gridSpan w:val="27"/>
          </w:tcPr>
          <w:p>
            <w:pPr>
              <w:spacing w:after="0"/>
              <w:rPr>
                <w:sz w:val="17"/>
                <w:szCs w:val="17"/>
                <w:color w:val="auto"/>
              </w:rPr>
            </w:pPr>
          </w:p>
        </w:tc>
      </w:tr>
      <w:tr>
        <w:trPr>
          <w:trHeight w:val="196"/>
        </w:trPr>
        <w:tc>
          <w:tcPr>
            <w:tcW w:w="1080" w:type="dxa"/>
            <w:vAlign w:val="bottom"/>
          </w:tcPr>
          <w:p>
            <w:pPr>
              <w:ind w:left="20"/>
              <w:spacing w:after="0" w:line="196" w:lineRule="exact"/>
              <w:rPr>
                <w:sz w:val="20"/>
                <w:szCs w:val="20"/>
                <w:color w:val="auto"/>
              </w:rPr>
            </w:pPr>
            <w:r>
              <w:rPr>
                <w:rFonts w:ascii="Arial" w:cs="Arial" w:eastAsia="Arial" w:hAnsi="Arial"/>
                <w:sz w:val="18"/>
                <w:szCs w:val="18"/>
                <w:color w:val="auto"/>
              </w:rPr>
              <w:t>10.22#</w:t>
            </w:r>
          </w:p>
        </w:tc>
        <w:tc>
          <w:tcPr>
            <w:tcW w:w="756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r:id="rId110">
              <w:r>
                <w:rPr>
                  <w:rFonts w:ascii="Arial" w:cs="Arial" w:eastAsia="Arial" w:hAnsi="Arial"/>
                  <w:sz w:val="18"/>
                  <w:szCs w:val="18"/>
                  <w:color w:val="0000EE"/>
                  <w:w w:val="90"/>
                </w:rPr>
                <w:t>Indemnification Agreement, dated as of April 23, 2001, by and between the Company and Colin V. Reed</w:t>
              </w:r>
            </w:hyperlink>
          </w:p>
        </w:tc>
        <w:tc>
          <w:tcPr>
            <w:tcW w:w="280" w:type="dxa"/>
            <w:vAlign w:val="bottom"/>
            <w:gridSpan w:val="11"/>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50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110">
              <w:r>
                <w:rPr>
                  <w:rFonts w:ascii="Arial" w:cs="Arial" w:eastAsia="Arial" w:hAnsi="Arial"/>
                  <w:sz w:val="18"/>
                  <w:szCs w:val="18"/>
                  <w:color w:val="0000EE"/>
                  <w:w w:val="91"/>
                </w:rPr>
                <w:t>(incorporated by reference to Exhibit 10.30 to the Company’s Annual Report on Form 10-K for the year</w:t>
              </w:r>
            </w:hyperlink>
          </w:p>
        </w:tc>
        <w:tc>
          <w:tcPr>
            <w:tcW w:w="340" w:type="dxa"/>
            <w:vAlign w:val="bottom"/>
            <w:gridSpan w:val="14"/>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200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r:id="rId110">
              <w:r>
                <w:rPr>
                  <w:rFonts w:ascii="Arial" w:cs="Arial" w:eastAsia="Arial" w:hAnsi="Arial"/>
                  <w:sz w:val="18"/>
                  <w:szCs w:val="18"/>
                  <w:color w:val="0000EE"/>
                  <w:w w:val="88"/>
                </w:rPr>
                <w:t>ended December 31, 2001).</w:t>
              </w:r>
            </w:hyperlink>
          </w:p>
        </w:tc>
        <w:tc>
          <w:tcPr>
            <w:tcW w:w="5840" w:type="dxa"/>
            <w:vAlign w:val="bottom"/>
            <w:gridSpan w:val="35"/>
          </w:tcPr>
          <w:p>
            <w:pPr>
              <w:spacing w:after="0"/>
              <w:rPr>
                <w:sz w:val="17"/>
                <w:szCs w:val="17"/>
                <w:color w:val="auto"/>
              </w:rPr>
            </w:pPr>
          </w:p>
        </w:tc>
      </w:tr>
      <w:tr>
        <w:trPr>
          <w:trHeight w:val="196"/>
        </w:trPr>
        <w:tc>
          <w:tcPr>
            <w:tcW w:w="1080" w:type="dxa"/>
            <w:vAlign w:val="bottom"/>
          </w:tcPr>
          <w:p>
            <w:pPr>
              <w:ind w:left="20"/>
              <w:spacing w:after="0" w:line="196" w:lineRule="exact"/>
              <w:rPr>
                <w:sz w:val="20"/>
                <w:szCs w:val="20"/>
                <w:color w:val="auto"/>
              </w:rPr>
            </w:pPr>
            <w:r>
              <w:rPr>
                <w:rFonts w:ascii="Arial" w:cs="Arial" w:eastAsia="Arial" w:hAnsi="Arial"/>
                <w:sz w:val="18"/>
                <w:szCs w:val="18"/>
                <w:color w:val="auto"/>
              </w:rPr>
              <w:t>10.23#</w:t>
            </w:r>
          </w:p>
        </w:tc>
        <w:tc>
          <w:tcPr>
            <w:tcW w:w="7840" w:type="dxa"/>
            <w:vAlign w:val="bottom"/>
            <w:gridSpan w:val="37"/>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Form of Employment Agreement of Mark Fioravanti, dated February 25, 2008, with the Company</w:t>
              </w:r>
            </w:hyperlink>
          </w:p>
        </w:tc>
      </w:tr>
      <w:tr>
        <w:trPr>
          <w:trHeight w:val="20"/>
        </w:trPr>
        <w:tc>
          <w:tcPr>
            <w:tcW w:w="1080" w:type="dxa"/>
            <w:vAlign w:val="bottom"/>
          </w:tcPr>
          <w:p>
            <w:pPr>
              <w:spacing w:after="0" w:line="20" w:lineRule="exact"/>
              <w:rPr>
                <w:sz w:val="1"/>
                <w:szCs w:val="1"/>
                <w:color w:val="auto"/>
              </w:rPr>
            </w:pPr>
          </w:p>
        </w:tc>
        <w:tc>
          <w:tcPr>
            <w:tcW w:w="7080" w:type="dxa"/>
            <w:vAlign w:val="bottom"/>
            <w:gridSpan w:val="16"/>
            <w:shd w:val="clear" w:color="auto" w:fill="0000EE"/>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20" w:type="dxa"/>
            <w:vAlign w:val="bottom"/>
            <w:gridSpan w:val="13"/>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7"/>
          </w:tcPr>
          <w:p>
            <w:pPr>
              <w:spacing w:after="0" w:line="196" w:lineRule="exact"/>
              <w:rPr>
                <w:rFonts w:ascii="Arial" w:cs="Arial" w:eastAsia="Arial" w:hAnsi="Arial"/>
                <w:sz w:val="18"/>
                <w:szCs w:val="18"/>
                <w:color w:val="0000EE"/>
                <w:w w:val="96"/>
              </w:rPr>
            </w:pPr>
            <w:hyperlink r:id="rId111">
              <w:r>
                <w:rPr>
                  <w:rFonts w:ascii="Arial" w:cs="Arial" w:eastAsia="Arial" w:hAnsi="Arial"/>
                  <w:sz w:val="18"/>
                  <w:szCs w:val="18"/>
                  <w:color w:val="0000EE"/>
                  <w:w w:val="96"/>
                </w:rPr>
                <w:t>(incorporated by reference to Exhibit 10.3 to the Company’s Current Report on Form 8-K filed with the</w:t>
              </w:r>
            </w:hyperlink>
          </w:p>
        </w:tc>
      </w:tr>
      <w:tr>
        <w:trPr>
          <w:trHeight w:val="196"/>
        </w:trPr>
        <w:tc>
          <w:tcPr>
            <w:tcW w:w="1080" w:type="dxa"/>
            <w:vAlign w:val="bottom"/>
          </w:tcPr>
          <w:p>
            <w:pPr>
              <w:spacing w:after="0"/>
              <w:rPr>
                <w:sz w:val="17"/>
                <w:szCs w:val="17"/>
                <w:color w:val="auto"/>
              </w:rPr>
            </w:pPr>
          </w:p>
        </w:tc>
        <w:tc>
          <w:tcPr>
            <w:tcW w:w="20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r:id="rId111">
              <w:r>
                <w:rPr>
                  <w:rFonts w:ascii="Arial" w:cs="Arial" w:eastAsia="Arial" w:hAnsi="Arial"/>
                  <w:sz w:val="18"/>
                  <w:szCs w:val="18"/>
                  <w:color w:val="0000EE"/>
                  <w:w w:val="89"/>
                </w:rPr>
                <w:t>SEC on February 27, 2008).</w:t>
              </w:r>
            </w:hyperlink>
          </w:p>
        </w:tc>
        <w:tc>
          <w:tcPr>
            <w:tcW w:w="5420" w:type="dxa"/>
            <w:vAlign w:val="bottom"/>
            <w:tcBorders>
              <w:top w:val="single" w:sz="8" w:color="0000EE"/>
            </w:tcBorders>
            <w:gridSpan w:val="18"/>
          </w:tcPr>
          <w:p>
            <w:pPr>
              <w:spacing w:after="0"/>
              <w:rPr>
                <w:sz w:val="17"/>
                <w:szCs w:val="17"/>
                <w:color w:val="auto"/>
              </w:rPr>
            </w:pPr>
          </w:p>
        </w:tc>
        <w:tc>
          <w:tcPr>
            <w:tcW w:w="380" w:type="dxa"/>
            <w:vAlign w:val="bottom"/>
            <w:gridSpan w:val="15"/>
          </w:tcPr>
          <w:p>
            <w:pPr>
              <w:spacing w:after="0"/>
              <w:rPr>
                <w:sz w:val="17"/>
                <w:szCs w:val="17"/>
                <w:color w:val="auto"/>
              </w:rPr>
            </w:pPr>
          </w:p>
        </w:tc>
      </w:tr>
      <w:tr>
        <w:trPr>
          <w:trHeight w:val="196"/>
        </w:trPr>
        <w:tc>
          <w:tcPr>
            <w:tcW w:w="1080" w:type="dxa"/>
            <w:vAlign w:val="bottom"/>
          </w:tcPr>
          <w:p>
            <w:pPr>
              <w:ind w:left="20"/>
              <w:spacing w:after="0" w:line="196" w:lineRule="exact"/>
              <w:rPr>
                <w:sz w:val="20"/>
                <w:szCs w:val="20"/>
                <w:color w:val="auto"/>
              </w:rPr>
            </w:pPr>
            <w:r>
              <w:rPr>
                <w:rFonts w:ascii="Arial" w:cs="Arial" w:eastAsia="Arial" w:hAnsi="Arial"/>
                <w:sz w:val="18"/>
                <w:szCs w:val="18"/>
                <w:color w:val="auto"/>
              </w:rPr>
              <w:t>10.24#</w:t>
            </w:r>
          </w:p>
        </w:tc>
        <w:tc>
          <w:tcPr>
            <w:tcW w:w="7840" w:type="dxa"/>
            <w:vAlign w:val="bottom"/>
            <w:gridSpan w:val="37"/>
          </w:tcPr>
          <w:p>
            <w:pPr>
              <w:spacing w:after="0" w:line="196" w:lineRule="exact"/>
              <w:rPr>
                <w:rFonts w:ascii="Arial" w:cs="Arial" w:eastAsia="Arial" w:hAnsi="Arial"/>
                <w:sz w:val="18"/>
                <w:szCs w:val="18"/>
                <w:color w:val="0000EE"/>
                <w:w w:val="95"/>
              </w:rPr>
            </w:pPr>
            <w:hyperlink r:id="rId112">
              <w:r>
                <w:rPr>
                  <w:rFonts w:ascii="Arial" w:cs="Arial" w:eastAsia="Arial" w:hAnsi="Arial"/>
                  <w:sz w:val="18"/>
                  <w:szCs w:val="18"/>
                  <w:color w:val="0000EE"/>
                  <w:w w:val="95"/>
                </w:rPr>
                <w:t>Form of Amendment No. 1 to Employment Agreement of Mark Fioravanti (incorporated by reference to</w:t>
              </w:r>
            </w:hyperlink>
          </w:p>
        </w:tc>
      </w:tr>
      <w:tr>
        <w:trPr>
          <w:trHeight w:val="196"/>
        </w:trPr>
        <w:tc>
          <w:tcPr>
            <w:tcW w:w="1080" w:type="dxa"/>
            <w:vAlign w:val="bottom"/>
          </w:tcPr>
          <w:p>
            <w:pPr>
              <w:spacing w:after="0"/>
              <w:rPr>
                <w:sz w:val="17"/>
                <w:szCs w:val="17"/>
                <w:color w:val="auto"/>
              </w:rPr>
            </w:pPr>
          </w:p>
        </w:tc>
        <w:tc>
          <w:tcPr>
            <w:tcW w:w="7520" w:type="dxa"/>
            <w:vAlign w:val="bottom"/>
            <w:tcBorders>
              <w:top w:val="single" w:sz="8" w:color="0000EE"/>
            </w:tcBorders>
            <w:gridSpan w:val="24"/>
          </w:tcPr>
          <w:p>
            <w:pPr>
              <w:spacing w:after="0" w:line="196" w:lineRule="exact"/>
              <w:rPr>
                <w:rFonts w:ascii="Arial" w:cs="Arial" w:eastAsia="Arial" w:hAnsi="Arial"/>
                <w:sz w:val="18"/>
                <w:szCs w:val="18"/>
                <w:color w:val="0000EE"/>
                <w:w w:val="92"/>
              </w:rPr>
            </w:pPr>
            <w:hyperlink r:id="rId112">
              <w:r>
                <w:rPr>
                  <w:rFonts w:ascii="Arial" w:cs="Arial" w:eastAsia="Arial" w:hAnsi="Arial"/>
                  <w:sz w:val="18"/>
                  <w:szCs w:val="18"/>
                  <w:color w:val="0000EE"/>
                  <w:w w:val="92"/>
                </w:rPr>
                <w:t>Exhibit 10.38 to the Company’s Annual Report on Form 10-K for the year ended December 31, 2009).</w:t>
              </w:r>
            </w:hyperlink>
          </w:p>
        </w:tc>
        <w:tc>
          <w:tcPr>
            <w:tcW w:w="320" w:type="dxa"/>
            <w:vAlign w:val="bottom"/>
            <w:gridSpan w:val="13"/>
          </w:tcPr>
          <w:p>
            <w:pPr>
              <w:spacing w:after="0"/>
              <w:rPr>
                <w:sz w:val="17"/>
                <w:szCs w:val="17"/>
                <w:color w:val="auto"/>
              </w:rPr>
            </w:pPr>
          </w:p>
        </w:tc>
      </w:tr>
      <w:tr>
        <w:trPr>
          <w:trHeight w:val="668"/>
        </w:trPr>
        <w:tc>
          <w:tcPr>
            <w:tcW w:w="1080" w:type="dxa"/>
            <w:vAlign w:val="bottom"/>
          </w:tcPr>
          <w:p>
            <w:pPr>
              <w:spacing w:after="0"/>
              <w:rPr>
                <w:sz w:val="24"/>
                <w:szCs w:val="24"/>
                <w:color w:val="auto"/>
              </w:rPr>
            </w:pPr>
          </w:p>
        </w:tc>
        <w:tc>
          <w:tcPr>
            <w:tcW w:w="3940" w:type="dxa"/>
            <w:vAlign w:val="bottom"/>
            <w:tcBorders>
              <w:top w:val="single" w:sz="8" w:color="0000EE"/>
            </w:tcBorders>
            <w:gridSpan w:val="8"/>
          </w:tcPr>
          <w:p>
            <w:pPr>
              <w:ind w:left="3300"/>
              <w:spacing w:after="0"/>
              <w:rPr>
                <w:sz w:val="20"/>
                <w:szCs w:val="20"/>
                <w:color w:val="auto"/>
              </w:rPr>
            </w:pPr>
            <w:r>
              <w:rPr>
                <w:rFonts w:ascii="Arial" w:cs="Arial" w:eastAsia="Arial" w:hAnsi="Arial"/>
                <w:sz w:val="18"/>
                <w:szCs w:val="18"/>
                <w:color w:val="auto"/>
              </w:rPr>
              <w:t>73</w:t>
            </w:r>
          </w:p>
        </w:tc>
        <w:tc>
          <w:tcPr>
            <w:tcW w:w="2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9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1"/>
        </w:trPr>
        <w:tc>
          <w:tcPr>
            <w:tcW w:w="10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74" w:name="page75"/>
    <w:bookmarkEnd w:id="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80" w:type="dxa"/>
            <w:vAlign w:val="bottom"/>
          </w:tcPr>
          <w:p>
            <w:pPr>
              <w:ind w:left="20"/>
              <w:spacing w:after="0"/>
              <w:rPr>
                <w:sz w:val="20"/>
                <w:szCs w:val="20"/>
                <w:color w:val="auto"/>
              </w:rPr>
            </w:pPr>
            <w:r>
              <w:rPr>
                <w:rFonts w:ascii="Arial" w:cs="Arial" w:eastAsia="Arial" w:hAnsi="Arial"/>
                <w:sz w:val="18"/>
                <w:szCs w:val="18"/>
                <w:color w:val="auto"/>
              </w:rPr>
              <w:t>10.25#</w:t>
            </w:r>
          </w:p>
        </w:tc>
        <w:tc>
          <w:tcPr>
            <w:tcW w:w="7760" w:type="dxa"/>
            <w:vAlign w:val="bottom"/>
            <w:tcBorders>
              <w:bottom w:val="single" w:sz="8" w:color="0000EE"/>
            </w:tcBorders>
            <w:gridSpan w:val="27"/>
          </w:tcPr>
          <w:p>
            <w:pPr>
              <w:spacing w:after="0"/>
              <w:rPr>
                <w:rFonts w:ascii="Arial" w:cs="Arial" w:eastAsia="Arial" w:hAnsi="Arial"/>
                <w:sz w:val="18"/>
                <w:szCs w:val="18"/>
                <w:color w:val="0000EE"/>
                <w:w w:val="89"/>
              </w:rPr>
            </w:pPr>
            <w:hyperlink r:id="rId113">
              <w:r>
                <w:rPr>
                  <w:rFonts w:ascii="Arial" w:cs="Arial" w:eastAsia="Arial" w:hAnsi="Arial"/>
                  <w:sz w:val="18"/>
                  <w:szCs w:val="18"/>
                  <w:color w:val="0000EE"/>
                  <w:w w:val="89"/>
                </w:rPr>
                <w:t>Amendment No. 2 to Employment Agreement, dated September 3, 2010, by and between the Company and</w:t>
              </w:r>
            </w:hyperlink>
          </w:p>
        </w:tc>
        <w:tc>
          <w:tcPr>
            <w:tcW w:w="80" w:type="dxa"/>
            <w:vAlign w:val="bottom"/>
            <w:gridSpan w:val="4"/>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00" w:type="dxa"/>
            <w:vAlign w:val="bottom"/>
            <w:tcBorders>
              <w:bottom w:val="single" w:sz="8" w:color="0000EE"/>
            </w:tcBorders>
            <w:gridSpan w:val="29"/>
          </w:tcPr>
          <w:p>
            <w:pPr>
              <w:spacing w:after="0" w:line="196" w:lineRule="exact"/>
              <w:rPr>
                <w:rFonts w:ascii="Arial" w:cs="Arial" w:eastAsia="Arial" w:hAnsi="Arial"/>
                <w:sz w:val="18"/>
                <w:szCs w:val="18"/>
                <w:color w:val="0000EE"/>
                <w:w w:val="92"/>
              </w:rPr>
            </w:pPr>
            <w:hyperlink r:id="rId113">
              <w:r>
                <w:rPr>
                  <w:rFonts w:ascii="Arial" w:cs="Arial" w:eastAsia="Arial" w:hAnsi="Arial"/>
                  <w:sz w:val="18"/>
                  <w:szCs w:val="18"/>
                  <w:color w:val="0000EE"/>
                  <w:w w:val="92"/>
                </w:rPr>
                <w:t>Mark Fioravanti (incorporated by reference to Exhibit 10.5 to the Company’s Quarterly Report on Form 10-</w:t>
              </w:r>
            </w:hyperlink>
          </w:p>
        </w:tc>
        <w:tc>
          <w:tcPr>
            <w:tcW w:w="40" w:type="dxa"/>
            <w:vAlign w:val="bottom"/>
            <w:gridSpan w:val="2"/>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328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r:id="rId113">
              <w:r>
                <w:rPr>
                  <w:rFonts w:ascii="Arial" w:cs="Arial" w:eastAsia="Arial" w:hAnsi="Arial"/>
                  <w:sz w:val="18"/>
                  <w:szCs w:val="18"/>
                  <w:color w:val="0000EE"/>
                  <w:w w:val="89"/>
                </w:rPr>
                <w:t>Q for the quarter ended September 30, 2010).</w:t>
              </w:r>
            </w:hyperlink>
          </w:p>
        </w:tc>
        <w:tc>
          <w:tcPr>
            <w:tcW w:w="4560" w:type="dxa"/>
            <w:vAlign w:val="bottom"/>
            <w:gridSpan w:val="23"/>
          </w:tcPr>
          <w:p>
            <w:pPr>
              <w:spacing w:after="0"/>
              <w:rPr>
                <w:sz w:val="17"/>
                <w:szCs w:val="17"/>
                <w:color w:val="auto"/>
              </w:rPr>
            </w:pPr>
          </w:p>
        </w:tc>
      </w:tr>
      <w:tr>
        <w:trPr>
          <w:trHeight w:val="196"/>
        </w:trPr>
        <w:tc>
          <w:tcPr>
            <w:tcW w:w="1080" w:type="dxa"/>
            <w:vAlign w:val="bottom"/>
          </w:tcPr>
          <w:p>
            <w:pPr>
              <w:ind w:left="20"/>
              <w:spacing w:after="0" w:line="196" w:lineRule="exact"/>
              <w:rPr>
                <w:sz w:val="20"/>
                <w:szCs w:val="20"/>
                <w:color w:val="auto"/>
              </w:rPr>
            </w:pPr>
            <w:r>
              <w:rPr>
                <w:rFonts w:ascii="Arial" w:cs="Arial" w:eastAsia="Arial" w:hAnsi="Arial"/>
                <w:sz w:val="18"/>
                <w:szCs w:val="18"/>
                <w:color w:val="auto"/>
              </w:rPr>
              <w:t>10.26#</w:t>
            </w:r>
          </w:p>
        </w:tc>
        <w:tc>
          <w:tcPr>
            <w:tcW w:w="7820" w:type="dxa"/>
            <w:vAlign w:val="bottom"/>
            <w:tcBorders>
              <w:bottom w:val="single" w:sz="8" w:color="0000EE"/>
            </w:tcBorders>
            <w:gridSpan w:val="30"/>
          </w:tcPr>
          <w:p>
            <w:pPr>
              <w:spacing w:after="0" w:line="196" w:lineRule="exact"/>
              <w:rPr>
                <w:rFonts w:ascii="Arial" w:cs="Arial" w:eastAsia="Arial" w:hAnsi="Arial"/>
                <w:sz w:val="18"/>
                <w:szCs w:val="18"/>
                <w:color w:val="0000EE"/>
                <w:w w:val="90"/>
              </w:rPr>
            </w:pPr>
            <w:hyperlink r:id="rId114">
              <w:r>
                <w:rPr>
                  <w:rFonts w:ascii="Arial" w:cs="Arial" w:eastAsia="Arial" w:hAnsi="Arial"/>
                  <w:sz w:val="18"/>
                  <w:szCs w:val="18"/>
                  <w:color w:val="0000EE"/>
                  <w:w w:val="90"/>
                </w:rPr>
                <w:t>Third Amendment to Executive Employment Agreement dated as of November 5, 2012, by and between the</w:t>
              </w:r>
            </w:hyperlink>
          </w:p>
        </w:tc>
        <w:tc>
          <w:tcPr>
            <w:tcW w:w="2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1"/>
          </w:tcPr>
          <w:p>
            <w:pPr>
              <w:spacing w:after="0" w:line="196" w:lineRule="exact"/>
              <w:rPr>
                <w:rFonts w:ascii="Arial" w:cs="Arial" w:eastAsia="Arial" w:hAnsi="Arial"/>
                <w:sz w:val="18"/>
                <w:szCs w:val="18"/>
                <w:color w:val="0000EE"/>
                <w:w w:val="97"/>
              </w:rPr>
            </w:pPr>
            <w:hyperlink r:id="rId114">
              <w:r>
                <w:rPr>
                  <w:rFonts w:ascii="Arial" w:cs="Arial" w:eastAsia="Arial" w:hAnsi="Arial"/>
                  <w:sz w:val="18"/>
                  <w:szCs w:val="18"/>
                  <w:color w:val="0000EE"/>
                  <w:w w:val="97"/>
                </w:rPr>
                <w:t>Company and Mark Fioravanti (incorporated by reference to Exhibit 10.6 to the Company’s Quarterly</w:t>
              </w:r>
            </w:hyperlink>
          </w:p>
        </w:tc>
      </w:tr>
      <w:tr>
        <w:trPr>
          <w:trHeight w:val="196"/>
        </w:trPr>
        <w:tc>
          <w:tcPr>
            <w:tcW w:w="1080" w:type="dxa"/>
            <w:vAlign w:val="bottom"/>
          </w:tcPr>
          <w:p>
            <w:pPr>
              <w:spacing w:after="0"/>
              <w:rPr>
                <w:sz w:val="17"/>
                <w:szCs w:val="17"/>
                <w:color w:val="auto"/>
              </w:rPr>
            </w:pPr>
          </w:p>
        </w:tc>
        <w:tc>
          <w:tcPr>
            <w:tcW w:w="73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Report on Form 10-Q for the quarter ended September 30, 2012).</w:t>
              </w:r>
            </w:hyperlink>
          </w:p>
        </w:tc>
        <w:tc>
          <w:tcPr>
            <w:tcW w:w="500" w:type="dxa"/>
            <w:vAlign w:val="bottom"/>
            <w:gridSpan w:val="9"/>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ind w:left="20"/>
              <w:spacing w:after="0" w:line="196" w:lineRule="exact"/>
              <w:rPr>
                <w:sz w:val="20"/>
                <w:szCs w:val="20"/>
                <w:color w:val="auto"/>
              </w:rPr>
            </w:pPr>
            <w:r>
              <w:rPr>
                <w:rFonts w:ascii="Arial" w:cs="Arial" w:eastAsia="Arial" w:hAnsi="Arial"/>
                <w:sz w:val="18"/>
                <w:szCs w:val="18"/>
                <w:color w:val="auto"/>
              </w:rPr>
              <w:t>10.27#</w:t>
            </w:r>
          </w:p>
        </w:tc>
        <w:tc>
          <w:tcPr>
            <w:tcW w:w="7840" w:type="dxa"/>
            <w:vAlign w:val="bottom"/>
            <w:gridSpan w:val="31"/>
          </w:tcPr>
          <w:p>
            <w:pPr>
              <w:spacing w:after="0" w:line="196" w:lineRule="exact"/>
              <w:rPr>
                <w:rFonts w:ascii="Arial" w:cs="Arial" w:eastAsia="Arial" w:hAnsi="Arial"/>
                <w:sz w:val="18"/>
                <w:szCs w:val="18"/>
                <w:color w:val="0000EE"/>
              </w:rPr>
            </w:pPr>
            <w:hyperlink r:id="rId115">
              <w:r>
                <w:rPr>
                  <w:rFonts w:ascii="Arial" w:cs="Arial" w:eastAsia="Arial" w:hAnsi="Arial"/>
                  <w:sz w:val="18"/>
                  <w:szCs w:val="18"/>
                  <w:color w:val="0000EE"/>
                </w:rPr>
                <w:t>Severance Agreement dated as of February 26, 2018 between the Company and Patrick Chaffin</w:t>
              </w:r>
            </w:hyperlink>
          </w:p>
        </w:tc>
      </w:tr>
      <w:tr>
        <w:trPr>
          <w:trHeight w:val="20"/>
        </w:trPr>
        <w:tc>
          <w:tcPr>
            <w:tcW w:w="10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750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115">
              <w:r>
                <w:rPr>
                  <w:rFonts w:ascii="Arial" w:cs="Arial" w:eastAsia="Arial" w:hAnsi="Arial"/>
                  <w:sz w:val="18"/>
                  <w:szCs w:val="18"/>
                  <w:color w:val="0000EE"/>
                  <w:w w:val="91"/>
                </w:rPr>
                <w:t>(incorporated by reference to Exhibit 10.21 to the Company’s Annual Report on Form 10-K for the year</w:t>
              </w:r>
            </w:hyperlink>
          </w:p>
        </w:tc>
        <w:tc>
          <w:tcPr>
            <w:tcW w:w="340" w:type="dxa"/>
            <w:vAlign w:val="bottom"/>
            <w:gridSpan w:val="7"/>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200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r:id="rId115">
              <w:r>
                <w:rPr>
                  <w:rFonts w:ascii="Arial" w:cs="Arial" w:eastAsia="Arial" w:hAnsi="Arial"/>
                  <w:sz w:val="18"/>
                  <w:szCs w:val="18"/>
                  <w:color w:val="0000EE"/>
                  <w:w w:val="88"/>
                </w:rPr>
                <w:t>ended December 31, 2017).</w:t>
              </w:r>
            </w:hyperlink>
          </w:p>
        </w:tc>
        <w:tc>
          <w:tcPr>
            <w:tcW w:w="5840" w:type="dxa"/>
            <w:vAlign w:val="bottom"/>
            <w:gridSpan w:val="27"/>
          </w:tcPr>
          <w:p>
            <w:pPr>
              <w:spacing w:after="0"/>
              <w:rPr>
                <w:sz w:val="17"/>
                <w:szCs w:val="17"/>
                <w:color w:val="auto"/>
              </w:rPr>
            </w:pPr>
          </w:p>
        </w:tc>
      </w:tr>
      <w:tr>
        <w:trPr>
          <w:trHeight w:val="196"/>
        </w:trPr>
        <w:tc>
          <w:tcPr>
            <w:tcW w:w="1080" w:type="dxa"/>
            <w:vAlign w:val="bottom"/>
          </w:tcPr>
          <w:p>
            <w:pPr>
              <w:ind w:left="20"/>
              <w:spacing w:after="0" w:line="196" w:lineRule="exact"/>
              <w:rPr>
                <w:sz w:val="20"/>
                <w:szCs w:val="20"/>
                <w:color w:val="auto"/>
              </w:rPr>
            </w:pPr>
            <w:r>
              <w:rPr>
                <w:rFonts w:ascii="Arial" w:cs="Arial" w:eastAsia="Arial" w:hAnsi="Arial"/>
                <w:sz w:val="18"/>
                <w:szCs w:val="18"/>
                <w:color w:val="auto"/>
              </w:rPr>
              <w:t>10.28#</w:t>
            </w:r>
          </w:p>
        </w:tc>
        <w:tc>
          <w:tcPr>
            <w:tcW w:w="7820" w:type="dxa"/>
            <w:vAlign w:val="bottom"/>
            <w:tcBorders>
              <w:bottom w:val="single" w:sz="8" w:color="0000EE"/>
            </w:tcBorders>
            <w:gridSpan w:val="30"/>
          </w:tcPr>
          <w:p>
            <w:pPr>
              <w:spacing w:after="0" w:line="196" w:lineRule="exact"/>
              <w:rPr>
                <w:rFonts w:ascii="Arial" w:cs="Arial" w:eastAsia="Arial" w:hAnsi="Arial"/>
                <w:sz w:val="18"/>
                <w:szCs w:val="18"/>
                <w:color w:val="0000EE"/>
                <w:w w:val="89"/>
              </w:rPr>
            </w:pPr>
            <w:hyperlink r:id="rId116">
              <w:r>
                <w:rPr>
                  <w:rFonts w:ascii="Arial" w:cs="Arial" w:eastAsia="Arial" w:hAnsi="Arial"/>
                  <w:sz w:val="18"/>
                  <w:szCs w:val="18"/>
                  <w:color w:val="0000EE"/>
                  <w:w w:val="89"/>
                </w:rPr>
                <w:t>Severance Agreement dated as of February 26, 2018 between the Company and Scott Lynn (incorporated by</w:t>
              </w:r>
            </w:hyperlink>
          </w:p>
        </w:tc>
        <w:tc>
          <w:tcPr>
            <w:tcW w:w="2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1"/>
          </w:tcPr>
          <w:p>
            <w:pPr>
              <w:spacing w:after="0" w:line="196" w:lineRule="exact"/>
              <w:rPr>
                <w:rFonts w:ascii="Arial" w:cs="Arial" w:eastAsia="Arial" w:hAnsi="Arial"/>
                <w:sz w:val="18"/>
                <w:szCs w:val="18"/>
                <w:color w:val="0000EE"/>
                <w:w w:val="91"/>
              </w:rPr>
            </w:pPr>
            <w:hyperlink r:id="rId116">
              <w:r>
                <w:rPr>
                  <w:rFonts w:ascii="Arial" w:cs="Arial" w:eastAsia="Arial" w:hAnsi="Arial"/>
                  <w:sz w:val="18"/>
                  <w:szCs w:val="18"/>
                  <w:color w:val="0000EE"/>
                  <w:w w:val="91"/>
                </w:rPr>
                <w:t>reference to Exhibit 10.22 to the Company’s Annual Report on Form 10-K for the year ended December 31,</w:t>
              </w:r>
            </w:hyperlink>
          </w:p>
        </w:tc>
      </w:tr>
      <w:tr>
        <w:trPr>
          <w:trHeight w:val="196"/>
        </w:trPr>
        <w:tc>
          <w:tcPr>
            <w:tcW w:w="1080" w:type="dxa"/>
            <w:vAlign w:val="bottom"/>
          </w:tcPr>
          <w:p>
            <w:pPr>
              <w:spacing w:after="0"/>
              <w:rPr>
                <w:sz w:val="17"/>
                <w:szCs w:val="17"/>
                <w:color w:val="auto"/>
              </w:rPr>
            </w:pPr>
          </w:p>
        </w:tc>
        <w:tc>
          <w:tcPr>
            <w:tcW w:w="4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r:id="rId116">
              <w:r>
                <w:rPr>
                  <w:rFonts w:ascii="Arial" w:cs="Arial" w:eastAsia="Arial" w:hAnsi="Arial"/>
                  <w:sz w:val="18"/>
                  <w:szCs w:val="18"/>
                  <w:color w:val="0000EE"/>
                  <w:w w:val="86"/>
                </w:rPr>
                <w:t>2017).</w:t>
              </w:r>
            </w:hyperlink>
          </w:p>
        </w:tc>
        <w:tc>
          <w:tcPr>
            <w:tcW w:w="78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80" w:type="dxa"/>
            <w:vAlign w:val="bottom"/>
          </w:tcPr>
          <w:p>
            <w:pPr>
              <w:ind w:left="20"/>
              <w:spacing w:after="0" w:line="196" w:lineRule="exact"/>
              <w:rPr>
                <w:sz w:val="20"/>
                <w:szCs w:val="20"/>
                <w:color w:val="auto"/>
              </w:rPr>
            </w:pPr>
            <w:r>
              <w:rPr>
                <w:rFonts w:ascii="Arial" w:cs="Arial" w:eastAsia="Arial" w:hAnsi="Arial"/>
                <w:sz w:val="18"/>
                <w:szCs w:val="18"/>
                <w:color w:val="auto"/>
              </w:rPr>
              <w:t>10.29#</w:t>
            </w:r>
          </w:p>
        </w:tc>
        <w:tc>
          <w:tcPr>
            <w:tcW w:w="7180" w:type="dxa"/>
            <w:vAlign w:val="bottom"/>
            <w:tcBorders>
              <w:bottom w:val="single" w:sz="8" w:color="0000EE"/>
            </w:tcBorders>
            <w:gridSpan w:val="20"/>
          </w:tcPr>
          <w:p>
            <w:pPr>
              <w:spacing w:after="0" w:line="196" w:lineRule="exact"/>
              <w:rPr>
                <w:rFonts w:ascii="Arial" w:cs="Arial" w:eastAsia="Arial" w:hAnsi="Arial"/>
                <w:sz w:val="18"/>
                <w:szCs w:val="18"/>
                <w:color w:val="0000EE"/>
                <w:w w:val="88"/>
              </w:rPr>
            </w:pPr>
            <w:hyperlink r:id="rId117">
              <w:r>
                <w:rPr>
                  <w:rFonts w:ascii="Arial" w:cs="Arial" w:eastAsia="Arial" w:hAnsi="Arial"/>
                  <w:sz w:val="18"/>
                  <w:szCs w:val="18"/>
                  <w:color w:val="0000EE"/>
                  <w:w w:val="88"/>
                </w:rPr>
                <w:t>Severance Agreement dated as of February 26, 2018 between the Company and Jennifer Hutcheson</w:t>
              </w:r>
            </w:hyperlink>
          </w:p>
        </w:tc>
        <w:tc>
          <w:tcPr>
            <w:tcW w:w="660" w:type="dxa"/>
            <w:vAlign w:val="bottom"/>
            <w:gridSpan w:val="11"/>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50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117">
              <w:r>
                <w:rPr>
                  <w:rFonts w:ascii="Arial" w:cs="Arial" w:eastAsia="Arial" w:hAnsi="Arial"/>
                  <w:sz w:val="18"/>
                  <w:szCs w:val="18"/>
                  <w:color w:val="0000EE"/>
                  <w:w w:val="91"/>
                </w:rPr>
                <w:t>(incorporated by reference to Exhibit 10.23 to the Company’s Annual Report on Form 10-K for the year</w:t>
              </w:r>
            </w:hyperlink>
          </w:p>
        </w:tc>
        <w:tc>
          <w:tcPr>
            <w:tcW w:w="340" w:type="dxa"/>
            <w:vAlign w:val="bottom"/>
            <w:gridSpan w:val="7"/>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200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r:id="rId117">
              <w:r>
                <w:rPr>
                  <w:rFonts w:ascii="Arial" w:cs="Arial" w:eastAsia="Arial" w:hAnsi="Arial"/>
                  <w:sz w:val="18"/>
                  <w:szCs w:val="18"/>
                  <w:color w:val="0000EE"/>
                  <w:w w:val="88"/>
                </w:rPr>
                <w:t>ended December 31, 2017).</w:t>
              </w:r>
            </w:hyperlink>
          </w:p>
        </w:tc>
        <w:tc>
          <w:tcPr>
            <w:tcW w:w="5840" w:type="dxa"/>
            <w:vAlign w:val="bottom"/>
            <w:gridSpan w:val="27"/>
          </w:tcPr>
          <w:p>
            <w:pPr>
              <w:spacing w:after="0"/>
              <w:rPr>
                <w:sz w:val="17"/>
                <w:szCs w:val="17"/>
                <w:color w:val="auto"/>
              </w:rPr>
            </w:pPr>
          </w:p>
        </w:tc>
      </w:tr>
      <w:tr>
        <w:trPr>
          <w:trHeight w:val="196"/>
        </w:trPr>
        <w:tc>
          <w:tcPr>
            <w:tcW w:w="1080" w:type="dxa"/>
            <w:vAlign w:val="bottom"/>
          </w:tcPr>
          <w:p>
            <w:pPr>
              <w:ind w:left="20"/>
              <w:spacing w:after="0" w:line="196" w:lineRule="exact"/>
              <w:rPr>
                <w:sz w:val="20"/>
                <w:szCs w:val="20"/>
                <w:color w:val="auto"/>
              </w:rPr>
            </w:pPr>
            <w:r>
              <w:rPr>
                <w:rFonts w:ascii="Arial" w:cs="Arial" w:eastAsia="Arial" w:hAnsi="Arial"/>
                <w:sz w:val="18"/>
                <w:szCs w:val="18"/>
                <w:color w:val="auto"/>
              </w:rPr>
              <w:t>10.30#</w:t>
            </w:r>
          </w:p>
        </w:tc>
        <w:tc>
          <w:tcPr>
            <w:tcW w:w="712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118">
              <w:r>
                <w:rPr>
                  <w:rFonts w:ascii="Arial" w:cs="Arial" w:eastAsia="Arial" w:hAnsi="Arial"/>
                  <w:sz w:val="18"/>
                  <w:szCs w:val="18"/>
                  <w:color w:val="0000EE"/>
                  <w:w w:val="90"/>
                </w:rPr>
                <w:t>Form of Indemnification Agreement between the Company and each of its non-employee directors</w:t>
              </w:r>
            </w:hyperlink>
          </w:p>
        </w:tc>
        <w:tc>
          <w:tcPr>
            <w:tcW w:w="720" w:type="dxa"/>
            <w:vAlign w:val="bottom"/>
            <w:gridSpan w:val="12"/>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50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118">
              <w:r>
                <w:rPr>
                  <w:rFonts w:ascii="Arial" w:cs="Arial" w:eastAsia="Arial" w:hAnsi="Arial"/>
                  <w:sz w:val="18"/>
                  <w:szCs w:val="18"/>
                  <w:color w:val="0000EE"/>
                  <w:w w:val="91"/>
                </w:rPr>
                <w:t>(incorporated by reference to Exhibit 10.36 to the Company’s Annual Report on Form 10-K for the year</w:t>
              </w:r>
            </w:hyperlink>
          </w:p>
        </w:tc>
        <w:tc>
          <w:tcPr>
            <w:tcW w:w="340" w:type="dxa"/>
            <w:vAlign w:val="bottom"/>
            <w:gridSpan w:val="7"/>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200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r:id="rId118">
              <w:r>
                <w:rPr>
                  <w:rFonts w:ascii="Arial" w:cs="Arial" w:eastAsia="Arial" w:hAnsi="Arial"/>
                  <w:sz w:val="18"/>
                  <w:szCs w:val="18"/>
                  <w:color w:val="0000EE"/>
                  <w:w w:val="88"/>
                </w:rPr>
                <w:t>ended December 31, 2002).</w:t>
              </w:r>
            </w:hyperlink>
          </w:p>
        </w:tc>
        <w:tc>
          <w:tcPr>
            <w:tcW w:w="5840" w:type="dxa"/>
            <w:vAlign w:val="bottom"/>
            <w:gridSpan w:val="27"/>
          </w:tcPr>
          <w:p>
            <w:pPr>
              <w:spacing w:after="0"/>
              <w:rPr>
                <w:sz w:val="17"/>
                <w:szCs w:val="17"/>
                <w:color w:val="auto"/>
              </w:rPr>
            </w:pPr>
          </w:p>
        </w:tc>
      </w:tr>
      <w:tr>
        <w:trPr>
          <w:trHeight w:val="196"/>
        </w:trPr>
        <w:tc>
          <w:tcPr>
            <w:tcW w:w="1080" w:type="dxa"/>
            <w:vAlign w:val="bottom"/>
          </w:tcPr>
          <w:p>
            <w:pPr>
              <w:ind w:left="20"/>
              <w:spacing w:after="0" w:line="196" w:lineRule="exact"/>
              <w:rPr>
                <w:sz w:val="20"/>
                <w:szCs w:val="20"/>
                <w:color w:val="auto"/>
              </w:rPr>
            </w:pPr>
            <w:r>
              <w:rPr>
                <w:rFonts w:ascii="Arial" w:cs="Arial" w:eastAsia="Arial" w:hAnsi="Arial"/>
                <w:sz w:val="18"/>
                <w:szCs w:val="18"/>
                <w:color w:val="auto"/>
              </w:rPr>
              <w:t>10.31*#</w:t>
            </w:r>
          </w:p>
        </w:tc>
        <w:tc>
          <w:tcPr>
            <w:tcW w:w="7840" w:type="dxa"/>
            <w:vAlign w:val="bottom"/>
            <w:gridSpan w:val="31"/>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Summary of Director and Executive Officer Compensation.</w:t>
              </w:r>
            </w:hyperlink>
          </w:p>
        </w:tc>
      </w:tr>
      <w:tr>
        <w:trPr>
          <w:trHeight w:val="20"/>
        </w:trPr>
        <w:tc>
          <w:tcPr>
            <w:tcW w:w="10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ind w:left="20"/>
              <w:spacing w:after="0" w:line="196" w:lineRule="exact"/>
              <w:rPr>
                <w:sz w:val="20"/>
                <w:szCs w:val="20"/>
                <w:color w:val="auto"/>
              </w:rPr>
            </w:pPr>
            <w:r>
              <w:rPr>
                <w:rFonts w:ascii="Arial" w:cs="Arial" w:eastAsia="Arial" w:hAnsi="Arial"/>
                <w:sz w:val="18"/>
                <w:szCs w:val="18"/>
                <w:color w:val="auto"/>
              </w:rPr>
              <w:t>10.32#</w:t>
            </w:r>
          </w:p>
        </w:tc>
        <w:tc>
          <w:tcPr>
            <w:tcW w:w="7840" w:type="dxa"/>
            <w:vAlign w:val="bottom"/>
            <w:gridSpan w:val="31"/>
          </w:tcPr>
          <w:p>
            <w:pPr>
              <w:spacing w:after="0" w:line="196" w:lineRule="exact"/>
              <w:rPr>
                <w:rFonts w:ascii="Arial" w:cs="Arial" w:eastAsia="Arial" w:hAnsi="Arial"/>
                <w:sz w:val="18"/>
                <w:szCs w:val="18"/>
                <w:color w:val="0000EE"/>
                <w:w w:val="92"/>
              </w:rPr>
            </w:pPr>
            <w:hyperlink r:id="rId119">
              <w:r>
                <w:rPr>
                  <w:rFonts w:ascii="Arial" w:cs="Arial" w:eastAsia="Arial" w:hAnsi="Arial"/>
                  <w:sz w:val="18"/>
                  <w:szCs w:val="18"/>
                  <w:color w:val="0000EE"/>
                  <w:w w:val="92"/>
                </w:rPr>
                <w:t>Ryman Hospitality Properties, Inc. 2016 Omnibus Incentive Plan (incorporated by reference to Exhibit 10.1</w:t>
              </w:r>
            </w:hyperlink>
          </w:p>
        </w:tc>
      </w:tr>
      <w:tr>
        <w:trPr>
          <w:trHeight w:val="196"/>
        </w:trPr>
        <w:tc>
          <w:tcPr>
            <w:tcW w:w="1080" w:type="dxa"/>
            <w:vAlign w:val="bottom"/>
          </w:tcPr>
          <w:p>
            <w:pPr>
              <w:spacing w:after="0"/>
              <w:rPr>
                <w:sz w:val="17"/>
                <w:szCs w:val="17"/>
                <w:color w:val="auto"/>
              </w:rPr>
            </w:pPr>
          </w:p>
        </w:tc>
        <w:tc>
          <w:tcPr>
            <w:tcW w:w="60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2"/>
              </w:rPr>
            </w:pPr>
            <w:hyperlink r:id="rId119">
              <w:r>
                <w:rPr>
                  <w:rFonts w:ascii="Arial" w:cs="Arial" w:eastAsia="Arial" w:hAnsi="Arial"/>
                  <w:sz w:val="18"/>
                  <w:szCs w:val="18"/>
                  <w:color w:val="0000EE"/>
                  <w:w w:val="92"/>
                </w:rPr>
                <w:t>to the Company’s Current Report on Form 8-K filed with the SEC on May 6, 2016).</w:t>
              </w:r>
            </w:hyperlink>
          </w:p>
        </w:tc>
        <w:tc>
          <w:tcPr>
            <w:tcW w:w="1700" w:type="dxa"/>
            <w:vAlign w:val="bottom"/>
            <w:tcBorders>
              <w:top w:val="single" w:sz="8" w:color="0000EE"/>
            </w:tcBorders>
            <w:gridSpan w:val="13"/>
          </w:tcPr>
          <w:p>
            <w:pPr>
              <w:spacing w:after="0"/>
              <w:rPr>
                <w:sz w:val="17"/>
                <w:szCs w:val="17"/>
                <w:color w:val="auto"/>
              </w:rPr>
            </w:pPr>
          </w:p>
        </w:tc>
        <w:tc>
          <w:tcPr>
            <w:tcW w:w="80" w:type="dxa"/>
            <w:vAlign w:val="bottom"/>
            <w:gridSpan w:val="4"/>
          </w:tcPr>
          <w:p>
            <w:pPr>
              <w:spacing w:after="0"/>
              <w:rPr>
                <w:sz w:val="17"/>
                <w:szCs w:val="17"/>
                <w:color w:val="auto"/>
              </w:rPr>
            </w:pPr>
          </w:p>
        </w:tc>
      </w:tr>
      <w:tr>
        <w:trPr>
          <w:trHeight w:val="196"/>
        </w:trPr>
        <w:tc>
          <w:tcPr>
            <w:tcW w:w="1080" w:type="dxa"/>
            <w:vAlign w:val="bottom"/>
          </w:tcPr>
          <w:p>
            <w:pPr>
              <w:ind w:left="20"/>
              <w:spacing w:after="0" w:line="196" w:lineRule="exact"/>
              <w:rPr>
                <w:sz w:val="20"/>
                <w:szCs w:val="20"/>
                <w:color w:val="auto"/>
              </w:rPr>
            </w:pPr>
            <w:r>
              <w:rPr>
                <w:rFonts w:ascii="Arial" w:cs="Arial" w:eastAsia="Arial" w:hAnsi="Arial"/>
                <w:sz w:val="18"/>
                <w:szCs w:val="18"/>
                <w:color w:val="auto"/>
              </w:rPr>
              <w:t>10.33#</w:t>
            </w:r>
          </w:p>
        </w:tc>
        <w:tc>
          <w:tcPr>
            <w:tcW w:w="762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r:id="rId120">
              <w:r>
                <w:rPr>
                  <w:rFonts w:ascii="Arial" w:cs="Arial" w:eastAsia="Arial" w:hAnsi="Arial"/>
                  <w:sz w:val="18"/>
                  <w:szCs w:val="18"/>
                  <w:color w:val="0000EE"/>
                  <w:w w:val="90"/>
                </w:rPr>
                <w:t>Amendment dated February 10, 2017 to Ryman Hospitality Properties, Inc. 2016 Omnibus Incentive Plan</w:t>
              </w:r>
            </w:hyperlink>
          </w:p>
        </w:tc>
        <w:tc>
          <w:tcPr>
            <w:tcW w:w="220" w:type="dxa"/>
            <w:vAlign w:val="bottom"/>
            <w:gridSpan w:val="5"/>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50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120">
              <w:r>
                <w:rPr>
                  <w:rFonts w:ascii="Arial" w:cs="Arial" w:eastAsia="Arial" w:hAnsi="Arial"/>
                  <w:sz w:val="18"/>
                  <w:szCs w:val="18"/>
                  <w:color w:val="0000EE"/>
                  <w:w w:val="91"/>
                </w:rPr>
                <w:t>(incorporated by reference to Exhibit 10.43 to the Company’s Annual Report on Form 10-K for the year</w:t>
              </w:r>
            </w:hyperlink>
          </w:p>
        </w:tc>
        <w:tc>
          <w:tcPr>
            <w:tcW w:w="340" w:type="dxa"/>
            <w:vAlign w:val="bottom"/>
            <w:gridSpan w:val="7"/>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200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r:id="rId120">
              <w:r>
                <w:rPr>
                  <w:rFonts w:ascii="Arial" w:cs="Arial" w:eastAsia="Arial" w:hAnsi="Arial"/>
                  <w:sz w:val="18"/>
                  <w:szCs w:val="18"/>
                  <w:color w:val="0000EE"/>
                  <w:w w:val="88"/>
                </w:rPr>
                <w:t>ended December 31, 2016).</w:t>
              </w:r>
            </w:hyperlink>
          </w:p>
        </w:tc>
        <w:tc>
          <w:tcPr>
            <w:tcW w:w="5840" w:type="dxa"/>
            <w:vAlign w:val="bottom"/>
            <w:gridSpan w:val="27"/>
          </w:tcPr>
          <w:p>
            <w:pPr>
              <w:spacing w:after="0"/>
              <w:rPr>
                <w:sz w:val="17"/>
                <w:szCs w:val="17"/>
                <w:color w:val="auto"/>
              </w:rPr>
            </w:pPr>
          </w:p>
        </w:tc>
      </w:tr>
      <w:tr>
        <w:trPr>
          <w:trHeight w:val="196"/>
        </w:trPr>
        <w:tc>
          <w:tcPr>
            <w:tcW w:w="1080" w:type="dxa"/>
            <w:vAlign w:val="bottom"/>
          </w:tcPr>
          <w:p>
            <w:pPr>
              <w:ind w:left="20"/>
              <w:spacing w:after="0" w:line="196" w:lineRule="exact"/>
              <w:rPr>
                <w:sz w:val="20"/>
                <w:szCs w:val="20"/>
                <w:color w:val="auto"/>
              </w:rPr>
            </w:pPr>
            <w:r>
              <w:rPr>
                <w:rFonts w:ascii="Arial" w:cs="Arial" w:eastAsia="Arial" w:hAnsi="Arial"/>
                <w:sz w:val="18"/>
                <w:szCs w:val="18"/>
                <w:color w:val="auto"/>
              </w:rPr>
              <w:t>10.34#</w:t>
            </w:r>
          </w:p>
        </w:tc>
        <w:tc>
          <w:tcPr>
            <w:tcW w:w="722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r:id="rId121">
              <w:r>
                <w:rPr>
                  <w:rFonts w:ascii="Arial" w:cs="Arial" w:eastAsia="Arial" w:hAnsi="Arial"/>
                  <w:sz w:val="18"/>
                  <w:szCs w:val="18"/>
                  <w:color w:val="0000EE"/>
                  <w:w w:val="90"/>
                </w:rPr>
                <w:t>Form of Restricted Stock Unit Award Agreement granted pursuant to the Company’s 2016 Omnibus</w:t>
              </w:r>
            </w:hyperlink>
          </w:p>
        </w:tc>
        <w:tc>
          <w:tcPr>
            <w:tcW w:w="620" w:type="dxa"/>
            <w:vAlign w:val="bottom"/>
            <w:gridSpan w:val="10"/>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1"/>
          </w:tcPr>
          <w:p>
            <w:pPr>
              <w:spacing w:after="0" w:line="196" w:lineRule="exact"/>
              <w:rPr>
                <w:rFonts w:ascii="Arial" w:cs="Arial" w:eastAsia="Arial" w:hAnsi="Arial"/>
                <w:sz w:val="18"/>
                <w:szCs w:val="18"/>
                <w:color w:val="0000EE"/>
                <w:w w:val="92"/>
              </w:rPr>
            </w:pPr>
            <w:hyperlink r:id="rId121">
              <w:r>
                <w:rPr>
                  <w:rFonts w:ascii="Arial" w:cs="Arial" w:eastAsia="Arial" w:hAnsi="Arial"/>
                  <w:sz w:val="18"/>
                  <w:szCs w:val="18"/>
                  <w:color w:val="0000EE"/>
                  <w:w w:val="92"/>
                </w:rPr>
                <w:t>Incentive Plan (incorporated by reference to Exhibit 10.1 to the Company’s Quarterly Report on Form 10-Q</w:t>
              </w:r>
            </w:hyperlink>
          </w:p>
        </w:tc>
      </w:tr>
      <w:tr>
        <w:trPr>
          <w:trHeight w:val="196"/>
        </w:trPr>
        <w:tc>
          <w:tcPr>
            <w:tcW w:w="1080" w:type="dxa"/>
            <w:vAlign w:val="bottom"/>
          </w:tcPr>
          <w:p>
            <w:pPr>
              <w:spacing w:after="0"/>
              <w:rPr>
                <w:sz w:val="17"/>
                <w:szCs w:val="17"/>
                <w:color w:val="auto"/>
              </w:rPr>
            </w:pPr>
          </w:p>
        </w:tc>
        <w:tc>
          <w:tcPr>
            <w:tcW w:w="776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for the quarter ended June 30, 2016).</w:t>
              </w:r>
            </w:hyperlink>
          </w:p>
        </w:tc>
        <w:tc>
          <w:tcPr>
            <w:tcW w:w="80" w:type="dxa"/>
            <w:vAlign w:val="bottom"/>
            <w:gridSpan w:val="4"/>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ind w:left="20"/>
              <w:spacing w:after="0" w:line="196" w:lineRule="exact"/>
              <w:rPr>
                <w:sz w:val="20"/>
                <w:szCs w:val="20"/>
                <w:color w:val="auto"/>
              </w:rPr>
            </w:pPr>
            <w:r>
              <w:rPr>
                <w:rFonts w:ascii="Arial" w:cs="Arial" w:eastAsia="Arial" w:hAnsi="Arial"/>
                <w:sz w:val="18"/>
                <w:szCs w:val="18"/>
                <w:color w:val="auto"/>
              </w:rPr>
              <w:t>10.35#</w:t>
            </w:r>
          </w:p>
        </w:tc>
        <w:tc>
          <w:tcPr>
            <w:tcW w:w="7840" w:type="dxa"/>
            <w:vAlign w:val="bottom"/>
            <w:gridSpan w:val="31"/>
          </w:tcPr>
          <w:p>
            <w:pPr>
              <w:spacing w:after="0" w:line="196" w:lineRule="exact"/>
              <w:rPr>
                <w:rFonts w:ascii="Arial" w:cs="Arial" w:eastAsia="Arial" w:hAnsi="Arial"/>
                <w:sz w:val="18"/>
                <w:szCs w:val="18"/>
                <w:color w:val="0000EE"/>
                <w:w w:val="94"/>
              </w:rPr>
            </w:pPr>
            <w:hyperlink r:id="rId122">
              <w:r>
                <w:rPr>
                  <w:rFonts w:ascii="Arial" w:cs="Arial" w:eastAsia="Arial" w:hAnsi="Arial"/>
                  <w:sz w:val="18"/>
                  <w:szCs w:val="18"/>
                  <w:color w:val="0000EE"/>
                  <w:w w:val="94"/>
                </w:rPr>
                <w:t>Form of Restricted Stock Unit Award Agreement with respect to time-based vesting restricted stock units</w:t>
              </w:r>
            </w:hyperlink>
          </w:p>
        </w:tc>
      </w:tr>
      <w:tr>
        <w:trPr>
          <w:trHeight w:val="20"/>
        </w:trPr>
        <w:tc>
          <w:tcPr>
            <w:tcW w:w="10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30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7800" w:type="dxa"/>
            <w:vAlign w:val="bottom"/>
            <w:tcBorders>
              <w:bottom w:val="single" w:sz="8" w:color="0000EE"/>
            </w:tcBorders>
            <w:gridSpan w:val="29"/>
          </w:tcPr>
          <w:p>
            <w:pPr>
              <w:spacing w:after="0" w:line="196" w:lineRule="exact"/>
              <w:rPr>
                <w:rFonts w:ascii="Arial" w:cs="Arial" w:eastAsia="Arial" w:hAnsi="Arial"/>
                <w:sz w:val="18"/>
                <w:szCs w:val="18"/>
                <w:color w:val="0000EE"/>
                <w:w w:val="90"/>
              </w:rPr>
            </w:pPr>
            <w:hyperlink r:id="rId122">
              <w:r>
                <w:rPr>
                  <w:rFonts w:ascii="Arial" w:cs="Arial" w:eastAsia="Arial" w:hAnsi="Arial"/>
                  <w:sz w:val="18"/>
                  <w:szCs w:val="18"/>
                  <w:color w:val="0000EE"/>
                  <w:w w:val="90"/>
                </w:rPr>
                <w:t>granted pursuant to the Company’s 2016 Omnibus Incentive Plan (incorporated by reference to Exhibit 10.2</w:t>
              </w:r>
            </w:hyperlink>
          </w:p>
        </w:tc>
        <w:tc>
          <w:tcPr>
            <w:tcW w:w="40" w:type="dxa"/>
            <w:vAlign w:val="bottom"/>
            <w:gridSpan w:val="2"/>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632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122">
              <w:r>
                <w:rPr>
                  <w:rFonts w:ascii="Arial" w:cs="Arial" w:eastAsia="Arial" w:hAnsi="Arial"/>
                  <w:sz w:val="18"/>
                  <w:szCs w:val="18"/>
                  <w:color w:val="0000EE"/>
                  <w:w w:val="90"/>
                </w:rPr>
                <w:t>to the Company’s Quarterly Report on Form 10-Q for the quarter ended June 30, 2016).</w:t>
              </w:r>
            </w:hyperlink>
          </w:p>
        </w:tc>
        <w:tc>
          <w:tcPr>
            <w:tcW w:w="1520" w:type="dxa"/>
            <w:vAlign w:val="bottom"/>
            <w:gridSpan w:val="16"/>
          </w:tcPr>
          <w:p>
            <w:pPr>
              <w:spacing w:after="0"/>
              <w:rPr>
                <w:sz w:val="17"/>
                <w:szCs w:val="17"/>
                <w:color w:val="auto"/>
              </w:rPr>
            </w:pPr>
          </w:p>
        </w:tc>
      </w:tr>
      <w:tr>
        <w:trPr>
          <w:trHeight w:val="196"/>
        </w:trPr>
        <w:tc>
          <w:tcPr>
            <w:tcW w:w="1080" w:type="dxa"/>
            <w:vAlign w:val="bottom"/>
          </w:tcPr>
          <w:p>
            <w:pPr>
              <w:ind w:left="20"/>
              <w:spacing w:after="0" w:line="196" w:lineRule="exact"/>
              <w:rPr>
                <w:sz w:val="20"/>
                <w:szCs w:val="20"/>
                <w:color w:val="auto"/>
              </w:rPr>
            </w:pPr>
            <w:r>
              <w:rPr>
                <w:rFonts w:ascii="Arial" w:cs="Arial" w:eastAsia="Arial" w:hAnsi="Arial"/>
                <w:sz w:val="18"/>
                <w:szCs w:val="18"/>
                <w:color w:val="auto"/>
              </w:rPr>
              <w:t>10.36#</w:t>
            </w:r>
          </w:p>
        </w:tc>
        <w:tc>
          <w:tcPr>
            <w:tcW w:w="778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r:id="rId123">
              <w:r>
                <w:rPr>
                  <w:rFonts w:ascii="Arial" w:cs="Arial" w:eastAsia="Arial" w:hAnsi="Arial"/>
                  <w:sz w:val="18"/>
                  <w:szCs w:val="18"/>
                  <w:color w:val="0000EE"/>
                  <w:w w:val="90"/>
                </w:rPr>
                <w:t>Form of Restricted Stock Unit Award Agreement with respect to performance-based vesting restricted stock</w:t>
              </w:r>
            </w:hyperlink>
          </w:p>
        </w:tc>
        <w:tc>
          <w:tcPr>
            <w:tcW w:w="60" w:type="dxa"/>
            <w:vAlign w:val="bottom"/>
            <w:gridSpan w:val="3"/>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20" w:type="dxa"/>
            <w:vAlign w:val="bottom"/>
            <w:tcBorders>
              <w:bottom w:val="single" w:sz="8" w:color="0000EE"/>
            </w:tcBorders>
            <w:gridSpan w:val="30"/>
          </w:tcPr>
          <w:p>
            <w:pPr>
              <w:spacing w:after="0" w:line="196" w:lineRule="exact"/>
              <w:rPr>
                <w:rFonts w:ascii="Arial" w:cs="Arial" w:eastAsia="Arial" w:hAnsi="Arial"/>
                <w:sz w:val="18"/>
                <w:szCs w:val="18"/>
                <w:color w:val="0000EE"/>
                <w:w w:val="90"/>
              </w:rPr>
            </w:pPr>
            <w:hyperlink r:id="rId123">
              <w:r>
                <w:rPr>
                  <w:rFonts w:ascii="Arial" w:cs="Arial" w:eastAsia="Arial" w:hAnsi="Arial"/>
                  <w:sz w:val="18"/>
                  <w:szCs w:val="18"/>
                  <w:color w:val="0000EE"/>
                  <w:w w:val="90"/>
                </w:rPr>
                <w:t>units granted pursuant to the Company’s 2016 Omnibus Incentive Plan (incorporated by reference to Exhibit</w:t>
              </w:r>
            </w:hyperlink>
          </w:p>
        </w:tc>
        <w:tc>
          <w:tcPr>
            <w:tcW w:w="2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668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123">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3</w:t>
              </w:r>
              <w:r>
                <w:rPr>
                  <w:rFonts w:ascii="Arial" w:cs="Arial" w:eastAsia="Arial" w:hAnsi="Arial"/>
                  <w:sz w:val="18"/>
                  <w:szCs w:val="18"/>
                  <w:color w:val="0000EE"/>
                  <w:w w:val="90"/>
                </w:rPr>
                <w:t xml:space="preserve"> to the Company’s Quarterly Report on Form 10-Q for the quarter ended June 30, 2016).</w:t>
              </w:r>
            </w:hyperlink>
          </w:p>
        </w:tc>
        <w:tc>
          <w:tcPr>
            <w:tcW w:w="1160" w:type="dxa"/>
            <w:vAlign w:val="bottom"/>
            <w:gridSpan w:val="14"/>
          </w:tcPr>
          <w:p>
            <w:pPr>
              <w:spacing w:after="0"/>
              <w:rPr>
                <w:sz w:val="17"/>
                <w:szCs w:val="17"/>
                <w:color w:val="auto"/>
              </w:rPr>
            </w:pPr>
          </w:p>
        </w:tc>
      </w:tr>
      <w:tr>
        <w:trPr>
          <w:trHeight w:val="196"/>
        </w:trPr>
        <w:tc>
          <w:tcPr>
            <w:tcW w:w="1080" w:type="dxa"/>
            <w:vAlign w:val="bottom"/>
          </w:tcPr>
          <w:p>
            <w:pPr>
              <w:ind w:left="20"/>
              <w:spacing w:after="0" w:line="196" w:lineRule="exact"/>
              <w:rPr>
                <w:sz w:val="20"/>
                <w:szCs w:val="20"/>
                <w:color w:val="auto"/>
              </w:rPr>
            </w:pPr>
            <w:r>
              <w:rPr>
                <w:rFonts w:ascii="Arial" w:cs="Arial" w:eastAsia="Arial" w:hAnsi="Arial"/>
                <w:sz w:val="18"/>
                <w:szCs w:val="18"/>
                <w:color w:val="auto"/>
              </w:rPr>
              <w:t>10.37#</w:t>
            </w:r>
          </w:p>
        </w:tc>
        <w:tc>
          <w:tcPr>
            <w:tcW w:w="718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24">
              <w:r>
                <w:rPr>
                  <w:rFonts w:ascii="Arial" w:cs="Arial" w:eastAsia="Arial" w:hAnsi="Arial"/>
                  <w:sz w:val="18"/>
                  <w:szCs w:val="18"/>
                  <w:color w:val="0000EE"/>
                  <w:w w:val="91"/>
                </w:rPr>
                <w:t>Form of Long-Term Stockholder Value Creation Restricted Stock Award Agreement with respect to</w:t>
              </w:r>
            </w:hyperlink>
          </w:p>
        </w:tc>
        <w:tc>
          <w:tcPr>
            <w:tcW w:w="660" w:type="dxa"/>
            <w:vAlign w:val="bottom"/>
            <w:gridSpan w:val="11"/>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1"/>
          </w:tcPr>
          <w:p>
            <w:pPr>
              <w:spacing w:after="0" w:line="196" w:lineRule="exact"/>
              <w:rPr>
                <w:rFonts w:ascii="Arial" w:cs="Arial" w:eastAsia="Arial" w:hAnsi="Arial"/>
                <w:sz w:val="18"/>
                <w:szCs w:val="18"/>
                <w:color w:val="0000EE"/>
                <w:w w:val="94"/>
              </w:rPr>
            </w:pPr>
            <w:hyperlink r:id="rId124">
              <w:r>
                <w:rPr>
                  <w:rFonts w:ascii="Arial" w:cs="Arial" w:eastAsia="Arial" w:hAnsi="Arial"/>
                  <w:sz w:val="18"/>
                  <w:szCs w:val="18"/>
                  <w:color w:val="0000EE"/>
                  <w:w w:val="94"/>
                </w:rPr>
                <w:t>restricted stock units granted pursuant to the Company’s 2016 Omnibus Incentive Plan (incorporated by</w:t>
              </w:r>
            </w:hyperlink>
          </w:p>
        </w:tc>
      </w:tr>
      <w:tr>
        <w:trPr>
          <w:trHeight w:val="20"/>
        </w:trPr>
        <w:tc>
          <w:tcPr>
            <w:tcW w:w="10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900" w:type="dxa"/>
            <w:vAlign w:val="bottom"/>
            <w:tcBorders>
              <w:right w:val="single" w:sz="8" w:color="0000EE"/>
            </w:tcBorders>
            <w:gridSpan w:val="7"/>
            <w:shd w:val="clear" w:color="auto" w:fill="0000EE"/>
          </w:tcPr>
          <w:p>
            <w:pPr>
              <w:spacing w:after="0" w:line="20" w:lineRule="exact"/>
              <w:rPr>
                <w:sz w:val="1"/>
                <w:szCs w:val="1"/>
                <w:color w:val="auto"/>
              </w:rPr>
            </w:pPr>
          </w:p>
        </w:tc>
        <w:tc>
          <w:tcPr>
            <w:tcW w:w="360" w:type="dxa"/>
            <w:vAlign w:val="bottom"/>
            <w:gridSpan w:val="8"/>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1"/>
          </w:tcPr>
          <w:p>
            <w:pPr>
              <w:spacing w:after="0" w:line="196" w:lineRule="exact"/>
              <w:rPr>
                <w:rFonts w:ascii="Arial" w:cs="Arial" w:eastAsia="Arial" w:hAnsi="Arial"/>
                <w:sz w:val="18"/>
                <w:szCs w:val="18"/>
                <w:color w:val="0000EE"/>
                <w:w w:val="91"/>
              </w:rPr>
            </w:pPr>
            <w:hyperlink r:id="rId124">
              <w:r>
                <w:rPr>
                  <w:rFonts w:ascii="Arial" w:cs="Arial" w:eastAsia="Arial" w:hAnsi="Arial"/>
                  <w:sz w:val="18"/>
                  <w:szCs w:val="18"/>
                  <w:color w:val="0000EE"/>
                  <w:w w:val="91"/>
                </w:rPr>
                <w:t>reference to Exhibit 10.46 to the Company’s Annual Report on Form 10-K for the year ended December 31,</w:t>
              </w:r>
            </w:hyperlink>
          </w:p>
        </w:tc>
      </w:tr>
      <w:tr>
        <w:trPr>
          <w:trHeight w:val="196"/>
        </w:trPr>
        <w:tc>
          <w:tcPr>
            <w:tcW w:w="1080" w:type="dxa"/>
            <w:vAlign w:val="bottom"/>
          </w:tcPr>
          <w:p>
            <w:pPr>
              <w:spacing w:after="0"/>
              <w:rPr>
                <w:sz w:val="17"/>
                <w:szCs w:val="17"/>
                <w:color w:val="auto"/>
              </w:rPr>
            </w:pPr>
          </w:p>
        </w:tc>
        <w:tc>
          <w:tcPr>
            <w:tcW w:w="4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r:id="rId124">
              <w:r>
                <w:rPr>
                  <w:rFonts w:ascii="Arial" w:cs="Arial" w:eastAsia="Arial" w:hAnsi="Arial"/>
                  <w:sz w:val="18"/>
                  <w:szCs w:val="18"/>
                  <w:color w:val="0000EE"/>
                  <w:w w:val="86"/>
                </w:rPr>
                <w:t>2020).</w:t>
              </w:r>
            </w:hyperlink>
          </w:p>
        </w:tc>
        <w:tc>
          <w:tcPr>
            <w:tcW w:w="78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80" w:type="dxa"/>
            <w:vAlign w:val="bottom"/>
          </w:tcPr>
          <w:p>
            <w:pPr>
              <w:ind w:left="20"/>
              <w:spacing w:after="0" w:line="196" w:lineRule="exact"/>
              <w:rPr>
                <w:sz w:val="20"/>
                <w:szCs w:val="20"/>
                <w:color w:val="auto"/>
              </w:rPr>
            </w:pPr>
            <w:r>
              <w:rPr>
                <w:rFonts w:ascii="Arial" w:cs="Arial" w:eastAsia="Arial" w:hAnsi="Arial"/>
                <w:sz w:val="18"/>
                <w:szCs w:val="18"/>
                <w:color w:val="auto"/>
              </w:rPr>
              <w:t>21*</w:t>
            </w:r>
          </w:p>
        </w:tc>
        <w:tc>
          <w:tcPr>
            <w:tcW w:w="212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122">
              <w:r>
                <w:rPr>
                  <w:rFonts w:ascii="Arial" w:cs="Arial" w:eastAsia="Arial" w:hAnsi="Arial"/>
                  <w:sz w:val="18"/>
                  <w:szCs w:val="18"/>
                  <w:color w:val="0000EE"/>
                  <w:w w:val="89"/>
                </w:rPr>
                <w:t>Subsidiaries of the Company.</w:t>
              </w:r>
            </w:hyperlink>
          </w:p>
        </w:tc>
        <w:tc>
          <w:tcPr>
            <w:tcW w:w="5720" w:type="dxa"/>
            <w:vAlign w:val="bottom"/>
            <w:gridSpan w:val="26"/>
          </w:tcPr>
          <w:p>
            <w:pPr>
              <w:spacing w:after="0"/>
              <w:rPr>
                <w:sz w:val="17"/>
                <w:szCs w:val="17"/>
                <w:color w:val="auto"/>
              </w:rPr>
            </w:pPr>
          </w:p>
        </w:tc>
      </w:tr>
      <w:tr>
        <w:trPr>
          <w:trHeight w:val="196"/>
        </w:trPr>
        <w:tc>
          <w:tcPr>
            <w:tcW w:w="1080" w:type="dxa"/>
            <w:vAlign w:val="bottom"/>
          </w:tcPr>
          <w:p>
            <w:pPr>
              <w:ind w:left="20"/>
              <w:spacing w:after="0" w:line="196" w:lineRule="exact"/>
              <w:rPr>
                <w:sz w:val="20"/>
                <w:szCs w:val="20"/>
                <w:color w:val="auto"/>
              </w:rPr>
            </w:pPr>
            <w:r>
              <w:rPr>
                <w:rFonts w:ascii="Arial" w:cs="Arial" w:eastAsia="Arial" w:hAnsi="Arial"/>
                <w:sz w:val="18"/>
                <w:szCs w:val="18"/>
                <w:color w:val="auto"/>
              </w:rPr>
              <w:t>22*</w:t>
            </w:r>
          </w:p>
        </w:tc>
        <w:tc>
          <w:tcPr>
            <w:tcW w:w="300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124">
              <w:r>
                <w:rPr>
                  <w:rFonts w:ascii="Arial" w:cs="Arial" w:eastAsia="Arial" w:hAnsi="Arial"/>
                  <w:sz w:val="18"/>
                  <w:szCs w:val="18"/>
                  <w:color w:val="0000EE"/>
                  <w:w w:val="90"/>
                </w:rPr>
                <w:t>List of Parent and Subsidiary Guarantors.</w:t>
              </w:r>
            </w:hyperlink>
          </w:p>
        </w:tc>
        <w:tc>
          <w:tcPr>
            <w:tcW w:w="4840" w:type="dxa"/>
            <w:vAlign w:val="bottom"/>
            <w:gridSpan w:val="24"/>
          </w:tcPr>
          <w:p>
            <w:pPr>
              <w:spacing w:after="0"/>
              <w:rPr>
                <w:sz w:val="17"/>
                <w:szCs w:val="17"/>
                <w:color w:val="auto"/>
              </w:rPr>
            </w:pPr>
          </w:p>
        </w:tc>
      </w:tr>
      <w:tr>
        <w:trPr>
          <w:trHeight w:val="196"/>
        </w:trPr>
        <w:tc>
          <w:tcPr>
            <w:tcW w:w="1080" w:type="dxa"/>
            <w:vAlign w:val="bottom"/>
          </w:tcPr>
          <w:p>
            <w:pPr>
              <w:ind w:left="20"/>
              <w:spacing w:after="0" w:line="196" w:lineRule="exact"/>
              <w:rPr>
                <w:sz w:val="20"/>
                <w:szCs w:val="20"/>
                <w:color w:val="auto"/>
              </w:rPr>
            </w:pPr>
            <w:r>
              <w:rPr>
                <w:rFonts w:ascii="Arial" w:cs="Arial" w:eastAsia="Arial" w:hAnsi="Arial"/>
                <w:sz w:val="18"/>
                <w:szCs w:val="18"/>
                <w:color w:val="auto"/>
              </w:rPr>
              <w:t>23.1*</w:t>
            </w:r>
          </w:p>
        </w:tc>
        <w:tc>
          <w:tcPr>
            <w:tcW w:w="7840" w:type="dxa"/>
            <w:vAlign w:val="bottom"/>
            <w:gridSpan w:val="31"/>
          </w:tcPr>
          <w:p>
            <w:pPr>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Consent of Independent Registered Public Accounting Firm.</w:t>
              </w:r>
            </w:hyperlink>
          </w:p>
        </w:tc>
      </w:tr>
      <w:tr>
        <w:trPr>
          <w:trHeight w:val="20"/>
        </w:trPr>
        <w:tc>
          <w:tcPr>
            <w:tcW w:w="10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120" w:type="dxa"/>
            <w:vAlign w:val="bottom"/>
            <w:gridSpan w:val="7"/>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900" w:type="dxa"/>
            <w:vAlign w:val="bottom"/>
            <w:gridSpan w:val="7"/>
          </w:tcPr>
          <w:p>
            <w:pPr>
              <w:spacing w:after="0" w:line="20" w:lineRule="exact"/>
              <w:rPr>
                <w:sz w:val="1"/>
                <w:szCs w:val="1"/>
                <w:color w:val="auto"/>
              </w:rPr>
            </w:pPr>
          </w:p>
        </w:tc>
        <w:tc>
          <w:tcPr>
            <w:tcW w:w="360" w:type="dxa"/>
            <w:vAlign w:val="bottom"/>
            <w:gridSpan w:val="8"/>
          </w:tcPr>
          <w:p>
            <w:pPr>
              <w:spacing w:after="0" w:line="20" w:lineRule="exact"/>
              <w:rPr>
                <w:sz w:val="1"/>
                <w:szCs w:val="1"/>
                <w:color w:val="auto"/>
              </w:rPr>
            </w:pPr>
          </w:p>
        </w:tc>
      </w:tr>
      <w:tr>
        <w:trPr>
          <w:trHeight w:val="196"/>
        </w:trPr>
        <w:tc>
          <w:tcPr>
            <w:tcW w:w="1080" w:type="dxa"/>
            <w:vAlign w:val="bottom"/>
          </w:tcPr>
          <w:p>
            <w:pPr>
              <w:ind w:left="20"/>
              <w:spacing w:after="0" w:line="196" w:lineRule="exact"/>
              <w:rPr>
                <w:sz w:val="20"/>
                <w:szCs w:val="20"/>
                <w:color w:val="auto"/>
              </w:rPr>
            </w:pPr>
            <w:r>
              <w:rPr>
                <w:rFonts w:ascii="Arial" w:cs="Arial" w:eastAsia="Arial" w:hAnsi="Arial"/>
                <w:sz w:val="18"/>
                <w:szCs w:val="18"/>
                <w:color w:val="auto"/>
              </w:rPr>
              <w:t>31.1*</w:t>
            </w:r>
          </w:p>
        </w:tc>
        <w:tc>
          <w:tcPr>
            <w:tcW w:w="748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w:anchor="page126">
              <w:r>
                <w:rPr>
                  <w:rFonts w:ascii="Arial" w:cs="Arial" w:eastAsia="Arial" w:hAnsi="Arial"/>
                  <w:sz w:val="18"/>
                  <w:szCs w:val="18"/>
                  <w:color w:val="0000EE"/>
                  <w:w w:val="92"/>
                </w:rPr>
                <w:t>Certification of Chief Executive Officer of Periodic Report Pursuant to Rule 13a - 14(a) and Rule 15d -</w:t>
              </w:r>
            </w:hyperlink>
          </w:p>
        </w:tc>
        <w:tc>
          <w:tcPr>
            <w:tcW w:w="360" w:type="dxa"/>
            <w:vAlign w:val="bottom"/>
            <w:gridSpan w:val="8"/>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840" w:type="dxa"/>
            <w:vAlign w:val="bottom"/>
            <w:gridSpan w:val="31"/>
          </w:tcPr>
          <w:p>
            <w:pPr>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14(a).</w:t>
              </w:r>
            </w:hyperlink>
          </w:p>
        </w:tc>
      </w:tr>
      <w:tr>
        <w:trPr>
          <w:trHeight w:val="20"/>
        </w:trPr>
        <w:tc>
          <w:tcPr>
            <w:tcW w:w="10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24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260" w:type="dxa"/>
            <w:vAlign w:val="bottom"/>
            <w:gridSpan w:val="15"/>
          </w:tcPr>
          <w:p>
            <w:pPr>
              <w:spacing w:after="0" w:line="20" w:lineRule="exact"/>
              <w:rPr>
                <w:sz w:val="1"/>
                <w:szCs w:val="1"/>
                <w:color w:val="auto"/>
              </w:rPr>
            </w:pPr>
          </w:p>
        </w:tc>
      </w:tr>
      <w:tr>
        <w:trPr>
          <w:trHeight w:val="196"/>
        </w:trPr>
        <w:tc>
          <w:tcPr>
            <w:tcW w:w="1080" w:type="dxa"/>
            <w:vAlign w:val="bottom"/>
          </w:tcPr>
          <w:p>
            <w:pPr>
              <w:ind w:left="20"/>
              <w:spacing w:after="0" w:line="196" w:lineRule="exact"/>
              <w:rPr>
                <w:sz w:val="20"/>
                <w:szCs w:val="20"/>
                <w:color w:val="auto"/>
              </w:rPr>
            </w:pPr>
            <w:r>
              <w:rPr>
                <w:rFonts w:ascii="Arial" w:cs="Arial" w:eastAsia="Arial" w:hAnsi="Arial"/>
                <w:sz w:val="18"/>
                <w:szCs w:val="18"/>
                <w:color w:val="auto"/>
              </w:rPr>
              <w:t>31.2*</w:t>
            </w:r>
          </w:p>
        </w:tc>
        <w:tc>
          <w:tcPr>
            <w:tcW w:w="7840" w:type="dxa"/>
            <w:vAlign w:val="bottom"/>
            <w:gridSpan w:val="31"/>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Certification of Chief Financial Officer of Periodic Report Pursuant to Rule 13a - 14(a) and</w:t>
              </w:r>
            </w:hyperlink>
          </w:p>
        </w:tc>
      </w:tr>
      <w:tr>
        <w:trPr>
          <w:trHeight w:val="196"/>
        </w:trPr>
        <w:tc>
          <w:tcPr>
            <w:tcW w:w="1080" w:type="dxa"/>
            <w:vAlign w:val="bottom"/>
          </w:tcPr>
          <w:p>
            <w:pPr>
              <w:spacing w:after="0"/>
              <w:rPr>
                <w:sz w:val="17"/>
                <w:szCs w:val="17"/>
                <w:color w:val="auto"/>
              </w:rPr>
            </w:pPr>
          </w:p>
        </w:tc>
        <w:tc>
          <w:tcPr>
            <w:tcW w:w="12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127">
              <w:r>
                <w:rPr>
                  <w:rFonts w:ascii="Arial" w:cs="Arial" w:eastAsia="Arial" w:hAnsi="Arial"/>
                  <w:sz w:val="18"/>
                  <w:szCs w:val="18"/>
                  <w:color w:val="0000EE"/>
                  <w:w w:val="90"/>
                </w:rPr>
                <w:t>Rule 15d - 14(a).</w:t>
              </w:r>
            </w:hyperlink>
          </w:p>
        </w:tc>
        <w:tc>
          <w:tcPr>
            <w:tcW w:w="5340" w:type="dxa"/>
            <w:vAlign w:val="bottom"/>
            <w:tcBorders>
              <w:top w:val="single" w:sz="8" w:color="0000EE"/>
            </w:tcBorders>
            <w:gridSpan w:val="13"/>
          </w:tcPr>
          <w:p>
            <w:pPr>
              <w:spacing w:after="0"/>
              <w:rPr>
                <w:sz w:val="17"/>
                <w:szCs w:val="17"/>
                <w:color w:val="auto"/>
              </w:rPr>
            </w:pPr>
          </w:p>
        </w:tc>
        <w:tc>
          <w:tcPr>
            <w:tcW w:w="1260" w:type="dxa"/>
            <w:vAlign w:val="bottom"/>
            <w:gridSpan w:val="15"/>
          </w:tcPr>
          <w:p>
            <w:pPr>
              <w:spacing w:after="0"/>
              <w:rPr>
                <w:sz w:val="17"/>
                <w:szCs w:val="17"/>
                <w:color w:val="auto"/>
              </w:rPr>
            </w:pPr>
          </w:p>
        </w:tc>
      </w:tr>
      <w:tr>
        <w:trPr>
          <w:trHeight w:val="196"/>
        </w:trPr>
        <w:tc>
          <w:tcPr>
            <w:tcW w:w="1080" w:type="dxa"/>
            <w:vAlign w:val="bottom"/>
          </w:tcPr>
          <w:p>
            <w:pPr>
              <w:ind w:left="20"/>
              <w:spacing w:after="0" w:line="196" w:lineRule="exact"/>
              <w:rPr>
                <w:sz w:val="20"/>
                <w:szCs w:val="20"/>
                <w:color w:val="auto"/>
              </w:rPr>
            </w:pPr>
            <w:r>
              <w:rPr>
                <w:rFonts w:ascii="Arial" w:cs="Arial" w:eastAsia="Arial" w:hAnsi="Arial"/>
                <w:sz w:val="18"/>
                <w:szCs w:val="18"/>
                <w:color w:val="auto"/>
              </w:rPr>
              <w:t>32.1*</w:t>
            </w:r>
          </w:p>
        </w:tc>
        <w:tc>
          <w:tcPr>
            <w:tcW w:w="7840" w:type="dxa"/>
            <w:vAlign w:val="bottom"/>
            <w:gridSpan w:val="31"/>
          </w:tcPr>
          <w:p>
            <w:pPr>
              <w:spacing w:after="0" w:line="196" w:lineRule="exact"/>
              <w:rPr>
                <w:rFonts w:ascii="Arial" w:cs="Arial" w:eastAsia="Arial" w:hAnsi="Arial"/>
                <w:sz w:val="18"/>
                <w:szCs w:val="18"/>
                <w:color w:val="0000EE"/>
              </w:rPr>
            </w:pPr>
            <w:hyperlink w:anchor="page128">
              <w:r>
                <w:rPr>
                  <w:rFonts w:ascii="Arial" w:cs="Arial" w:eastAsia="Arial" w:hAnsi="Arial"/>
                  <w:sz w:val="18"/>
                  <w:szCs w:val="18"/>
                  <w:color w:val="0000EE"/>
                </w:rPr>
                <w:t>Certification of Chief Executive Officer Pursuant to 18 U.S.C. Section 1350.</w:t>
              </w:r>
            </w:hyperlink>
          </w:p>
        </w:tc>
      </w:tr>
      <w:tr>
        <w:trPr>
          <w:trHeight w:val="196"/>
        </w:trPr>
        <w:tc>
          <w:tcPr>
            <w:tcW w:w="1080" w:type="dxa"/>
            <w:vAlign w:val="bottom"/>
          </w:tcPr>
          <w:p>
            <w:pPr>
              <w:ind w:left="20"/>
              <w:spacing w:after="0" w:line="196" w:lineRule="exact"/>
              <w:rPr>
                <w:sz w:val="20"/>
                <w:szCs w:val="20"/>
                <w:color w:val="auto"/>
              </w:rPr>
            </w:pPr>
            <w:r>
              <w:rPr>
                <w:rFonts w:ascii="Arial" w:cs="Arial" w:eastAsia="Arial" w:hAnsi="Arial"/>
                <w:sz w:val="18"/>
                <w:szCs w:val="18"/>
                <w:color w:val="auto"/>
              </w:rPr>
              <w:t>32.2*</w:t>
            </w:r>
          </w:p>
        </w:tc>
        <w:tc>
          <w:tcPr>
            <w:tcW w:w="5520" w:type="dxa"/>
            <w:vAlign w:val="bottom"/>
            <w:tcBorders>
              <w:top w:val="single" w:sz="8" w:color="0000EE"/>
            </w:tcBorders>
            <w:gridSpan w:val="13"/>
          </w:tcPr>
          <w:p>
            <w:pPr>
              <w:spacing w:after="0" w:line="196" w:lineRule="exact"/>
              <w:rPr>
                <w:rFonts w:ascii="Arial" w:cs="Arial" w:eastAsia="Arial" w:hAnsi="Arial"/>
                <w:sz w:val="18"/>
                <w:szCs w:val="18"/>
                <w:color w:val="0000EE"/>
                <w:w w:val="92"/>
              </w:rPr>
            </w:pPr>
            <w:hyperlink w:anchor="page129">
              <w:r>
                <w:rPr>
                  <w:rFonts w:ascii="Arial" w:cs="Arial" w:eastAsia="Arial" w:hAnsi="Arial"/>
                  <w:sz w:val="18"/>
                  <w:szCs w:val="18"/>
                  <w:color w:val="0000EE"/>
                  <w:w w:val="92"/>
                </w:rPr>
                <w:t>Certification of Chief Financial Officer Pursuant to 18 U.S.C. Section 1350.</w:t>
              </w:r>
            </w:hyperlink>
          </w:p>
        </w:tc>
        <w:tc>
          <w:tcPr>
            <w:tcW w:w="2320" w:type="dxa"/>
            <w:vAlign w:val="bottom"/>
            <w:gridSpan w:val="18"/>
          </w:tcPr>
          <w:p>
            <w:pPr>
              <w:spacing w:after="0"/>
              <w:rPr>
                <w:sz w:val="17"/>
                <w:szCs w:val="17"/>
                <w:color w:val="auto"/>
              </w:rPr>
            </w:pPr>
          </w:p>
        </w:tc>
      </w:tr>
      <w:tr>
        <w:trPr>
          <w:trHeight w:val="669"/>
        </w:trPr>
        <w:tc>
          <w:tcPr>
            <w:tcW w:w="1080" w:type="dxa"/>
            <w:vAlign w:val="bottom"/>
          </w:tcPr>
          <w:p>
            <w:pPr>
              <w:spacing w:after="0"/>
              <w:rPr>
                <w:sz w:val="24"/>
                <w:szCs w:val="24"/>
                <w:color w:val="auto"/>
              </w:rPr>
            </w:pPr>
          </w:p>
        </w:tc>
        <w:tc>
          <w:tcPr>
            <w:tcW w:w="4300" w:type="dxa"/>
            <w:vAlign w:val="bottom"/>
            <w:tcBorders>
              <w:top w:val="single" w:sz="8" w:color="0000EE"/>
            </w:tcBorders>
            <w:gridSpan w:val="9"/>
          </w:tcPr>
          <w:p>
            <w:pPr>
              <w:ind w:left="3300"/>
              <w:spacing w:after="0"/>
              <w:rPr>
                <w:sz w:val="20"/>
                <w:szCs w:val="20"/>
                <w:color w:val="auto"/>
              </w:rPr>
            </w:pPr>
            <w:r>
              <w:rPr>
                <w:rFonts w:ascii="Arial" w:cs="Arial" w:eastAsia="Arial" w:hAnsi="Arial"/>
                <w:sz w:val="18"/>
                <w:szCs w:val="18"/>
                <w:color w:val="auto"/>
              </w:rPr>
              <w:t>74</w:t>
            </w:r>
          </w:p>
        </w:tc>
        <w:tc>
          <w:tcPr>
            <w:tcW w:w="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10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75" w:name="page76"/>
    <w:bookmarkEnd w:id="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20" w:type="dxa"/>
            <w:vAlign w:val="bottom"/>
          </w:tcPr>
          <w:p>
            <w:pPr>
              <w:jc w:val="right"/>
              <w:ind w:right="250"/>
              <w:spacing w:after="0"/>
              <w:rPr>
                <w:sz w:val="20"/>
                <w:szCs w:val="20"/>
                <w:color w:val="auto"/>
              </w:rPr>
            </w:pPr>
            <w:r>
              <w:rPr>
                <w:rFonts w:ascii="Arial" w:cs="Arial" w:eastAsia="Arial" w:hAnsi="Arial"/>
                <w:sz w:val="18"/>
                <w:szCs w:val="18"/>
                <w:color w:val="auto"/>
                <w:w w:val="97"/>
              </w:rPr>
              <w:t>101*</w:t>
            </w:r>
          </w:p>
        </w:tc>
        <w:tc>
          <w:tcPr>
            <w:tcW w:w="8160" w:type="dxa"/>
            <w:vAlign w:val="bottom"/>
            <w:gridSpan w:val="2"/>
          </w:tcPr>
          <w:p>
            <w:pPr>
              <w:ind w:left="360"/>
              <w:spacing w:after="0"/>
              <w:rPr>
                <w:sz w:val="20"/>
                <w:szCs w:val="20"/>
                <w:color w:val="auto"/>
              </w:rPr>
            </w:pPr>
            <w:r>
              <w:rPr>
                <w:rFonts w:ascii="Arial" w:cs="Arial" w:eastAsia="Arial" w:hAnsi="Arial"/>
                <w:sz w:val="18"/>
                <w:szCs w:val="18"/>
                <w:color w:val="auto"/>
                <w:w w:val="94"/>
              </w:rPr>
              <w:t>The following materials from Ryman Hospitality Property, Inc.’s Annual Form on Form 10-K for the year</w:t>
            </w:r>
          </w:p>
        </w:tc>
      </w:tr>
      <w:tr>
        <w:trPr>
          <w:trHeight w:val="216"/>
        </w:trPr>
        <w:tc>
          <w:tcPr>
            <w:tcW w:w="720" w:type="dxa"/>
            <w:vAlign w:val="bottom"/>
          </w:tcPr>
          <w:p>
            <w:pPr>
              <w:spacing w:after="0"/>
              <w:rPr>
                <w:sz w:val="18"/>
                <w:szCs w:val="18"/>
                <w:color w:val="auto"/>
              </w:rPr>
            </w:pPr>
          </w:p>
        </w:tc>
        <w:tc>
          <w:tcPr>
            <w:tcW w:w="8160" w:type="dxa"/>
            <w:vAlign w:val="bottom"/>
            <w:gridSpan w:val="2"/>
          </w:tcPr>
          <w:p>
            <w:pPr>
              <w:ind w:left="360"/>
              <w:spacing w:after="0"/>
              <w:rPr>
                <w:sz w:val="20"/>
                <w:szCs w:val="20"/>
                <w:color w:val="auto"/>
              </w:rPr>
            </w:pPr>
            <w:r>
              <w:rPr>
                <w:rFonts w:ascii="Arial" w:cs="Arial" w:eastAsia="Arial" w:hAnsi="Arial"/>
                <w:sz w:val="18"/>
                <w:szCs w:val="18"/>
                <w:color w:val="auto"/>
                <w:w w:val="98"/>
              </w:rPr>
              <w:t>ended December 31, 2021, formatted in Inline XBRL (eXtensible Business Reporting Language): (i)</w:t>
            </w:r>
          </w:p>
        </w:tc>
      </w:tr>
      <w:tr>
        <w:trPr>
          <w:trHeight w:val="216"/>
        </w:trPr>
        <w:tc>
          <w:tcPr>
            <w:tcW w:w="720" w:type="dxa"/>
            <w:vAlign w:val="bottom"/>
          </w:tcPr>
          <w:p>
            <w:pPr>
              <w:spacing w:after="0"/>
              <w:rPr>
                <w:sz w:val="18"/>
                <w:szCs w:val="18"/>
                <w:color w:val="auto"/>
              </w:rPr>
            </w:pPr>
          </w:p>
        </w:tc>
        <w:tc>
          <w:tcPr>
            <w:tcW w:w="8160" w:type="dxa"/>
            <w:vAlign w:val="bottom"/>
            <w:gridSpan w:val="2"/>
          </w:tcPr>
          <w:p>
            <w:pPr>
              <w:ind w:left="360"/>
              <w:spacing w:after="0"/>
              <w:rPr>
                <w:sz w:val="20"/>
                <w:szCs w:val="20"/>
                <w:color w:val="auto"/>
              </w:rPr>
            </w:pPr>
            <w:r>
              <w:rPr>
                <w:rFonts w:ascii="Arial" w:cs="Arial" w:eastAsia="Arial" w:hAnsi="Arial"/>
                <w:sz w:val="18"/>
                <w:szCs w:val="18"/>
                <w:color w:val="auto"/>
                <w:w w:val="91"/>
              </w:rPr>
              <w:t>Consolidated Balance Sheets at December 31, 2021 and 2020, (ii) Consolidated Statements of Operations</w:t>
            </w:r>
          </w:p>
        </w:tc>
      </w:tr>
      <w:tr>
        <w:trPr>
          <w:trHeight w:val="216"/>
        </w:trPr>
        <w:tc>
          <w:tcPr>
            <w:tcW w:w="720" w:type="dxa"/>
            <w:vAlign w:val="bottom"/>
          </w:tcPr>
          <w:p>
            <w:pPr>
              <w:spacing w:after="0"/>
              <w:rPr>
                <w:sz w:val="18"/>
                <w:szCs w:val="18"/>
                <w:color w:val="auto"/>
              </w:rPr>
            </w:pPr>
          </w:p>
        </w:tc>
        <w:tc>
          <w:tcPr>
            <w:tcW w:w="8160" w:type="dxa"/>
            <w:vAlign w:val="bottom"/>
            <w:gridSpan w:val="2"/>
          </w:tcPr>
          <w:p>
            <w:pPr>
              <w:ind w:left="360"/>
              <w:spacing w:after="0"/>
              <w:rPr>
                <w:sz w:val="20"/>
                <w:szCs w:val="20"/>
                <w:color w:val="auto"/>
              </w:rPr>
            </w:pPr>
            <w:r>
              <w:rPr>
                <w:rFonts w:ascii="Arial" w:cs="Arial" w:eastAsia="Arial" w:hAnsi="Arial"/>
                <w:sz w:val="18"/>
                <w:szCs w:val="18"/>
                <w:color w:val="auto"/>
                <w:w w:val="92"/>
              </w:rPr>
              <w:t>for the years ended December 31, 2021, 2020 and 2019, (iii) Consolidated Statements of Comprehensive</w:t>
            </w:r>
          </w:p>
        </w:tc>
      </w:tr>
      <w:tr>
        <w:trPr>
          <w:trHeight w:val="216"/>
        </w:trPr>
        <w:tc>
          <w:tcPr>
            <w:tcW w:w="720" w:type="dxa"/>
            <w:vAlign w:val="bottom"/>
          </w:tcPr>
          <w:p>
            <w:pPr>
              <w:spacing w:after="0"/>
              <w:rPr>
                <w:sz w:val="18"/>
                <w:szCs w:val="18"/>
                <w:color w:val="auto"/>
              </w:rPr>
            </w:pPr>
          </w:p>
        </w:tc>
        <w:tc>
          <w:tcPr>
            <w:tcW w:w="8160" w:type="dxa"/>
            <w:vAlign w:val="bottom"/>
            <w:gridSpan w:val="2"/>
          </w:tcPr>
          <w:p>
            <w:pPr>
              <w:ind w:left="360"/>
              <w:spacing w:after="0"/>
              <w:rPr>
                <w:sz w:val="20"/>
                <w:szCs w:val="20"/>
                <w:color w:val="auto"/>
              </w:rPr>
            </w:pPr>
            <w:r>
              <w:rPr>
                <w:rFonts w:ascii="Arial" w:cs="Arial" w:eastAsia="Arial" w:hAnsi="Arial"/>
                <w:sz w:val="18"/>
                <w:szCs w:val="18"/>
                <w:color w:val="auto"/>
                <w:w w:val="93"/>
              </w:rPr>
              <w:t>Income (Loss) for the years ended December 31, 2021, 2020 and 2019, (iv) Consolidated Statements of</w:t>
            </w:r>
          </w:p>
        </w:tc>
      </w:tr>
      <w:tr>
        <w:trPr>
          <w:trHeight w:val="216"/>
        </w:trPr>
        <w:tc>
          <w:tcPr>
            <w:tcW w:w="720" w:type="dxa"/>
            <w:vAlign w:val="bottom"/>
          </w:tcPr>
          <w:p>
            <w:pPr>
              <w:spacing w:after="0"/>
              <w:rPr>
                <w:sz w:val="18"/>
                <w:szCs w:val="18"/>
                <w:color w:val="auto"/>
              </w:rPr>
            </w:pPr>
          </w:p>
        </w:tc>
        <w:tc>
          <w:tcPr>
            <w:tcW w:w="8160" w:type="dxa"/>
            <w:vAlign w:val="bottom"/>
            <w:gridSpan w:val="2"/>
          </w:tcPr>
          <w:p>
            <w:pPr>
              <w:ind w:left="360"/>
              <w:spacing w:after="0"/>
              <w:rPr>
                <w:sz w:val="20"/>
                <w:szCs w:val="20"/>
                <w:color w:val="auto"/>
              </w:rPr>
            </w:pPr>
            <w:r>
              <w:rPr>
                <w:rFonts w:ascii="Arial" w:cs="Arial" w:eastAsia="Arial" w:hAnsi="Arial"/>
                <w:sz w:val="18"/>
                <w:szCs w:val="18"/>
                <w:color w:val="auto"/>
                <w:w w:val="89"/>
              </w:rPr>
              <w:t>Cash Flows for the years ended December 31, 2021, 2020 and 2019, (v) Consolidated Statement of Changes</w:t>
            </w:r>
          </w:p>
        </w:tc>
      </w:tr>
      <w:tr>
        <w:trPr>
          <w:trHeight w:val="216"/>
        </w:trPr>
        <w:tc>
          <w:tcPr>
            <w:tcW w:w="720" w:type="dxa"/>
            <w:vAlign w:val="bottom"/>
          </w:tcPr>
          <w:p>
            <w:pPr>
              <w:spacing w:after="0"/>
              <w:rPr>
                <w:sz w:val="18"/>
                <w:szCs w:val="18"/>
                <w:color w:val="auto"/>
              </w:rPr>
            </w:pPr>
          </w:p>
        </w:tc>
        <w:tc>
          <w:tcPr>
            <w:tcW w:w="8160" w:type="dxa"/>
            <w:vAlign w:val="bottom"/>
            <w:gridSpan w:val="2"/>
          </w:tcPr>
          <w:p>
            <w:pPr>
              <w:ind w:left="360"/>
              <w:spacing w:after="0"/>
              <w:rPr>
                <w:sz w:val="20"/>
                <w:szCs w:val="20"/>
                <w:color w:val="auto"/>
              </w:rPr>
            </w:pPr>
            <w:r>
              <w:rPr>
                <w:rFonts w:ascii="Arial" w:cs="Arial" w:eastAsia="Arial" w:hAnsi="Arial"/>
                <w:sz w:val="18"/>
                <w:szCs w:val="18"/>
                <w:color w:val="auto"/>
                <w:w w:val="92"/>
              </w:rPr>
              <w:t>in Stockholders’ Equity (Deficit) and Noncontrolling Interest for the years ended December 31, 2021, 2020</w:t>
            </w:r>
          </w:p>
        </w:tc>
      </w:tr>
      <w:tr>
        <w:trPr>
          <w:trHeight w:val="216"/>
        </w:trPr>
        <w:tc>
          <w:tcPr>
            <w:tcW w:w="720" w:type="dxa"/>
            <w:vAlign w:val="bottom"/>
          </w:tcPr>
          <w:p>
            <w:pPr>
              <w:spacing w:after="0"/>
              <w:rPr>
                <w:sz w:val="18"/>
                <w:szCs w:val="18"/>
                <w:color w:val="auto"/>
              </w:rPr>
            </w:pPr>
          </w:p>
        </w:tc>
        <w:tc>
          <w:tcPr>
            <w:tcW w:w="8160" w:type="dxa"/>
            <w:vAlign w:val="bottom"/>
            <w:gridSpan w:val="2"/>
          </w:tcPr>
          <w:p>
            <w:pPr>
              <w:ind w:left="360"/>
              <w:spacing w:after="0"/>
              <w:rPr>
                <w:sz w:val="20"/>
                <w:szCs w:val="20"/>
                <w:color w:val="auto"/>
              </w:rPr>
            </w:pPr>
            <w:r>
              <w:rPr>
                <w:rFonts w:ascii="Arial" w:cs="Arial" w:eastAsia="Arial" w:hAnsi="Arial"/>
                <w:sz w:val="18"/>
                <w:szCs w:val="18"/>
                <w:color w:val="auto"/>
              </w:rPr>
              <w:t>and 2019, and (vi) Notes to Consolidated Financial Statements.</w:t>
            </w:r>
          </w:p>
        </w:tc>
      </w:tr>
      <w:tr>
        <w:trPr>
          <w:trHeight w:val="230"/>
        </w:trPr>
        <w:tc>
          <w:tcPr>
            <w:tcW w:w="720" w:type="dxa"/>
            <w:vAlign w:val="bottom"/>
          </w:tcPr>
          <w:p>
            <w:pPr>
              <w:jc w:val="right"/>
              <w:ind w:right="250"/>
              <w:spacing w:after="0"/>
              <w:rPr>
                <w:sz w:val="20"/>
                <w:szCs w:val="20"/>
                <w:color w:val="auto"/>
              </w:rPr>
            </w:pPr>
            <w:r>
              <w:rPr>
                <w:rFonts w:ascii="Arial" w:cs="Arial" w:eastAsia="Arial" w:hAnsi="Arial"/>
                <w:sz w:val="18"/>
                <w:szCs w:val="18"/>
                <w:color w:val="auto"/>
                <w:w w:val="97"/>
              </w:rPr>
              <w:t>104*</w:t>
            </w:r>
          </w:p>
        </w:tc>
        <w:tc>
          <w:tcPr>
            <w:tcW w:w="8160" w:type="dxa"/>
            <w:vAlign w:val="bottom"/>
            <w:gridSpan w:val="2"/>
          </w:tcPr>
          <w:p>
            <w:pPr>
              <w:ind w:left="36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28"/>
        </w:trPr>
        <w:tc>
          <w:tcPr>
            <w:tcW w:w="72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6640" w:type="dxa"/>
            <w:vAlign w:val="bottom"/>
          </w:tcPr>
          <w:p>
            <w:pPr>
              <w:spacing w:after="0"/>
              <w:rPr>
                <w:sz w:val="11"/>
                <w:szCs w:val="11"/>
                <w:color w:val="auto"/>
              </w:rPr>
            </w:pPr>
          </w:p>
        </w:tc>
      </w:tr>
    </w:tbl>
    <w:p>
      <w:pPr>
        <w:spacing w:after="0" w:line="283" w:lineRule="exact"/>
        <w:rPr>
          <w:sz w:val="20"/>
          <w:szCs w:val="20"/>
          <w:color w:val="auto"/>
        </w:rPr>
      </w:pPr>
    </w:p>
    <w:p>
      <w:pPr>
        <w:ind w:left="360" w:hanging="310"/>
        <w:spacing w:after="0"/>
        <w:tabs>
          <w:tab w:leader="none" w:pos="3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380" w:right="159" w:hanging="330"/>
        <w:spacing w:after="0" w:line="250" w:lineRule="auto"/>
        <w:tabs>
          <w:tab w:leader="none" w:pos="361"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 directed by Item 601(a)(5) or 601(b)(2) of Regulation S-K, as applicable, certain schedules and exhibits to this exhibit are omitted from this filing. The Company agrees to furnish supplementally a copy of any omitted schedule or exhibit to the SEC upon request.</w:t>
      </w:r>
    </w:p>
    <w:p>
      <w:pPr>
        <w:spacing w:after="0" w:line="1" w:lineRule="exact"/>
        <w:rPr>
          <w:sz w:val="20"/>
          <w:szCs w:val="20"/>
          <w:color w:val="auto"/>
        </w:rPr>
      </w:pPr>
    </w:p>
    <w:p>
      <w:pPr>
        <w:ind w:left="360" w:hanging="310"/>
        <w:spacing w:after="0"/>
        <w:tabs>
          <w:tab w:leader="none" w:pos="3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6" w:lineRule="exact"/>
        <w:rPr>
          <w:rFonts w:ascii="Arial" w:cs="Arial" w:eastAsia="Arial" w:hAnsi="Arial"/>
          <w:sz w:val="18"/>
          <w:szCs w:val="18"/>
          <w:color w:val="auto"/>
        </w:rPr>
      </w:pPr>
    </w:p>
    <w:p>
      <w:pPr>
        <w:ind w:left="4420"/>
        <w:spacing w:after="0"/>
        <w:rPr>
          <w:rFonts w:ascii="Arial" w:cs="Arial" w:eastAsia="Arial" w:hAnsi="Arial"/>
          <w:sz w:val="18"/>
          <w:szCs w:val="18"/>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6" w:name="page77"/>
    <w:bookmarkEnd w:id="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5800" w:type="dxa"/>
            <w:vAlign w:val="bottom"/>
            <w:gridSpan w:val="2"/>
          </w:tcPr>
          <w:p>
            <w:pPr>
              <w:ind w:left="1360"/>
              <w:spacing w:after="0"/>
              <w:rPr>
                <w:sz w:val="20"/>
                <w:szCs w:val="20"/>
                <w:color w:val="auto"/>
              </w:rPr>
            </w:pPr>
            <w:r>
              <w:rPr>
                <w:rFonts w:ascii="Arial" w:cs="Arial" w:eastAsia="Arial" w:hAnsi="Arial"/>
                <w:sz w:val="18"/>
                <w:szCs w:val="18"/>
                <w:b w:val="1"/>
                <w:bCs w:val="1"/>
                <w:color w:val="auto"/>
              </w:rPr>
              <w:t>RYMAN HOSPITALITY PROPERTIES, INC.</w:t>
            </w:r>
          </w:p>
        </w:tc>
      </w:tr>
      <w:tr>
        <w:trPr>
          <w:trHeight w:val="648"/>
        </w:trPr>
        <w:tc>
          <w:tcPr>
            <w:tcW w:w="3100" w:type="dxa"/>
            <w:vAlign w:val="bottom"/>
          </w:tcPr>
          <w:p>
            <w:pPr>
              <w:spacing w:after="0"/>
              <w:rPr>
                <w:sz w:val="20"/>
                <w:szCs w:val="20"/>
                <w:color w:val="auto"/>
              </w:rPr>
            </w:pPr>
            <w:r>
              <w:rPr>
                <w:rFonts w:ascii="Arial" w:cs="Arial" w:eastAsia="Arial" w:hAnsi="Arial"/>
                <w:sz w:val="18"/>
                <w:szCs w:val="18"/>
                <w:color w:val="auto"/>
              </w:rPr>
              <w:t>Date: February 25, 2022</w:t>
            </w:r>
          </w:p>
        </w:tc>
        <w:tc>
          <w:tcPr>
            <w:tcW w:w="5800" w:type="dxa"/>
            <w:vAlign w:val="bottom"/>
            <w:gridSpan w:val="2"/>
          </w:tcPr>
          <w:p>
            <w:pPr>
              <w:ind w:left="1360"/>
              <w:spacing w:after="0"/>
              <w:rPr>
                <w:sz w:val="20"/>
                <w:szCs w:val="20"/>
                <w:color w:val="auto"/>
              </w:rPr>
            </w:pPr>
            <w:r>
              <w:rPr>
                <w:rFonts w:ascii="Arial" w:cs="Arial" w:eastAsia="Arial" w:hAnsi="Arial"/>
                <w:sz w:val="18"/>
                <w:szCs w:val="18"/>
                <w:color w:val="auto"/>
              </w:rPr>
              <w:t>By:/s/ Colin V. Reed</w:t>
            </w:r>
          </w:p>
        </w:tc>
      </w:tr>
      <w:tr>
        <w:trPr>
          <w:trHeight w:val="20"/>
        </w:trPr>
        <w:tc>
          <w:tcPr>
            <w:tcW w:w="3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180" w:type="dxa"/>
            <w:vAlign w:val="bottom"/>
            <w:shd w:val="clear" w:color="auto" w:fill="000000"/>
          </w:tcPr>
          <w:p>
            <w:pPr>
              <w:spacing w:after="0" w:line="20" w:lineRule="exact"/>
              <w:rPr>
                <w:sz w:val="1"/>
                <w:szCs w:val="1"/>
                <w:color w:val="auto"/>
              </w:rPr>
            </w:pPr>
          </w:p>
        </w:tc>
      </w:tr>
      <w:tr>
        <w:trPr>
          <w:trHeight w:val="182"/>
        </w:trPr>
        <w:tc>
          <w:tcPr>
            <w:tcW w:w="3100" w:type="dxa"/>
            <w:vAlign w:val="bottom"/>
          </w:tcPr>
          <w:p>
            <w:pPr>
              <w:spacing w:after="0"/>
              <w:rPr>
                <w:sz w:val="15"/>
                <w:szCs w:val="15"/>
                <w:color w:val="auto"/>
              </w:rPr>
            </w:pPr>
          </w:p>
        </w:tc>
        <w:tc>
          <w:tcPr>
            <w:tcW w:w="5800" w:type="dxa"/>
            <w:vAlign w:val="bottom"/>
            <w:gridSpan w:val="2"/>
          </w:tcPr>
          <w:p>
            <w:pPr>
              <w:ind w:left="1360"/>
              <w:spacing w:after="0" w:line="182" w:lineRule="exact"/>
              <w:rPr>
                <w:sz w:val="20"/>
                <w:szCs w:val="20"/>
                <w:color w:val="auto"/>
              </w:rPr>
            </w:pPr>
            <w:r>
              <w:rPr>
                <w:rFonts w:ascii="Arial" w:cs="Arial" w:eastAsia="Arial" w:hAnsi="Arial"/>
                <w:sz w:val="18"/>
                <w:szCs w:val="18"/>
                <w:color w:val="auto"/>
              </w:rPr>
              <w:t>Colin V. Reed</w:t>
            </w:r>
          </w:p>
        </w:tc>
      </w:tr>
      <w:tr>
        <w:trPr>
          <w:trHeight w:val="216"/>
        </w:trPr>
        <w:tc>
          <w:tcPr>
            <w:tcW w:w="3100" w:type="dxa"/>
            <w:vAlign w:val="bottom"/>
          </w:tcPr>
          <w:p>
            <w:pPr>
              <w:spacing w:after="0"/>
              <w:rPr>
                <w:sz w:val="18"/>
                <w:szCs w:val="18"/>
                <w:color w:val="auto"/>
              </w:rPr>
            </w:pPr>
          </w:p>
        </w:tc>
        <w:tc>
          <w:tcPr>
            <w:tcW w:w="5800" w:type="dxa"/>
            <w:vAlign w:val="bottom"/>
            <w:gridSpan w:val="2"/>
          </w:tcPr>
          <w:p>
            <w:pPr>
              <w:ind w:left="1360"/>
              <w:spacing w:after="0"/>
              <w:rPr>
                <w:sz w:val="20"/>
                <w:szCs w:val="20"/>
                <w:color w:val="auto"/>
              </w:rPr>
            </w:pPr>
            <w:r>
              <w:rPr>
                <w:rFonts w:ascii="Arial" w:cs="Arial" w:eastAsia="Arial" w:hAnsi="Arial"/>
                <w:sz w:val="18"/>
                <w:szCs w:val="18"/>
                <w:color w:val="auto"/>
                <w:w w:val="99"/>
              </w:rPr>
              <w:t>C</w:t>
            </w:r>
            <w:r>
              <w:rPr>
                <w:rFonts w:ascii="Arial" w:cs="Arial" w:eastAsia="Arial" w:hAnsi="Arial"/>
                <w:sz w:val="18"/>
                <w:szCs w:val="18"/>
                <w:i w:val="1"/>
                <w:iCs w:val="1"/>
                <w:color w:val="auto"/>
                <w:w w:val="99"/>
              </w:rPr>
              <w:t>hairman of the Board of Directors and Chief Executive</w:t>
            </w:r>
          </w:p>
        </w:tc>
      </w:tr>
      <w:tr>
        <w:trPr>
          <w:trHeight w:val="230"/>
        </w:trPr>
        <w:tc>
          <w:tcPr>
            <w:tcW w:w="3100" w:type="dxa"/>
            <w:vAlign w:val="bottom"/>
          </w:tcPr>
          <w:p>
            <w:pPr>
              <w:spacing w:after="0"/>
              <w:rPr>
                <w:sz w:val="20"/>
                <w:szCs w:val="20"/>
                <w:color w:val="auto"/>
              </w:rPr>
            </w:pPr>
          </w:p>
        </w:tc>
        <w:tc>
          <w:tcPr>
            <w:tcW w:w="5800" w:type="dxa"/>
            <w:vAlign w:val="bottom"/>
            <w:gridSpan w:val="2"/>
          </w:tcPr>
          <w:p>
            <w:pPr>
              <w:ind w:left="1360"/>
              <w:spacing w:after="0"/>
              <w:rPr>
                <w:sz w:val="20"/>
                <w:szCs w:val="20"/>
                <w:color w:val="auto"/>
              </w:rPr>
            </w:pPr>
            <w:r>
              <w:rPr>
                <w:rFonts w:ascii="Arial" w:cs="Arial" w:eastAsia="Arial" w:hAnsi="Arial"/>
                <w:sz w:val="18"/>
                <w:szCs w:val="18"/>
                <w:i w:val="1"/>
                <w:iCs w:val="1"/>
                <w:color w:val="auto"/>
              </w:rPr>
              <w:t>Officer</w:t>
            </w:r>
          </w:p>
        </w:tc>
      </w:tr>
    </w:tbl>
    <w:p>
      <w:pPr>
        <w:spacing w:after="0" w:line="202"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60" w:type="dxa"/>
            <w:vAlign w:val="bottom"/>
          </w:tcPr>
          <w:p>
            <w:pPr>
              <w:spacing w:after="0"/>
              <w:rPr>
                <w:sz w:val="14"/>
                <w:szCs w:val="14"/>
                <w:color w:val="auto"/>
              </w:rPr>
            </w:pPr>
          </w:p>
        </w:tc>
        <w:tc>
          <w:tcPr>
            <w:tcW w:w="3860" w:type="dxa"/>
            <w:vAlign w:val="bottom"/>
            <w:tcBorders>
              <w:bottom w:val="single" w:sz="8" w:color="auto"/>
            </w:tcBorders>
          </w:tcPr>
          <w:p>
            <w:pPr>
              <w:jc w:val="right"/>
              <w:ind w:right="1708"/>
              <w:spacing w:after="0"/>
              <w:rPr>
                <w:sz w:val="20"/>
                <w:szCs w:val="20"/>
                <w:color w:val="auto"/>
              </w:rPr>
            </w:pPr>
            <w:r>
              <w:rPr>
                <w:rFonts w:ascii="Arial" w:cs="Arial" w:eastAsia="Arial" w:hAnsi="Arial"/>
                <w:sz w:val="14"/>
                <w:szCs w:val="14"/>
                <w:b w:val="1"/>
                <w:bCs w:val="1"/>
                <w:color w:val="auto"/>
              </w:rPr>
              <w:t>Title</w:t>
            </w:r>
          </w:p>
        </w:tc>
        <w:tc>
          <w:tcPr>
            <w:tcW w:w="180" w:type="dxa"/>
            <w:vAlign w:val="bottom"/>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26"/>
        </w:trPr>
        <w:tc>
          <w:tcPr>
            <w:tcW w:w="20" w:type="dxa"/>
            <w:vAlign w:val="bottom"/>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Colin V. Reed</w:t>
            </w:r>
          </w:p>
        </w:tc>
        <w:tc>
          <w:tcPr>
            <w:tcW w:w="4200" w:type="dxa"/>
            <w:vAlign w:val="bottom"/>
            <w:gridSpan w:val="3"/>
          </w:tcPr>
          <w:p>
            <w:pPr>
              <w:ind w:left="160"/>
              <w:spacing w:after="0"/>
              <w:rPr>
                <w:sz w:val="20"/>
                <w:szCs w:val="20"/>
                <w:color w:val="auto"/>
              </w:rPr>
            </w:pPr>
            <w:r>
              <w:rPr>
                <w:rFonts w:ascii="Arial" w:cs="Arial" w:eastAsia="Arial" w:hAnsi="Arial"/>
                <w:sz w:val="18"/>
                <w:szCs w:val="18"/>
                <w:color w:val="auto"/>
              </w:rPr>
              <w:t>Chairman of the Board of Directors</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February 25, 2022</w:t>
            </w:r>
          </w:p>
        </w:tc>
      </w:tr>
      <w:tr>
        <w:trPr>
          <w:trHeight w:val="224"/>
        </w:trPr>
        <w:tc>
          <w:tcPr>
            <w:tcW w:w="2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0"/>
              </w:rPr>
              <w:t>Colin V. Reed</w:t>
            </w:r>
          </w:p>
        </w:tc>
        <w:tc>
          <w:tcPr>
            <w:tcW w:w="4200" w:type="dxa"/>
            <w:vAlign w:val="bottom"/>
            <w:gridSpan w:val="3"/>
          </w:tcPr>
          <w:p>
            <w:pPr>
              <w:ind w:left="160"/>
              <w:spacing w:after="0"/>
              <w:rPr>
                <w:sz w:val="20"/>
                <w:szCs w:val="20"/>
                <w:color w:val="auto"/>
              </w:rPr>
            </w:pPr>
            <w:r>
              <w:rPr>
                <w:rFonts w:ascii="Arial" w:cs="Arial" w:eastAsia="Arial" w:hAnsi="Arial"/>
                <w:sz w:val="18"/>
                <w:szCs w:val="18"/>
                <w:color w:val="auto"/>
              </w:rPr>
              <w:t>and Chief Executive Officer</w:t>
            </w:r>
          </w:p>
        </w:tc>
        <w:tc>
          <w:tcPr>
            <w:tcW w:w="168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Rachna Bhasin</w:t>
            </w:r>
          </w:p>
        </w:tc>
        <w:tc>
          <w:tcPr>
            <w:tcW w:w="420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February 25, 2022</w:t>
            </w:r>
          </w:p>
        </w:tc>
      </w:tr>
      <w:tr>
        <w:trPr>
          <w:trHeight w:val="224"/>
        </w:trPr>
        <w:tc>
          <w:tcPr>
            <w:tcW w:w="2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88"/>
              </w:rPr>
              <w:t>Rachna Bhasin</w:t>
            </w:r>
          </w:p>
        </w:tc>
        <w:tc>
          <w:tcPr>
            <w:tcW w:w="1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Alvin Bowles, Jr.</w:t>
            </w:r>
          </w:p>
        </w:tc>
        <w:tc>
          <w:tcPr>
            <w:tcW w:w="420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February 25, 2022</w:t>
            </w:r>
          </w:p>
        </w:tc>
      </w:tr>
      <w:tr>
        <w:trPr>
          <w:trHeight w:val="224"/>
        </w:trPr>
        <w:tc>
          <w:tcPr>
            <w:tcW w:w="2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3"/>
              </w:rPr>
              <w:t>Alvin Bowles, Jr.</w:t>
            </w:r>
          </w:p>
        </w:tc>
        <w:tc>
          <w:tcPr>
            <w:tcW w:w="1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Christian Brickman</w:t>
            </w:r>
          </w:p>
        </w:tc>
        <w:tc>
          <w:tcPr>
            <w:tcW w:w="420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February 25, 2022</w:t>
            </w:r>
          </w:p>
        </w:tc>
      </w:tr>
      <w:tr>
        <w:trPr>
          <w:trHeight w:val="224"/>
        </w:trPr>
        <w:tc>
          <w:tcPr>
            <w:tcW w:w="2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2"/>
              </w:rPr>
              <w:t>Christian Brickman</w:t>
            </w:r>
          </w:p>
        </w:tc>
        <w:tc>
          <w:tcPr>
            <w:tcW w:w="1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Fazal F. Merchant</w:t>
            </w:r>
          </w:p>
        </w:tc>
        <w:tc>
          <w:tcPr>
            <w:tcW w:w="420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February 25, 2022</w:t>
            </w:r>
          </w:p>
        </w:tc>
      </w:tr>
      <w:tr>
        <w:trPr>
          <w:trHeight w:val="224"/>
        </w:trPr>
        <w:tc>
          <w:tcPr>
            <w:tcW w:w="2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89"/>
              </w:rPr>
              <w:t>Fazal F. Merchant</w:t>
            </w:r>
          </w:p>
        </w:tc>
        <w:tc>
          <w:tcPr>
            <w:tcW w:w="1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Patrick Q. Moore</w:t>
            </w:r>
          </w:p>
        </w:tc>
        <w:tc>
          <w:tcPr>
            <w:tcW w:w="420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February 25, 2022</w:t>
            </w:r>
          </w:p>
        </w:tc>
      </w:tr>
      <w:tr>
        <w:trPr>
          <w:trHeight w:val="224"/>
        </w:trPr>
        <w:tc>
          <w:tcPr>
            <w:tcW w:w="2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1"/>
              </w:rPr>
              <w:t>Patrick Q. Moore</w:t>
            </w:r>
          </w:p>
        </w:tc>
        <w:tc>
          <w:tcPr>
            <w:tcW w:w="1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Christine Pantoya</w:t>
            </w:r>
          </w:p>
        </w:tc>
        <w:tc>
          <w:tcPr>
            <w:tcW w:w="420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February 25, 2022</w:t>
            </w:r>
          </w:p>
        </w:tc>
      </w:tr>
      <w:tr>
        <w:trPr>
          <w:trHeight w:val="224"/>
        </w:trPr>
        <w:tc>
          <w:tcPr>
            <w:tcW w:w="2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0"/>
              </w:rPr>
              <w:t>Christine Pantoya</w:t>
            </w:r>
          </w:p>
        </w:tc>
        <w:tc>
          <w:tcPr>
            <w:tcW w:w="1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Robert S. Prather, Jr.</w:t>
            </w:r>
          </w:p>
        </w:tc>
        <w:tc>
          <w:tcPr>
            <w:tcW w:w="420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February 25, 2022</w:t>
            </w:r>
          </w:p>
        </w:tc>
      </w:tr>
      <w:tr>
        <w:trPr>
          <w:trHeight w:val="224"/>
        </w:trPr>
        <w:tc>
          <w:tcPr>
            <w:tcW w:w="2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86"/>
              </w:rPr>
              <w:t>Robert S. Prather, Jr.</w:t>
            </w:r>
          </w:p>
        </w:tc>
        <w:tc>
          <w:tcPr>
            <w:tcW w:w="1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Michael I. Roth</w:t>
            </w:r>
          </w:p>
        </w:tc>
        <w:tc>
          <w:tcPr>
            <w:tcW w:w="420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February 25, 2022</w:t>
            </w:r>
          </w:p>
        </w:tc>
      </w:tr>
      <w:tr>
        <w:trPr>
          <w:trHeight w:val="224"/>
        </w:trPr>
        <w:tc>
          <w:tcPr>
            <w:tcW w:w="2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3"/>
              </w:rPr>
              <w:t>Michael I. Roth</w:t>
            </w:r>
          </w:p>
        </w:tc>
        <w:tc>
          <w:tcPr>
            <w:tcW w:w="1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Mark Fioravanti</w:t>
            </w:r>
          </w:p>
        </w:tc>
        <w:tc>
          <w:tcPr>
            <w:tcW w:w="4200" w:type="dxa"/>
            <w:vAlign w:val="bottom"/>
            <w:gridSpan w:val="3"/>
          </w:tcPr>
          <w:p>
            <w:pPr>
              <w:ind w:left="160"/>
              <w:spacing w:after="0"/>
              <w:rPr>
                <w:sz w:val="20"/>
                <w:szCs w:val="20"/>
                <w:color w:val="auto"/>
              </w:rPr>
            </w:pPr>
            <w:r>
              <w:rPr>
                <w:rFonts w:ascii="Arial" w:cs="Arial" w:eastAsia="Arial" w:hAnsi="Arial"/>
                <w:sz w:val="18"/>
                <w:szCs w:val="18"/>
                <w:color w:val="auto"/>
              </w:rPr>
              <w:t>Director, President and Chief Financial Officer</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February 25, 2022</w:t>
            </w:r>
          </w:p>
        </w:tc>
      </w:tr>
      <w:tr>
        <w:trPr>
          <w:trHeight w:val="224"/>
        </w:trPr>
        <w:tc>
          <w:tcPr>
            <w:tcW w:w="2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3"/>
              </w:rPr>
              <w:t>Mark Fioravanti</w:t>
            </w:r>
          </w:p>
        </w:tc>
        <w:tc>
          <w:tcPr>
            <w:tcW w:w="1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Jennifer Hutcheson</w:t>
            </w:r>
          </w:p>
        </w:tc>
        <w:tc>
          <w:tcPr>
            <w:tcW w:w="4200" w:type="dxa"/>
            <w:vAlign w:val="bottom"/>
            <w:gridSpan w:val="3"/>
          </w:tcPr>
          <w:p>
            <w:pPr>
              <w:ind w:left="160"/>
              <w:spacing w:after="0"/>
              <w:rPr>
                <w:sz w:val="20"/>
                <w:szCs w:val="20"/>
                <w:color w:val="auto"/>
              </w:rPr>
            </w:pPr>
            <w:r>
              <w:rPr>
                <w:rFonts w:ascii="Arial" w:cs="Arial" w:eastAsia="Arial" w:hAnsi="Arial"/>
                <w:sz w:val="18"/>
                <w:szCs w:val="18"/>
                <w:color w:val="auto"/>
              </w:rPr>
              <w:t>Executive Vice President, Corporate Controller</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February 25, 2022</w:t>
            </w:r>
          </w:p>
        </w:tc>
      </w:tr>
      <w:tr>
        <w:trPr>
          <w:trHeight w:val="224"/>
        </w:trPr>
        <w:tc>
          <w:tcPr>
            <w:tcW w:w="2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0"/>
              </w:rPr>
              <w:t>Jennifer Hutcheson</w:t>
            </w:r>
          </w:p>
        </w:tc>
        <w:tc>
          <w:tcPr>
            <w:tcW w:w="4200" w:type="dxa"/>
            <w:vAlign w:val="bottom"/>
            <w:gridSpan w:val="3"/>
          </w:tcPr>
          <w:p>
            <w:pPr>
              <w:ind w:left="160"/>
              <w:spacing w:after="0"/>
              <w:rPr>
                <w:sz w:val="20"/>
                <w:szCs w:val="20"/>
                <w:color w:val="auto"/>
              </w:rPr>
            </w:pPr>
            <w:r>
              <w:rPr>
                <w:rFonts w:ascii="Arial" w:cs="Arial" w:eastAsia="Arial" w:hAnsi="Arial"/>
                <w:sz w:val="18"/>
                <w:szCs w:val="18"/>
                <w:color w:val="auto"/>
              </w:rPr>
              <w:t>and Chief Accounting Officer</w:t>
            </w:r>
          </w:p>
        </w:tc>
        <w:tc>
          <w:tcPr>
            <w:tcW w:w="1680" w:type="dxa"/>
            <w:vAlign w:val="bottom"/>
          </w:tcPr>
          <w:p>
            <w:pPr>
              <w:spacing w:after="0"/>
              <w:rPr>
                <w:sz w:val="19"/>
                <w:szCs w:val="19"/>
                <w:color w:val="auto"/>
              </w:rPr>
            </w:pPr>
          </w:p>
        </w:tc>
      </w:tr>
      <w:tr>
        <w:trPr>
          <w:trHeight w:val="647"/>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020" w:type="dxa"/>
            <w:vAlign w:val="bottom"/>
            <w:gridSpan w:val="2"/>
          </w:tcPr>
          <w:p>
            <w:pPr>
              <w:jc w:val="right"/>
              <w:ind w:right="2428"/>
              <w:spacing w:after="0"/>
              <w:rPr>
                <w:sz w:val="20"/>
                <w:szCs w:val="20"/>
                <w:color w:val="auto"/>
              </w:rPr>
            </w:pPr>
            <w:r>
              <w:rPr>
                <w:rFonts w:ascii="Arial" w:cs="Arial" w:eastAsia="Arial" w:hAnsi="Arial"/>
                <w:sz w:val="18"/>
                <w:szCs w:val="18"/>
                <w:color w:val="auto"/>
              </w:rPr>
              <w:t>76</w:t>
            </w: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77" w:name="page78"/>
    <w:bookmarkEnd w:id="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8580" w:type="dxa"/>
            <w:vAlign w:val="bottom"/>
            <w:gridSpan w:val="10"/>
            <w:vMerge w:val="restart"/>
          </w:tcPr>
          <w:p>
            <w:pPr>
              <w:spacing w:after="0"/>
              <w:rPr>
                <w:sz w:val="20"/>
                <w:szCs w:val="20"/>
                <w:color w:val="auto"/>
              </w:rPr>
            </w:pPr>
            <w:r>
              <w:rPr>
                <w:rFonts w:ascii="Arial" w:cs="Arial" w:eastAsia="Arial" w:hAnsi="Arial"/>
                <w:sz w:val="16"/>
                <w:szCs w:val="16"/>
                <w:b w:val="1"/>
                <w:bCs w:val="1"/>
                <w:color w:val="auto"/>
                <w:w w:val="93"/>
              </w:rPr>
              <w:t>Ryman Hospitality Properties, Inc. and Subsidiaries Audited Consolidated Financial Statements as of December 31, 2021</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8580" w:type="dxa"/>
            <w:vAlign w:val="bottom"/>
            <w:gridSpan w:val="10"/>
            <w:vMerge w:val="continue"/>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8580" w:type="dxa"/>
            <w:vAlign w:val="bottom"/>
            <w:gridSpan w:val="10"/>
          </w:tcPr>
          <w:p>
            <w:pPr>
              <w:spacing w:after="0"/>
              <w:rPr>
                <w:sz w:val="20"/>
                <w:szCs w:val="20"/>
                <w:color w:val="auto"/>
              </w:rPr>
            </w:pPr>
            <w:r>
              <w:rPr>
                <w:rFonts w:ascii="Arial" w:cs="Arial" w:eastAsia="Arial" w:hAnsi="Arial"/>
                <w:sz w:val="16"/>
                <w:szCs w:val="16"/>
                <w:b w:val="1"/>
                <w:bCs w:val="1"/>
                <w:color w:val="auto"/>
              </w:rPr>
              <w:t>and 2020 and for Each of the Three Years in the Period Ended December 31, 2021</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20" w:type="dxa"/>
            <w:vAlign w:val="bottom"/>
          </w:tcPr>
          <w:p>
            <w:pPr>
              <w:spacing w:after="0"/>
              <w:rPr>
                <w:sz w:val="14"/>
                <w:szCs w:val="14"/>
                <w:color w:val="auto"/>
              </w:rPr>
            </w:pPr>
          </w:p>
        </w:tc>
        <w:tc>
          <w:tcPr>
            <w:tcW w:w="8260" w:type="dxa"/>
            <w:vAlign w:val="bottom"/>
            <w:gridSpan w:val="9"/>
          </w:tcPr>
          <w:p>
            <w:pPr>
              <w:spacing w:after="0" w:line="172" w:lineRule="exact"/>
              <w:rPr>
                <w:rFonts w:ascii="Arial" w:cs="Arial" w:eastAsia="Arial" w:hAnsi="Arial"/>
                <w:sz w:val="16"/>
                <w:szCs w:val="16"/>
                <w:color w:val="0000EE"/>
              </w:rPr>
            </w:pPr>
            <w:hyperlink w:anchor="page79">
              <w:r>
                <w:rPr>
                  <w:rFonts w:ascii="Arial" w:cs="Arial" w:eastAsia="Arial" w:hAnsi="Arial"/>
                  <w:sz w:val="16"/>
                  <w:szCs w:val="16"/>
                  <w:color w:val="0000EE"/>
                </w:rPr>
                <w:t xml:space="preserve">Report of Independent Registered Public Accounting Firm </w:t>
              </w:r>
            </w:hyperlink>
            <w:r>
              <w:rPr>
                <w:rFonts w:ascii="Arial" w:cs="Arial" w:eastAsia="Arial" w:hAnsi="Arial"/>
                <w:sz w:val="16"/>
                <w:szCs w:val="16"/>
                <w:color w:val="000000"/>
              </w:rPr>
              <w:t>(PCAOB</w:t>
            </w:r>
            <w:r>
              <w:rPr>
                <w:rFonts w:ascii="Arial" w:cs="Arial" w:eastAsia="Arial" w:hAnsi="Arial"/>
                <w:sz w:val="16"/>
                <w:szCs w:val="16"/>
                <w:color w:val="0000EE"/>
              </w:rPr>
              <w:t xml:space="preserve"> </w:t>
            </w:r>
            <w:r>
              <w:rPr>
                <w:rFonts w:ascii="Arial" w:cs="Arial" w:eastAsia="Arial" w:hAnsi="Arial"/>
                <w:sz w:val="16"/>
                <w:szCs w:val="16"/>
                <w:color w:val="000000"/>
              </w:rPr>
              <w:t>ID: 0042)</w:t>
            </w:r>
          </w:p>
        </w:tc>
        <w:tc>
          <w:tcPr>
            <w:tcW w:w="320" w:type="dxa"/>
            <w:vAlign w:val="bottom"/>
          </w:tcPr>
          <w:p>
            <w:pPr>
              <w:jc w:val="right"/>
              <w:spacing w:after="0" w:line="172" w:lineRule="exact"/>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3800" w:type="dxa"/>
            <w:vAlign w:val="bottom"/>
            <w:tcBorders>
              <w:top w:val="single" w:sz="8" w:color="0000EE"/>
              <w:bottom w:val="single" w:sz="8" w:color="0000EE"/>
            </w:tcBorders>
            <w:gridSpan w:val="3"/>
          </w:tcPr>
          <w:p>
            <w:pPr>
              <w:spacing w:after="0" w:line="183" w:lineRule="exact"/>
              <w:rPr>
                <w:rFonts w:ascii="Arial" w:cs="Arial" w:eastAsia="Arial" w:hAnsi="Arial"/>
                <w:sz w:val="16"/>
                <w:szCs w:val="16"/>
                <w:color w:val="0000EE"/>
                <w:w w:val="92"/>
              </w:rPr>
            </w:pPr>
            <w:hyperlink w:anchor="page81">
              <w:r>
                <w:rPr>
                  <w:rFonts w:ascii="Arial" w:cs="Arial" w:eastAsia="Arial" w:hAnsi="Arial"/>
                  <w:sz w:val="16"/>
                  <w:szCs w:val="16"/>
                  <w:color w:val="0000EE"/>
                  <w:w w:val="92"/>
                </w:rPr>
                <w:t>Report of Independent Registered Public Accounting Firm</w:t>
              </w:r>
            </w:hyperlink>
          </w:p>
        </w:tc>
        <w:tc>
          <w:tcPr>
            <w:tcW w:w="4460" w:type="dxa"/>
            <w:vAlign w:val="bottom"/>
            <w:gridSpan w:val="6"/>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8260" w:type="dxa"/>
            <w:vAlign w:val="bottom"/>
            <w:gridSpan w:val="9"/>
          </w:tcPr>
          <w:p>
            <w:pPr>
              <w:spacing w:after="0" w:line="183" w:lineRule="exact"/>
              <w:rPr>
                <w:rFonts w:ascii="Arial" w:cs="Arial" w:eastAsia="Arial" w:hAnsi="Arial"/>
                <w:sz w:val="16"/>
                <w:szCs w:val="16"/>
                <w:color w:val="0000EE"/>
              </w:rPr>
            </w:pPr>
            <w:hyperlink w:anchor="page82">
              <w:r>
                <w:rPr>
                  <w:rFonts w:ascii="Arial" w:cs="Arial" w:eastAsia="Arial" w:hAnsi="Arial"/>
                  <w:sz w:val="16"/>
                  <w:szCs w:val="16"/>
                  <w:color w:val="0000EE"/>
                </w:rPr>
                <w:t>Consolidated Balance Sheets as of December 31, 2021 and 2020</w:t>
              </w:r>
            </w:hyperlink>
          </w:p>
        </w:tc>
        <w:tc>
          <w:tcPr>
            <w:tcW w:w="320" w:type="dxa"/>
            <w:vAlign w:val="bottom"/>
          </w:tcPr>
          <w:p>
            <w:pPr>
              <w:jc w:val="right"/>
              <w:spacing w:after="0" w:line="183" w:lineRule="exact"/>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8260" w:type="dxa"/>
            <w:vAlign w:val="bottom"/>
            <w:gridSpan w:val="9"/>
          </w:tcPr>
          <w:p>
            <w:pPr>
              <w:spacing w:after="0" w:line="183" w:lineRule="exact"/>
              <w:rPr>
                <w:rFonts w:ascii="Arial" w:cs="Arial" w:eastAsia="Arial" w:hAnsi="Arial"/>
                <w:sz w:val="16"/>
                <w:szCs w:val="16"/>
                <w:color w:val="0000EE"/>
              </w:rPr>
            </w:pPr>
            <w:hyperlink w:anchor="page83">
              <w:r>
                <w:rPr>
                  <w:rFonts w:ascii="Arial" w:cs="Arial" w:eastAsia="Arial" w:hAnsi="Arial"/>
                  <w:sz w:val="16"/>
                  <w:szCs w:val="16"/>
                  <w:color w:val="0000EE"/>
                </w:rPr>
                <w:t>Consolidated Statements of Operations for the Years ended December 31, 2021, 2020, and 2019</w:t>
              </w:r>
            </w:hyperlink>
          </w:p>
        </w:tc>
        <w:tc>
          <w:tcPr>
            <w:tcW w:w="320" w:type="dxa"/>
            <w:vAlign w:val="bottom"/>
          </w:tcPr>
          <w:p>
            <w:pPr>
              <w:jc w:val="right"/>
              <w:spacing w:after="0" w:line="183" w:lineRule="exact"/>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33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8260" w:type="dxa"/>
            <w:vAlign w:val="bottom"/>
            <w:gridSpan w:val="9"/>
          </w:tcPr>
          <w:p>
            <w:pPr>
              <w:spacing w:after="0" w:line="183" w:lineRule="exact"/>
              <w:rPr>
                <w:rFonts w:ascii="Arial" w:cs="Arial" w:eastAsia="Arial" w:hAnsi="Arial"/>
                <w:sz w:val="16"/>
                <w:szCs w:val="16"/>
                <w:color w:val="0000EE"/>
                <w:w w:val="99"/>
              </w:rPr>
            </w:pPr>
            <w:hyperlink w:anchor="page84">
              <w:r>
                <w:rPr>
                  <w:rFonts w:ascii="Arial" w:cs="Arial" w:eastAsia="Arial" w:hAnsi="Arial"/>
                  <w:sz w:val="16"/>
                  <w:szCs w:val="16"/>
                  <w:color w:val="0000EE"/>
                  <w:w w:val="99"/>
                </w:rPr>
                <w:t>Consolidated Statements of Comprehensive Income (Loss) for the Years ended December 31, 2021, 2020, and 2019</w:t>
              </w:r>
            </w:hyperlink>
          </w:p>
        </w:tc>
        <w:tc>
          <w:tcPr>
            <w:tcW w:w="320" w:type="dxa"/>
            <w:vAlign w:val="bottom"/>
          </w:tcPr>
          <w:p>
            <w:pPr>
              <w:jc w:val="right"/>
              <w:spacing w:after="0" w:line="183" w:lineRule="exact"/>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6280" w:type="dxa"/>
            <w:vAlign w:val="bottom"/>
            <w:tcBorders>
              <w:top w:val="single" w:sz="8" w:color="0000EE"/>
              <w:bottom w:val="single" w:sz="8" w:color="0000EE"/>
            </w:tcBorders>
            <w:gridSpan w:val="6"/>
          </w:tcPr>
          <w:p>
            <w:pPr>
              <w:spacing w:after="0" w:line="183" w:lineRule="exact"/>
              <w:rPr>
                <w:rFonts w:ascii="Arial" w:cs="Arial" w:eastAsia="Arial" w:hAnsi="Arial"/>
                <w:sz w:val="16"/>
                <w:szCs w:val="16"/>
                <w:color w:val="0000EE"/>
                <w:w w:val="90"/>
              </w:rPr>
            </w:pPr>
            <w:hyperlink w:anchor="page85">
              <w:r>
                <w:rPr>
                  <w:rFonts w:ascii="Arial" w:cs="Arial" w:eastAsia="Arial" w:hAnsi="Arial"/>
                  <w:sz w:val="16"/>
                  <w:szCs w:val="16"/>
                  <w:color w:val="0000EE"/>
                  <w:w w:val="90"/>
                </w:rPr>
                <w:t>Consolidated Statements of Cash Flows for the Years ended December 31, 2021, 2020, and 2019</w:t>
              </w:r>
            </w:hyperlink>
          </w:p>
        </w:tc>
        <w:tc>
          <w:tcPr>
            <w:tcW w:w="1220" w:type="dxa"/>
            <w:vAlign w:val="bottom"/>
            <w:tcBorders>
              <w:top w:val="single" w:sz="8" w:color="0000EE"/>
            </w:tcBorders>
          </w:tcPr>
          <w:p>
            <w:pPr>
              <w:spacing w:after="0"/>
              <w:rPr>
                <w:sz w:val="15"/>
                <w:szCs w:val="15"/>
                <w:color w:val="auto"/>
              </w:rPr>
            </w:pPr>
          </w:p>
        </w:tc>
        <w:tc>
          <w:tcPr>
            <w:tcW w:w="760" w:type="dxa"/>
            <w:vAlign w:val="bottom"/>
            <w:gridSpan w:val="2"/>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8260" w:type="dxa"/>
            <w:vAlign w:val="bottom"/>
            <w:gridSpan w:val="9"/>
          </w:tcPr>
          <w:p>
            <w:pPr>
              <w:spacing w:after="0" w:line="183" w:lineRule="exact"/>
              <w:rPr>
                <w:rFonts w:ascii="Arial" w:cs="Arial" w:eastAsia="Arial" w:hAnsi="Arial"/>
                <w:sz w:val="16"/>
                <w:szCs w:val="16"/>
                <w:color w:val="0000EE"/>
                <w:w w:val="94"/>
              </w:rPr>
            </w:pPr>
            <w:hyperlink w:anchor="page86">
              <w:r>
                <w:rPr>
                  <w:rFonts w:ascii="Arial" w:cs="Arial" w:eastAsia="Arial" w:hAnsi="Arial"/>
                  <w:sz w:val="16"/>
                  <w:szCs w:val="16"/>
                  <w:color w:val="0000EE"/>
                  <w:w w:val="94"/>
                </w:rPr>
                <w:t>Consolidated Statements of Equity (Deficit) and Noncontrolling Interest for the Years ended December 31, 2021, 2020, and</w:t>
              </w:r>
            </w:hyperlink>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 w:type="dxa"/>
            <w:vAlign w:val="bottom"/>
            <w:gridSpan w:val="2"/>
          </w:tcPr>
          <w:p>
            <w:pPr>
              <w:ind w:left="320"/>
              <w:spacing w:after="0" w:line="183" w:lineRule="exact"/>
              <w:rPr>
                <w:rFonts w:ascii="Arial" w:cs="Arial" w:eastAsia="Arial" w:hAnsi="Arial"/>
                <w:sz w:val="16"/>
                <w:szCs w:val="16"/>
                <w:color w:val="0000EE"/>
                <w:w w:val="84"/>
              </w:rPr>
            </w:pPr>
            <w:hyperlink w:anchor="page86">
              <w:r>
                <w:rPr>
                  <w:rFonts w:ascii="Arial" w:cs="Arial" w:eastAsia="Arial" w:hAnsi="Arial"/>
                  <w:sz w:val="16"/>
                  <w:szCs w:val="16"/>
                  <w:color w:val="0000EE"/>
                  <w:w w:val="84"/>
                </w:rPr>
                <w:t>2019</w:t>
              </w:r>
            </w:hyperlink>
          </w:p>
        </w:tc>
        <w:tc>
          <w:tcPr>
            <w:tcW w:w="2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420" w:type="dxa"/>
            <w:vAlign w:val="bottom"/>
            <w:gridSpan w:val="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2840" w:type="dxa"/>
            <w:vAlign w:val="bottom"/>
            <w:tcBorders>
              <w:bottom w:val="single" w:sz="8" w:color="0000EE"/>
            </w:tcBorders>
            <w:gridSpan w:val="2"/>
          </w:tcPr>
          <w:p>
            <w:pPr>
              <w:spacing w:after="0" w:line="183" w:lineRule="exact"/>
              <w:rPr>
                <w:rFonts w:ascii="Arial" w:cs="Arial" w:eastAsia="Arial" w:hAnsi="Arial"/>
                <w:sz w:val="16"/>
                <w:szCs w:val="16"/>
                <w:color w:val="0000EE"/>
                <w:w w:val="90"/>
              </w:rPr>
            </w:pPr>
            <w:hyperlink w:anchor="page87">
              <w:r>
                <w:rPr>
                  <w:rFonts w:ascii="Arial" w:cs="Arial" w:eastAsia="Arial" w:hAnsi="Arial"/>
                  <w:sz w:val="16"/>
                  <w:szCs w:val="16"/>
                  <w:color w:val="0000EE"/>
                  <w:w w:val="90"/>
                </w:rPr>
                <w:t>Notes to Consolidated Financial Statements</w:t>
              </w:r>
            </w:hyperlink>
          </w:p>
        </w:tc>
        <w:tc>
          <w:tcPr>
            <w:tcW w:w="5420" w:type="dxa"/>
            <w:vAlign w:val="bottom"/>
            <w:gridSpan w:val="7"/>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8" w:name="page79"/>
    <w:bookmarkEnd w:id="7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To the Stockholders and the Board of Directors of Ryman Hospitality Properties, Inc.</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left="60" w:right="79"/>
        <w:spacing w:after="0" w:line="271" w:lineRule="auto"/>
        <w:rPr>
          <w:sz w:val="20"/>
          <w:szCs w:val="20"/>
          <w:color w:val="auto"/>
        </w:rPr>
      </w:pPr>
      <w:r>
        <w:rPr>
          <w:rFonts w:ascii="Arial" w:cs="Arial" w:eastAsia="Arial" w:hAnsi="Arial"/>
          <w:sz w:val="17"/>
          <w:szCs w:val="17"/>
          <w:color w:val="auto"/>
        </w:rPr>
        <w:t>We have audited the accompanying consolidated balance sheets of Ryman Hospitality Properties, Inc. and subsidiaries (the Company) as of December 31, 2021 and 2020, the related consolidated statements of operations, comprehensive income (loss), equity (deficit) and noncontrolling interest and cash flows for each of the three years in the period ended December 31, 2021, and the related notes and financial statement schedules listed in the Index at Item 15(a)(2)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spacing w:after="0" w:line="178" w:lineRule="exact"/>
        <w:rPr>
          <w:sz w:val="20"/>
          <w:szCs w:val="20"/>
          <w:color w:val="auto"/>
        </w:rPr>
      </w:pPr>
    </w:p>
    <w:p>
      <w:pPr>
        <w:jc w:val="both"/>
        <w:ind w:left="60" w:right="519"/>
        <w:spacing w:after="0" w:line="25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2021, based on criteria established in Internal Control – Integrated Framework issued by the Committee of Sponsoring Organizations of the Treadway Commission (2013 framework), and our report dated February 25, 2022, expressed an unqualified opinion thereon.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Adoption of New Accounting Standard</w:t>
      </w:r>
    </w:p>
    <w:p>
      <w:pPr>
        <w:spacing w:after="0" w:line="229" w:lineRule="exact"/>
        <w:rPr>
          <w:sz w:val="20"/>
          <w:szCs w:val="20"/>
          <w:color w:val="auto"/>
        </w:rPr>
      </w:pPr>
    </w:p>
    <w:p>
      <w:pPr>
        <w:jc w:val="both"/>
        <w:ind w:left="60" w:right="139"/>
        <w:spacing w:after="0" w:line="263" w:lineRule="auto"/>
        <w:rPr>
          <w:sz w:val="20"/>
          <w:szCs w:val="20"/>
          <w:color w:val="auto"/>
        </w:rPr>
      </w:pPr>
      <w:r>
        <w:rPr>
          <w:rFonts w:ascii="Arial" w:cs="Arial" w:eastAsia="Arial" w:hAnsi="Arial"/>
          <w:sz w:val="18"/>
          <w:szCs w:val="18"/>
          <w:color w:val="auto"/>
        </w:rPr>
        <w:t>As discussed in Note 1 to the consolidated financial statements, the Company changed its method for accounting for credit losses in 2020 due to the adoption of ASU No. 2016-13, “Financial Instruments – Credit Losses – Measurement of Credit Losses on Financial Instruments” (ASC 326).</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left="60" w:right="319"/>
        <w:spacing w:after="0" w:line="257"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ind w:left="60" w:right="79"/>
        <w:spacing w:after="0" w:line="25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ind w:left="60" w:right="179"/>
        <w:spacing w:after="0" w:line="293"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9" w:name="page80"/>
    <w:bookmarkEnd w:id="7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860"/>
        <w:spacing w:after="0"/>
        <w:rPr>
          <w:sz w:val="20"/>
          <w:szCs w:val="20"/>
          <w:color w:val="auto"/>
        </w:rPr>
      </w:pPr>
      <w:r>
        <w:rPr>
          <w:rFonts w:ascii="Arial" w:cs="Arial" w:eastAsia="Arial" w:hAnsi="Arial"/>
          <w:sz w:val="18"/>
          <w:szCs w:val="18"/>
          <w:b w:val="1"/>
          <w:bCs w:val="1"/>
          <w:i w:val="1"/>
          <w:iCs w:val="1"/>
          <w:color w:val="auto"/>
        </w:rPr>
        <w:t>National bonds credit loss reserves</w:t>
      </w:r>
    </w:p>
    <w:p>
      <w:pPr>
        <w:spacing w:after="0" w:line="221" w:lineRule="exact"/>
        <w:rPr>
          <w:sz w:val="20"/>
          <w:szCs w:val="20"/>
          <w:color w:val="auto"/>
        </w:rPr>
      </w:pPr>
    </w:p>
    <w:p>
      <w:pPr>
        <w:ind w:left="60"/>
        <w:spacing w:after="0"/>
        <w:tabs>
          <w:tab w:leader="none" w:pos="1840" w:val="left"/>
        </w:tabs>
        <w:rPr>
          <w:sz w:val="20"/>
          <w:szCs w:val="20"/>
          <w:color w:val="auto"/>
        </w:rPr>
      </w:pPr>
      <w:r>
        <w:rPr>
          <w:rFonts w:ascii="Arial" w:cs="Arial" w:eastAsia="Arial" w:hAnsi="Arial"/>
          <w:sz w:val="18"/>
          <w:szCs w:val="18"/>
          <w:b w:val="1"/>
          <w:bCs w:val="1"/>
          <w:color w:val="auto"/>
        </w:rPr>
        <w:t>Description of the</w:t>
      </w:r>
      <w:r>
        <w:rPr>
          <w:sz w:val="20"/>
          <w:szCs w:val="20"/>
          <w:color w:val="auto"/>
        </w:rPr>
        <w:tab/>
      </w:r>
      <w:r>
        <w:rPr>
          <w:rFonts w:ascii="Arial" w:cs="Arial" w:eastAsia="Arial" w:hAnsi="Arial"/>
          <w:sz w:val="16"/>
          <w:szCs w:val="16"/>
          <w:color w:val="auto"/>
        </w:rPr>
        <w:t>At December 31, 2021, the Company holds within Notes Receivable two issuances of</w:t>
      </w:r>
    </w:p>
    <w:p>
      <w:pPr>
        <w:spacing w:after="0" w:line="27" w:lineRule="exact"/>
        <w:rPr>
          <w:sz w:val="20"/>
          <w:szCs w:val="20"/>
          <w:color w:val="auto"/>
        </w:rPr>
      </w:pPr>
    </w:p>
    <w:p>
      <w:pPr>
        <w:ind w:left="1860" w:right="79" w:hanging="1799"/>
        <w:spacing w:after="0" w:line="251" w:lineRule="auto"/>
        <w:tabs>
          <w:tab w:leader="none" w:pos="1840" w:val="left"/>
        </w:tabs>
        <w:rPr>
          <w:sz w:val="20"/>
          <w:szCs w:val="20"/>
          <w:color w:val="auto"/>
        </w:rPr>
      </w:pPr>
      <w:r>
        <w:rPr>
          <w:rFonts w:ascii="Arial" w:cs="Arial" w:eastAsia="Arial" w:hAnsi="Arial"/>
          <w:sz w:val="18"/>
          <w:szCs w:val="18"/>
          <w:b w:val="1"/>
          <w:bCs w:val="1"/>
          <w:color w:val="auto"/>
        </w:rPr>
        <w:t>Matter</w:t>
      </w:r>
      <w:r>
        <w:rPr>
          <w:sz w:val="20"/>
          <w:szCs w:val="20"/>
          <w:color w:val="auto"/>
        </w:rPr>
        <w:tab/>
      </w:r>
      <w:r>
        <w:rPr>
          <w:rFonts w:ascii="Arial" w:cs="Arial" w:eastAsia="Arial" w:hAnsi="Arial"/>
          <w:sz w:val="18"/>
          <w:szCs w:val="18"/>
          <w:color w:val="auto"/>
        </w:rPr>
        <w:t>governmental bonds (the Bonds) received in connection with the development of the Gaylord National Resort &amp; Convention Center which are reported at a carrying amount of $71.2 million, net of a credit loss reserve of $38.0 million. At December 31, 2021, the Series B bond is fully reserved. The Series A bond is of higher priority than other tranches which fall between the Company’s two issuances. The Company assesses the Bonds for credit losses, which requires an estimate of projected tax revenues that will service the Bonds over the remaining term. The Bonds and related accounting are more fully described in Notes 1 and 3 to the consolidated financial statements.</w:t>
      </w:r>
    </w:p>
    <w:p>
      <w:pPr>
        <w:spacing w:after="0" w:line="198" w:lineRule="exact"/>
        <w:rPr>
          <w:sz w:val="20"/>
          <w:szCs w:val="20"/>
          <w:color w:val="auto"/>
        </w:rPr>
      </w:pPr>
    </w:p>
    <w:p>
      <w:pPr>
        <w:ind w:left="1860" w:right="99"/>
        <w:spacing w:after="0" w:line="290" w:lineRule="auto"/>
        <w:rPr>
          <w:sz w:val="20"/>
          <w:szCs w:val="20"/>
          <w:color w:val="auto"/>
        </w:rPr>
      </w:pPr>
      <w:r>
        <w:rPr>
          <w:rFonts w:ascii="Arial" w:cs="Arial" w:eastAsia="Arial" w:hAnsi="Arial"/>
          <w:sz w:val="16"/>
          <w:szCs w:val="16"/>
          <w:color w:val="auto"/>
        </w:rPr>
        <w:t>Auditing management’s assessment of the valuation of the credit loss reserve for the Bonds was complex and judgmental due to the significant estimation required in projecting tax revenues, specifically property tax increments, hotel taxes and special hotel rental taxes generated by the Gaylord National Resort &amp; Convention Center which provide revenues to fund the Bonds. In particular, the estimate of credit losses is impacted by the projections of hotel taxes (which are based on estimated hotel revenues) and property taxes, both of which are judgmental as the Bonds and related projected cash flows continue for an extended period of time through 2037 and given the uncertainty of the impact of the COVID-19 pandemic.</w:t>
      </w:r>
    </w:p>
    <w:p>
      <w:pPr>
        <w:spacing w:after="0" w:line="161" w:lineRule="exact"/>
        <w:rPr>
          <w:sz w:val="20"/>
          <w:szCs w:val="20"/>
          <w:color w:val="auto"/>
        </w:rPr>
      </w:pPr>
    </w:p>
    <w:p>
      <w:pPr>
        <w:ind w:left="60" w:right="479"/>
        <w:spacing w:after="0" w:line="293" w:lineRule="auto"/>
        <w:rPr>
          <w:sz w:val="20"/>
          <w:szCs w:val="20"/>
          <w:color w:val="auto"/>
        </w:rPr>
      </w:pPr>
      <w:r>
        <w:rPr>
          <w:rFonts w:ascii="Arial" w:cs="Arial" w:eastAsia="Arial" w:hAnsi="Arial"/>
          <w:sz w:val="16"/>
          <w:szCs w:val="16"/>
          <w:b w:val="1"/>
          <w:bCs w:val="1"/>
          <w:color w:val="auto"/>
        </w:rPr>
        <w:t>How We Addressed the</w:t>
      </w:r>
      <w:r>
        <w:rPr>
          <w:rFonts w:ascii="Arial" w:cs="Arial" w:eastAsia="Arial" w:hAnsi="Arial"/>
          <w:sz w:val="16"/>
          <w:szCs w:val="16"/>
          <w:color w:val="auto"/>
        </w:rPr>
        <w:t>We obtained an understanding, evaluated the design and tested the operating effectiveness of</w:t>
      </w:r>
      <w:r>
        <w:rPr>
          <w:rFonts w:ascii="Arial" w:cs="Arial" w:eastAsia="Arial" w:hAnsi="Arial"/>
          <w:sz w:val="16"/>
          <w:szCs w:val="16"/>
          <w:b w:val="1"/>
          <w:bCs w:val="1"/>
          <w:color w:val="auto"/>
        </w:rPr>
        <w:t xml:space="preserve"> Matter in Our Audit </w:t>
      </w:r>
      <w:r>
        <w:rPr>
          <w:rFonts w:ascii="Arial" w:cs="Arial" w:eastAsia="Arial" w:hAnsi="Arial"/>
          <w:sz w:val="16"/>
          <w:szCs w:val="16"/>
          <w:color w:val="auto"/>
        </w:rPr>
        <w:t>controls over the Company’s estimation of the credit loss reserve for the Bonds, including</w:t>
      </w:r>
    </w:p>
    <w:p>
      <w:pPr>
        <w:spacing w:after="0" w:line="1"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controls over management’s review of the projections described above.</w:t>
      </w:r>
    </w:p>
    <w:p>
      <w:pPr>
        <w:spacing w:after="0" w:line="211" w:lineRule="exact"/>
        <w:rPr>
          <w:sz w:val="20"/>
          <w:szCs w:val="20"/>
          <w:color w:val="auto"/>
        </w:rPr>
      </w:pPr>
    </w:p>
    <w:p>
      <w:pPr>
        <w:ind w:left="1860" w:right="159"/>
        <w:spacing w:after="0" w:line="270" w:lineRule="auto"/>
        <w:rPr>
          <w:sz w:val="20"/>
          <w:szCs w:val="20"/>
          <w:color w:val="auto"/>
        </w:rPr>
      </w:pPr>
      <w:r>
        <w:rPr>
          <w:rFonts w:ascii="Arial" w:cs="Arial" w:eastAsia="Arial" w:hAnsi="Arial"/>
          <w:sz w:val="17"/>
          <w:szCs w:val="17"/>
          <w:color w:val="auto"/>
        </w:rPr>
        <w:t>To test the Company’s determination of credit loss reserve as of December 31, 2021 and related charges in 2021, we performed audit procedures that included, among others, assessing the methodology utilized by management, testing the projections discussed above and the related underlying data used by the Company in its evaluation, and testing the mathematical accuracy of the calculations. In performing those procedures, we compared hotel revenue projections used by management to current industry forecasts. We also involved valuation specialists to assist in assessing the Company’s hotel revenue projections used in the credit loss analysis and a property tax specialist to assist in assessing the Company’s property tax projections used in the credit loss analysis.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2002.</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Nashville, Tennessee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25,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0" w:name="page81"/>
    <w:bookmarkEnd w:id="8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0" w:right="1439" w:firstLine="1373"/>
        <w:spacing w:after="0" w:line="408" w:lineRule="auto"/>
        <w:rPr>
          <w:sz w:val="20"/>
          <w:szCs w:val="20"/>
          <w:color w:val="auto"/>
        </w:rPr>
      </w:pPr>
      <w:r>
        <w:rPr>
          <w:rFonts w:ascii="Arial" w:cs="Arial" w:eastAsia="Arial" w:hAnsi="Arial"/>
          <w:sz w:val="18"/>
          <w:szCs w:val="18"/>
          <w:b w:val="1"/>
          <w:bCs w:val="1"/>
          <w:color w:val="auto"/>
        </w:rPr>
        <w:t>REPORT OF INDEPENDENT REGISTERED PUBLIC ACCOUNTING FIRM To the Stockholders and the Board of Directors of Ryman Hospitality Properties, Inc. Opinion on Internal Control Over Financial Reporting</w:t>
      </w:r>
    </w:p>
    <w:p>
      <w:pPr>
        <w:spacing w:after="0" w:line="1" w:lineRule="exact"/>
        <w:rPr>
          <w:sz w:val="20"/>
          <w:szCs w:val="20"/>
          <w:color w:val="auto"/>
        </w:rPr>
      </w:pPr>
    </w:p>
    <w:p>
      <w:pPr>
        <w:ind w:left="60" w:right="239"/>
        <w:spacing w:after="0" w:line="242" w:lineRule="auto"/>
        <w:rPr>
          <w:sz w:val="20"/>
          <w:szCs w:val="20"/>
          <w:color w:val="auto"/>
        </w:rPr>
      </w:pPr>
      <w:r>
        <w:rPr>
          <w:rFonts w:ascii="Arial" w:cs="Arial" w:eastAsia="Arial" w:hAnsi="Arial"/>
          <w:sz w:val="17"/>
          <w:szCs w:val="17"/>
          <w:color w:val="auto"/>
        </w:rPr>
        <w:t>We have audited Ryman Hospitality Properties, Inc. and subsidiaries’ internal control over financial reporting as of December 31, 2021, based on criteria established in Internal Control—Integrated Framework issued by the Committee of Sponsoring Organizations of the Treadway Commission (2013 framework) (the COSO criteria). In our opinion, Ryman Hospitality Properties, Inc. and subsidiaries (the Company) maintained, in all material respects, effective internal control over financial reporting as of December 31, 2021, based on the COSO criteria.</w:t>
      </w:r>
    </w:p>
    <w:p>
      <w:pPr>
        <w:spacing w:after="0" w:line="121" w:lineRule="exact"/>
        <w:rPr>
          <w:sz w:val="20"/>
          <w:szCs w:val="20"/>
          <w:color w:val="auto"/>
        </w:rPr>
      </w:pPr>
    </w:p>
    <w:p>
      <w:pPr>
        <w:ind w:left="60" w:right="419"/>
        <w:spacing w:after="0" w:line="235"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2021 consolidated financial statements of the Company, and our report dated February 25, 2022, expressed an unqualified opinion thereon.</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ind w:left="60" w:right="79"/>
        <w:spacing w:after="0"/>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3" w:lineRule="exact"/>
        <w:rPr>
          <w:sz w:val="20"/>
          <w:szCs w:val="20"/>
          <w:color w:val="auto"/>
        </w:rPr>
      </w:pPr>
    </w:p>
    <w:p>
      <w:pPr>
        <w:jc w:val="both"/>
        <w:ind w:left="60" w:right="99"/>
        <w:spacing w:after="0" w:line="235"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21" w:lineRule="exact"/>
        <w:rPr>
          <w:sz w:val="20"/>
          <w:szCs w:val="20"/>
          <w:color w:val="auto"/>
        </w:rPr>
      </w:pPr>
    </w:p>
    <w:p>
      <w:pPr>
        <w:jc w:val="both"/>
        <w:ind w:left="60" w:right="59"/>
        <w:spacing w:after="0" w:line="231"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48" w:lineRule="exact"/>
        <w:rPr>
          <w:sz w:val="20"/>
          <w:szCs w:val="20"/>
          <w:color w:val="auto"/>
        </w:rPr>
      </w:pPr>
    </w:p>
    <w:p>
      <w:pPr>
        <w:ind w:left="60" w:right="99"/>
        <w:spacing w:after="0" w:line="254"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1" w:lineRule="exact"/>
        <w:rPr>
          <w:sz w:val="20"/>
          <w:szCs w:val="20"/>
          <w:color w:val="auto"/>
        </w:rPr>
      </w:pPr>
    </w:p>
    <w:p>
      <w:pPr>
        <w:jc w:val="both"/>
        <w:ind w:left="60" w:right="159"/>
        <w:spacing w:after="0" w:line="276"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ERNST &amp; YOUNG LLP</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color w:val="auto"/>
        </w:rPr>
        <w:t>Nashville, Tennessee</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25, 2022</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1" w:name="page82"/>
    <w:bookmarkEnd w:id="81"/>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RYMAN HOSPITALITY PROPERTIES, INC. AND SUBSIDIARIES CONSOLIDATED BALANCE SHEETS (Amounts in thousands, except per share data)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ASSETS:</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tcPr>
          <w:p>
            <w:pPr>
              <w:ind w:left="100"/>
              <w:spacing w:after="0"/>
              <w:rPr>
                <w:sz w:val="20"/>
                <w:szCs w:val="20"/>
                <w:color w:val="auto"/>
              </w:rPr>
            </w:pPr>
            <w:r>
              <w:rPr>
                <w:rFonts w:ascii="Arial" w:cs="Arial" w:eastAsia="Arial" w:hAnsi="Arial"/>
                <w:sz w:val="17"/>
                <w:szCs w:val="17"/>
                <w:color w:val="auto"/>
              </w:rPr>
              <w:t>Property and equipment, net (including $0 and $932,473 from VIEs, respectively)</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w w:val="97"/>
              </w:rPr>
              <w:t>3,031,844</w:t>
            </w:r>
          </w:p>
        </w:tc>
        <w:tc>
          <w:tcPr>
            <w:tcW w:w="14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w w:val="95"/>
              </w:rPr>
              <w:t>3,117,247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Cash and cash equivalents - unrestricted (including $0 and $14,441 from VIEs, respectively)</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140,688</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56,697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tcPr>
          <w:p>
            <w:pPr>
              <w:ind w:left="100"/>
              <w:spacing w:after="0"/>
              <w:rPr>
                <w:sz w:val="20"/>
                <w:szCs w:val="20"/>
                <w:color w:val="auto"/>
              </w:rPr>
            </w:pPr>
            <w:r>
              <w:rPr>
                <w:rFonts w:ascii="Arial" w:cs="Arial" w:eastAsia="Arial" w:hAnsi="Arial"/>
                <w:sz w:val="17"/>
                <w:szCs w:val="17"/>
                <w:color w:val="auto"/>
              </w:rPr>
              <w:t>Cash and cash equivalents - restricted</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22,312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23,057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Notes receivable, net</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71,228</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71,923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tcPr>
          <w:p>
            <w:pPr>
              <w:ind w:left="100"/>
              <w:spacing w:after="0"/>
              <w:rPr>
                <w:sz w:val="20"/>
                <w:szCs w:val="20"/>
                <w:color w:val="auto"/>
              </w:rPr>
            </w:pPr>
            <w:r>
              <w:rPr>
                <w:rFonts w:ascii="Arial" w:cs="Arial" w:eastAsia="Arial" w:hAnsi="Arial"/>
                <w:sz w:val="17"/>
                <w:szCs w:val="17"/>
                <w:color w:val="auto"/>
              </w:rPr>
              <w:t>Trade receivables, net</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74,745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20,106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Prepaid expenses and other assets (including $0 and $32,966 from VIEs, respectively)</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112,904</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100,494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Intangible assets, net (including $0 and $162,366 from VIEs, respectively)</w:t>
            </w:r>
          </w:p>
        </w:tc>
        <w:tc>
          <w:tcPr>
            <w:tcW w:w="3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126,804</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166,971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Total assets</w:t>
            </w:r>
          </w:p>
        </w:tc>
        <w:tc>
          <w:tcPr>
            <w:tcW w:w="3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3,580,525</w:t>
            </w: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3,556,495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7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LIABILITIES AND EQUITY:</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tcPr>
          <w:p>
            <w:pPr>
              <w:ind w:left="100"/>
              <w:spacing w:after="0"/>
              <w:rPr>
                <w:sz w:val="20"/>
                <w:szCs w:val="20"/>
                <w:color w:val="auto"/>
              </w:rPr>
            </w:pPr>
            <w:r>
              <w:rPr>
                <w:rFonts w:ascii="Arial" w:cs="Arial" w:eastAsia="Arial" w:hAnsi="Arial"/>
                <w:sz w:val="17"/>
                <w:szCs w:val="17"/>
                <w:color w:val="auto"/>
              </w:rPr>
              <w:t>Debt and finance lease obligations (including $0 and $794,416 from VIEs, respectively)</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w w:val="97"/>
              </w:rPr>
              <w:t>2,936,819</w:t>
            </w:r>
          </w:p>
        </w:tc>
        <w:tc>
          <w:tcPr>
            <w:tcW w:w="14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w w:val="95"/>
              </w:rPr>
              <w:t>2,658,008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Accounts payable and accrued liabilities (including $0 and $59,573 from VIEs, respectively)</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304,719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203,121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tcPr>
          <w:p>
            <w:pPr>
              <w:ind w:left="100"/>
              <w:spacing w:after="0"/>
              <w:rPr>
                <w:sz w:val="20"/>
                <w:szCs w:val="20"/>
                <w:color w:val="auto"/>
              </w:rPr>
            </w:pPr>
            <w:r>
              <w:rPr>
                <w:rFonts w:ascii="Arial" w:cs="Arial" w:eastAsia="Arial" w:hAnsi="Arial"/>
                <w:sz w:val="17"/>
                <w:szCs w:val="17"/>
                <w:color w:val="auto"/>
              </w:rPr>
              <w:t>Dividends payable</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386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843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Deferred management rights proceeds</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170,614</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172,724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tcPr>
          <w:p>
            <w:pPr>
              <w:ind w:left="100"/>
              <w:spacing w:after="0"/>
              <w:rPr>
                <w:sz w:val="20"/>
                <w:szCs w:val="20"/>
                <w:color w:val="auto"/>
              </w:rPr>
            </w:pPr>
            <w:r>
              <w:rPr>
                <w:rFonts w:ascii="Arial" w:cs="Arial" w:eastAsia="Arial" w:hAnsi="Arial"/>
                <w:sz w:val="17"/>
                <w:szCs w:val="17"/>
                <w:color w:val="auto"/>
              </w:rPr>
              <w:t>Operating lease liabilities</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113,770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107,569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Deferred income tax liabilities, net</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Other liabilities (including $0 and $18,978 from VIEs, respectively)</w:t>
            </w:r>
          </w:p>
        </w:tc>
        <w:tc>
          <w:tcPr>
            <w:tcW w:w="3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71,939</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92,779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Total liabilities</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3,602,918</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3,235,709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tcPr>
          <w:p>
            <w:pPr>
              <w:ind w:left="100"/>
              <w:spacing w:after="0"/>
              <w:rPr>
                <w:sz w:val="20"/>
                <w:szCs w:val="20"/>
                <w:color w:val="auto"/>
              </w:rPr>
            </w:pPr>
            <w:r>
              <w:rPr>
                <w:rFonts w:ascii="Arial" w:cs="Arial" w:eastAsia="Arial" w:hAnsi="Arial"/>
                <w:sz w:val="17"/>
                <w:szCs w:val="17"/>
                <w:color w:val="auto"/>
              </w:rPr>
              <w:t>Commitments and contingencies</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Noncontrolling interest in consolidated joint venture</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100,969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tcPr>
          <w:p>
            <w:pPr>
              <w:ind w:left="100"/>
              <w:spacing w:after="0"/>
              <w:rPr>
                <w:sz w:val="20"/>
                <w:szCs w:val="20"/>
                <w:color w:val="auto"/>
              </w:rPr>
            </w:pPr>
            <w:r>
              <w:rPr>
                <w:rFonts w:ascii="Arial" w:cs="Arial" w:eastAsia="Arial" w:hAnsi="Arial"/>
                <w:sz w:val="17"/>
                <w:szCs w:val="17"/>
                <w:color w:val="auto"/>
              </w:rPr>
              <w:t>Equity (deficit):</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8"/>
              </w:rPr>
              <w:t>Preferred stock, $.01 par value, 100,000 shares authorized, no shares issued or outstanding</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60" w:type="dxa"/>
            <w:vAlign w:val="bottom"/>
          </w:tcPr>
          <w:p>
            <w:pPr>
              <w:ind w:left="200"/>
              <w:spacing w:after="0" w:line="185" w:lineRule="exact"/>
              <w:rPr>
                <w:sz w:val="20"/>
                <w:szCs w:val="20"/>
                <w:color w:val="auto"/>
              </w:rPr>
            </w:pPr>
            <w:r>
              <w:rPr>
                <w:rFonts w:ascii="Arial" w:cs="Arial" w:eastAsia="Arial" w:hAnsi="Arial"/>
                <w:sz w:val="17"/>
                <w:szCs w:val="17"/>
                <w:color w:val="auto"/>
                <w:w w:val="93"/>
              </w:rPr>
              <w:t>Common stock, $.01 par value, 400,000 shares authorized, 55,072 and 54,982 shares issued and</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60" w:type="dxa"/>
            <w:vAlign w:val="bottom"/>
          </w:tcPr>
          <w:p>
            <w:pPr>
              <w:ind w:left="200"/>
              <w:spacing w:after="0"/>
              <w:rPr>
                <w:sz w:val="20"/>
                <w:szCs w:val="20"/>
                <w:color w:val="auto"/>
              </w:rPr>
            </w:pPr>
            <w:r>
              <w:rPr>
                <w:rFonts w:ascii="Arial" w:cs="Arial" w:eastAsia="Arial" w:hAnsi="Arial"/>
                <w:sz w:val="17"/>
                <w:szCs w:val="17"/>
                <w:color w:val="auto"/>
              </w:rPr>
              <w:t>outstanding, respectively</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551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550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Additional paid-in capital</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1,112,867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1,192,261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tcPr>
          <w:p>
            <w:pPr>
              <w:ind w:left="200"/>
              <w:spacing w:after="0"/>
              <w:rPr>
                <w:sz w:val="20"/>
                <w:szCs w:val="20"/>
                <w:color w:val="auto"/>
              </w:rPr>
            </w:pPr>
            <w:r>
              <w:rPr>
                <w:rFonts w:ascii="Arial" w:cs="Arial" w:eastAsia="Arial" w:hAnsi="Arial"/>
                <w:sz w:val="17"/>
                <w:szCs w:val="17"/>
                <w:color w:val="auto"/>
              </w:rPr>
              <w:t>Treasury stock of 648 and 648 shares, at cost</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(18,467)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(18,467)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Distributions in excess of retained earnings</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(1,088,105)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(911,092)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Accumulated other comprehensive loss</w:t>
            </w:r>
          </w:p>
        </w:tc>
        <w:tc>
          <w:tcPr>
            <w:tcW w:w="3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(29,080)</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(57,951)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Total stockholders' equity (deficit)</w:t>
            </w:r>
          </w:p>
        </w:tc>
        <w:tc>
          <w:tcPr>
            <w:tcW w:w="3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(22,234)</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205,301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6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Noncontrolling interest in Operating Partnership</w:t>
            </w:r>
          </w:p>
        </w:tc>
        <w:tc>
          <w:tcPr>
            <w:tcW w:w="3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Total equity (deficit)</w:t>
            </w:r>
          </w:p>
        </w:tc>
        <w:tc>
          <w:tcPr>
            <w:tcW w:w="3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(22,393)</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219,817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60" w:type="dxa"/>
            <w:vAlign w:val="bottom"/>
          </w:tcPr>
          <w:p>
            <w:pPr>
              <w:ind w:left="300"/>
              <w:spacing w:after="0"/>
              <w:rPr>
                <w:sz w:val="20"/>
                <w:szCs w:val="20"/>
                <w:color w:val="auto"/>
              </w:rPr>
            </w:pPr>
            <w:r>
              <w:rPr>
                <w:rFonts w:ascii="Arial" w:cs="Arial" w:eastAsia="Arial" w:hAnsi="Arial"/>
                <w:sz w:val="17"/>
                <w:szCs w:val="17"/>
                <w:color w:val="auto"/>
              </w:rPr>
              <w:t>Total liabilities and equity (deficit)</w:t>
            </w:r>
          </w:p>
        </w:tc>
        <w:tc>
          <w:tcPr>
            <w:tcW w:w="3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3,580,525</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5"/>
              </w:rPr>
              <w:t>3,556,495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357505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400"/>
          </w:cols>
          <w:pgMar w:left="1240" w:top="517" w:right="1259" w:bottom="1440" w:gutter="0" w:footer="0" w:header="0"/>
        </w:sectPr>
      </w:pPr>
    </w:p>
    <w:bookmarkStart w:id="82" w:name="page83"/>
    <w:bookmarkEnd w:id="8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2021,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28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2019</w:t>
            </w:r>
          </w:p>
        </w:tc>
      </w:tr>
      <w:tr>
        <w:trPr>
          <w:trHeight w:val="209"/>
        </w:trPr>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5280" w:type="dxa"/>
            <w:vAlign w:val="bottom"/>
          </w:tcPr>
          <w:p>
            <w:pPr>
              <w:ind w:left="100"/>
              <w:spacing w:after="0"/>
              <w:rPr>
                <w:sz w:val="20"/>
                <w:szCs w:val="20"/>
                <w:color w:val="auto"/>
              </w:rPr>
            </w:pPr>
            <w:r>
              <w:rPr>
                <w:rFonts w:ascii="Arial" w:cs="Arial" w:eastAsia="Arial" w:hAnsi="Arial"/>
                <w:sz w:val="15"/>
                <w:szCs w:val="15"/>
                <w:color w:val="auto"/>
              </w:rPr>
              <w:t>Rooms</w:t>
            </w:r>
          </w:p>
        </w:tc>
        <w:tc>
          <w:tcPr>
            <w:tcW w:w="800" w:type="dxa"/>
            <w:vAlign w:val="bottom"/>
            <w:gridSpan w:val="2"/>
          </w:tcPr>
          <w:p>
            <w:pPr>
              <w:ind w:left="68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328,874</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171,718</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557,562</w:t>
            </w:r>
          </w:p>
        </w:tc>
      </w:tr>
      <w:tr>
        <w:trPr>
          <w:trHeight w:val="216"/>
        </w:trPr>
        <w:tc>
          <w:tcPr>
            <w:tcW w:w="52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Food and beverage</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279,489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187,538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660,770</w:t>
            </w:r>
          </w:p>
        </w:tc>
      </w:tr>
      <w:tr>
        <w:trPr>
          <w:trHeight w:val="216"/>
        </w:trPr>
        <w:tc>
          <w:tcPr>
            <w:tcW w:w="5280" w:type="dxa"/>
            <w:vAlign w:val="bottom"/>
          </w:tcPr>
          <w:p>
            <w:pPr>
              <w:ind w:left="100"/>
              <w:spacing w:after="0"/>
              <w:rPr>
                <w:sz w:val="20"/>
                <w:szCs w:val="20"/>
                <w:color w:val="auto"/>
              </w:rPr>
            </w:pPr>
            <w:r>
              <w:rPr>
                <w:rFonts w:ascii="Arial" w:cs="Arial" w:eastAsia="Arial" w:hAnsi="Arial"/>
                <w:sz w:val="15"/>
                <w:szCs w:val="15"/>
                <w:color w:val="auto"/>
              </w:rPr>
              <w:t>Other hotel revenue</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178,220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106,789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203,114</w:t>
            </w:r>
          </w:p>
        </w:tc>
      </w:tr>
      <w:tr>
        <w:trPr>
          <w:trHeight w:val="216"/>
        </w:trPr>
        <w:tc>
          <w:tcPr>
            <w:tcW w:w="52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Entertainment</w:t>
            </w:r>
          </w:p>
        </w:tc>
        <w:tc>
          <w:tcPr>
            <w:tcW w:w="6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152,790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58,430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183,120</w:t>
            </w:r>
          </w:p>
        </w:tc>
      </w:tr>
      <w:tr>
        <w:trPr>
          <w:trHeight w:val="209"/>
        </w:trPr>
        <w:tc>
          <w:tcPr>
            <w:tcW w:w="5280" w:type="dxa"/>
            <w:vAlign w:val="bottom"/>
          </w:tcPr>
          <w:p>
            <w:pPr>
              <w:ind w:left="220"/>
              <w:spacing w:after="0"/>
              <w:rPr>
                <w:sz w:val="20"/>
                <w:szCs w:val="20"/>
                <w:color w:val="auto"/>
              </w:rPr>
            </w:pPr>
            <w:r>
              <w:rPr>
                <w:rFonts w:ascii="Arial" w:cs="Arial" w:eastAsia="Arial" w:hAnsi="Arial"/>
                <w:sz w:val="15"/>
                <w:szCs w:val="15"/>
                <w:color w:val="auto"/>
              </w:rPr>
              <w:t>Total revenues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939,373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524,475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1,604,566</w:t>
            </w:r>
          </w:p>
        </w:tc>
      </w:tr>
      <w:tr>
        <w:trPr>
          <w:trHeight w:val="216"/>
        </w:trPr>
        <w:tc>
          <w:tcPr>
            <w:tcW w:w="5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5"/>
                <w:szCs w:val="15"/>
                <w:color w:val="auto"/>
              </w:rPr>
              <w:t>Operating expenses: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52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Rooms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88,244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58,943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144,834</w:t>
            </w:r>
          </w:p>
        </w:tc>
      </w:tr>
      <w:tr>
        <w:trPr>
          <w:trHeight w:val="216"/>
        </w:trPr>
        <w:tc>
          <w:tcPr>
            <w:tcW w:w="5280" w:type="dxa"/>
            <w:vAlign w:val="bottom"/>
          </w:tcPr>
          <w:p>
            <w:pPr>
              <w:ind w:left="100"/>
              <w:spacing w:after="0"/>
              <w:rPr>
                <w:sz w:val="20"/>
                <w:szCs w:val="20"/>
                <w:color w:val="auto"/>
              </w:rPr>
            </w:pPr>
            <w:r>
              <w:rPr>
                <w:rFonts w:ascii="Arial" w:cs="Arial" w:eastAsia="Arial" w:hAnsi="Arial"/>
                <w:sz w:val="15"/>
                <w:szCs w:val="15"/>
                <w:color w:val="auto"/>
              </w:rPr>
              <w:t>Food and beverage</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190,855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146,141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362,850</w:t>
            </w:r>
          </w:p>
        </w:tc>
      </w:tr>
      <w:tr>
        <w:trPr>
          <w:trHeight w:val="216"/>
        </w:trPr>
        <w:tc>
          <w:tcPr>
            <w:tcW w:w="52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Other hotel expenses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327,791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260,690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409,883</w:t>
            </w:r>
          </w:p>
        </w:tc>
      </w:tr>
      <w:tr>
        <w:trPr>
          <w:trHeight w:val="216"/>
        </w:trPr>
        <w:tc>
          <w:tcPr>
            <w:tcW w:w="5280" w:type="dxa"/>
            <w:vAlign w:val="bottom"/>
            <w:tcBorders>
              <w:bottom w:val="single" w:sz="8" w:color="CCEEFF"/>
            </w:tcBorders>
          </w:tcPr>
          <w:p>
            <w:pPr>
              <w:ind w:left="100"/>
              <w:spacing w:after="0"/>
              <w:rPr>
                <w:sz w:val="20"/>
                <w:szCs w:val="20"/>
                <w:color w:val="auto"/>
              </w:rPr>
            </w:pPr>
            <w:r>
              <w:rPr>
                <w:rFonts w:ascii="Arial" w:cs="Arial" w:eastAsia="Arial" w:hAnsi="Arial"/>
                <w:sz w:val="15"/>
                <w:szCs w:val="15"/>
                <w:color w:val="auto"/>
              </w:rPr>
              <w:t>Management fees, net</w:t>
            </w:r>
          </w:p>
        </w:tc>
        <w:tc>
          <w:tcPr>
            <w:tcW w:w="6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39,608</w:t>
            </w:r>
          </w:p>
        </w:tc>
      </w:tr>
      <w:tr>
        <w:trPr>
          <w:trHeight w:val="209"/>
        </w:trPr>
        <w:tc>
          <w:tcPr>
            <w:tcW w:w="52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Total hotel operating expenses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620,921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472,840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957,175</w:t>
            </w:r>
          </w:p>
        </w:tc>
      </w:tr>
      <w:tr>
        <w:trPr>
          <w:trHeight w:val="216"/>
        </w:trPr>
        <w:tc>
          <w:tcPr>
            <w:tcW w:w="5280" w:type="dxa"/>
            <w:vAlign w:val="bottom"/>
          </w:tcPr>
          <w:p>
            <w:pPr>
              <w:ind w:left="100"/>
              <w:spacing w:after="0"/>
              <w:rPr>
                <w:sz w:val="20"/>
                <w:szCs w:val="20"/>
                <w:color w:val="auto"/>
              </w:rPr>
            </w:pPr>
            <w:r>
              <w:rPr>
                <w:rFonts w:ascii="Arial" w:cs="Arial" w:eastAsia="Arial" w:hAnsi="Arial"/>
                <w:sz w:val="15"/>
                <w:szCs w:val="15"/>
                <w:color w:val="auto"/>
              </w:rPr>
              <w:t>Entertainment</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117,753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78,301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126,609</w:t>
            </w:r>
          </w:p>
        </w:tc>
      </w:tr>
      <w:tr>
        <w:trPr>
          <w:trHeight w:val="216"/>
        </w:trPr>
        <w:tc>
          <w:tcPr>
            <w:tcW w:w="52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Corporate</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38,597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36,282</w:t>
            </w:r>
          </w:p>
        </w:tc>
      </w:tr>
      <w:tr>
        <w:trPr>
          <w:trHeight w:val="216"/>
        </w:trPr>
        <w:tc>
          <w:tcPr>
            <w:tcW w:w="5280" w:type="dxa"/>
            <w:vAlign w:val="bottom"/>
          </w:tcPr>
          <w:p>
            <w:pPr>
              <w:ind w:left="100"/>
              <w:spacing w:after="0"/>
              <w:rPr>
                <w:sz w:val="20"/>
                <w:szCs w:val="20"/>
                <w:color w:val="auto"/>
              </w:rPr>
            </w:pPr>
            <w:r>
              <w:rPr>
                <w:rFonts w:ascii="Arial" w:cs="Arial" w:eastAsia="Arial" w:hAnsi="Arial"/>
                <w:sz w:val="15"/>
                <w:szCs w:val="15"/>
                <w:color w:val="auto"/>
              </w:rPr>
              <w:t>Preopening costs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1,665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3,122</w:t>
            </w:r>
          </w:p>
        </w:tc>
      </w:tr>
      <w:tr>
        <w:trPr>
          <w:trHeight w:val="216"/>
        </w:trPr>
        <w:tc>
          <w:tcPr>
            <w:tcW w:w="52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Gain on sale of assets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280" w:type="dxa"/>
            <w:vAlign w:val="bottom"/>
          </w:tcPr>
          <w:p>
            <w:pPr>
              <w:ind w:left="100"/>
              <w:spacing w:after="0"/>
              <w:rPr>
                <w:sz w:val="20"/>
                <w:szCs w:val="20"/>
                <w:color w:val="auto"/>
              </w:rPr>
            </w:pPr>
            <w:r>
              <w:rPr>
                <w:rFonts w:ascii="Arial" w:cs="Arial" w:eastAsia="Arial" w:hAnsi="Arial"/>
                <w:sz w:val="15"/>
                <w:szCs w:val="15"/>
                <w:color w:val="auto"/>
              </w:rPr>
              <w:t>Credit loss on held-to-maturity securities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32,784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2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Depreciation and amortization</w:t>
            </w:r>
          </w:p>
        </w:tc>
        <w:tc>
          <w:tcPr>
            <w:tcW w:w="6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220,357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215,082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213,847</w:t>
            </w:r>
          </w:p>
        </w:tc>
      </w:tr>
      <w:tr>
        <w:trPr>
          <w:trHeight w:val="210"/>
        </w:trPr>
        <w:tc>
          <w:tcPr>
            <w:tcW w:w="528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Total operating expenses</w:t>
            </w:r>
          </w:p>
        </w:tc>
        <w:tc>
          <w:tcPr>
            <w:tcW w:w="6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998,048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828,306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1,337,035</w:t>
            </w:r>
          </w:p>
        </w:tc>
      </w:tr>
      <w:tr>
        <w:trPr>
          <w:trHeight w:val="210"/>
        </w:trPr>
        <w:tc>
          <w:tcPr>
            <w:tcW w:w="5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5"/>
                <w:szCs w:val="15"/>
                <w:color w:val="auto"/>
              </w:rPr>
              <w:t>Operating income (loss)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(58,675)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(303,831)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267,531</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(125,347)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(115,783)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(131,620)</w:t>
            </w:r>
          </w:p>
        </w:tc>
      </w:tr>
      <w:tr>
        <w:trPr>
          <w:trHeight w:val="216"/>
        </w:trPr>
        <w:tc>
          <w:tcPr>
            <w:tcW w:w="5280" w:type="dxa"/>
            <w:vAlign w:val="bottom"/>
          </w:tcPr>
          <w:p>
            <w:pPr>
              <w:spacing w:after="0"/>
              <w:rPr>
                <w:sz w:val="20"/>
                <w:szCs w:val="20"/>
                <w:color w:val="auto"/>
              </w:rPr>
            </w:pPr>
            <w:r>
              <w:rPr>
                <w:rFonts w:ascii="Arial" w:cs="Arial" w:eastAsia="Arial" w:hAnsi="Arial"/>
                <w:sz w:val="15"/>
                <w:szCs w:val="15"/>
                <w:color w:val="auto"/>
              </w:rPr>
              <w:t>Interest income</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5,685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7,304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11,769</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5"/>
                <w:szCs w:val="15"/>
                <w:color w:val="auto"/>
              </w:rPr>
              <w:t>Loss on extinguishment of debt</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r>
      <w:tr>
        <w:trPr>
          <w:trHeight w:val="216"/>
        </w:trPr>
        <w:tc>
          <w:tcPr>
            <w:tcW w:w="5280" w:type="dxa"/>
            <w:vAlign w:val="bottom"/>
          </w:tcPr>
          <w:p>
            <w:pPr>
              <w:spacing w:after="0"/>
              <w:rPr>
                <w:sz w:val="20"/>
                <w:szCs w:val="20"/>
                <w:color w:val="auto"/>
              </w:rPr>
            </w:pPr>
            <w:r>
              <w:rPr>
                <w:rFonts w:ascii="Arial" w:cs="Arial" w:eastAsia="Arial" w:hAnsi="Arial"/>
                <w:sz w:val="15"/>
                <w:szCs w:val="15"/>
                <w:color w:val="auto"/>
              </w:rPr>
              <w:t>Loss from unconsolidated joint ventures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(8,963)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(6,451)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(1,110)</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5"/>
                <w:szCs w:val="15"/>
                <w:color w:val="auto"/>
              </w:rPr>
              <w:t>Other gains and (losses), net</w:t>
            </w:r>
          </w:p>
        </w:tc>
        <w:tc>
          <w:tcPr>
            <w:tcW w:w="6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w:t>
            </w:r>
          </w:p>
        </w:tc>
      </w:tr>
      <w:tr>
        <w:trPr>
          <w:trHeight w:val="210"/>
        </w:trPr>
        <w:tc>
          <w:tcPr>
            <w:tcW w:w="5280" w:type="dxa"/>
            <w:vAlign w:val="bottom"/>
          </w:tcPr>
          <w:p>
            <w:pPr>
              <w:ind w:left="100"/>
              <w:spacing w:after="0"/>
              <w:rPr>
                <w:sz w:val="20"/>
                <w:szCs w:val="20"/>
                <w:color w:val="auto"/>
              </w:rPr>
            </w:pPr>
            <w:r>
              <w:rPr>
                <w:rFonts w:ascii="Arial" w:cs="Arial" w:eastAsia="Arial" w:hAnsi="Arial"/>
                <w:sz w:val="15"/>
                <w:szCs w:val="15"/>
                <w:color w:val="auto"/>
              </w:rPr>
              <w:t>Income (loss) before income taxes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(189,844)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(433,737)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146,769</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5"/>
                <w:szCs w:val="15"/>
                <w:color w:val="auto"/>
              </w:rPr>
              <w:t>Provision for income taxes</w:t>
            </w:r>
          </w:p>
        </w:tc>
        <w:tc>
          <w:tcPr>
            <w:tcW w:w="6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(27,084)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(18,475)</w:t>
            </w:r>
          </w:p>
        </w:tc>
      </w:tr>
      <w:tr>
        <w:trPr>
          <w:trHeight w:val="210"/>
        </w:trPr>
        <w:tc>
          <w:tcPr>
            <w:tcW w:w="5280" w:type="dxa"/>
            <w:vAlign w:val="bottom"/>
          </w:tcPr>
          <w:p>
            <w:pPr>
              <w:ind w:left="100"/>
              <w:spacing w:after="0"/>
              <w:rPr>
                <w:sz w:val="20"/>
                <w:szCs w:val="20"/>
                <w:color w:val="auto"/>
              </w:rPr>
            </w:pPr>
            <w:r>
              <w:rPr>
                <w:rFonts w:ascii="Arial" w:cs="Arial" w:eastAsia="Arial" w:hAnsi="Arial"/>
                <w:sz w:val="15"/>
                <w:szCs w:val="15"/>
                <w:color w:val="auto"/>
              </w:rPr>
              <w:t>Net income (loss)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(194,801)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(460,821)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128,294</w:t>
            </w:r>
          </w:p>
        </w:tc>
      </w:tr>
      <w:tr>
        <w:trPr>
          <w:trHeight w:val="216"/>
        </w:trPr>
        <w:tc>
          <w:tcPr>
            <w:tcW w:w="5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5"/>
                <w:szCs w:val="15"/>
                <w:color w:val="auto"/>
              </w:rPr>
              <w:t>Net loss attributable to noncontrolling interest in consolidated joint venture</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16,501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42,474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17,500</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5"/>
                <w:szCs w:val="15"/>
                <w:color w:val="auto"/>
              </w:rPr>
              <w:t>Net loss attributable to noncontrolling interest in Operating Partnership</w:t>
            </w:r>
          </w:p>
        </w:tc>
        <w:tc>
          <w:tcPr>
            <w:tcW w:w="6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9"/>
        </w:trPr>
        <w:tc>
          <w:tcPr>
            <w:tcW w:w="5280" w:type="dxa"/>
            <w:vAlign w:val="bottom"/>
          </w:tcPr>
          <w:p>
            <w:pPr>
              <w:ind w:left="100"/>
              <w:spacing w:after="0"/>
              <w:rPr>
                <w:sz w:val="20"/>
                <w:szCs w:val="20"/>
                <w:color w:val="auto"/>
              </w:rPr>
            </w:pPr>
            <w:r>
              <w:rPr>
                <w:rFonts w:ascii="Arial" w:cs="Arial" w:eastAsia="Arial" w:hAnsi="Arial"/>
                <w:sz w:val="15"/>
                <w:szCs w:val="15"/>
                <w:color w:val="auto"/>
              </w:rPr>
              <w:t>Net income (loss) available to common stockholders</w:t>
            </w:r>
          </w:p>
        </w:tc>
        <w:tc>
          <w:tcPr>
            <w:tcW w:w="80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3"/>
              </w:rPr>
              <w:t>(176,966)</w:t>
            </w:r>
          </w:p>
        </w:tc>
        <w:tc>
          <w:tcPr>
            <w:tcW w:w="2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3"/>
              </w:rPr>
              <w:t>(417,391)</w:t>
            </w:r>
          </w:p>
        </w:tc>
        <w:tc>
          <w:tcPr>
            <w:tcW w:w="2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145,794</w:t>
            </w:r>
          </w:p>
        </w:tc>
      </w:tr>
      <w:tr>
        <w:trPr>
          <w:trHeight w:val="197"/>
        </w:trPr>
        <w:tc>
          <w:tcPr>
            <w:tcW w:w="52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r>
      <w:tr>
        <w:trPr>
          <w:trHeight w:val="256"/>
        </w:trPr>
        <w:tc>
          <w:tcPr>
            <w:tcW w:w="5280" w:type="dxa"/>
            <w:vAlign w:val="bottom"/>
          </w:tcPr>
          <w:p>
            <w:pPr>
              <w:spacing w:after="0"/>
              <w:rPr>
                <w:sz w:val="20"/>
                <w:szCs w:val="20"/>
                <w:color w:val="auto"/>
              </w:rPr>
            </w:pPr>
            <w:r>
              <w:rPr>
                <w:rFonts w:ascii="Arial" w:cs="Arial" w:eastAsia="Arial" w:hAnsi="Arial"/>
                <w:sz w:val="15"/>
                <w:szCs w:val="15"/>
                <w:color w:val="auto"/>
              </w:rPr>
              <w:t>Basic income (loss) per share available to common stockholders</w:t>
            </w:r>
          </w:p>
        </w:tc>
        <w:tc>
          <w:tcPr>
            <w:tcW w:w="800" w:type="dxa"/>
            <w:vAlign w:val="bottom"/>
            <w:gridSpan w:val="2"/>
          </w:tcPr>
          <w:p>
            <w:pPr>
              <w:ind w:left="68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(3.21)</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(7.59)</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2.82</w:t>
            </w:r>
          </w:p>
        </w:tc>
      </w:tr>
      <w:tr>
        <w:trPr>
          <w:trHeight w:val="197"/>
        </w:trPr>
        <w:tc>
          <w:tcPr>
            <w:tcW w:w="5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Diluted income (loss) per share available to common stockholders</w:t>
            </w:r>
          </w:p>
        </w:tc>
        <w:tc>
          <w:tcPr>
            <w:tcW w:w="6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(3.21)</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2.81</w:t>
            </w:r>
          </w:p>
        </w:tc>
      </w:tr>
      <w:tr>
        <w:trPr>
          <w:trHeight w:val="20"/>
        </w:trPr>
        <w:tc>
          <w:tcPr>
            <w:tcW w:w="5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3" w:name="page84"/>
    <w:bookmarkEnd w:id="8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79"/>
        <w:spacing w:after="0" w:line="261" w:lineRule="auto"/>
        <w:rPr>
          <w:sz w:val="20"/>
          <w:szCs w:val="20"/>
          <w:color w:val="auto"/>
        </w:rPr>
      </w:pPr>
      <w:r>
        <w:rPr>
          <w:rFonts w:ascii="Arial" w:cs="Arial" w:eastAsia="Arial" w:hAnsi="Arial"/>
          <w:sz w:val="18"/>
          <w:szCs w:val="18"/>
          <w:b w:val="1"/>
          <w:bCs w:val="1"/>
          <w:color w:val="auto"/>
        </w:rPr>
        <w:t>RYMAN HOSPITALITY PROPERTIES, INC. AND SUBSIDIARIES CONSOLIDATED STATEMENTS OF COMPREHENSIVE INCOME (LOSS) For the Years Ended December 31, 2021, 2020 and 2019 (Amounts in thousands)</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960" w:type="dxa"/>
            <w:vAlign w:val="bottom"/>
            <w:gridSpan w:val="2"/>
          </w:tcPr>
          <w:p>
            <w:pPr>
              <w:jc w:val="right"/>
              <w:ind w:right="195"/>
              <w:spacing w:after="0"/>
              <w:rPr>
                <w:sz w:val="20"/>
                <w:szCs w:val="20"/>
                <w:color w:val="auto"/>
              </w:rPr>
            </w:pPr>
            <w:r>
              <w:rPr>
                <w:rFonts w:ascii="Arial" w:cs="Arial" w:eastAsia="Arial" w:hAnsi="Arial"/>
                <w:sz w:val="14"/>
                <w:szCs w:val="14"/>
                <w:b w:val="1"/>
                <w:bCs w:val="1"/>
                <w:color w:val="auto"/>
              </w:rPr>
              <w:t>2021</w:t>
            </w:r>
          </w:p>
        </w:tc>
        <w:tc>
          <w:tcPr>
            <w:tcW w:w="960" w:type="dxa"/>
            <w:vAlign w:val="bottom"/>
            <w:gridSpan w:val="2"/>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760" w:type="dxa"/>
            <w:vAlign w:val="bottom"/>
            <w:gridSpan w:val="2"/>
          </w:tcPr>
          <w:p>
            <w:pPr>
              <w:jc w:val="right"/>
              <w:ind w:right="15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 (194,801)</w:t>
            </w: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 (460,821)</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$ 128,294</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Other comprehensive income (loss), before tax:</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80"/>
              <w:spacing w:after="0"/>
              <w:rPr>
                <w:sz w:val="20"/>
                <w:szCs w:val="20"/>
                <w:color w:val="auto"/>
              </w:rPr>
            </w:pPr>
            <w:r>
              <w:rPr>
                <w:rFonts w:ascii="Arial" w:cs="Arial" w:eastAsia="Arial" w:hAnsi="Arial"/>
                <w:sz w:val="17"/>
                <w:szCs w:val="17"/>
                <w:color w:val="auto"/>
              </w:rPr>
              <w:t>Gain (loss) on minimum pension liability:</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Gains (losses) arising during the period</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10,314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(2,901)</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200"/>
              <w:spacing w:after="0"/>
              <w:rPr>
                <w:sz w:val="20"/>
                <w:szCs w:val="20"/>
                <w:color w:val="auto"/>
              </w:rPr>
            </w:pPr>
            <w:r>
              <w:rPr>
                <w:rFonts w:ascii="Arial" w:cs="Arial" w:eastAsia="Arial" w:hAnsi="Arial"/>
                <w:sz w:val="17"/>
                <w:szCs w:val="17"/>
                <w:color w:val="auto"/>
              </w:rPr>
              <w:t>Amount reclassified from accumulated other comprehensive loss</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(110)</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194</w:t>
            </w:r>
          </w:p>
        </w:tc>
        <w:tc>
          <w:tcPr>
            <w:tcW w:w="14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97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10,204</w:t>
            </w: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(2,707)</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Pr>
          <w:p>
            <w:pPr>
              <w:ind w:left="80"/>
              <w:spacing w:after="0"/>
              <w:rPr>
                <w:sz w:val="20"/>
                <w:szCs w:val="20"/>
                <w:color w:val="auto"/>
              </w:rPr>
            </w:pPr>
            <w:r>
              <w:rPr>
                <w:rFonts w:ascii="Arial" w:cs="Arial" w:eastAsia="Arial" w:hAnsi="Arial"/>
                <w:sz w:val="17"/>
                <w:szCs w:val="17"/>
                <w:color w:val="auto"/>
              </w:rPr>
              <w:t>Interest rate derivatives:</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Gains (losses) arising during period</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1,955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(39,958)</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200"/>
              <w:spacing w:after="0"/>
              <w:rPr>
                <w:sz w:val="20"/>
                <w:szCs w:val="20"/>
                <w:color w:val="auto"/>
              </w:rPr>
            </w:pPr>
            <w:r>
              <w:rPr>
                <w:rFonts w:ascii="Arial" w:cs="Arial" w:eastAsia="Arial" w:hAnsi="Arial"/>
                <w:sz w:val="17"/>
                <w:szCs w:val="17"/>
                <w:color w:val="auto"/>
              </w:rPr>
              <w:t>Amount reclassified from accumulated other comprehensive loss</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16,501</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10,505</w:t>
            </w:r>
          </w:p>
        </w:tc>
        <w:tc>
          <w:tcPr>
            <w:tcW w:w="14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(1,905)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18,456</w:t>
            </w: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(29,453)</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ind w:left="80"/>
              <w:spacing w:after="0"/>
              <w:rPr>
                <w:sz w:val="20"/>
                <w:szCs w:val="20"/>
                <w:color w:val="auto"/>
              </w:rPr>
            </w:pPr>
            <w:r>
              <w:rPr>
                <w:rFonts w:ascii="Arial" w:cs="Arial" w:eastAsia="Arial" w:hAnsi="Arial"/>
                <w:sz w:val="17"/>
                <w:szCs w:val="17"/>
                <w:color w:val="auto"/>
              </w:rPr>
              <w:t>Other-than-temporary impairment loss on held-to-maturity securities:</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200"/>
              <w:spacing w:after="0"/>
              <w:rPr>
                <w:sz w:val="20"/>
                <w:szCs w:val="20"/>
                <w:color w:val="auto"/>
              </w:rPr>
            </w:pPr>
            <w:r>
              <w:rPr>
                <w:rFonts w:ascii="Arial" w:cs="Arial" w:eastAsia="Arial" w:hAnsi="Arial"/>
                <w:sz w:val="17"/>
                <w:szCs w:val="17"/>
                <w:color w:val="auto"/>
              </w:rPr>
              <w:t>Amount reclassified from accumulated other comprehensive loss</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211</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210</w:t>
            </w:r>
          </w:p>
        </w:tc>
        <w:tc>
          <w:tcPr>
            <w:tcW w:w="14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333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w:t>
            </w: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210</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333</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Other comprehensive income (loss), before tax</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28,871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(31,950)</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spacing w:after="0"/>
              <w:rPr>
                <w:sz w:val="20"/>
                <w:szCs w:val="20"/>
                <w:color w:val="auto"/>
              </w:rPr>
            </w:pPr>
            <w:r>
              <w:rPr>
                <w:rFonts w:ascii="Arial" w:cs="Arial" w:eastAsia="Arial" w:hAnsi="Arial"/>
                <w:sz w:val="17"/>
                <w:szCs w:val="17"/>
                <w:color w:val="auto"/>
              </w:rPr>
              <w:t>Income tax provision related to items of comprehensive loss</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(185)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 comprehensive income (loss), net of tax</w:t>
            </w: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28,871</w:t>
            </w: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(31,950)</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2,572</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Comprehensive income (loss)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(165,930)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(492,771)</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9"/>
              </w:rPr>
              <w:t>$ 130,866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spacing w:after="0"/>
              <w:rPr>
                <w:sz w:val="20"/>
                <w:szCs w:val="20"/>
                <w:color w:val="auto"/>
              </w:rPr>
            </w:pPr>
            <w:r>
              <w:rPr>
                <w:rFonts w:ascii="Arial" w:cs="Arial" w:eastAsia="Arial" w:hAnsi="Arial"/>
                <w:sz w:val="17"/>
                <w:szCs w:val="17"/>
                <w:color w:val="auto"/>
                <w:w w:val="93"/>
              </w:rPr>
              <w:t>Comprehensive loss attributable to noncontrolling interest in consolidated joint venture</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15,419</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48,989</w:t>
            </w:r>
          </w:p>
        </w:tc>
        <w:tc>
          <w:tcPr>
            <w:tcW w:w="14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18,328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w w:val="97"/>
              </w:rPr>
              <w:t>Comprehensive loss attributable to noncontrolling interest in Operating Partnership</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1,128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869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6080" w:type="dxa"/>
            <w:vAlign w:val="bottom"/>
            <w:gridSpan w:val="2"/>
          </w:tcPr>
          <w:p>
            <w:pPr>
              <w:spacing w:after="0"/>
              <w:rPr>
                <w:sz w:val="20"/>
                <w:szCs w:val="20"/>
                <w:color w:val="auto"/>
              </w:rPr>
            </w:pPr>
            <w:r>
              <w:rPr>
                <w:rFonts w:ascii="Arial" w:cs="Arial" w:eastAsia="Arial" w:hAnsi="Arial"/>
                <w:sz w:val="17"/>
                <w:szCs w:val="17"/>
                <w:color w:val="auto"/>
              </w:rPr>
              <w:t>Comprehensive income (loss) available to common stockholders</w:t>
            </w:r>
          </w:p>
        </w:tc>
        <w:tc>
          <w:tcPr>
            <w:tcW w:w="14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9"/>
              </w:rPr>
              <w:t>$ (149,383)</w:t>
            </w:r>
          </w:p>
        </w:tc>
        <w:tc>
          <w:tcPr>
            <w:tcW w:w="14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9"/>
              </w:rPr>
              <w:t>$ (442,913)</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7"/>
              </w:rPr>
              <w:t>$ 149,194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4" w:name="page85"/>
    <w:bookmarkEnd w:id="8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2021,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0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Cash Flows from Operating Activities:</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ind w:left="80"/>
              <w:spacing w:after="0" w:line="162" w:lineRule="exact"/>
              <w:rPr>
                <w:sz w:val="20"/>
                <w:szCs w:val="20"/>
                <w:color w:val="auto"/>
              </w:rPr>
            </w:pPr>
            <w:r>
              <w:rPr>
                <w:rFonts w:ascii="Arial" w:cs="Arial" w:eastAsia="Arial" w:hAnsi="Arial"/>
                <w:sz w:val="15"/>
                <w:szCs w:val="15"/>
                <w:color w:val="auto"/>
              </w:rPr>
              <w:t>Net income (loss)</w:t>
            </w:r>
          </w:p>
        </w:tc>
        <w:tc>
          <w:tcPr>
            <w:tcW w:w="420" w:type="dxa"/>
            <w:vAlign w:val="bottom"/>
            <w:gridSpan w:val="2"/>
          </w:tcPr>
          <w:p>
            <w:pPr>
              <w:jc w:val="right"/>
              <w:ind w:right="11"/>
              <w:spacing w:after="0" w:line="162" w:lineRule="exact"/>
              <w:rPr>
                <w:sz w:val="20"/>
                <w:szCs w:val="20"/>
                <w:color w:val="auto"/>
              </w:rPr>
            </w:pPr>
            <w:r>
              <w:rPr>
                <w:rFonts w:ascii="Arial" w:cs="Arial" w:eastAsia="Arial" w:hAnsi="Arial"/>
                <w:sz w:val="15"/>
                <w:szCs w:val="15"/>
                <w:color w:val="auto"/>
              </w:rPr>
              <w:t>$</w:t>
            </w: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w w:val="99"/>
              </w:rPr>
              <w:t>(194,801)</w:t>
            </w:r>
          </w:p>
        </w:tc>
        <w:tc>
          <w:tcPr>
            <w:tcW w:w="3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w w:val="99"/>
              </w:rPr>
              <w:t>(460,821)</w:t>
            </w:r>
          </w:p>
        </w:tc>
        <w:tc>
          <w:tcPr>
            <w:tcW w:w="180" w:type="dxa"/>
            <w:vAlign w:val="bottom"/>
          </w:tcPr>
          <w:p>
            <w:pPr>
              <w:spacing w:after="0"/>
              <w:rPr>
                <w:sz w:val="14"/>
                <w:szCs w:val="14"/>
                <w:color w:val="auto"/>
              </w:rPr>
            </w:pPr>
          </w:p>
        </w:tc>
        <w:tc>
          <w:tcPr>
            <w:tcW w:w="140" w:type="dxa"/>
            <w:vAlign w:val="bottom"/>
            <w:gridSpan w:val="2"/>
          </w:tcPr>
          <w:p>
            <w:pPr>
              <w:jc w:val="right"/>
              <w:ind w:right="11"/>
              <w:spacing w:after="0" w:line="162" w:lineRule="exact"/>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128,294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ind w:left="80"/>
              <w:spacing w:after="0" w:line="149" w:lineRule="exact"/>
              <w:rPr>
                <w:sz w:val="20"/>
                <w:szCs w:val="20"/>
                <w:color w:val="auto"/>
              </w:rPr>
            </w:pPr>
            <w:r>
              <w:rPr>
                <w:rFonts w:ascii="Arial" w:cs="Arial" w:eastAsia="Arial" w:hAnsi="Arial"/>
                <w:sz w:val="15"/>
                <w:szCs w:val="15"/>
                <w:color w:val="auto"/>
                <w:w w:val="97"/>
              </w:rPr>
              <w:t>Amounts to reconcile net income (loss) to net cash flows provided by (used in) operating</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800" w:type="dxa"/>
            <w:vAlign w:val="bottom"/>
            <w:shd w:val="clear" w:color="auto" w:fill="CCEEFF"/>
          </w:tcPr>
          <w:p>
            <w:pPr>
              <w:ind w:left="80"/>
              <w:spacing w:after="0"/>
              <w:rPr>
                <w:sz w:val="20"/>
                <w:szCs w:val="20"/>
                <w:color w:val="auto"/>
              </w:rPr>
            </w:pPr>
            <w:r>
              <w:rPr>
                <w:rFonts w:ascii="Arial" w:cs="Arial" w:eastAsia="Arial" w:hAnsi="Arial"/>
                <w:sz w:val="15"/>
                <w:szCs w:val="15"/>
                <w:color w:val="auto"/>
              </w:rPr>
              <w:t>activities:</w:t>
            </w: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ind w:left="200"/>
              <w:spacing w:after="0" w:line="162" w:lineRule="exact"/>
              <w:rPr>
                <w:sz w:val="20"/>
                <w:szCs w:val="20"/>
                <w:color w:val="auto"/>
              </w:rPr>
            </w:pPr>
            <w:r>
              <w:rPr>
                <w:rFonts w:ascii="Arial" w:cs="Arial" w:eastAsia="Arial" w:hAnsi="Arial"/>
                <w:sz w:val="15"/>
                <w:szCs w:val="15"/>
                <w:color w:val="auto"/>
              </w:rPr>
              <w:t>Provision for deferred income taxes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4,006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26,526</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14,414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Depreciation and amortization</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220,357</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215,082</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213,847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ind w:left="200"/>
              <w:spacing w:after="0" w:line="162" w:lineRule="exact"/>
              <w:rPr>
                <w:sz w:val="20"/>
                <w:szCs w:val="20"/>
                <w:color w:val="auto"/>
              </w:rPr>
            </w:pPr>
            <w:r>
              <w:rPr>
                <w:rFonts w:ascii="Arial" w:cs="Arial" w:eastAsia="Arial" w:hAnsi="Arial"/>
                <w:sz w:val="15"/>
                <w:szCs w:val="15"/>
                <w:color w:val="auto"/>
              </w:rPr>
              <w:t>Amortization of deferred financing costs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8,790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7,948</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7,662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Credit loss on held-to-maturity securities</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32,784</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ind w:left="200"/>
              <w:spacing w:after="0" w:line="162" w:lineRule="exact"/>
              <w:rPr>
                <w:sz w:val="20"/>
                <w:szCs w:val="20"/>
                <w:color w:val="auto"/>
              </w:rPr>
            </w:pPr>
            <w:r>
              <w:rPr>
                <w:rFonts w:ascii="Arial" w:cs="Arial" w:eastAsia="Arial" w:hAnsi="Arial"/>
                <w:sz w:val="15"/>
                <w:szCs w:val="15"/>
                <w:color w:val="auto"/>
              </w:rPr>
              <w:t>Forfeiture of Block 21 earnest deposit</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15,000</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Write-off of deferred financing costs</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281</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3,079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ind w:left="200"/>
              <w:spacing w:after="0" w:line="162" w:lineRule="exact"/>
              <w:rPr>
                <w:sz w:val="20"/>
                <w:szCs w:val="20"/>
                <w:color w:val="auto"/>
              </w:rPr>
            </w:pPr>
            <w:r>
              <w:rPr>
                <w:rFonts w:ascii="Arial" w:cs="Arial" w:eastAsia="Arial" w:hAnsi="Arial"/>
                <w:sz w:val="15"/>
                <w:szCs w:val="15"/>
                <w:color w:val="auto"/>
              </w:rPr>
              <w:t>Loss from unconsolidated joint ventures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8,963</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6,451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1,110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Stock-based compensation expense</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12,104</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8,732</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7,833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ind w:left="200"/>
              <w:spacing w:after="0" w:line="162" w:lineRule="exact"/>
              <w:rPr>
                <w:sz w:val="20"/>
                <w:szCs w:val="20"/>
                <w:color w:val="auto"/>
              </w:rPr>
            </w:pPr>
            <w:r>
              <w:rPr>
                <w:rFonts w:ascii="Arial" w:cs="Arial" w:eastAsia="Arial" w:hAnsi="Arial"/>
                <w:sz w:val="15"/>
                <w:szCs w:val="15"/>
                <w:color w:val="auto"/>
              </w:rPr>
              <w:t>Changes in:</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Trade receivables</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(54,639)</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50,501</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(2,844)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ind w:left="300"/>
              <w:spacing w:after="0" w:line="162" w:lineRule="exact"/>
              <w:rPr>
                <w:sz w:val="20"/>
                <w:szCs w:val="20"/>
                <w:color w:val="auto"/>
              </w:rPr>
            </w:pPr>
            <w:r>
              <w:rPr>
                <w:rFonts w:ascii="Arial" w:cs="Arial" w:eastAsia="Arial" w:hAnsi="Arial"/>
                <w:sz w:val="15"/>
                <w:szCs w:val="15"/>
                <w:color w:val="auto"/>
              </w:rPr>
              <w:t>Accounts payable and accrued liabilities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107,012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(59,828)</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(13,674)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Other assets and liabilities</w:t>
            </w:r>
          </w:p>
        </w:tc>
        <w:tc>
          <w:tcPr>
            <w:tcW w:w="3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(539)</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(4,180)</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(5,035)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00" w:type="dxa"/>
            <w:vAlign w:val="bottom"/>
            <w:tcBorders>
              <w:bottom w:val="single" w:sz="8" w:color="CCEEFF"/>
            </w:tcBorders>
          </w:tcPr>
          <w:p>
            <w:pPr>
              <w:ind w:left="200"/>
              <w:spacing w:after="0" w:line="156" w:lineRule="exact"/>
              <w:rPr>
                <w:sz w:val="20"/>
                <w:szCs w:val="20"/>
                <w:color w:val="auto"/>
              </w:rPr>
            </w:pPr>
            <w:r>
              <w:rPr>
                <w:rFonts w:ascii="Arial" w:cs="Arial" w:eastAsia="Arial" w:hAnsi="Arial"/>
                <w:sz w:val="15"/>
                <w:szCs w:val="15"/>
                <w:color w:val="auto"/>
              </w:rPr>
              <w:t>Net cash flows provided by (used in) operating activities</w:t>
            </w:r>
          </w:p>
        </w:tc>
        <w:tc>
          <w:tcPr>
            <w:tcW w:w="3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111,253</w:t>
            </w:r>
          </w:p>
        </w:tc>
        <w:tc>
          <w:tcPr>
            <w:tcW w:w="1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99"/>
              </w:rPr>
              <w:t>(161,524)</w:t>
            </w:r>
          </w:p>
        </w:tc>
        <w:tc>
          <w:tcPr>
            <w:tcW w:w="1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354,686</w:t>
            </w: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5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800" w:type="dxa"/>
            <w:vAlign w:val="bottom"/>
          </w:tcPr>
          <w:p>
            <w:pPr>
              <w:spacing w:after="0" w:line="162" w:lineRule="exact"/>
              <w:rPr>
                <w:sz w:val="20"/>
                <w:szCs w:val="20"/>
                <w:color w:val="auto"/>
              </w:rPr>
            </w:pPr>
            <w:r>
              <w:rPr>
                <w:rFonts w:ascii="Arial" w:cs="Arial" w:eastAsia="Arial" w:hAnsi="Arial"/>
                <w:sz w:val="15"/>
                <w:szCs w:val="15"/>
                <w:color w:val="auto"/>
              </w:rPr>
              <w:t>Cash Flows from Investing Activities: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Purchases of property and equipment</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(77,426)</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9"/>
              </w:rPr>
              <w:t>(165,463)</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(152,541)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ind w:left="80"/>
              <w:spacing w:after="0" w:line="162" w:lineRule="exact"/>
              <w:rPr>
                <w:sz w:val="20"/>
                <w:szCs w:val="20"/>
                <w:color w:val="auto"/>
              </w:rPr>
            </w:pPr>
            <w:r>
              <w:rPr>
                <w:rFonts w:ascii="Arial" w:cs="Arial" w:eastAsia="Arial" w:hAnsi="Arial"/>
                <w:sz w:val="15"/>
                <w:szCs w:val="15"/>
                <w:color w:val="auto"/>
              </w:rPr>
              <w:t>Purchase of land adjacent to Gaylord Rockies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(22,000)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Collection of notes receivable</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844</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2,985</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13,211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ind w:left="80"/>
              <w:spacing w:after="0" w:line="162" w:lineRule="exact"/>
              <w:rPr>
                <w:sz w:val="20"/>
                <w:szCs w:val="20"/>
                <w:color w:val="auto"/>
              </w:rPr>
            </w:pPr>
            <w:r>
              <w:rPr>
                <w:rFonts w:ascii="Arial" w:cs="Arial" w:eastAsia="Arial" w:hAnsi="Arial"/>
                <w:sz w:val="15"/>
                <w:szCs w:val="15"/>
                <w:color w:val="auto"/>
              </w:rPr>
              <w:t>Purchase of additional interest in Gaylord Rockies joint venture</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w w:val="99"/>
              </w:rPr>
              <w:t>(188,000)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(5,481)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Earnest money deposit for potential Block 21 acquisition</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(15,000)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ind w:left="80"/>
              <w:spacing w:after="0" w:line="162" w:lineRule="exact"/>
              <w:rPr>
                <w:sz w:val="20"/>
                <w:szCs w:val="20"/>
                <w:color w:val="auto"/>
              </w:rPr>
            </w:pPr>
            <w:r>
              <w:rPr>
                <w:rFonts w:ascii="Arial" w:cs="Arial" w:eastAsia="Arial" w:hAnsi="Arial"/>
                <w:sz w:val="15"/>
                <w:szCs w:val="15"/>
                <w:color w:val="auto"/>
              </w:rPr>
              <w:t>Investment in other joint ventures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(8,710)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(8,868)</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(4,241)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Other investing activities, net</w:t>
            </w:r>
          </w:p>
        </w:tc>
        <w:tc>
          <w:tcPr>
            <w:tcW w:w="3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5,554</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(1,302)</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1,015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00" w:type="dxa"/>
            <w:vAlign w:val="bottom"/>
            <w:tcBorders>
              <w:bottom w:val="single" w:sz="8" w:color="CCEEFF"/>
            </w:tcBorders>
          </w:tcPr>
          <w:p>
            <w:pPr>
              <w:ind w:left="200"/>
              <w:spacing w:after="0" w:line="156" w:lineRule="exact"/>
              <w:rPr>
                <w:sz w:val="20"/>
                <w:szCs w:val="20"/>
                <w:color w:val="auto"/>
              </w:rPr>
            </w:pPr>
            <w:r>
              <w:rPr>
                <w:rFonts w:ascii="Arial" w:cs="Arial" w:eastAsia="Arial" w:hAnsi="Arial"/>
                <w:sz w:val="15"/>
                <w:szCs w:val="15"/>
                <w:color w:val="auto"/>
              </w:rPr>
              <w:t>Net cash flows used in investing activities</w:t>
            </w:r>
          </w:p>
        </w:tc>
        <w:tc>
          <w:tcPr>
            <w:tcW w:w="3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99"/>
              </w:rPr>
              <w:t>(289,738)</w:t>
            </w:r>
          </w:p>
        </w:tc>
        <w:tc>
          <w:tcPr>
            <w:tcW w:w="1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99"/>
              </w:rPr>
              <w:t>(172,648)</w:t>
            </w:r>
          </w:p>
        </w:tc>
        <w:tc>
          <w:tcPr>
            <w:tcW w:w="1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(163,037)</w:t>
            </w: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5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800" w:type="dxa"/>
            <w:vAlign w:val="bottom"/>
          </w:tcPr>
          <w:p>
            <w:pPr>
              <w:spacing w:after="0" w:line="162" w:lineRule="exact"/>
              <w:rPr>
                <w:sz w:val="20"/>
                <w:szCs w:val="20"/>
                <w:color w:val="auto"/>
              </w:rPr>
            </w:pPr>
            <w:r>
              <w:rPr>
                <w:rFonts w:ascii="Arial" w:cs="Arial" w:eastAsia="Arial" w:hAnsi="Arial"/>
                <w:sz w:val="15"/>
                <w:szCs w:val="15"/>
                <w:color w:val="auto"/>
              </w:rPr>
              <w:t>Cash Flows from Financing Activities: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Net borrowings (repayments) under revolving credit facility</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84,000</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106,000</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(525,000)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ind w:left="80"/>
              <w:spacing w:after="0" w:line="162" w:lineRule="exact"/>
              <w:rPr>
                <w:sz w:val="20"/>
                <w:szCs w:val="20"/>
                <w:color w:val="auto"/>
              </w:rPr>
            </w:pPr>
            <w:r>
              <w:rPr>
                <w:rFonts w:ascii="Arial" w:cs="Arial" w:eastAsia="Arial" w:hAnsi="Arial"/>
                <w:sz w:val="15"/>
                <w:szCs w:val="15"/>
                <w:color w:val="auto"/>
              </w:rPr>
              <w:t>Borrowings under term loan A</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100,000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Repayments under term loan B</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(5,000)</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(5,000)</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(105,000)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ind w:left="80"/>
              <w:spacing w:after="0" w:line="162" w:lineRule="exact"/>
              <w:rPr>
                <w:sz w:val="20"/>
                <w:szCs w:val="20"/>
                <w:color w:val="auto"/>
              </w:rPr>
            </w:pPr>
            <w:r>
              <w:rPr>
                <w:rFonts w:ascii="Arial" w:cs="Arial" w:eastAsia="Arial" w:hAnsi="Arial"/>
                <w:sz w:val="15"/>
                <w:szCs w:val="15"/>
                <w:color w:val="auto"/>
              </w:rPr>
              <w:t>Issuance of senior notes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600,000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702,500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Redemption of senior notes</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9"/>
              </w:rPr>
              <w:t>(400,000)</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(350,000)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ind w:left="80"/>
              <w:spacing w:after="0" w:line="162" w:lineRule="exact"/>
              <w:rPr>
                <w:sz w:val="20"/>
                <w:szCs w:val="20"/>
                <w:color w:val="auto"/>
              </w:rPr>
            </w:pPr>
            <w:r>
              <w:rPr>
                <w:rFonts w:ascii="Arial" w:cs="Arial" w:eastAsia="Arial" w:hAnsi="Arial"/>
                <w:sz w:val="15"/>
                <w:szCs w:val="15"/>
                <w:color w:val="auto"/>
              </w:rPr>
              <w:t>Borrowing under Gaylord Rockies term loan</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800,000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Repayment of Gaylord Rockies construction and mezzanine loans</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(496,612)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ind w:left="80"/>
              <w:spacing w:after="0" w:line="162" w:lineRule="exact"/>
              <w:rPr>
                <w:sz w:val="20"/>
                <w:szCs w:val="20"/>
                <w:color w:val="auto"/>
              </w:rPr>
            </w:pPr>
            <w:r>
              <w:rPr>
                <w:rFonts w:ascii="Arial" w:cs="Arial" w:eastAsia="Arial" w:hAnsi="Arial"/>
                <w:sz w:val="15"/>
                <w:szCs w:val="15"/>
                <w:color w:val="auto"/>
              </w:rPr>
              <w:t>Deferred financing costs paid</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(10,628)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(2,214)</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(27,666)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Issuance of common stock</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282,908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ind w:left="80"/>
              <w:spacing w:after="0" w:line="162" w:lineRule="exact"/>
              <w:rPr>
                <w:sz w:val="20"/>
                <w:szCs w:val="20"/>
                <w:color w:val="auto"/>
              </w:rPr>
            </w:pPr>
            <w:r>
              <w:rPr>
                <w:rFonts w:ascii="Arial" w:cs="Arial" w:eastAsia="Arial" w:hAnsi="Arial"/>
                <w:sz w:val="15"/>
                <w:szCs w:val="15"/>
                <w:color w:val="auto"/>
              </w:rPr>
              <w:t>Redemption of noncontrolling interest in Operating Partnership</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(2,438)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Payment of dividends</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(502)</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9"/>
              </w:rPr>
              <w:t>(102,331)</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(183,346)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ind w:left="80"/>
              <w:spacing w:after="0" w:line="162" w:lineRule="exact"/>
              <w:rPr>
                <w:sz w:val="20"/>
                <w:szCs w:val="20"/>
                <w:color w:val="auto"/>
              </w:rPr>
            </w:pPr>
            <w:r>
              <w:rPr>
                <w:rFonts w:ascii="Arial" w:cs="Arial" w:eastAsia="Arial" w:hAnsi="Arial"/>
                <w:sz w:val="15"/>
                <w:szCs w:val="15"/>
                <w:color w:val="auto"/>
              </w:rPr>
              <w:t>Distributions from consolidated joint venture to noncontrolling interest partners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(992)</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(113,894)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Payment of tax withholdings for share-based compensation</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(3,485)</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(1,688)</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(3,989)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Borders>
              <w:bottom w:val="single" w:sz="8" w:color="CCEEFF"/>
            </w:tcBorders>
          </w:tcPr>
          <w:p>
            <w:pPr>
              <w:ind w:left="80"/>
              <w:spacing w:after="0" w:line="162" w:lineRule="exact"/>
              <w:rPr>
                <w:sz w:val="20"/>
                <w:szCs w:val="20"/>
                <w:color w:val="auto"/>
              </w:rPr>
            </w:pPr>
            <w:r>
              <w:rPr>
                <w:rFonts w:ascii="Arial" w:cs="Arial" w:eastAsia="Arial" w:hAnsi="Arial"/>
                <w:sz w:val="15"/>
                <w:szCs w:val="15"/>
                <w:color w:val="auto"/>
              </w:rPr>
              <w:t>Other financing activities, net</w:t>
            </w: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(216)</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(245)</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(243)</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00" w:type="dxa"/>
            <w:vAlign w:val="bottom"/>
            <w:shd w:val="clear" w:color="auto" w:fill="CCEEFF"/>
          </w:tcPr>
          <w:p>
            <w:pPr>
              <w:ind w:left="200"/>
              <w:spacing w:after="0" w:line="156" w:lineRule="exact"/>
              <w:rPr>
                <w:sz w:val="20"/>
                <w:szCs w:val="20"/>
                <w:color w:val="auto"/>
              </w:rPr>
            </w:pPr>
            <w:r>
              <w:rPr>
                <w:rFonts w:ascii="Arial" w:cs="Arial" w:eastAsia="Arial" w:hAnsi="Arial"/>
                <w:sz w:val="15"/>
                <w:szCs w:val="15"/>
                <w:color w:val="auto"/>
              </w:rPr>
              <w:t>Net cash flows provided by (used in) financing activities</w:t>
            </w:r>
          </w:p>
        </w:tc>
        <w:tc>
          <w:tcPr>
            <w:tcW w:w="3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261,731</w:t>
            </w:r>
          </w:p>
        </w:tc>
        <w:tc>
          <w:tcPr>
            <w:tcW w:w="1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(6,470)</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79,658</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8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Net change in cash, cash equivalents, and restricted cash</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83,246</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9"/>
              </w:rPr>
              <w:t>(340,642)</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271,307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Borders>
              <w:bottom w:val="single" w:sz="8" w:color="CCEEFF"/>
            </w:tcBorders>
          </w:tcPr>
          <w:p>
            <w:pPr>
              <w:spacing w:after="0" w:line="162" w:lineRule="exact"/>
              <w:rPr>
                <w:sz w:val="20"/>
                <w:szCs w:val="20"/>
                <w:color w:val="auto"/>
              </w:rPr>
            </w:pPr>
            <w:r>
              <w:rPr>
                <w:rFonts w:ascii="Arial" w:cs="Arial" w:eastAsia="Arial" w:hAnsi="Arial"/>
                <w:sz w:val="15"/>
                <w:szCs w:val="15"/>
                <w:color w:val="auto"/>
              </w:rPr>
              <w:t>Cash, cash equivalents, and restricted cash, beginning of period</w:t>
            </w: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79,754</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420,396</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149,089</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0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5"/>
                <w:szCs w:val="15"/>
                <w:color w:val="auto"/>
              </w:rPr>
              <w:t>Cash, cash equivalents, and restricted cash, end of period</w:t>
            </w:r>
          </w:p>
        </w:tc>
        <w:tc>
          <w:tcPr>
            <w:tcW w:w="3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163,000</w:t>
            </w:r>
          </w:p>
        </w:tc>
        <w:tc>
          <w:tcPr>
            <w:tcW w:w="1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79,754</w:t>
            </w:r>
          </w:p>
        </w:tc>
        <w:tc>
          <w:tcPr>
            <w:tcW w:w="1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420,396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5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8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Reconciliation of cash, cash equivalents, and restricted cash to balance sheet:</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ind w:left="80"/>
              <w:spacing w:after="0" w:line="162" w:lineRule="exact"/>
              <w:rPr>
                <w:sz w:val="20"/>
                <w:szCs w:val="20"/>
                <w:color w:val="auto"/>
              </w:rPr>
            </w:pPr>
            <w:r>
              <w:rPr>
                <w:rFonts w:ascii="Arial" w:cs="Arial" w:eastAsia="Arial" w:hAnsi="Arial"/>
                <w:sz w:val="15"/>
                <w:szCs w:val="15"/>
                <w:color w:val="auto"/>
              </w:rPr>
              <w:t>Cash and cash equivalents - unrestricted</w:t>
            </w:r>
          </w:p>
        </w:tc>
        <w:tc>
          <w:tcPr>
            <w:tcW w:w="420" w:type="dxa"/>
            <w:vAlign w:val="bottom"/>
            <w:gridSpan w:val="2"/>
          </w:tcPr>
          <w:p>
            <w:pPr>
              <w:jc w:val="right"/>
              <w:ind w:right="11"/>
              <w:spacing w:after="0" w:line="162" w:lineRule="exact"/>
              <w:rPr>
                <w:sz w:val="20"/>
                <w:szCs w:val="20"/>
                <w:color w:val="auto"/>
              </w:rPr>
            </w:pPr>
            <w:r>
              <w:rPr>
                <w:rFonts w:ascii="Arial" w:cs="Arial" w:eastAsia="Arial" w:hAnsi="Arial"/>
                <w:sz w:val="15"/>
                <w:szCs w:val="15"/>
                <w:color w:val="auto"/>
              </w:rPr>
              <w:t>$</w:t>
            </w: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140,688</w:t>
            </w:r>
          </w:p>
        </w:tc>
        <w:tc>
          <w:tcPr>
            <w:tcW w:w="3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56,697</w:t>
            </w:r>
          </w:p>
        </w:tc>
        <w:tc>
          <w:tcPr>
            <w:tcW w:w="180" w:type="dxa"/>
            <w:vAlign w:val="bottom"/>
          </w:tcPr>
          <w:p>
            <w:pPr>
              <w:spacing w:after="0"/>
              <w:rPr>
                <w:sz w:val="14"/>
                <w:szCs w:val="14"/>
                <w:color w:val="auto"/>
              </w:rPr>
            </w:pPr>
          </w:p>
        </w:tc>
        <w:tc>
          <w:tcPr>
            <w:tcW w:w="140" w:type="dxa"/>
            <w:vAlign w:val="bottom"/>
            <w:gridSpan w:val="2"/>
          </w:tcPr>
          <w:p>
            <w:pPr>
              <w:jc w:val="right"/>
              <w:ind w:right="11"/>
              <w:spacing w:after="0" w:line="162" w:lineRule="exact"/>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362,430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Cash and cash equivalents - restricted</w:t>
            </w:r>
          </w:p>
        </w:tc>
        <w:tc>
          <w:tcPr>
            <w:tcW w:w="3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22,312</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23,057</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57,966</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00" w:type="dxa"/>
            <w:vAlign w:val="bottom"/>
          </w:tcPr>
          <w:p>
            <w:pPr>
              <w:ind w:left="80"/>
              <w:spacing w:after="0" w:line="156" w:lineRule="exact"/>
              <w:rPr>
                <w:sz w:val="20"/>
                <w:szCs w:val="20"/>
                <w:color w:val="auto"/>
              </w:rPr>
            </w:pPr>
            <w:r>
              <w:rPr>
                <w:rFonts w:ascii="Arial" w:cs="Arial" w:eastAsia="Arial" w:hAnsi="Arial"/>
                <w:sz w:val="15"/>
                <w:szCs w:val="15"/>
                <w:color w:val="auto"/>
              </w:rPr>
              <w:t>Cash, cash equivalents, and restricted cash, end of period</w:t>
            </w:r>
          </w:p>
        </w:tc>
        <w:tc>
          <w:tcPr>
            <w:tcW w:w="300" w:type="dxa"/>
            <w:vAlign w:val="bottom"/>
          </w:tcPr>
          <w:p>
            <w:pPr>
              <w:spacing w:after="0"/>
              <w:rPr>
                <w:sz w:val="13"/>
                <w:szCs w:val="13"/>
                <w:color w:val="auto"/>
              </w:rPr>
            </w:pP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163,000</w:t>
            </w:r>
          </w:p>
        </w:tc>
        <w:tc>
          <w:tcPr>
            <w:tcW w:w="180" w:type="dxa"/>
            <w:vAlign w:val="bottom"/>
          </w:tcPr>
          <w:p>
            <w:pPr>
              <w:spacing w:after="0"/>
              <w:rPr>
                <w:sz w:val="13"/>
                <w:szCs w:val="13"/>
                <w:color w:val="auto"/>
              </w:rPr>
            </w:pPr>
          </w:p>
        </w:tc>
        <w:tc>
          <w:tcPr>
            <w:tcW w:w="1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79,754</w:t>
            </w:r>
          </w:p>
        </w:tc>
        <w:tc>
          <w:tcPr>
            <w:tcW w:w="1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420,396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5" w:name="page86"/>
    <w:bookmarkEnd w:id="8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520" w:right="500"/>
        <w:spacing w:after="0" w:line="263" w:lineRule="auto"/>
        <w:rPr>
          <w:sz w:val="20"/>
          <w:szCs w:val="20"/>
          <w:color w:val="auto"/>
        </w:rPr>
      </w:pPr>
      <w:r>
        <w:rPr>
          <w:rFonts w:ascii="Arial" w:cs="Arial" w:eastAsia="Arial" w:hAnsi="Arial"/>
          <w:sz w:val="18"/>
          <w:szCs w:val="18"/>
          <w:b w:val="1"/>
          <w:bCs w:val="1"/>
          <w:color w:val="auto"/>
        </w:rPr>
        <w:t>RYMAN HOSPITALITY PROPERTIES, INC. AND SUBSIDIARIES CONSOLIDATED STATEMENTS OF EQUITY (DEFICIT) AND NONCONTROLLING INTEREST For the Years Ended December 31, 2021, 2020 and 2019 (Amounts in thousands)</w:t>
      </w:r>
    </w:p>
    <w:p>
      <w:pPr>
        <w:spacing w:after="0" w:line="200" w:lineRule="exact"/>
        <w:rPr>
          <w:sz w:val="20"/>
          <w:szCs w:val="20"/>
          <w:color w:val="auto"/>
        </w:rPr>
      </w:pP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spacing w:after="0"/>
              <w:rPr>
                <w:sz w:val="20"/>
                <w:szCs w:val="20"/>
                <w:color w:val="auto"/>
              </w:rPr>
            </w:pPr>
            <w:r>
              <w:rPr>
                <w:rFonts w:ascii="Arial" w:cs="Arial" w:eastAsia="Arial" w:hAnsi="Arial"/>
                <w:sz w:val="12"/>
                <w:szCs w:val="12"/>
                <w:b w:val="1"/>
                <w:bCs w:val="1"/>
                <w:color w:val="auto"/>
              </w:rPr>
              <w:t>Distributions</w:t>
            </w:r>
          </w:p>
        </w:tc>
        <w:tc>
          <w:tcPr>
            <w:tcW w:w="90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87"/>
              </w:rPr>
              <w:t>Accumulated</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spacing w:after="0"/>
              <w:rPr>
                <w:sz w:val="20"/>
                <w:szCs w:val="20"/>
                <w:color w:val="auto"/>
              </w:rPr>
            </w:pPr>
            <w:r>
              <w:rPr>
                <w:rFonts w:ascii="Arial" w:cs="Arial" w:eastAsia="Arial" w:hAnsi="Arial"/>
                <w:sz w:val="12"/>
                <w:szCs w:val="12"/>
                <w:b w:val="1"/>
                <w:bCs w:val="1"/>
                <w:color w:val="auto"/>
              </w:rPr>
              <w:t>Noncontrolling</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w w:val="86"/>
              </w:rPr>
              <w:t>Noncontrolling</w:t>
            </w:r>
          </w:p>
        </w:tc>
      </w:tr>
      <w:tr>
        <w:trPr>
          <w:trHeight w:val="135"/>
        </w:trPr>
        <w:tc>
          <w:tcPr>
            <w:tcW w:w="1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3"/>
          </w:tcPr>
          <w:p>
            <w:pPr>
              <w:jc w:val="center"/>
              <w:ind w:right="120"/>
              <w:spacing w:after="0" w:line="135" w:lineRule="exact"/>
              <w:rPr>
                <w:sz w:val="20"/>
                <w:szCs w:val="20"/>
                <w:color w:val="auto"/>
              </w:rPr>
            </w:pPr>
            <w:r>
              <w:rPr>
                <w:rFonts w:ascii="Arial" w:cs="Arial" w:eastAsia="Arial" w:hAnsi="Arial"/>
                <w:sz w:val="12"/>
                <w:szCs w:val="12"/>
                <w:b w:val="1"/>
                <w:bCs w:val="1"/>
                <w:color w:val="auto"/>
                <w:w w:val="88"/>
              </w:rPr>
              <w:t>Additional</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3"/>
          </w:tcPr>
          <w:p>
            <w:pPr>
              <w:jc w:val="right"/>
              <w:ind w:right="180"/>
              <w:spacing w:after="0" w:line="135" w:lineRule="exact"/>
              <w:rPr>
                <w:sz w:val="20"/>
                <w:szCs w:val="20"/>
                <w:color w:val="auto"/>
              </w:rPr>
            </w:pPr>
            <w:r>
              <w:rPr>
                <w:rFonts w:ascii="Arial" w:cs="Arial" w:eastAsia="Arial" w:hAnsi="Arial"/>
                <w:sz w:val="12"/>
                <w:szCs w:val="12"/>
                <w:b w:val="1"/>
                <w:bCs w:val="1"/>
                <w:color w:val="auto"/>
                <w:w w:val="85"/>
              </w:rPr>
              <w:t>in Excess of</w:t>
            </w:r>
          </w:p>
        </w:tc>
        <w:tc>
          <w:tcPr>
            <w:tcW w:w="160" w:type="dxa"/>
            <w:vAlign w:val="bottom"/>
          </w:tcPr>
          <w:p>
            <w:pPr>
              <w:spacing w:after="0"/>
              <w:rPr>
                <w:sz w:val="11"/>
                <w:szCs w:val="11"/>
                <w:color w:val="auto"/>
              </w:rPr>
            </w:pPr>
          </w:p>
        </w:tc>
        <w:tc>
          <w:tcPr>
            <w:tcW w:w="740" w:type="dxa"/>
            <w:vAlign w:val="bottom"/>
            <w:gridSpan w:val="2"/>
          </w:tcPr>
          <w:p>
            <w:pPr>
              <w:jc w:val="center"/>
              <w:ind w:right="280"/>
              <w:spacing w:after="0" w:line="135" w:lineRule="exact"/>
              <w:rPr>
                <w:sz w:val="20"/>
                <w:szCs w:val="20"/>
                <w:color w:val="auto"/>
              </w:rPr>
            </w:pPr>
            <w:r>
              <w:rPr>
                <w:rFonts w:ascii="Arial" w:cs="Arial" w:eastAsia="Arial" w:hAnsi="Arial"/>
                <w:sz w:val="12"/>
                <w:szCs w:val="12"/>
                <w:b w:val="1"/>
                <w:bCs w:val="1"/>
                <w:color w:val="auto"/>
                <w:w w:val="93"/>
              </w:rPr>
              <w:t>Other</w:t>
            </w:r>
          </w:p>
        </w:tc>
        <w:tc>
          <w:tcPr>
            <w:tcW w:w="120" w:type="dxa"/>
            <w:vAlign w:val="bottom"/>
          </w:tcPr>
          <w:p>
            <w:pPr>
              <w:spacing w:after="0"/>
              <w:rPr>
                <w:sz w:val="11"/>
                <w:szCs w:val="11"/>
                <w:color w:val="auto"/>
              </w:rPr>
            </w:pPr>
          </w:p>
        </w:tc>
        <w:tc>
          <w:tcPr>
            <w:tcW w:w="70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0"/>
              </w:rPr>
              <w:t>Total</w:t>
            </w:r>
          </w:p>
        </w:tc>
        <w:tc>
          <w:tcPr>
            <w:tcW w:w="8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90"/>
              </w:rPr>
              <w:t>Interest in</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ind w:right="37"/>
              <w:spacing w:after="0" w:line="135" w:lineRule="exact"/>
              <w:rPr>
                <w:sz w:val="20"/>
                <w:szCs w:val="20"/>
                <w:color w:val="auto"/>
              </w:rPr>
            </w:pPr>
            <w:r>
              <w:rPr>
                <w:rFonts w:ascii="Arial" w:cs="Arial" w:eastAsia="Arial" w:hAnsi="Arial"/>
                <w:sz w:val="12"/>
                <w:szCs w:val="12"/>
                <w:b w:val="1"/>
                <w:bCs w:val="1"/>
                <w:color w:val="auto"/>
                <w:w w:val="90"/>
              </w:rPr>
              <w:t>Interest in</w:t>
            </w:r>
          </w:p>
        </w:tc>
      </w:tr>
      <w:tr>
        <w:trPr>
          <w:trHeight w:val="135"/>
        </w:trPr>
        <w:tc>
          <w:tcPr>
            <w:tcW w:w="198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Common</w:t>
            </w:r>
          </w:p>
        </w:tc>
        <w:tc>
          <w:tcPr>
            <w:tcW w:w="80" w:type="dxa"/>
            <w:vAlign w:val="bottom"/>
          </w:tcPr>
          <w:p>
            <w:pPr>
              <w:spacing w:after="0"/>
              <w:rPr>
                <w:sz w:val="11"/>
                <w:szCs w:val="11"/>
                <w:color w:val="auto"/>
              </w:rPr>
            </w:pPr>
          </w:p>
        </w:tc>
        <w:tc>
          <w:tcPr>
            <w:tcW w:w="68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9"/>
              </w:rPr>
              <w:t>Paid-in</w:t>
            </w:r>
          </w:p>
        </w:tc>
        <w:tc>
          <w:tcPr>
            <w:tcW w:w="660" w:type="dxa"/>
            <w:vAlign w:val="bottom"/>
            <w:gridSpan w:val="2"/>
          </w:tcPr>
          <w:p>
            <w:pPr>
              <w:jc w:val="right"/>
              <w:ind w:right="160"/>
              <w:spacing w:after="0" w:line="135" w:lineRule="exact"/>
              <w:rPr>
                <w:sz w:val="20"/>
                <w:szCs w:val="20"/>
                <w:color w:val="auto"/>
              </w:rPr>
            </w:pPr>
            <w:r>
              <w:rPr>
                <w:rFonts w:ascii="Arial" w:cs="Arial" w:eastAsia="Arial" w:hAnsi="Arial"/>
                <w:sz w:val="12"/>
                <w:szCs w:val="12"/>
                <w:b w:val="1"/>
                <w:bCs w:val="1"/>
                <w:color w:val="auto"/>
                <w:w w:val="94"/>
              </w:rPr>
              <w:t>Treasury</w:t>
            </w:r>
          </w:p>
        </w:tc>
        <w:tc>
          <w:tcPr>
            <w:tcW w:w="80" w:type="dxa"/>
            <w:vAlign w:val="bottom"/>
          </w:tcPr>
          <w:p>
            <w:pPr>
              <w:spacing w:after="0"/>
              <w:rPr>
                <w:sz w:val="11"/>
                <w:szCs w:val="11"/>
                <w:color w:val="auto"/>
              </w:rPr>
            </w:pPr>
          </w:p>
        </w:tc>
        <w:tc>
          <w:tcPr>
            <w:tcW w:w="720" w:type="dxa"/>
            <w:vAlign w:val="bottom"/>
            <w:gridSpan w:val="2"/>
          </w:tcPr>
          <w:p>
            <w:pPr>
              <w:jc w:val="right"/>
              <w:ind w:right="240"/>
              <w:spacing w:after="0" w:line="135" w:lineRule="exact"/>
              <w:rPr>
                <w:sz w:val="20"/>
                <w:szCs w:val="20"/>
                <w:color w:val="auto"/>
              </w:rPr>
            </w:pPr>
            <w:r>
              <w:rPr>
                <w:rFonts w:ascii="Arial" w:cs="Arial" w:eastAsia="Arial" w:hAnsi="Arial"/>
                <w:sz w:val="12"/>
                <w:szCs w:val="12"/>
                <w:b w:val="1"/>
                <w:bCs w:val="1"/>
                <w:color w:val="auto"/>
                <w:w w:val="90"/>
              </w:rPr>
              <w:t>Retained</w:t>
            </w:r>
          </w:p>
        </w:tc>
        <w:tc>
          <w:tcPr>
            <w:tcW w:w="9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7"/>
              </w:rPr>
              <w:t>Comprehensive</w:t>
            </w:r>
          </w:p>
        </w:tc>
        <w:tc>
          <w:tcPr>
            <w:tcW w:w="8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8"/>
              </w:rPr>
              <w:t>Stockholders'</w:t>
            </w:r>
          </w:p>
        </w:tc>
        <w:tc>
          <w:tcPr>
            <w:tcW w:w="8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91"/>
              </w:rPr>
              <w:t>Operating</w:t>
            </w:r>
          </w:p>
        </w:tc>
        <w:tc>
          <w:tcPr>
            <w:tcW w:w="100" w:type="dxa"/>
            <w:vAlign w:val="bottom"/>
          </w:tcPr>
          <w:p>
            <w:pPr>
              <w:spacing w:after="0"/>
              <w:rPr>
                <w:sz w:val="11"/>
                <w:szCs w:val="11"/>
                <w:color w:val="auto"/>
              </w:rPr>
            </w:pPr>
          </w:p>
        </w:tc>
        <w:tc>
          <w:tcPr>
            <w:tcW w:w="64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90"/>
              </w:rPr>
              <w:t>Total</w:t>
            </w:r>
          </w:p>
        </w:tc>
        <w:tc>
          <w:tcPr>
            <w:tcW w:w="76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86"/>
              </w:rPr>
              <w:t>Consolidated</w:t>
            </w:r>
          </w:p>
        </w:tc>
      </w:tr>
      <w:tr>
        <w:trPr>
          <w:trHeight w:val="143"/>
        </w:trPr>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spacing w:after="0"/>
              <w:rPr>
                <w:sz w:val="20"/>
                <w:szCs w:val="20"/>
                <w:color w:val="auto"/>
              </w:rPr>
            </w:pPr>
            <w:r>
              <w:rPr>
                <w:rFonts w:ascii="Arial" w:cs="Arial" w:eastAsia="Arial" w:hAnsi="Arial"/>
                <w:sz w:val="12"/>
                <w:szCs w:val="12"/>
                <w:b w:val="1"/>
                <w:bCs w:val="1"/>
                <w:color w:val="auto"/>
              </w:rPr>
              <w:t>Stock</w:t>
            </w:r>
          </w:p>
        </w:tc>
        <w:tc>
          <w:tcPr>
            <w:tcW w:w="80" w:type="dxa"/>
            <w:vAlign w:val="bottom"/>
          </w:tcPr>
          <w:p>
            <w:pPr>
              <w:spacing w:after="0"/>
              <w:rPr>
                <w:sz w:val="12"/>
                <w:szCs w:val="12"/>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9"/>
              </w:rPr>
              <w:t>Capital</w:t>
            </w:r>
          </w:p>
        </w:tc>
        <w:tc>
          <w:tcPr>
            <w:tcW w:w="66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Stock</w:t>
            </w:r>
          </w:p>
        </w:tc>
        <w:tc>
          <w:tcPr>
            <w:tcW w:w="8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w w:val="89"/>
              </w:rPr>
              <w:t>Earnings</w:t>
            </w:r>
          </w:p>
        </w:tc>
        <w:tc>
          <w:tcPr>
            <w:tcW w:w="160" w:type="dxa"/>
            <w:vAlign w:val="bottom"/>
          </w:tcPr>
          <w:p>
            <w:pPr>
              <w:spacing w:after="0"/>
              <w:rPr>
                <w:sz w:val="12"/>
                <w:szCs w:val="12"/>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78"/>
              </w:rPr>
              <w:t>Loss</w:t>
            </w:r>
          </w:p>
        </w:tc>
        <w:tc>
          <w:tcPr>
            <w:tcW w:w="120" w:type="dxa"/>
            <w:vAlign w:val="bottom"/>
          </w:tcPr>
          <w:p>
            <w:pPr>
              <w:spacing w:after="0"/>
              <w:rPr>
                <w:sz w:val="12"/>
                <w:szCs w:val="12"/>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2"/>
              </w:rPr>
              <w:t>Equity</w:t>
            </w:r>
          </w:p>
        </w:tc>
        <w:tc>
          <w:tcPr>
            <w:tcW w:w="80" w:type="dxa"/>
            <w:vAlign w:val="bottom"/>
          </w:tcPr>
          <w:p>
            <w:pPr>
              <w:spacing w:after="0"/>
              <w:rPr>
                <w:sz w:val="12"/>
                <w:szCs w:val="12"/>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9"/>
              </w:rPr>
              <w:t>Partnership</w:t>
            </w:r>
          </w:p>
        </w:tc>
        <w:tc>
          <w:tcPr>
            <w:tcW w:w="100" w:type="dxa"/>
            <w:vAlign w:val="bottom"/>
          </w:tcPr>
          <w:p>
            <w:pPr>
              <w:spacing w:after="0"/>
              <w:rPr>
                <w:sz w:val="12"/>
                <w:szCs w:val="12"/>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Equity</w:t>
            </w:r>
          </w:p>
        </w:tc>
        <w:tc>
          <w:tcPr>
            <w:tcW w:w="760" w:type="dxa"/>
            <w:vAlign w:val="bottom"/>
            <w:gridSpan w:val="2"/>
          </w:tcPr>
          <w:p>
            <w:pPr>
              <w:jc w:val="center"/>
              <w:spacing w:after="0"/>
              <w:rPr>
                <w:sz w:val="20"/>
                <w:szCs w:val="20"/>
                <w:color w:val="auto"/>
              </w:rPr>
            </w:pPr>
            <w:r>
              <w:rPr>
                <w:rFonts w:ascii="Arial" w:cs="Arial" w:eastAsia="Arial" w:hAnsi="Arial"/>
                <w:sz w:val="12"/>
                <w:szCs w:val="12"/>
                <w:b w:val="1"/>
                <w:bCs w:val="1"/>
                <w:color w:val="auto"/>
                <w:w w:val="88"/>
              </w:rPr>
              <w:t>Joint Venture</w:t>
            </w:r>
          </w:p>
        </w:tc>
      </w:tr>
      <w:tr>
        <w:trPr>
          <w:trHeight w:val="129"/>
        </w:trPr>
        <w:tc>
          <w:tcPr>
            <w:tcW w:w="198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December 31, 2018</w:t>
            </w: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513</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900,795</w:t>
            </w:r>
          </w:p>
        </w:tc>
        <w:tc>
          <w:tcPr>
            <w:tcW w:w="12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4"/>
              </w:rPr>
              <w:t>$ (15,183)</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(388,524)</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(28,024)</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469,577</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7"/>
              </w:rPr>
              <w:t>469,577</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287,433</w:t>
            </w:r>
          </w:p>
        </w:tc>
      </w:tr>
      <w:tr>
        <w:trPr>
          <w:trHeight w:val="135"/>
        </w:trPr>
        <w:tc>
          <w:tcPr>
            <w:tcW w:w="1980" w:type="dxa"/>
            <w:vAlign w:val="bottom"/>
          </w:tcPr>
          <w:p>
            <w:pPr>
              <w:ind w:left="120"/>
              <w:spacing w:after="0" w:line="135" w:lineRule="exact"/>
              <w:rPr>
                <w:sz w:val="20"/>
                <w:szCs w:val="20"/>
                <w:color w:val="auto"/>
              </w:rPr>
            </w:pPr>
            <w:r>
              <w:rPr>
                <w:rFonts w:ascii="Arial" w:cs="Arial" w:eastAsia="Arial" w:hAnsi="Arial"/>
                <w:sz w:val="13"/>
                <w:szCs w:val="13"/>
                <w:color w:val="auto"/>
              </w:rPr>
              <w:t>Net income</w:t>
            </w:r>
          </w:p>
        </w:tc>
        <w:tc>
          <w:tcPr>
            <w:tcW w:w="80" w:type="dxa"/>
            <w:vAlign w:val="bottom"/>
          </w:tcPr>
          <w:p>
            <w:pPr>
              <w:spacing w:after="0"/>
              <w:rPr>
                <w:sz w:val="11"/>
                <w:szCs w:val="11"/>
                <w:color w:val="auto"/>
              </w:rPr>
            </w:pPr>
          </w:p>
        </w:tc>
        <w:tc>
          <w:tcPr>
            <w:tcW w:w="5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145,794</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145,794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w w:val="97"/>
              </w:rPr>
              <w:t>145,794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(17,500)</w:t>
            </w:r>
          </w:p>
        </w:tc>
      </w:tr>
      <w:tr>
        <w:trPr>
          <w:trHeight w:val="121"/>
        </w:trPr>
        <w:tc>
          <w:tcPr>
            <w:tcW w:w="198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Adjustment of noncontrolling</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35"/>
        </w:trPr>
        <w:tc>
          <w:tcPr>
            <w:tcW w:w="19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interest in consolidated joint</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49"/>
        </w:trPr>
        <w:tc>
          <w:tcPr>
            <w:tcW w:w="19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venture to redemption value</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(68,054)</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(68,054)</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(68,054)</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68,054</w:t>
            </w:r>
          </w:p>
        </w:tc>
      </w:tr>
      <w:tr>
        <w:trPr>
          <w:trHeight w:val="121"/>
        </w:trPr>
        <w:tc>
          <w:tcPr>
            <w:tcW w:w="1980" w:type="dxa"/>
            <w:vAlign w:val="bottom"/>
          </w:tcPr>
          <w:p>
            <w:pPr>
              <w:ind w:left="120"/>
              <w:spacing w:after="0" w:line="121" w:lineRule="exact"/>
              <w:rPr>
                <w:sz w:val="20"/>
                <w:szCs w:val="20"/>
                <w:color w:val="auto"/>
              </w:rPr>
            </w:pPr>
            <w:r>
              <w:rPr>
                <w:rFonts w:ascii="Arial" w:cs="Arial" w:eastAsia="Arial" w:hAnsi="Arial"/>
                <w:sz w:val="13"/>
                <w:szCs w:val="13"/>
                <w:color w:val="auto"/>
              </w:rPr>
              <w:t>Transition adjustment related to</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9"/>
        </w:trPr>
        <w:tc>
          <w:tcPr>
            <w:tcW w:w="1980" w:type="dxa"/>
            <w:vAlign w:val="bottom"/>
          </w:tcPr>
          <w:p>
            <w:pPr>
              <w:ind w:left="120"/>
              <w:spacing w:after="0"/>
              <w:rPr>
                <w:sz w:val="20"/>
                <w:szCs w:val="20"/>
                <w:color w:val="auto"/>
              </w:rPr>
            </w:pPr>
            <w:r>
              <w:rPr>
                <w:rFonts w:ascii="Arial" w:cs="Arial" w:eastAsia="Arial" w:hAnsi="Arial"/>
                <w:sz w:val="13"/>
                <w:szCs w:val="13"/>
                <w:color w:val="auto"/>
              </w:rPr>
              <w:t>adoption of ASU 2018-02</w:t>
            </w:r>
          </w:p>
        </w:tc>
        <w:tc>
          <w:tcPr>
            <w:tcW w:w="8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2,707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(2,707)</w:t>
            </w:r>
          </w:p>
        </w:tc>
        <w:tc>
          <w:tcPr>
            <w:tcW w:w="12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198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4"/>
              </w:rPr>
              <w:t>Other comprehensive income, net</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49"/>
        </w:trPr>
        <w:tc>
          <w:tcPr>
            <w:tcW w:w="19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of income taxes</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1980" w:type="dxa"/>
            <w:vAlign w:val="bottom"/>
          </w:tcPr>
          <w:p>
            <w:pPr>
              <w:ind w:left="120"/>
              <w:spacing w:after="0" w:line="121" w:lineRule="exact"/>
              <w:rPr>
                <w:sz w:val="20"/>
                <w:szCs w:val="20"/>
                <w:color w:val="auto"/>
              </w:rPr>
            </w:pPr>
            <w:r>
              <w:rPr>
                <w:rFonts w:ascii="Arial" w:cs="Arial" w:eastAsia="Arial" w:hAnsi="Arial"/>
                <w:sz w:val="13"/>
                <w:szCs w:val="13"/>
                <w:color w:val="auto"/>
                <w:w w:val="96"/>
              </w:rPr>
              <w:t>Purchase of additional ownership</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35"/>
        </w:trPr>
        <w:tc>
          <w:tcPr>
            <w:tcW w:w="1980" w:type="dxa"/>
            <w:vAlign w:val="bottom"/>
          </w:tcPr>
          <w:p>
            <w:pPr>
              <w:ind w:left="120"/>
              <w:spacing w:after="0" w:line="135" w:lineRule="exact"/>
              <w:rPr>
                <w:sz w:val="20"/>
                <w:szCs w:val="20"/>
                <w:color w:val="auto"/>
              </w:rPr>
            </w:pPr>
            <w:r>
              <w:rPr>
                <w:rFonts w:ascii="Arial" w:cs="Arial" w:eastAsia="Arial" w:hAnsi="Arial"/>
                <w:sz w:val="13"/>
                <w:szCs w:val="13"/>
                <w:color w:val="auto"/>
              </w:rPr>
              <w:t>interest in consolidated joint</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49"/>
        </w:trPr>
        <w:tc>
          <w:tcPr>
            <w:tcW w:w="1980" w:type="dxa"/>
            <w:vAlign w:val="bottom"/>
          </w:tcPr>
          <w:p>
            <w:pPr>
              <w:ind w:left="120"/>
              <w:spacing w:after="0"/>
              <w:rPr>
                <w:sz w:val="20"/>
                <w:szCs w:val="20"/>
                <w:color w:val="auto"/>
              </w:rPr>
            </w:pPr>
            <w:r>
              <w:rPr>
                <w:rFonts w:ascii="Arial" w:cs="Arial" w:eastAsia="Arial" w:hAnsi="Arial"/>
                <w:sz w:val="13"/>
                <w:szCs w:val="13"/>
                <w:color w:val="auto"/>
              </w:rPr>
              <w:t>venture</w:t>
            </w:r>
          </w:p>
        </w:tc>
        <w:tc>
          <w:tcPr>
            <w:tcW w:w="8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(2,899)</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(2,899)</w:t>
            </w:r>
          </w:p>
        </w:tc>
        <w:tc>
          <w:tcPr>
            <w:tcW w:w="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(2,899)</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(2,582)</w:t>
            </w:r>
          </w:p>
        </w:tc>
      </w:tr>
      <w:tr>
        <w:trPr>
          <w:trHeight w:val="121"/>
        </w:trPr>
        <w:tc>
          <w:tcPr>
            <w:tcW w:w="198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Distributions from consolidated</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35"/>
        </w:trPr>
        <w:tc>
          <w:tcPr>
            <w:tcW w:w="19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joint venture to noncontrolling</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49"/>
        </w:trPr>
        <w:tc>
          <w:tcPr>
            <w:tcW w:w="19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interest partners</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(113,894)</w:t>
            </w:r>
          </w:p>
        </w:tc>
      </w:tr>
      <w:tr>
        <w:trPr>
          <w:trHeight w:val="135"/>
        </w:trPr>
        <w:tc>
          <w:tcPr>
            <w:tcW w:w="1980" w:type="dxa"/>
            <w:vAlign w:val="bottom"/>
          </w:tcPr>
          <w:p>
            <w:pPr>
              <w:ind w:left="120"/>
              <w:spacing w:after="0" w:line="135" w:lineRule="exact"/>
              <w:rPr>
                <w:sz w:val="20"/>
                <w:szCs w:val="20"/>
                <w:color w:val="auto"/>
              </w:rPr>
            </w:pPr>
            <w:r>
              <w:rPr>
                <w:rFonts w:ascii="Arial" w:cs="Arial" w:eastAsia="Arial" w:hAnsi="Arial"/>
                <w:sz w:val="13"/>
                <w:szCs w:val="13"/>
                <w:color w:val="auto"/>
              </w:rPr>
              <w:t>Issuance of common stock</w:t>
            </w:r>
          </w:p>
        </w:tc>
        <w:tc>
          <w:tcPr>
            <w:tcW w:w="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35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282,873</w:t>
            </w:r>
          </w:p>
        </w:tc>
        <w:tc>
          <w:tcPr>
            <w:tcW w:w="120" w:type="dxa"/>
            <w:vAlign w:val="bottom"/>
          </w:tcPr>
          <w:p>
            <w:pPr>
              <w:spacing w:after="0"/>
              <w:rPr>
                <w:sz w:val="11"/>
                <w:szCs w:val="11"/>
                <w:color w:val="auto"/>
              </w:rPr>
            </w:pPr>
          </w:p>
        </w:tc>
        <w:tc>
          <w:tcPr>
            <w:tcW w:w="6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282,908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w w:val="97"/>
              </w:rPr>
              <w:t>282,908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21"/>
        </w:trPr>
        <w:tc>
          <w:tcPr>
            <w:tcW w:w="198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8"/>
              </w:rPr>
              <w:t>Payment of dividends ($3.60 per</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49"/>
        </w:trPr>
        <w:tc>
          <w:tcPr>
            <w:tcW w:w="19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share)</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532</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(2,132)</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(187,437)</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(189,037)</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9"/>
              </w:rPr>
              <w:t>(189,037)</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35"/>
        </w:trPr>
        <w:tc>
          <w:tcPr>
            <w:tcW w:w="1980" w:type="dxa"/>
            <w:vAlign w:val="bottom"/>
          </w:tcPr>
          <w:p>
            <w:pPr>
              <w:ind w:left="120"/>
              <w:spacing w:after="0" w:line="135" w:lineRule="exact"/>
              <w:rPr>
                <w:sz w:val="20"/>
                <w:szCs w:val="20"/>
                <w:color w:val="auto"/>
              </w:rPr>
            </w:pPr>
            <w:r>
              <w:rPr>
                <w:rFonts w:ascii="Arial" w:cs="Arial" w:eastAsia="Arial" w:hAnsi="Arial"/>
                <w:sz w:val="13"/>
                <w:szCs w:val="13"/>
                <w:color w:val="auto"/>
              </w:rPr>
              <w:t>Exercise of stock options</w:t>
            </w:r>
          </w:p>
        </w:tc>
        <w:tc>
          <w:tcPr>
            <w:tcW w:w="80" w:type="dxa"/>
            <w:vAlign w:val="bottom"/>
          </w:tcPr>
          <w:p>
            <w:pPr>
              <w:spacing w:after="0"/>
              <w:rPr>
                <w:sz w:val="11"/>
                <w:szCs w:val="11"/>
                <w:color w:val="auto"/>
              </w:rPr>
            </w:pPr>
          </w:p>
        </w:tc>
        <w:tc>
          <w:tcPr>
            <w:tcW w:w="5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35</w:t>
            </w:r>
          </w:p>
        </w:tc>
        <w:tc>
          <w:tcPr>
            <w:tcW w:w="120" w:type="dxa"/>
            <w:vAlign w:val="bottom"/>
          </w:tcPr>
          <w:p>
            <w:pPr>
              <w:spacing w:after="0"/>
              <w:rPr>
                <w:sz w:val="11"/>
                <w:szCs w:val="11"/>
                <w:color w:val="auto"/>
              </w:rPr>
            </w:pPr>
          </w:p>
        </w:tc>
        <w:tc>
          <w:tcPr>
            <w:tcW w:w="6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35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35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21"/>
        </w:trPr>
        <w:tc>
          <w:tcPr>
            <w:tcW w:w="198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Restricted stock units and stock</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49"/>
        </w:trPr>
        <w:tc>
          <w:tcPr>
            <w:tcW w:w="19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options surrendered</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(4,001)</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(4,000)</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(4,000)</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1980" w:type="dxa"/>
            <w:vAlign w:val="bottom"/>
          </w:tcPr>
          <w:p>
            <w:pPr>
              <w:ind w:left="120"/>
              <w:spacing w:after="0" w:line="121" w:lineRule="exact"/>
              <w:rPr>
                <w:sz w:val="20"/>
                <w:szCs w:val="20"/>
                <w:color w:val="auto"/>
              </w:rPr>
            </w:pPr>
            <w:r>
              <w:rPr>
                <w:rFonts w:ascii="Arial" w:cs="Arial" w:eastAsia="Arial" w:hAnsi="Arial"/>
                <w:sz w:val="13"/>
                <w:szCs w:val="13"/>
                <w:color w:val="auto"/>
              </w:rPr>
              <w:t>Stock-based compensation</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9"/>
        </w:trPr>
        <w:tc>
          <w:tcPr>
            <w:tcW w:w="1980" w:type="dxa"/>
            <w:vAlign w:val="bottom"/>
          </w:tcPr>
          <w:p>
            <w:pPr>
              <w:ind w:left="120"/>
              <w:spacing w:after="0"/>
              <w:rPr>
                <w:sz w:val="20"/>
                <w:szCs w:val="20"/>
                <w:color w:val="auto"/>
              </w:rPr>
            </w:pPr>
            <w:r>
              <w:rPr>
                <w:rFonts w:ascii="Arial" w:cs="Arial" w:eastAsia="Arial" w:hAnsi="Arial"/>
                <w:sz w:val="13"/>
                <w:szCs w:val="13"/>
                <w:color w:val="auto"/>
              </w:rPr>
              <w:t>expense</w:t>
            </w:r>
          </w:p>
        </w:tc>
        <w:tc>
          <w:tcPr>
            <w:tcW w:w="8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7,833</w:t>
            </w:r>
          </w:p>
        </w:tc>
        <w:tc>
          <w:tcPr>
            <w:tcW w:w="120" w:type="dxa"/>
            <w:vAlign w:val="bottom"/>
          </w:tcPr>
          <w:p>
            <w:pPr>
              <w:spacing w:after="0"/>
              <w:rPr>
                <w:sz w:val="12"/>
                <w:szCs w:val="12"/>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7,833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7,833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9"/>
        </w:trPr>
        <w:tc>
          <w:tcPr>
            <w:tcW w:w="198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December 31, 2019</w:t>
            </w: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549</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6"/>
              </w:rPr>
              <w:t>1,185,168</w:t>
            </w:r>
          </w:p>
        </w:tc>
        <w:tc>
          <w:tcPr>
            <w:tcW w:w="12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4"/>
              </w:rPr>
              <w:t>$ (17,315)</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(495,514)</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(28,159)</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644,729</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7"/>
              </w:rPr>
              <w:t>644,729</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221,511</w:t>
            </w:r>
          </w:p>
        </w:tc>
      </w:tr>
      <w:tr>
        <w:trPr>
          <w:trHeight w:val="135"/>
        </w:trPr>
        <w:tc>
          <w:tcPr>
            <w:tcW w:w="1980" w:type="dxa"/>
            <w:vAlign w:val="bottom"/>
          </w:tcPr>
          <w:p>
            <w:pPr>
              <w:ind w:left="120"/>
              <w:spacing w:after="0" w:line="135" w:lineRule="exact"/>
              <w:rPr>
                <w:sz w:val="20"/>
                <w:szCs w:val="20"/>
                <w:color w:val="auto"/>
              </w:rPr>
            </w:pPr>
            <w:r>
              <w:rPr>
                <w:rFonts w:ascii="Arial" w:cs="Arial" w:eastAsia="Arial" w:hAnsi="Arial"/>
                <w:sz w:val="13"/>
                <w:szCs w:val="13"/>
                <w:color w:val="auto"/>
              </w:rPr>
              <w:t>Net loss</w:t>
            </w:r>
          </w:p>
        </w:tc>
        <w:tc>
          <w:tcPr>
            <w:tcW w:w="80" w:type="dxa"/>
            <w:vAlign w:val="bottom"/>
          </w:tcPr>
          <w:p>
            <w:pPr>
              <w:spacing w:after="0"/>
              <w:rPr>
                <w:sz w:val="11"/>
                <w:szCs w:val="11"/>
                <w:color w:val="auto"/>
              </w:rPr>
            </w:pPr>
          </w:p>
        </w:tc>
        <w:tc>
          <w:tcPr>
            <w:tcW w:w="5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(417,391)</w:t>
            </w:r>
          </w:p>
        </w:tc>
        <w:tc>
          <w:tcPr>
            <w:tcW w:w="16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(417,391)</w:t>
            </w:r>
          </w:p>
        </w:tc>
        <w:tc>
          <w:tcPr>
            <w:tcW w:w="8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(956)</w:t>
            </w:r>
          </w:p>
        </w:tc>
        <w:tc>
          <w:tcPr>
            <w:tcW w:w="100" w:type="dxa"/>
            <w:vAlign w:val="bottom"/>
          </w:tcPr>
          <w:p>
            <w:pPr>
              <w:spacing w:after="0"/>
              <w:rPr>
                <w:sz w:val="11"/>
                <w:szCs w:val="11"/>
                <w:color w:val="auto"/>
              </w:rPr>
            </w:pPr>
          </w:p>
        </w:tc>
        <w:tc>
          <w:tcPr>
            <w:tcW w:w="6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89"/>
              </w:rPr>
              <w:t>(418,347)</w:t>
            </w: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(42,474)</w:t>
            </w:r>
          </w:p>
        </w:tc>
      </w:tr>
      <w:tr>
        <w:trPr>
          <w:trHeight w:val="121"/>
        </w:trPr>
        <w:tc>
          <w:tcPr>
            <w:tcW w:w="198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Adjustment of noncontrolling</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35"/>
        </w:trPr>
        <w:tc>
          <w:tcPr>
            <w:tcW w:w="19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interest in consolidated joint</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49"/>
        </w:trPr>
        <w:tc>
          <w:tcPr>
            <w:tcW w:w="19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venture to redemption value</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60,106</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60,106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60,106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(60,106)</w:t>
            </w:r>
          </w:p>
        </w:tc>
      </w:tr>
      <w:tr>
        <w:trPr>
          <w:trHeight w:val="121"/>
        </w:trPr>
        <w:tc>
          <w:tcPr>
            <w:tcW w:w="1980" w:type="dxa"/>
            <w:vAlign w:val="bottom"/>
          </w:tcPr>
          <w:p>
            <w:pPr>
              <w:ind w:left="120"/>
              <w:spacing w:after="0" w:line="121" w:lineRule="exact"/>
              <w:rPr>
                <w:sz w:val="20"/>
                <w:szCs w:val="20"/>
                <w:color w:val="auto"/>
              </w:rPr>
            </w:pPr>
            <w:r>
              <w:rPr>
                <w:rFonts w:ascii="Arial" w:cs="Arial" w:eastAsia="Arial" w:hAnsi="Arial"/>
                <w:sz w:val="13"/>
                <w:szCs w:val="13"/>
                <w:color w:val="auto"/>
              </w:rPr>
              <w:t>Transition adjustment related to</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9"/>
        </w:trPr>
        <w:tc>
          <w:tcPr>
            <w:tcW w:w="1980" w:type="dxa"/>
            <w:vAlign w:val="bottom"/>
          </w:tcPr>
          <w:p>
            <w:pPr>
              <w:ind w:left="120"/>
              <w:spacing w:after="0"/>
              <w:rPr>
                <w:sz w:val="20"/>
                <w:szCs w:val="20"/>
                <w:color w:val="auto"/>
              </w:rPr>
            </w:pPr>
            <w:r>
              <w:rPr>
                <w:rFonts w:ascii="Arial" w:cs="Arial" w:eastAsia="Arial" w:hAnsi="Arial"/>
                <w:sz w:val="13"/>
                <w:szCs w:val="13"/>
                <w:color w:val="auto"/>
              </w:rPr>
              <w:t>adoption of ASU 2016-13</w:t>
            </w:r>
          </w:p>
        </w:tc>
        <w:tc>
          <w:tcPr>
            <w:tcW w:w="8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(5,343)</w:t>
            </w: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2,158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(3,185)</w:t>
            </w:r>
          </w:p>
        </w:tc>
        <w:tc>
          <w:tcPr>
            <w:tcW w:w="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(3,185)</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198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6"/>
              </w:rPr>
              <w:t>Other comprehensive loss, net of</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49"/>
        </w:trPr>
        <w:tc>
          <w:tcPr>
            <w:tcW w:w="19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income taxes</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(31,950)</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(31,950)</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(31,950)</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1980" w:type="dxa"/>
            <w:vAlign w:val="bottom"/>
          </w:tcPr>
          <w:p>
            <w:pPr>
              <w:ind w:left="120"/>
              <w:spacing w:after="0" w:line="121" w:lineRule="exact"/>
              <w:rPr>
                <w:sz w:val="20"/>
                <w:szCs w:val="20"/>
                <w:color w:val="auto"/>
              </w:rPr>
            </w:pPr>
            <w:r>
              <w:rPr>
                <w:rFonts w:ascii="Arial" w:cs="Arial" w:eastAsia="Arial" w:hAnsi="Arial"/>
                <w:sz w:val="13"/>
                <w:szCs w:val="13"/>
                <w:color w:val="auto"/>
              </w:rPr>
              <w:t>Issuance of partnership units in</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9"/>
        </w:trPr>
        <w:tc>
          <w:tcPr>
            <w:tcW w:w="1980" w:type="dxa"/>
            <w:vAlign w:val="bottom"/>
          </w:tcPr>
          <w:p>
            <w:pPr>
              <w:ind w:left="120"/>
              <w:spacing w:after="0"/>
              <w:rPr>
                <w:sz w:val="20"/>
                <w:szCs w:val="20"/>
                <w:color w:val="auto"/>
              </w:rPr>
            </w:pPr>
            <w:r>
              <w:rPr>
                <w:rFonts w:ascii="Arial" w:cs="Arial" w:eastAsia="Arial" w:hAnsi="Arial"/>
                <w:sz w:val="13"/>
                <w:szCs w:val="13"/>
                <w:color w:val="auto"/>
              </w:rPr>
              <w:t>Operating Partnership</w:t>
            </w:r>
          </w:p>
        </w:tc>
        <w:tc>
          <w:tcPr>
            <w:tcW w:w="8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15,472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15,472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198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Distributions from consolidated</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35"/>
        </w:trPr>
        <w:tc>
          <w:tcPr>
            <w:tcW w:w="19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joint venture to noncontrolling</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49"/>
        </w:trPr>
        <w:tc>
          <w:tcPr>
            <w:tcW w:w="19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interest partners</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(992)</w:t>
            </w:r>
          </w:p>
        </w:tc>
      </w:tr>
      <w:tr>
        <w:trPr>
          <w:trHeight w:val="121"/>
        </w:trPr>
        <w:tc>
          <w:tcPr>
            <w:tcW w:w="1980" w:type="dxa"/>
            <w:vAlign w:val="bottom"/>
          </w:tcPr>
          <w:p>
            <w:pPr>
              <w:ind w:left="120"/>
              <w:spacing w:after="0" w:line="121" w:lineRule="exact"/>
              <w:rPr>
                <w:sz w:val="20"/>
                <w:szCs w:val="20"/>
                <w:color w:val="auto"/>
              </w:rPr>
            </w:pPr>
            <w:r>
              <w:rPr>
                <w:rFonts w:ascii="Arial" w:cs="Arial" w:eastAsia="Arial" w:hAnsi="Arial"/>
                <w:sz w:val="13"/>
                <w:szCs w:val="13"/>
                <w:color w:val="auto"/>
                <w:w w:val="98"/>
              </w:rPr>
              <w:t>Payment of dividends ($0.95 per</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9"/>
        </w:trPr>
        <w:tc>
          <w:tcPr>
            <w:tcW w:w="1980" w:type="dxa"/>
            <w:vAlign w:val="bottom"/>
          </w:tcPr>
          <w:p>
            <w:pPr>
              <w:ind w:left="120"/>
              <w:spacing w:after="0"/>
              <w:rPr>
                <w:sz w:val="20"/>
                <w:szCs w:val="20"/>
                <w:color w:val="auto"/>
              </w:rPr>
            </w:pPr>
            <w:r>
              <w:rPr>
                <w:rFonts w:ascii="Arial" w:cs="Arial" w:eastAsia="Arial" w:hAnsi="Arial"/>
                <w:sz w:val="13"/>
                <w:szCs w:val="13"/>
                <w:color w:val="auto"/>
              </w:rPr>
              <w:t>share)</w:t>
            </w:r>
          </w:p>
        </w:tc>
        <w:tc>
          <w:tcPr>
            <w:tcW w:w="8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135</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(1,152)</w:t>
            </w:r>
          </w:p>
        </w:tc>
        <w:tc>
          <w:tcPr>
            <w:tcW w:w="8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(51,450)</w:t>
            </w:r>
          </w:p>
        </w:tc>
        <w:tc>
          <w:tcPr>
            <w:tcW w:w="1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(52,467)</w:t>
            </w:r>
          </w:p>
        </w:tc>
        <w:tc>
          <w:tcPr>
            <w:tcW w:w="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(52,467)</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198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Redemption of noncontrolling</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35"/>
        </w:trPr>
        <w:tc>
          <w:tcPr>
            <w:tcW w:w="19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interests in consolidated joint</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49"/>
        </w:trPr>
        <w:tc>
          <w:tcPr>
            <w:tcW w:w="19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venture</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(1,500)</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(1,500)</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(1,500)</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(16,970)</w:t>
            </w:r>
          </w:p>
        </w:tc>
      </w:tr>
      <w:tr>
        <w:trPr>
          <w:trHeight w:val="121"/>
        </w:trPr>
        <w:tc>
          <w:tcPr>
            <w:tcW w:w="1980" w:type="dxa"/>
            <w:vAlign w:val="bottom"/>
          </w:tcPr>
          <w:p>
            <w:pPr>
              <w:ind w:left="120"/>
              <w:spacing w:after="0" w:line="121" w:lineRule="exact"/>
              <w:rPr>
                <w:sz w:val="20"/>
                <w:szCs w:val="20"/>
                <w:color w:val="auto"/>
              </w:rPr>
            </w:pPr>
            <w:r>
              <w:rPr>
                <w:rFonts w:ascii="Arial" w:cs="Arial" w:eastAsia="Arial" w:hAnsi="Arial"/>
                <w:sz w:val="13"/>
                <w:szCs w:val="13"/>
                <w:color w:val="auto"/>
              </w:rPr>
              <w:t>Restricted stock units and stock</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9"/>
        </w:trPr>
        <w:tc>
          <w:tcPr>
            <w:tcW w:w="1980" w:type="dxa"/>
            <w:vAlign w:val="bottom"/>
          </w:tcPr>
          <w:p>
            <w:pPr>
              <w:ind w:left="120"/>
              <w:spacing w:after="0"/>
              <w:rPr>
                <w:sz w:val="20"/>
                <w:szCs w:val="20"/>
                <w:color w:val="auto"/>
              </w:rPr>
            </w:pPr>
            <w:r>
              <w:rPr>
                <w:rFonts w:ascii="Arial" w:cs="Arial" w:eastAsia="Arial" w:hAnsi="Arial"/>
                <w:sz w:val="13"/>
                <w:szCs w:val="13"/>
                <w:color w:val="auto"/>
              </w:rPr>
              <w:t>options surrendered</w:t>
            </w: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(1,774)</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(1,773)</w:t>
            </w:r>
          </w:p>
        </w:tc>
        <w:tc>
          <w:tcPr>
            <w:tcW w:w="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(1,773)</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198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Stock-based compensation</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49"/>
        </w:trPr>
        <w:tc>
          <w:tcPr>
            <w:tcW w:w="19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expense</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8,732</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8,732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8,732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29"/>
        </w:trPr>
        <w:tc>
          <w:tcPr>
            <w:tcW w:w="1980" w:type="dxa"/>
            <w:vAlign w:val="bottom"/>
          </w:tcPr>
          <w:p>
            <w:pPr>
              <w:ind w:left="20"/>
              <w:spacing w:after="0" w:line="129" w:lineRule="exact"/>
              <w:rPr>
                <w:sz w:val="20"/>
                <w:szCs w:val="20"/>
                <w:color w:val="auto"/>
              </w:rPr>
            </w:pPr>
            <w:r>
              <w:rPr>
                <w:rFonts w:ascii="Arial" w:cs="Arial" w:eastAsia="Arial" w:hAnsi="Arial"/>
                <w:sz w:val="13"/>
                <w:szCs w:val="13"/>
                <w:color w:val="auto"/>
              </w:rPr>
              <w:t>BALANCE, December 31, 2020</w:t>
            </w:r>
          </w:p>
        </w:tc>
        <w:tc>
          <w:tcPr>
            <w:tcW w:w="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550</w:t>
            </w:r>
          </w:p>
        </w:tc>
        <w:tc>
          <w:tcPr>
            <w:tcW w:w="12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86"/>
              </w:rPr>
              <w:t>1,192,261</w:t>
            </w:r>
          </w:p>
        </w:tc>
        <w:tc>
          <w:tcPr>
            <w:tcW w:w="120" w:type="dxa"/>
            <w:vAlign w:val="bottom"/>
          </w:tcPr>
          <w:p>
            <w:pPr>
              <w:spacing w:after="0"/>
              <w:rPr>
                <w:sz w:val="11"/>
                <w:szCs w:val="11"/>
                <w:color w:val="auto"/>
              </w:rPr>
            </w:pPr>
          </w:p>
        </w:tc>
        <w:tc>
          <w:tcPr>
            <w:tcW w:w="5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84"/>
              </w:rPr>
              <w:t>$ (18,467)</w:t>
            </w: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(911,092)</w:t>
            </w: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(57,951)</w:t>
            </w: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205,301</w:t>
            </w: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14,516</w:t>
            </w:r>
          </w:p>
        </w:tc>
        <w:tc>
          <w:tcPr>
            <w:tcW w:w="120" w:type="dxa"/>
            <w:vAlign w:val="bottom"/>
          </w:tcPr>
          <w:p>
            <w:pPr>
              <w:spacing w:after="0"/>
              <w:rPr>
                <w:sz w:val="11"/>
                <w:szCs w:val="11"/>
                <w:color w:val="auto"/>
              </w:rPr>
            </w:pPr>
          </w:p>
        </w:tc>
        <w:tc>
          <w:tcPr>
            <w:tcW w:w="1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97"/>
              </w:rPr>
              <w:t>219,817</w:t>
            </w: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100,969</w:t>
            </w:r>
          </w:p>
        </w:tc>
      </w:tr>
      <w:tr>
        <w:trPr>
          <w:trHeight w:val="135"/>
        </w:trPr>
        <w:tc>
          <w:tcPr>
            <w:tcW w:w="19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Net loss</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(176,966)</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(176,966)</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(1,334)</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89"/>
              </w:rPr>
              <w:t>(178,300)</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(16,501)</w:t>
            </w:r>
          </w:p>
        </w:tc>
      </w:tr>
      <w:tr>
        <w:trPr>
          <w:trHeight w:val="121"/>
        </w:trPr>
        <w:tc>
          <w:tcPr>
            <w:tcW w:w="1980" w:type="dxa"/>
            <w:vAlign w:val="bottom"/>
          </w:tcPr>
          <w:p>
            <w:pPr>
              <w:ind w:left="120"/>
              <w:spacing w:after="0" w:line="121" w:lineRule="exact"/>
              <w:rPr>
                <w:sz w:val="20"/>
                <w:szCs w:val="20"/>
                <w:color w:val="auto"/>
              </w:rPr>
            </w:pPr>
            <w:r>
              <w:rPr>
                <w:rFonts w:ascii="Arial" w:cs="Arial" w:eastAsia="Arial" w:hAnsi="Arial"/>
                <w:sz w:val="13"/>
                <w:szCs w:val="13"/>
                <w:color w:val="auto"/>
                <w:w w:val="94"/>
              </w:rPr>
              <w:t>Other comprehensive income, net</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9"/>
        </w:trPr>
        <w:tc>
          <w:tcPr>
            <w:tcW w:w="1980" w:type="dxa"/>
            <w:vAlign w:val="bottom"/>
          </w:tcPr>
          <w:p>
            <w:pPr>
              <w:ind w:left="120"/>
              <w:spacing w:after="0"/>
              <w:rPr>
                <w:sz w:val="20"/>
                <w:szCs w:val="20"/>
                <w:color w:val="auto"/>
              </w:rPr>
            </w:pPr>
            <w:r>
              <w:rPr>
                <w:rFonts w:ascii="Arial" w:cs="Arial" w:eastAsia="Arial" w:hAnsi="Arial"/>
                <w:sz w:val="13"/>
                <w:szCs w:val="13"/>
                <w:color w:val="auto"/>
              </w:rPr>
              <w:t>of income taxes</w:t>
            </w:r>
          </w:p>
        </w:tc>
        <w:tc>
          <w:tcPr>
            <w:tcW w:w="8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28,871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28,871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28,871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198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7"/>
              </w:rPr>
              <w:t>Contribution to consolidated joint</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49"/>
        </w:trPr>
        <w:tc>
          <w:tcPr>
            <w:tcW w:w="19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venture</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4,425</w:t>
            </w:r>
          </w:p>
        </w:tc>
      </w:tr>
      <w:tr>
        <w:trPr>
          <w:trHeight w:val="121"/>
        </w:trPr>
        <w:tc>
          <w:tcPr>
            <w:tcW w:w="1980" w:type="dxa"/>
            <w:vAlign w:val="bottom"/>
          </w:tcPr>
          <w:p>
            <w:pPr>
              <w:ind w:left="120"/>
              <w:spacing w:after="0" w:line="121" w:lineRule="exact"/>
              <w:rPr>
                <w:sz w:val="20"/>
                <w:szCs w:val="20"/>
                <w:color w:val="auto"/>
              </w:rPr>
            </w:pPr>
            <w:r>
              <w:rPr>
                <w:rFonts w:ascii="Arial" w:cs="Arial" w:eastAsia="Arial" w:hAnsi="Arial"/>
                <w:sz w:val="13"/>
                <w:szCs w:val="13"/>
                <w:color w:val="auto"/>
                <w:w w:val="96"/>
              </w:rPr>
              <w:t>Purchase of remaining interest in</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9"/>
        </w:trPr>
        <w:tc>
          <w:tcPr>
            <w:tcW w:w="1980" w:type="dxa"/>
            <w:vAlign w:val="bottom"/>
          </w:tcPr>
          <w:p>
            <w:pPr>
              <w:ind w:left="120"/>
              <w:spacing w:after="0"/>
              <w:rPr>
                <w:sz w:val="20"/>
                <w:szCs w:val="20"/>
                <w:color w:val="auto"/>
              </w:rPr>
            </w:pPr>
            <w:r>
              <w:rPr>
                <w:rFonts w:ascii="Arial" w:cs="Arial" w:eastAsia="Arial" w:hAnsi="Arial"/>
                <w:sz w:val="13"/>
                <w:szCs w:val="13"/>
                <w:color w:val="auto"/>
              </w:rPr>
              <w:t>consolidated joint venture</w:t>
            </w:r>
          </w:p>
        </w:tc>
        <w:tc>
          <w:tcPr>
            <w:tcW w:w="8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(99,107)</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(99,107)</w:t>
            </w:r>
          </w:p>
        </w:tc>
        <w:tc>
          <w:tcPr>
            <w:tcW w:w="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(99,107)</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(88,893)</w:t>
            </w:r>
          </w:p>
        </w:tc>
      </w:tr>
      <w:tr>
        <w:trPr>
          <w:trHeight w:val="121"/>
        </w:trPr>
        <w:tc>
          <w:tcPr>
            <w:tcW w:w="198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Redemption of noncontrolling</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49"/>
        </w:trPr>
        <w:tc>
          <w:tcPr>
            <w:tcW w:w="1980" w:type="dxa"/>
            <w:vAlign w:val="bottom"/>
            <w:shd w:val="clear" w:color="auto" w:fill="CCEEFF"/>
          </w:tcPr>
          <w:p>
            <w:pPr>
              <w:ind w:left="120"/>
              <w:spacing w:after="0"/>
              <w:rPr>
                <w:sz w:val="20"/>
                <w:szCs w:val="20"/>
                <w:color w:val="auto"/>
              </w:rPr>
            </w:pPr>
            <w:r>
              <w:rPr>
                <w:rFonts w:ascii="Arial" w:cs="Arial" w:eastAsia="Arial" w:hAnsi="Arial"/>
                <w:sz w:val="13"/>
                <w:szCs w:val="13"/>
                <w:color w:val="auto"/>
                <w:w w:val="98"/>
              </w:rPr>
              <w:t>interest in Operating Partnership</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(1,356)</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(1,356)</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(1,082)</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(2,438)</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1980" w:type="dxa"/>
            <w:vAlign w:val="bottom"/>
          </w:tcPr>
          <w:p>
            <w:pPr>
              <w:ind w:left="120"/>
              <w:spacing w:after="0" w:line="121" w:lineRule="exact"/>
              <w:rPr>
                <w:sz w:val="20"/>
                <w:szCs w:val="20"/>
                <w:color w:val="auto"/>
              </w:rPr>
            </w:pPr>
            <w:r>
              <w:rPr>
                <w:rFonts w:ascii="Arial" w:cs="Arial" w:eastAsia="Arial" w:hAnsi="Arial"/>
                <w:sz w:val="13"/>
                <w:szCs w:val="13"/>
                <w:color w:val="auto"/>
              </w:rPr>
              <w:t>Reallocation of noncontrolling</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9"/>
        </w:trPr>
        <w:tc>
          <w:tcPr>
            <w:tcW w:w="1980" w:type="dxa"/>
            <w:vAlign w:val="bottom"/>
          </w:tcPr>
          <w:p>
            <w:pPr>
              <w:ind w:left="120"/>
              <w:spacing w:after="0"/>
              <w:rPr>
                <w:sz w:val="20"/>
                <w:szCs w:val="20"/>
                <w:color w:val="auto"/>
              </w:rPr>
            </w:pPr>
            <w:r>
              <w:rPr>
                <w:rFonts w:ascii="Arial" w:cs="Arial" w:eastAsia="Arial" w:hAnsi="Arial"/>
                <w:sz w:val="13"/>
                <w:szCs w:val="13"/>
                <w:color w:val="auto"/>
                <w:w w:val="98"/>
              </w:rPr>
              <w:t>interest in Operating Partnership</w:t>
            </w:r>
          </w:p>
        </w:tc>
        <w:tc>
          <w:tcPr>
            <w:tcW w:w="8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12,259</w:t>
            </w:r>
          </w:p>
        </w:tc>
        <w:tc>
          <w:tcPr>
            <w:tcW w:w="120" w:type="dxa"/>
            <w:vAlign w:val="bottom"/>
          </w:tcPr>
          <w:p>
            <w:pPr>
              <w:spacing w:after="0"/>
              <w:rPr>
                <w:sz w:val="12"/>
                <w:szCs w:val="12"/>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12,259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(12,259)</w:t>
            </w:r>
          </w:p>
        </w:tc>
        <w:tc>
          <w:tcPr>
            <w:tcW w:w="10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198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Restricted stock units and stock</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49"/>
        </w:trPr>
        <w:tc>
          <w:tcPr>
            <w:tcW w:w="19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options surrendered</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(3,294)</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(47)</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(3,340)</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(3,340)</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1980" w:type="dxa"/>
            <w:vAlign w:val="bottom"/>
          </w:tcPr>
          <w:p>
            <w:pPr>
              <w:ind w:left="120"/>
              <w:spacing w:after="0" w:line="121" w:lineRule="exact"/>
              <w:rPr>
                <w:sz w:val="20"/>
                <w:szCs w:val="20"/>
                <w:color w:val="auto"/>
              </w:rPr>
            </w:pPr>
            <w:r>
              <w:rPr>
                <w:rFonts w:ascii="Arial" w:cs="Arial" w:eastAsia="Arial" w:hAnsi="Arial"/>
                <w:sz w:val="13"/>
                <w:szCs w:val="13"/>
                <w:color w:val="auto"/>
              </w:rPr>
              <w:t>Stock-based compensation</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9"/>
        </w:trPr>
        <w:tc>
          <w:tcPr>
            <w:tcW w:w="1980" w:type="dxa"/>
            <w:vAlign w:val="bottom"/>
          </w:tcPr>
          <w:p>
            <w:pPr>
              <w:ind w:left="120"/>
              <w:spacing w:after="0"/>
              <w:rPr>
                <w:sz w:val="20"/>
                <w:szCs w:val="20"/>
                <w:color w:val="auto"/>
              </w:rPr>
            </w:pPr>
            <w:r>
              <w:rPr>
                <w:rFonts w:ascii="Arial" w:cs="Arial" w:eastAsia="Arial" w:hAnsi="Arial"/>
                <w:sz w:val="13"/>
                <w:szCs w:val="13"/>
                <w:color w:val="auto"/>
              </w:rPr>
              <w:t>expense</w:t>
            </w:r>
          </w:p>
        </w:tc>
        <w:tc>
          <w:tcPr>
            <w:tcW w:w="8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12,104</w:t>
            </w:r>
          </w:p>
        </w:tc>
        <w:tc>
          <w:tcPr>
            <w:tcW w:w="120" w:type="dxa"/>
            <w:vAlign w:val="bottom"/>
          </w:tcPr>
          <w:p>
            <w:pPr>
              <w:spacing w:after="0"/>
              <w:rPr>
                <w:sz w:val="12"/>
                <w:szCs w:val="12"/>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12,104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12,104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9"/>
        </w:trPr>
        <w:tc>
          <w:tcPr>
            <w:tcW w:w="1980" w:type="dxa"/>
            <w:vAlign w:val="bottom"/>
            <w:tcBorders>
              <w:top w:val="single" w:sz="8" w:color="CCEEFF"/>
              <w:bottom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December 31, 2021</w:t>
            </w: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551</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6"/>
              </w:rPr>
              <w:t>1,112,867</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4"/>
              </w:rPr>
              <w:t>$ (18,467)</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7"/>
              </w:rPr>
              <w:t>(1,088,105)</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(29,080)</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(22,234)</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(159)</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(22,393)</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r>
      <w:tr>
        <w:trPr>
          <w:trHeight w:val="20"/>
        </w:trPr>
        <w:tc>
          <w:tcPr>
            <w:tcW w:w="1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6" w:name="page87"/>
    <w:bookmarkEnd w:id="8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25"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Description of the Business and Summary of Significant Accounting Policies</w:t>
      </w:r>
    </w:p>
    <w:p>
      <w:pPr>
        <w:spacing w:after="0" w:line="229" w:lineRule="exact"/>
        <w:rPr>
          <w:sz w:val="20"/>
          <w:szCs w:val="20"/>
          <w:color w:val="auto"/>
        </w:rPr>
      </w:pPr>
    </w:p>
    <w:p>
      <w:pPr>
        <w:ind w:left="60" w:right="159"/>
        <w:spacing w:after="0" w:line="291" w:lineRule="auto"/>
        <w:rPr>
          <w:sz w:val="20"/>
          <w:szCs w:val="20"/>
          <w:color w:val="auto"/>
        </w:rPr>
      </w:pPr>
      <w:r>
        <w:rPr>
          <w:rFonts w:ascii="Arial" w:cs="Arial" w:eastAsia="Arial" w:hAnsi="Arial"/>
          <w:sz w:val="16"/>
          <w:szCs w:val="16"/>
          <w:color w:val="auto"/>
        </w:rPr>
        <w:t>For financial statement presentation and reporting purposes, the Company is the successor to Gaylord Entertainment Company, a Delaware corporation (“Gaylord”). As part of the plan to restructure the business operations of Gaylord to facilitate its qualification as a real estate investment trust (“REIT”) for federal income tax purposes, Gaylord merged with and into its wholly-owned subsidiary, Ryman Hospitality Properties, Inc., a Delaware corporation (“Ryman”), on October 1, 2012, with Ryman as the surviving corporation (the “Merger”). At 12:01 a.m. on October 1, 2012, the effective time of the Merger, Ryman succeeded to and began conducting, directly or indirectly, all of the business conducted by Gaylord immediately prior to the Merger. The “Company” refers to Ryman and its subsidiaries and to Gaylord.</w:t>
      </w:r>
    </w:p>
    <w:p>
      <w:pPr>
        <w:spacing w:after="0" w:line="166" w:lineRule="exact"/>
        <w:rPr>
          <w:sz w:val="20"/>
          <w:szCs w:val="20"/>
          <w:color w:val="auto"/>
        </w:rPr>
      </w:pPr>
    </w:p>
    <w:p>
      <w:pPr>
        <w:ind w:left="60" w:right="59"/>
        <w:spacing w:after="0" w:line="252" w:lineRule="auto"/>
        <w:rPr>
          <w:sz w:val="20"/>
          <w:szCs w:val="20"/>
          <w:color w:val="auto"/>
        </w:rPr>
      </w:pPr>
      <w:r>
        <w:rPr>
          <w:rFonts w:ascii="Arial" w:cs="Arial" w:eastAsia="Arial" w:hAnsi="Arial"/>
          <w:sz w:val="18"/>
          <w:szCs w:val="18"/>
          <w:color w:val="auto"/>
        </w:rPr>
        <w:t>On January 1, 2013, the Company began operating as a REIT for federal income tax purposes, specializing in group-oriented, destination hotel assets in urban and resort markets. The Company’s owned assets include a network of upscale, meetings-focused resorts that are managed by Marriott International, Inc. (“Marriott”) under the Gaylord Hotels brand. These five resorts, which the Company refers to as the Gaylord Hotels properties, consist of the Gaylord Opryland Resort &amp; Convention Center in Nashville, Tennessee (“Gaylord Opryland”), the Gaylord Palms Resort &amp; Convention Center near Orlando, Florida (“Gaylord Palms”), the Gaylord Texan Resort &amp; Convention Center near Dallas, Texas (“Gaylord Texan”), the Gaylord National Resort &amp; Convention Center near Washington D.C. (“Gaylord National”), and the Gaylord Rockies Resort &amp; Convention Center near Denver, Colorado (“Gaylord Rockies”), which prior to May 2021 was owned by a joint venture (the “Gaylord Rockies joint venture”) in which the Company owned a 65% interest. The Company’s other owned hotel assets managed by Marriott include the Inn at Opryland, an overflow hotel adjacent to Gaylord Opryland, and the AC Hotel at National Harbor, Washington D.C. (“AC Hotel”), an overflow hotel adjacent to Gaylord National.</w:t>
      </w:r>
    </w:p>
    <w:p>
      <w:pPr>
        <w:spacing w:after="0" w:line="200" w:lineRule="exact"/>
        <w:rPr>
          <w:sz w:val="20"/>
          <w:szCs w:val="20"/>
          <w:color w:val="auto"/>
        </w:rPr>
      </w:pPr>
    </w:p>
    <w:p>
      <w:pPr>
        <w:ind w:left="60" w:right="79"/>
        <w:spacing w:after="0" w:line="273" w:lineRule="auto"/>
        <w:rPr>
          <w:sz w:val="20"/>
          <w:szCs w:val="20"/>
          <w:color w:val="auto"/>
        </w:rPr>
      </w:pPr>
      <w:r>
        <w:rPr>
          <w:rFonts w:ascii="Arial" w:cs="Arial" w:eastAsia="Arial" w:hAnsi="Arial"/>
          <w:sz w:val="17"/>
          <w:szCs w:val="17"/>
          <w:color w:val="auto"/>
        </w:rPr>
        <w:t>In April 2021, the Company entered into an agreement with RIDA Development Corporation to acquire the remaining 35% ownership interest in the Gaylord Rockies joint venture not previously owned by the Company for $188.0 million and approximately 130 acres of undeveloped, adjacent land for $22.0 million in cash (the “JV Purchase”). The JV Purchase closed in May 2021 and was funded through cash on hand and borrowings under the Company’s $700 million revolving credit facility. As discussed below, the Company consolidated the Gaylord Rockies joint venture both before and after the purchase in the accompanying consolidated financial statements.</w:t>
      </w:r>
    </w:p>
    <w:p>
      <w:pPr>
        <w:spacing w:after="0" w:line="178" w:lineRule="exact"/>
        <w:rPr>
          <w:sz w:val="20"/>
          <w:szCs w:val="20"/>
          <w:color w:val="auto"/>
        </w:rPr>
      </w:pPr>
    </w:p>
    <w:p>
      <w:pPr>
        <w:ind w:left="60" w:right="119"/>
        <w:spacing w:after="0" w:line="271" w:lineRule="auto"/>
        <w:rPr>
          <w:sz w:val="20"/>
          <w:szCs w:val="20"/>
          <w:color w:val="auto"/>
        </w:rPr>
      </w:pPr>
      <w:r>
        <w:rPr>
          <w:rFonts w:ascii="Arial" w:cs="Arial" w:eastAsia="Arial" w:hAnsi="Arial"/>
          <w:sz w:val="17"/>
          <w:szCs w:val="17"/>
          <w:color w:val="auto"/>
        </w:rPr>
        <w:t>The Company also owns a number of media and entertainment assets, including the Grand Ole Opry, the legendary weekly showcase of country music’s finest performers; the Ryman Auditorium, the storied live music venue and former home of the Grand Ole Opry located in downtown Nashville; WSM-AM, the Opry’s radio home; Ole Red, a brand of Blake Shelton-themed bar, music venue and event spaces; and three Nashville-based assets managed by Marriott – Gaylord Springs Golf Links (“Gaylord Springs”), the Wildhorse Saloon, and the General Jackson Showboat (“General Jackson”). The Company also owns a 50% interest in a joint venture that creates and distributes a linear multicast and over-the-top channel dedicated to the country music lifestyle (“Circle”), which launched its broadcast network on January 1, 2020. See Note 11, “Commitments and Contingencies,” for further disclosure.</w:t>
      </w:r>
    </w:p>
    <w:p>
      <w:pPr>
        <w:spacing w:after="0" w:line="178" w:lineRule="exact"/>
        <w:rPr>
          <w:sz w:val="20"/>
          <w:szCs w:val="20"/>
          <w:color w:val="auto"/>
        </w:rPr>
      </w:pPr>
    </w:p>
    <w:p>
      <w:pPr>
        <w:ind w:left="60" w:right="179"/>
        <w:spacing w:after="0" w:line="288" w:lineRule="auto"/>
        <w:rPr>
          <w:sz w:val="20"/>
          <w:szCs w:val="20"/>
          <w:color w:val="auto"/>
        </w:rPr>
      </w:pPr>
      <w:r>
        <w:rPr>
          <w:rFonts w:ascii="Arial" w:cs="Arial" w:eastAsia="Arial" w:hAnsi="Arial"/>
          <w:sz w:val="16"/>
          <w:szCs w:val="16"/>
          <w:color w:val="auto"/>
        </w:rPr>
        <w:t>The Company conducts its business through an umbrella partnership REIT, in which all of its assets are held by, and all of its operations are conducted through, RHP Hotel Properties, LP, a subsidiary operating partnership (the “Operating Partnership”) that the Company formed in connection with its REIT conversion. Ryman and the non-controlling operating partnership unit holders discussed in Note 9, “Equity” are the sole limited partners of the Operating Partnership, and Ryman currently owns, either directly or indirectly, 99.3% of the partnership units of the Operating Partnership. RHP Finance Corporation, a Delaware corporation (“Finco”), was formed as a wholly-owned subsidiary of the Operating Partnership for the sole purpose of being an issuer of debt securities with the Operating Partnership. Neither Ryman nor Finco has any material assets, other than Ryman’s investment in the Operating Partnership and its 100%-owned subsidiaries. As 100%-owned subsidiaries of Ryman, neither the Operating Partnership nor Finco has any business, operations, financial results or other material information, other than the business, operations, financial results</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7" w:name="page88"/>
    <w:bookmarkEnd w:id="8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63" w:lineRule="auto"/>
        <w:rPr>
          <w:sz w:val="20"/>
          <w:szCs w:val="20"/>
          <w:color w:val="auto"/>
        </w:rPr>
      </w:pPr>
      <w:r>
        <w:rPr>
          <w:rFonts w:ascii="Arial" w:cs="Arial" w:eastAsia="Arial" w:hAnsi="Arial"/>
          <w:sz w:val="18"/>
          <w:szCs w:val="18"/>
          <w:color w:val="auto"/>
        </w:rPr>
        <w:t>and other material information described in this Annual Report on Form 10-K and Ryman’s other reports, documents or other information filed with the Securities and Exchange Commission pursuant to the Securities Exchange Act of 1934, as amended.</w:t>
      </w:r>
    </w:p>
    <w:p>
      <w:pPr>
        <w:spacing w:after="0" w:line="184" w:lineRule="exact"/>
        <w:rPr>
          <w:sz w:val="20"/>
          <w:szCs w:val="20"/>
          <w:color w:val="auto"/>
        </w:rPr>
      </w:pPr>
    </w:p>
    <w:p>
      <w:pPr>
        <w:ind w:left="60" w:right="139"/>
        <w:spacing w:after="0" w:line="263" w:lineRule="auto"/>
        <w:rPr>
          <w:sz w:val="20"/>
          <w:szCs w:val="20"/>
          <w:color w:val="auto"/>
        </w:rPr>
      </w:pPr>
      <w:r>
        <w:rPr>
          <w:rFonts w:ascii="Arial" w:cs="Arial" w:eastAsia="Arial" w:hAnsi="Arial"/>
          <w:sz w:val="18"/>
          <w:szCs w:val="18"/>
          <w:color w:val="auto"/>
        </w:rPr>
        <w:t>The Company principally operates, through its subsidiaries and its property managers, as applicable, in the following business segments: Hospitality; Entertainment; and Corporate and Other. The Company’s fiscal year ends on December 31 for all periods presented.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Business Segments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Hospitality</w:t>
      </w:r>
    </w:p>
    <w:p>
      <w:pPr>
        <w:spacing w:after="0" w:line="225" w:lineRule="exact"/>
        <w:rPr>
          <w:sz w:val="20"/>
          <w:szCs w:val="20"/>
          <w:color w:val="auto"/>
        </w:rPr>
      </w:pPr>
    </w:p>
    <w:p>
      <w:pPr>
        <w:ind w:left="60" w:right="319"/>
        <w:spacing w:after="0" w:line="342" w:lineRule="auto"/>
        <w:rPr>
          <w:sz w:val="20"/>
          <w:szCs w:val="20"/>
          <w:color w:val="auto"/>
        </w:rPr>
      </w:pPr>
      <w:r>
        <w:rPr>
          <w:rFonts w:ascii="Arial" w:cs="Arial" w:eastAsia="Arial" w:hAnsi="Arial"/>
          <w:sz w:val="16"/>
          <w:szCs w:val="16"/>
          <w:color w:val="auto"/>
        </w:rPr>
        <w:t>The Hospitality segment includes the Gaylord Hotels branded hotels, the Inn at Opryland and the AC Hotel. Each of the Company’s Gaylord Hotels properties is managed by Marriott pursuant to a management agreement for each hotel.</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Entertainment</w:t>
      </w:r>
    </w:p>
    <w:p>
      <w:pPr>
        <w:spacing w:after="0" w:line="225"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color w:val="auto"/>
        </w:rPr>
        <w:t>The Entertainment segment includes the Grand Ole Opry, the Ryman Auditorium, WSM-AM, Ole Red, the General Jackson, the Wildhorse Saloon, Gaylord Springs, and the Company’s investment in the Circle joint venture, among various others. Marriott manages the day-to-day operations of the General Jackson, Gaylord Springs and the Wildhorse Saloon pursuant to management agreements.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Corporate and Other</w:t>
      </w:r>
    </w:p>
    <w:p>
      <w:pPr>
        <w:spacing w:after="0" w:line="225"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color w:val="auto"/>
        </w:rPr>
        <w:t>The Corporate and Other segment includes operating and general and administrative expenses related to the overall management of the Company which are not allocated to the other reportable segments, including certain costs for the Company’s retirement plans, equity-based compensation plans, information technology, human resources, accounting, and other administrative expenses.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the Company and its subsidiaries. The Company’s investments in non-controlled entities in which it has the ability to exercise significant influence over operating and financial policies are accounted for by the equity method. All significant intercompany accounts and transactions have been eliminated in consolidation.</w:t>
      </w:r>
    </w:p>
    <w:p>
      <w:pPr>
        <w:spacing w:after="0" w:line="187" w:lineRule="exact"/>
        <w:rPr>
          <w:sz w:val="20"/>
          <w:szCs w:val="20"/>
          <w:color w:val="auto"/>
        </w:rPr>
      </w:pPr>
    </w:p>
    <w:p>
      <w:pPr>
        <w:ind w:left="60" w:right="99"/>
        <w:spacing w:after="0" w:line="275" w:lineRule="auto"/>
        <w:rPr>
          <w:sz w:val="20"/>
          <w:szCs w:val="20"/>
          <w:color w:val="auto"/>
        </w:rPr>
      </w:pPr>
      <w:r>
        <w:rPr>
          <w:rFonts w:ascii="Arial" w:cs="Arial" w:eastAsia="Arial" w:hAnsi="Arial"/>
          <w:sz w:val="17"/>
          <w:szCs w:val="17"/>
          <w:color w:val="auto"/>
        </w:rPr>
        <w:t>The Company analyzes its variable interests, including loans, guarantees, management agreements, leasing arrangements and equity investments, to determine if an entity in which it has a variable interest is a variable interest entity (“VIE”). This analysis primarily includes a qualitative review, which is based on a review of the design of the entity, its organizational structure, including decision-making ability, and relevant financial agreements. This analysis is also used to determine if the Company must consolidate the VIE as the primary beneficiary.</w:t>
      </w:r>
    </w:p>
    <w:p>
      <w:pPr>
        <w:spacing w:after="0" w:line="176" w:lineRule="exact"/>
        <w:rPr>
          <w:sz w:val="20"/>
          <w:szCs w:val="20"/>
          <w:color w:val="auto"/>
        </w:rPr>
      </w:pPr>
    </w:p>
    <w:p>
      <w:pPr>
        <w:ind w:left="60" w:right="99"/>
        <w:spacing w:after="0" w:line="287" w:lineRule="auto"/>
        <w:rPr>
          <w:sz w:val="20"/>
          <w:szCs w:val="20"/>
          <w:color w:val="auto"/>
        </w:rPr>
      </w:pPr>
      <w:r>
        <w:rPr>
          <w:rFonts w:ascii="Arial" w:cs="Arial" w:eastAsia="Arial" w:hAnsi="Arial"/>
          <w:sz w:val="16"/>
          <w:szCs w:val="16"/>
          <w:color w:val="auto"/>
        </w:rPr>
        <w:t>The terms of the Company’s previous investment in the Gaylord Rockies joint venture and certain related agreements provided that a subsidiary of the Company was the managing member and was responsible for day-to-day management of the joint venture and for future financings meeting certain parameters. Designated decisions, such as refinancings that do not meet established parameters, future expansions of the hotel, transactions with affiliates, selling the hotel, and admitting additional members of the joint venture, were to be approved by a majority vote of a committee consisting of two members designated by the Company and two members designated by the minority partner. Based on management’s analysis of these updated agreements, management concluded the Company’s responsibility for the day-to-day management of the joint venture and for future financings meeting certain parameters resulted in the Company having the power to direct the activities that most significantly impact the economic performance of the joint venture. In addition, the shared decisions represented protective rights of both parties. Thus, the Company became the primary beneficiary of this variable interest entity at December 31, 2018. As such, the Company consolidated the assets and liabilities of the joint venture effective December 31, 2018 and began consolidating the ongoing operations of the joint</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8" w:name="page89"/>
    <w:bookmarkEnd w:id="8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venture effective January 1, 2019. As Gaylord Rockies is now wholly-owned by the Company, it is no longer considered as a VIE. See “Noncontrolling Interest” below for further discussion.</w:t>
      </w:r>
    </w:p>
    <w:p>
      <w:pPr>
        <w:spacing w:after="0" w:line="170" w:lineRule="exact"/>
        <w:rPr>
          <w:sz w:val="20"/>
          <w:szCs w:val="20"/>
          <w:color w:val="auto"/>
        </w:rPr>
      </w:pPr>
    </w:p>
    <w:p>
      <w:pPr>
        <w:ind w:left="60" w:right="179"/>
        <w:spacing w:after="0" w:line="273" w:lineRule="auto"/>
        <w:rPr>
          <w:sz w:val="20"/>
          <w:szCs w:val="20"/>
          <w:color w:val="auto"/>
        </w:rPr>
      </w:pPr>
      <w:r>
        <w:rPr>
          <w:rFonts w:ascii="Arial" w:cs="Arial" w:eastAsia="Arial" w:hAnsi="Arial"/>
          <w:sz w:val="17"/>
          <w:szCs w:val="17"/>
          <w:color w:val="auto"/>
        </w:rPr>
        <w:t>The terms of the Company's joint venture agreement in Circle provide that the Company and its joint venture partner each share the authority to make major decisions in the joint venture, including operating plans, entering into certain contracts, admitting additional members of the joint venture, issuing additional membership interests, and amending the operating agreement. In addition, the officers of Circle are not employees of the Company. Based on management’s analysis of the joint venture agreement, management concluded that the Company is not the primary beneficiary of this variable interest entity and accounts for this investment under the equity method.</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Impact of COVID-19 Pandemic</w:t>
      </w:r>
    </w:p>
    <w:p>
      <w:pPr>
        <w:spacing w:after="0" w:line="229" w:lineRule="exact"/>
        <w:rPr>
          <w:sz w:val="20"/>
          <w:szCs w:val="20"/>
          <w:color w:val="auto"/>
        </w:rPr>
      </w:pPr>
    </w:p>
    <w:p>
      <w:pPr>
        <w:ind w:left="60" w:right="159"/>
        <w:spacing w:after="0" w:line="279" w:lineRule="auto"/>
        <w:rPr>
          <w:sz w:val="20"/>
          <w:szCs w:val="20"/>
          <w:color w:val="auto"/>
        </w:rPr>
      </w:pPr>
      <w:r>
        <w:rPr>
          <w:rFonts w:ascii="Arial" w:cs="Arial" w:eastAsia="Arial" w:hAnsi="Arial"/>
          <w:sz w:val="17"/>
          <w:szCs w:val="17"/>
          <w:color w:val="auto"/>
        </w:rPr>
        <w:t>The COVID-19 pandemic has been and continues to be a complex and evolving situation, causing unprecedented levels of disruption to the Company’s business. Although the Company’s assets are currently open and operating without capacity restrictions, there remains significant uncertainty surrounding the full extent of the impact of the COVID-19 pandemic on the Company’s future results of operations and financial position.</w:t>
      </w:r>
    </w:p>
    <w:p>
      <w:pPr>
        <w:spacing w:after="0" w:line="144" w:lineRule="exact"/>
        <w:rPr>
          <w:sz w:val="20"/>
          <w:szCs w:val="20"/>
          <w:color w:val="auto"/>
        </w:rPr>
      </w:pPr>
    </w:p>
    <w:p>
      <w:pPr>
        <w:ind w:left="60" w:right="99"/>
        <w:spacing w:after="0" w:line="296" w:lineRule="auto"/>
        <w:rPr>
          <w:sz w:val="20"/>
          <w:szCs w:val="20"/>
          <w:color w:val="auto"/>
        </w:rPr>
      </w:pPr>
      <w:r>
        <w:rPr>
          <w:rFonts w:ascii="Arial" w:cs="Arial" w:eastAsia="Arial" w:hAnsi="Arial"/>
          <w:sz w:val="16"/>
          <w:szCs w:val="16"/>
          <w:color w:val="auto"/>
        </w:rPr>
        <w:t>The Company, in consultation with local governmental authorities, first determined to close its Nashville-based entertainment venues in mid-March 2020. As cancellations at the Gaylord Hotels properties began to increase, the Company and its hotel manager, Marriott, implemented a series of operational changes, culminating with the suspension of operations at the Gaylord Hotels properties in late March 2020. Gaylord Texan reopened June 8, 2020, Gaylord Opryland, Gaylord Palms and Gaylord Rockies reopened June 25, 2020, and Gaylord National reopened July 1, 2021.</w:t>
      </w:r>
    </w:p>
    <w:p>
      <w:pPr>
        <w:spacing w:after="0" w:line="121" w:lineRule="exact"/>
        <w:rPr>
          <w:sz w:val="20"/>
          <w:szCs w:val="20"/>
          <w:color w:val="auto"/>
        </w:rPr>
      </w:pPr>
    </w:p>
    <w:p>
      <w:pPr>
        <w:ind w:left="60" w:right="139"/>
        <w:spacing w:after="0" w:line="254" w:lineRule="auto"/>
        <w:rPr>
          <w:sz w:val="20"/>
          <w:szCs w:val="20"/>
          <w:color w:val="auto"/>
        </w:rPr>
      </w:pPr>
      <w:r>
        <w:rPr>
          <w:rFonts w:ascii="Arial" w:cs="Arial" w:eastAsia="Arial" w:hAnsi="Arial"/>
          <w:sz w:val="18"/>
          <w:szCs w:val="18"/>
          <w:color w:val="auto"/>
        </w:rPr>
        <w:t>In the Company’s Entertainment segment, in addition to the temporary closure of its entertainment assets, the Company took steps to reduce operating costs in all areas. Many of the Company’s attractions reopened at reduced capacities in May and June 2020. The Grand Ole Opry and Ryman Auditorium began offering limited-capacity tours in June 2020, in September 2020, they reopened for limited-capacity publicly attended performances, and in May 2021, they reopened for full-capacity publicly attended performances. After the April 2021 reopening of the Wildhorse Saloon, which was closed through March 2021 subsequent to the December 2020 downtown Nashville bombing, all of the Company’s entertainment assets are open.</w:t>
      </w:r>
    </w:p>
    <w:p>
      <w:pPr>
        <w:spacing w:after="0" w:line="154" w:lineRule="exact"/>
        <w:rPr>
          <w:sz w:val="20"/>
          <w:szCs w:val="20"/>
          <w:color w:val="auto"/>
        </w:rPr>
      </w:pPr>
    </w:p>
    <w:p>
      <w:pPr>
        <w:ind w:left="60" w:right="179"/>
        <w:spacing w:after="0" w:line="296" w:lineRule="auto"/>
        <w:rPr>
          <w:sz w:val="20"/>
          <w:szCs w:val="20"/>
          <w:color w:val="auto"/>
        </w:rPr>
      </w:pPr>
      <w:r>
        <w:rPr>
          <w:rFonts w:ascii="Arial" w:cs="Arial" w:eastAsia="Arial" w:hAnsi="Arial"/>
          <w:sz w:val="16"/>
          <w:szCs w:val="16"/>
          <w:color w:val="auto"/>
        </w:rPr>
        <w:t>The Company amended its credit facility on April 23, 2020, and again on December 22, 2020. As described more fully in Note 4, “Debt”, the amendments provide temporary waivers of covenants within the facility, among other temporary changes. The Company continues to pay all required debt service payments on its indebtedness, lease payments, taxes and other payables. In October 2021, the Company further amended its credit facility to allow the Company to complete an acquisition during the credit agreement’s restricted period, as further described in Note 4, “Debt.”</w:t>
      </w:r>
    </w:p>
    <w:p>
      <w:pPr>
        <w:spacing w:after="0" w:line="134" w:lineRule="exact"/>
        <w:rPr>
          <w:sz w:val="20"/>
          <w:szCs w:val="20"/>
          <w:color w:val="auto"/>
        </w:rPr>
      </w:pPr>
    </w:p>
    <w:p>
      <w:pPr>
        <w:ind w:left="60" w:right="79"/>
        <w:spacing w:after="0" w:line="293" w:lineRule="auto"/>
        <w:rPr>
          <w:sz w:val="20"/>
          <w:szCs w:val="20"/>
          <w:color w:val="auto"/>
        </w:rPr>
      </w:pPr>
      <w:r>
        <w:rPr>
          <w:rFonts w:ascii="Arial" w:cs="Arial" w:eastAsia="Arial" w:hAnsi="Arial"/>
          <w:sz w:val="16"/>
          <w:szCs w:val="16"/>
          <w:color w:val="auto"/>
        </w:rPr>
        <w:t>At December 31, 2021, the Company had $509.8 million available for borrowing under its revolving credit facility and $140.7 million in unrestricted cash on hand. The Company’s quarterly dividend is currently suspended. The Company’s board of directors will consider a future dividend as permitted by the Company’s credit agreement. The Company’s credit agreement amendments described in Note 4, “Debt,” permits payment of dividends as necessary to maintain the Company’s REIT status and permits the Company to pay a dividend of $0.01 per share each quarter. Any future dividend is subject to the Company’s board of director’s determinations as to the amount of distributions and timing thereof.</w:t>
      </w:r>
    </w:p>
    <w:p>
      <w:pPr>
        <w:spacing w:after="0" w:line="124" w:lineRule="exact"/>
        <w:rPr>
          <w:sz w:val="20"/>
          <w:szCs w:val="20"/>
          <w:color w:val="auto"/>
        </w:rPr>
      </w:pPr>
    </w:p>
    <w:p>
      <w:pPr>
        <w:ind w:left="60" w:right="79"/>
        <w:spacing w:after="0" w:line="279" w:lineRule="auto"/>
        <w:rPr>
          <w:sz w:val="20"/>
          <w:szCs w:val="20"/>
          <w:color w:val="auto"/>
        </w:rPr>
      </w:pPr>
      <w:r>
        <w:rPr>
          <w:rFonts w:ascii="Arial" w:cs="Arial" w:eastAsia="Arial" w:hAnsi="Arial"/>
          <w:sz w:val="17"/>
          <w:szCs w:val="17"/>
          <w:color w:val="auto"/>
        </w:rPr>
        <w:t>With the exception of the Gaylord Palms expansion project and the renovation of the guest rooms at Gaylord National, the Company deferred most non-essential capital projects, in addition to delaying the Gaylord Rockies expansion project, which was scheduled to begin construction in second quarter 2020. The Gaylord Palms expansion project was completed in April 2021, and the Gaylord National rooms renovation was completed in June 2021.</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Potential Block 21 Acquisition; Termination of Previous Block 21 Acquisition Agreement</w:t>
      </w:r>
    </w:p>
    <w:p>
      <w:pPr>
        <w:spacing w:after="0" w:line="229" w:lineRule="exact"/>
        <w:rPr>
          <w:sz w:val="20"/>
          <w:szCs w:val="20"/>
          <w:color w:val="auto"/>
        </w:rPr>
      </w:pPr>
    </w:p>
    <w:p>
      <w:pPr>
        <w:ind w:left="60" w:right="59"/>
        <w:spacing w:after="0" w:line="274" w:lineRule="auto"/>
        <w:rPr>
          <w:sz w:val="20"/>
          <w:szCs w:val="20"/>
          <w:color w:val="auto"/>
        </w:rPr>
      </w:pPr>
      <w:r>
        <w:rPr>
          <w:rFonts w:ascii="Arial" w:cs="Arial" w:eastAsia="Arial" w:hAnsi="Arial"/>
          <w:sz w:val="17"/>
          <w:szCs w:val="17"/>
          <w:color w:val="auto"/>
        </w:rPr>
        <w:t>In October 2021, the Company entered into an agreement to purchase Block 21, a mixed-use entertainment, lodging, office, and retail complex located in Austin, Texas, for $260 million, which includes the assumption of approximately</w:t>
      </w:r>
    </w:p>
    <w:p>
      <w:pPr>
        <w:ind w:left="60"/>
        <w:spacing w:after="0"/>
        <w:rPr>
          <w:sz w:val="20"/>
          <w:szCs w:val="20"/>
          <w:color w:val="auto"/>
        </w:rPr>
      </w:pPr>
      <w:r>
        <w:rPr>
          <w:rFonts w:ascii="Arial" w:cs="Arial" w:eastAsia="Arial" w:hAnsi="Arial"/>
          <w:sz w:val="17"/>
          <w:szCs w:val="17"/>
          <w:color w:val="auto"/>
        </w:rPr>
        <w:t>$135 million of existing mortgage debt. In addition, the Company will receive approximately $11 million of existing</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9" w:name="page90"/>
    <w:bookmarkEnd w:id="8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1" w:lineRule="auto"/>
        <w:rPr>
          <w:sz w:val="20"/>
          <w:szCs w:val="20"/>
          <w:color w:val="auto"/>
        </w:rPr>
      </w:pPr>
      <w:r>
        <w:rPr>
          <w:rFonts w:ascii="Arial" w:cs="Arial" w:eastAsia="Arial" w:hAnsi="Arial"/>
          <w:sz w:val="17"/>
          <w:szCs w:val="17"/>
          <w:color w:val="auto"/>
        </w:rPr>
        <w:t>cash reserves attributable to the assets. Block 21 is the home of the Austin City Limits Live at The Moody Theater (“ACL Live”), a 2,750-seat entertainment venue that serves as the filming location for the Austin City Limits television series. The Block 21 complex also includes the 251-room W Austin Hotel, the 3TEN at ACL Live club and</w:t>
      </w:r>
    </w:p>
    <w:p>
      <w:pPr>
        <w:ind w:left="60" w:right="279"/>
        <w:spacing w:after="0" w:line="290" w:lineRule="auto"/>
        <w:rPr>
          <w:sz w:val="20"/>
          <w:szCs w:val="20"/>
          <w:color w:val="auto"/>
        </w:rPr>
      </w:pPr>
      <w:r>
        <w:rPr>
          <w:rFonts w:ascii="Arial" w:cs="Arial" w:eastAsia="Arial" w:hAnsi="Arial"/>
          <w:sz w:val="16"/>
          <w:szCs w:val="16"/>
          <w:color w:val="auto"/>
        </w:rPr>
        <w:t>approximately 53,000 square feet of other Class A commercial space. The acquisition is expected to close in first quarter 2022, subject to customary closing conditions including, but not limited to, consent to the Company’s assumption of the existing mortgage loan by the loan servicer and the consent of the hotel property manager, an affiliate of Marriott, to the Company’s assignment and assumption of the existing hotel management agreement. The Company has the capacity to finance the transaction under its revolving credit facility and may use cash on hand, including from any sales of stock under its ATM program, and will make a determination of funding sources prior to closing.</w:t>
      </w:r>
    </w:p>
    <w:p>
      <w:pPr>
        <w:spacing w:after="0" w:line="164" w:lineRule="exact"/>
        <w:rPr>
          <w:sz w:val="20"/>
          <w:szCs w:val="20"/>
          <w:color w:val="auto"/>
        </w:rPr>
      </w:pPr>
    </w:p>
    <w:p>
      <w:pPr>
        <w:ind w:left="60" w:right="99"/>
        <w:spacing w:after="0" w:line="296" w:lineRule="auto"/>
        <w:rPr>
          <w:sz w:val="20"/>
          <w:szCs w:val="20"/>
          <w:color w:val="auto"/>
        </w:rPr>
      </w:pPr>
      <w:r>
        <w:rPr>
          <w:rFonts w:ascii="Arial" w:cs="Arial" w:eastAsia="Arial" w:hAnsi="Arial"/>
          <w:sz w:val="16"/>
          <w:szCs w:val="16"/>
          <w:color w:val="auto"/>
        </w:rPr>
        <w:t>In December 2019, the Company entered into a previous agreement to purchase Block 21. In May 2020, in response to the then-existing capital markets and economic environment caused by the COVID-19 pandemic, the Company determined it was not in the best interest of shareholders to focus resources and capital on the project and terminated the related purchase agreement. The Company forfeited a nonrefundable December 2019 deposit of $15 million and recorded a loss, which is included in other gains and (losses), net in the accompanying consolidated statement of operations for 2020.</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left="60" w:right="399"/>
        <w:spacing w:after="0" w:line="255" w:lineRule="auto"/>
        <w:rPr>
          <w:sz w:val="20"/>
          <w:szCs w:val="20"/>
          <w:color w:val="auto"/>
        </w:rPr>
      </w:pPr>
      <w:r>
        <w:rPr>
          <w:rFonts w:ascii="Arial" w:cs="Arial" w:eastAsia="Arial" w:hAnsi="Arial"/>
          <w:sz w:val="18"/>
          <w:szCs w:val="18"/>
          <w:color w:val="auto"/>
        </w:rPr>
        <w:t>Property and equipment are stated at cost or at estimated fair value if recorded in connection with purchase accounting. Improvements and significant renovations that extend the lives of existing assets are capitalized. Interest on funds borrowed to finance the construction of major capital additions not funded through furniture, fixtures and equipment reserves is included in the cost of the applicable capital addition. Maintenance and repairs are charged to expense as incurred. Property and equipment are generally depreciated using the straight-line method over the following estimated useful lives: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w:t>
            </w:r>
          </w:p>
        </w:tc>
        <w:tc>
          <w:tcPr>
            <w:tcW w:w="54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40 years</w:t>
            </w:r>
          </w:p>
        </w:tc>
      </w:tr>
      <w:tr>
        <w:trPr>
          <w:trHeight w:val="216"/>
        </w:trPr>
        <w:tc>
          <w:tcPr>
            <w:tcW w:w="3500" w:type="dxa"/>
            <w:vAlign w:val="bottom"/>
          </w:tcPr>
          <w:p>
            <w:pPr>
              <w:ind w:left="20"/>
              <w:spacing w:after="0"/>
              <w:rPr>
                <w:sz w:val="20"/>
                <w:szCs w:val="20"/>
                <w:color w:val="auto"/>
              </w:rPr>
            </w:pPr>
            <w:r>
              <w:rPr>
                <w:rFonts w:ascii="Arial" w:cs="Arial" w:eastAsia="Arial" w:hAnsi="Arial"/>
                <w:sz w:val="18"/>
                <w:szCs w:val="18"/>
                <w:color w:val="auto"/>
              </w:rPr>
              <w:t>Land improvements</w:t>
            </w:r>
          </w:p>
        </w:tc>
        <w:tc>
          <w:tcPr>
            <w:tcW w:w="5400" w:type="dxa"/>
            <w:vAlign w:val="bottom"/>
          </w:tcPr>
          <w:p>
            <w:pPr>
              <w:ind w:left="1080"/>
              <w:spacing w:after="0"/>
              <w:rPr>
                <w:sz w:val="20"/>
                <w:szCs w:val="20"/>
                <w:color w:val="auto"/>
              </w:rPr>
            </w:pPr>
            <w:r>
              <w:rPr>
                <w:rFonts w:ascii="Arial" w:cs="Arial" w:eastAsia="Arial" w:hAnsi="Arial"/>
                <w:sz w:val="18"/>
                <w:szCs w:val="18"/>
                <w:color w:val="auto"/>
              </w:rPr>
              <w:t>20 years</w:t>
            </w: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fixtures and equipment</w:t>
            </w:r>
          </w:p>
        </w:tc>
        <w:tc>
          <w:tcPr>
            <w:tcW w:w="54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5-8 years</w:t>
            </w: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5400" w:type="dxa"/>
            <w:vAlign w:val="bottom"/>
          </w:tcPr>
          <w:p>
            <w:pPr>
              <w:ind w:left="1080"/>
              <w:spacing w:after="0"/>
              <w:rPr>
                <w:sz w:val="20"/>
                <w:szCs w:val="20"/>
                <w:color w:val="auto"/>
              </w:rPr>
            </w:pPr>
            <w:r>
              <w:rPr>
                <w:rFonts w:ascii="Arial" w:cs="Arial" w:eastAsia="Arial" w:hAnsi="Arial"/>
                <w:sz w:val="18"/>
                <w:szCs w:val="18"/>
                <w:color w:val="auto"/>
              </w:rPr>
              <w:t>The shorter of the lease term or useful life</w:t>
            </w:r>
          </w:p>
        </w:tc>
      </w:tr>
    </w:tbl>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and Cash Equivalents — Unrestricted</w:t>
      </w:r>
    </w:p>
    <w:p>
      <w:pPr>
        <w:spacing w:after="0" w:line="229"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color w:val="auto"/>
        </w:rPr>
        <w:t>The Company considers all highly liquid investments purchased with an original maturity of three months or less to be cash equivalents.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and Cash Equivalents — Restricted</w:t>
      </w:r>
    </w:p>
    <w:p>
      <w:pPr>
        <w:spacing w:after="0" w:line="229" w:lineRule="exact"/>
        <w:rPr>
          <w:sz w:val="20"/>
          <w:szCs w:val="20"/>
          <w:color w:val="auto"/>
        </w:rPr>
      </w:pPr>
    </w:p>
    <w:p>
      <w:pPr>
        <w:ind w:left="60" w:right="119"/>
        <w:spacing w:after="0" w:line="257" w:lineRule="auto"/>
        <w:rPr>
          <w:sz w:val="20"/>
          <w:szCs w:val="20"/>
          <w:color w:val="auto"/>
        </w:rPr>
      </w:pPr>
      <w:r>
        <w:rPr>
          <w:rFonts w:ascii="Arial" w:cs="Arial" w:eastAsia="Arial" w:hAnsi="Arial"/>
          <w:sz w:val="18"/>
          <w:szCs w:val="18"/>
          <w:color w:val="auto"/>
        </w:rPr>
        <w:t>Restricted cash and cash equivalents primarily represent funds held by our property manager for furniture, fixtures and equipment reserves. In addition, the Company holds certificates of deposit with an original maturity of greater than three months in order to secure its Tennessee workers’ compensation self-insurance obligations. Beginning in July 2020, Gaylord Rockies was in a cash sweep period pursuant to the Gaylord Rockies term loan agreement, and such cash amounts are also included in restricted cash.</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Supplemental Cash Flow Information</w:t>
      </w:r>
    </w:p>
    <w:p>
      <w:pPr>
        <w:spacing w:after="0" w:line="229" w:lineRule="exact"/>
        <w:rPr>
          <w:sz w:val="20"/>
          <w:szCs w:val="20"/>
          <w:color w:val="auto"/>
        </w:rPr>
      </w:pPr>
    </w:p>
    <w:p>
      <w:pPr>
        <w:ind w:left="60" w:right="719"/>
        <w:spacing w:after="0" w:line="277" w:lineRule="auto"/>
        <w:rPr>
          <w:sz w:val="20"/>
          <w:szCs w:val="20"/>
          <w:color w:val="auto"/>
        </w:rPr>
      </w:pPr>
      <w:r>
        <w:rPr>
          <w:rFonts w:ascii="Arial" w:cs="Arial" w:eastAsia="Arial" w:hAnsi="Arial"/>
          <w:sz w:val="18"/>
          <w:szCs w:val="18"/>
          <w:color w:val="auto"/>
        </w:rPr>
        <w:t>Cash paid for interest, net of amounts from interest rate swaps, for the years ended December 31 was comprised of (amounts in thousands):</w:t>
      </w:r>
    </w:p>
    <w:p>
      <w:pPr>
        <w:spacing w:after="0" w:line="175"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24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2021</w:t>
            </w:r>
          </w:p>
        </w:tc>
        <w:tc>
          <w:tcPr>
            <w:tcW w:w="92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2020</w:t>
            </w:r>
          </w:p>
        </w:tc>
        <w:tc>
          <w:tcPr>
            <w:tcW w:w="94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2019</w:t>
            </w:r>
          </w:p>
        </w:tc>
      </w:tr>
      <w:tr>
        <w:trPr>
          <w:trHeight w:val="209"/>
        </w:trPr>
        <w:tc>
          <w:tcPr>
            <w:tcW w:w="20" w:type="dxa"/>
            <w:vAlign w:val="bottom"/>
          </w:tcPr>
          <w:p>
            <w:pPr>
              <w:spacing w:after="0"/>
              <w:rPr>
                <w:sz w:val="18"/>
                <w:szCs w:val="18"/>
                <w:color w:val="auto"/>
              </w:rPr>
            </w:pPr>
          </w:p>
        </w:tc>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Debt interest paid</w:t>
            </w:r>
          </w:p>
        </w:tc>
        <w:tc>
          <w:tcPr>
            <w:tcW w:w="4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$ 113,669</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$ 113,743</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$ 121,876</w:t>
            </w: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Capitalized interest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(2,922)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(3,753)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(1,618)</w:t>
            </w:r>
          </w:p>
        </w:tc>
      </w:tr>
      <w:tr>
        <w:trPr>
          <w:trHeight w:val="210"/>
        </w:trPr>
        <w:tc>
          <w:tcPr>
            <w:tcW w:w="20" w:type="dxa"/>
            <w:vAlign w:val="bottom"/>
          </w:tcPr>
          <w:p>
            <w:pPr>
              <w:spacing w:after="0"/>
              <w:rPr>
                <w:sz w:val="18"/>
                <w:szCs w:val="18"/>
                <w:color w:val="auto"/>
              </w:rPr>
            </w:pPr>
          </w:p>
        </w:tc>
        <w:tc>
          <w:tcPr>
            <w:tcW w:w="400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Cash paid for interest, net of capitalized interest</w:t>
            </w: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$ 110,747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$ 109,990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$ 120,258</w:t>
            </w: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0" w:name="page91"/>
    <w:bookmarkEnd w:id="9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Net cash payments of income taxes in 2021, 2020 and 2019 were $0.5 million, $1.7 million and $3.6 million, respectively.</w:t>
      </w:r>
    </w:p>
    <w:p>
      <w:pPr>
        <w:spacing w:after="0" w:line="2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ind w:left="60" w:right="219"/>
        <w:spacing w:after="0" w:line="286" w:lineRule="auto"/>
        <w:rPr>
          <w:sz w:val="20"/>
          <w:szCs w:val="20"/>
          <w:color w:val="auto"/>
        </w:rPr>
      </w:pPr>
      <w:r>
        <w:rPr>
          <w:rFonts w:ascii="Arial" w:cs="Arial" w:eastAsia="Arial" w:hAnsi="Arial"/>
          <w:sz w:val="17"/>
          <w:szCs w:val="17"/>
          <w:color w:val="auto"/>
        </w:rPr>
        <w:t>The Company’s accounts receivable are primarily generated by meetings and convention attendees’ room nights and food and beverage. Receivables arising from these sales are not collateralized. Credit risk associated with the accounts receivable is minimized due to the large and diverse nature of the customer base.</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Credit Loss Reserves on Accounts Receivable</w:t>
      </w:r>
    </w:p>
    <w:p>
      <w:pPr>
        <w:spacing w:after="0" w:line="229"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color w:val="auto"/>
        </w:rPr>
        <w:t>The Company provides credit loss reserves based upon a percentage of accounts receivable that considers historical write-offs, current economic conditions, and management’s expectations about future economic conditions, as well as periodic evaluations of the aging of accounts receivable.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Prepaid Expenses and Other Assets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Prepaid expenses and other assets at December 31 consist of (amounts in thousands):</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2020</w:t>
            </w:r>
          </w:p>
        </w:tc>
      </w:tr>
      <w:tr>
        <w:trPr>
          <w:trHeight w:val="210"/>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19,447</w:t>
            </w: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Supplemental deferred compensation plan assets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31,183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31,277</w:t>
            </w: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Tax rebate receivables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27,096</w:t>
            </w: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8,369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7,157</w:t>
            </w: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27,537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15,517</w:t>
            </w:r>
          </w:p>
        </w:tc>
      </w:tr>
      <w:tr>
        <w:trPr>
          <w:trHeight w:val="210"/>
        </w:trPr>
        <w:tc>
          <w:tcPr>
            <w:tcW w:w="20" w:type="dxa"/>
            <w:vAlign w:val="bottom"/>
          </w:tcPr>
          <w:p>
            <w:pPr>
              <w:spacing w:after="0"/>
              <w:rPr>
                <w:sz w:val="18"/>
                <w:szCs w:val="18"/>
                <w:color w:val="auto"/>
              </w:rPr>
            </w:pPr>
          </w:p>
        </w:tc>
        <w:tc>
          <w:tcPr>
            <w:tcW w:w="5380" w:type="dxa"/>
            <w:vAlign w:val="bottom"/>
          </w:tcPr>
          <w:p>
            <w:pPr>
              <w:ind w:left="100"/>
              <w:spacing w:after="0"/>
              <w:rPr>
                <w:sz w:val="20"/>
                <w:szCs w:val="20"/>
                <w:color w:val="auto"/>
              </w:rPr>
            </w:pPr>
            <w:r>
              <w:rPr>
                <w:rFonts w:ascii="Arial" w:cs="Arial" w:eastAsia="Arial" w:hAnsi="Arial"/>
                <w:sz w:val="18"/>
                <w:szCs w:val="18"/>
                <w:color w:val="auto"/>
              </w:rPr>
              <w:t>Total prepaid expenses and other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112,904</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100,494</w:t>
            </w: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59"/>
        <w:spacing w:after="0" w:line="257" w:lineRule="auto"/>
        <w:rPr>
          <w:sz w:val="20"/>
          <w:szCs w:val="20"/>
          <w:color w:val="auto"/>
        </w:rPr>
      </w:pPr>
      <w:r>
        <w:rPr>
          <w:rFonts w:ascii="Arial" w:cs="Arial" w:eastAsia="Arial" w:hAnsi="Arial"/>
          <w:sz w:val="18"/>
          <w:szCs w:val="18"/>
          <w:color w:val="auto"/>
        </w:rPr>
        <w:t>Prepaid expenses consist of prepayments for property taxes, insurance and other contracts that will be expensed during the subsequent year. Inventories consist primarily of food and beverage inventory for resale and retail inventory sold in the Entertainment segment. Inventory is carried at the lower of cost or net realizable value. Cost is computed on an average cost basis. Other assets include capitalized software costs, non-trade receivables, and investments in joint ventures, among others.</w:t>
      </w:r>
    </w:p>
    <w:p>
      <w:pPr>
        <w:spacing w:after="0" w:line="188" w:lineRule="exact"/>
        <w:rPr>
          <w:sz w:val="20"/>
          <w:szCs w:val="20"/>
          <w:color w:val="auto"/>
        </w:rPr>
      </w:pPr>
    </w:p>
    <w:p>
      <w:pPr>
        <w:ind w:left="60" w:right="79"/>
        <w:spacing w:after="0" w:line="255" w:lineRule="auto"/>
        <w:rPr>
          <w:sz w:val="20"/>
          <w:szCs w:val="20"/>
          <w:color w:val="auto"/>
        </w:rPr>
      </w:pPr>
      <w:r>
        <w:rPr>
          <w:rFonts w:ascii="Arial" w:cs="Arial" w:eastAsia="Arial" w:hAnsi="Arial"/>
          <w:sz w:val="18"/>
          <w:szCs w:val="18"/>
          <w:color w:val="auto"/>
        </w:rPr>
        <w:t>Gaylord Rockies is party to an incentive agreement with the local government that provides that Gaylord Rockies is entitled to receive monthly rebates of certain city and state taxes, including property, sales and lodging taxes. The term of the rebate agreement varies by type of tax but ranges from 25-33 years from commencement of the construction of Gaylord Rockies. Gaylord Rockies earned $29.1 million, $41.4 million and $34.6 million in rebates in 2021, 2020 and 2019, respectively, which are generally recorded as a reduction in other hotel expenses in the accompanying consolidated statements of operations for 2021, 2020 and 2019.</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ind w:left="60" w:right="219"/>
        <w:spacing w:after="0" w:line="272" w:lineRule="auto"/>
        <w:rPr>
          <w:sz w:val="20"/>
          <w:szCs w:val="20"/>
          <w:color w:val="auto"/>
        </w:rPr>
      </w:pPr>
      <w:r>
        <w:rPr>
          <w:rFonts w:ascii="Arial" w:cs="Arial" w:eastAsia="Arial" w:hAnsi="Arial"/>
          <w:sz w:val="17"/>
          <w:szCs w:val="17"/>
          <w:color w:val="auto"/>
        </w:rPr>
        <w:t>In connection with the Company’s purchase price allocation of the Gaylord Rockies joint venture, the Company acquired certain definite-lived intangibles, which are shown on the accompanying consolidated balance sheets. Included in these intangibles are the original estimated fair value of advanced bookings of $125.5 million and the original estimated fair value related to the Gaylord Hotels trade name, which Marriott owns, of $115.3 million. The advanced bookings asset is being amortized on a straight-line basis over a period of 3.5 years, which corresponds with the period in which the advanced bookings relate, and the value in the trade name is being amortized on a straight-line basis over 30 years, which is the period of the Marriott management agreement.</w:t>
      </w:r>
    </w:p>
    <w:p>
      <w:pPr>
        <w:spacing w:after="0" w:line="177" w:lineRule="exact"/>
        <w:rPr>
          <w:sz w:val="20"/>
          <w:szCs w:val="20"/>
          <w:color w:val="auto"/>
        </w:rPr>
      </w:pPr>
    </w:p>
    <w:p>
      <w:pPr>
        <w:ind w:left="60" w:right="559"/>
        <w:spacing w:after="0" w:line="342" w:lineRule="auto"/>
        <w:rPr>
          <w:sz w:val="20"/>
          <w:szCs w:val="20"/>
          <w:color w:val="auto"/>
        </w:rPr>
      </w:pPr>
      <w:r>
        <w:rPr>
          <w:rFonts w:ascii="Arial" w:cs="Arial" w:eastAsia="Arial" w:hAnsi="Arial"/>
          <w:sz w:val="16"/>
          <w:szCs w:val="16"/>
          <w:color w:val="auto"/>
        </w:rPr>
        <w:t>The gross carrying amount of intangible assets at December 31, 2021 and 2020 was $252.8 million. Accumulated amortization of intangible assets at December 31, 2021 and 2020 was $126.0 million and $85.8 million, respectively.</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1" w:name="page92"/>
    <w:bookmarkEnd w:id="9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308" w:lineRule="auto"/>
        <w:rPr>
          <w:sz w:val="20"/>
          <w:szCs w:val="20"/>
          <w:color w:val="auto"/>
        </w:rPr>
      </w:pPr>
      <w:r>
        <w:rPr>
          <w:rFonts w:ascii="Arial" w:cs="Arial" w:eastAsia="Arial" w:hAnsi="Arial"/>
          <w:sz w:val="17"/>
          <w:szCs w:val="17"/>
          <w:color w:val="auto"/>
        </w:rPr>
        <w:t>Amortization expense related to intangible assets during each of 2021, 2020 and 2019 was $40.2 million. The estimated amounts of amortization expense for the next five years are as follows (amounts in thousands):</w:t>
      </w:r>
    </w:p>
    <w:p>
      <w:pPr>
        <w:spacing w:after="0" w:line="174" w:lineRule="exact"/>
        <w:rPr>
          <w:sz w:val="20"/>
          <w:szCs w:val="20"/>
          <w:color w:val="auto"/>
        </w:rPr>
      </w:pPr>
    </w:p>
    <w:tbl>
      <w:tblPr>
        <w:tblLayout w:type="fixed"/>
        <w:tblInd w:w="1040" w:type="dxa"/>
        <w:tblCellMar>
          <w:top w:w="0" w:type="dxa"/>
          <w:left w:w="0" w:type="dxa"/>
          <w:bottom w:w="0" w:type="dxa"/>
          <w:right w:w="0" w:type="dxa"/>
        </w:tblCellMar>
      </w:tblPr>
      <w:tr>
        <w:trPr>
          <w:trHeight w:val="216"/>
        </w:trPr>
        <w:tc>
          <w:tcPr>
            <w:tcW w:w="5740" w:type="dxa"/>
            <w:vAlign w:val="bottom"/>
            <w:shd w:val="clear" w:color="auto" w:fill="CCEEFF"/>
          </w:tcPr>
          <w:p>
            <w:pPr>
              <w:jc w:val="right"/>
              <w:ind w:right="5290"/>
              <w:spacing w:after="0"/>
              <w:rPr>
                <w:sz w:val="20"/>
                <w:szCs w:val="20"/>
                <w:color w:val="auto"/>
              </w:rPr>
            </w:pPr>
            <w:r>
              <w:rPr>
                <w:rFonts w:ascii="Arial" w:cs="Arial" w:eastAsia="Arial" w:hAnsi="Arial"/>
                <w:sz w:val="18"/>
                <w:szCs w:val="18"/>
                <w:color w:val="auto"/>
                <w:w w:val="84"/>
              </w:rPr>
              <w:t>2022</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22,240</w:t>
            </w:r>
          </w:p>
        </w:tc>
      </w:tr>
      <w:tr>
        <w:trPr>
          <w:trHeight w:val="216"/>
        </w:trPr>
        <w:tc>
          <w:tcPr>
            <w:tcW w:w="5740" w:type="dxa"/>
            <w:vAlign w:val="bottom"/>
          </w:tcPr>
          <w:p>
            <w:pPr>
              <w:jc w:val="right"/>
              <w:ind w:right="5290"/>
              <w:spacing w:after="0"/>
              <w:rPr>
                <w:sz w:val="20"/>
                <w:szCs w:val="20"/>
                <w:color w:val="auto"/>
              </w:rPr>
            </w:pPr>
            <w:r>
              <w:rPr>
                <w:rFonts w:ascii="Arial" w:cs="Arial" w:eastAsia="Arial" w:hAnsi="Arial"/>
                <w:sz w:val="18"/>
                <w:szCs w:val="18"/>
                <w:color w:val="auto"/>
                <w:w w:val="84"/>
              </w:rPr>
              <w:t>2023</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4,282</w:t>
            </w:r>
          </w:p>
        </w:tc>
      </w:tr>
      <w:tr>
        <w:trPr>
          <w:trHeight w:val="216"/>
        </w:trPr>
        <w:tc>
          <w:tcPr>
            <w:tcW w:w="5740" w:type="dxa"/>
            <w:vAlign w:val="bottom"/>
            <w:shd w:val="clear" w:color="auto" w:fill="CCEEFF"/>
          </w:tcPr>
          <w:p>
            <w:pPr>
              <w:jc w:val="right"/>
              <w:ind w:right="5290"/>
              <w:spacing w:after="0"/>
              <w:rPr>
                <w:sz w:val="20"/>
                <w:szCs w:val="20"/>
                <w:color w:val="auto"/>
              </w:rPr>
            </w:pPr>
            <w:r>
              <w:rPr>
                <w:rFonts w:ascii="Arial" w:cs="Arial" w:eastAsia="Arial" w:hAnsi="Arial"/>
                <w:sz w:val="18"/>
                <w:szCs w:val="18"/>
                <w:color w:val="auto"/>
                <w:w w:val="84"/>
              </w:rPr>
              <w:t>2024</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w:t>
            </w:r>
          </w:p>
        </w:tc>
      </w:tr>
      <w:tr>
        <w:trPr>
          <w:trHeight w:val="216"/>
        </w:trPr>
        <w:tc>
          <w:tcPr>
            <w:tcW w:w="5740" w:type="dxa"/>
            <w:vAlign w:val="bottom"/>
          </w:tcPr>
          <w:p>
            <w:pPr>
              <w:jc w:val="right"/>
              <w:ind w:right="5290"/>
              <w:spacing w:after="0"/>
              <w:rPr>
                <w:sz w:val="20"/>
                <w:szCs w:val="20"/>
                <w:color w:val="auto"/>
              </w:rPr>
            </w:pPr>
            <w:r>
              <w:rPr>
                <w:rFonts w:ascii="Arial" w:cs="Arial" w:eastAsia="Arial" w:hAnsi="Arial"/>
                <w:sz w:val="18"/>
                <w:szCs w:val="18"/>
                <w:color w:val="auto"/>
                <w:w w:val="84"/>
              </w:rPr>
              <w:t>2025</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4,038</w:t>
            </w:r>
          </w:p>
        </w:tc>
      </w:tr>
      <w:tr>
        <w:trPr>
          <w:trHeight w:val="216"/>
        </w:trPr>
        <w:tc>
          <w:tcPr>
            <w:tcW w:w="5740" w:type="dxa"/>
            <w:vAlign w:val="bottom"/>
            <w:shd w:val="clear" w:color="auto" w:fill="CCEEFF"/>
          </w:tcPr>
          <w:p>
            <w:pPr>
              <w:jc w:val="right"/>
              <w:ind w:right="5290"/>
              <w:spacing w:after="0"/>
              <w:rPr>
                <w:sz w:val="20"/>
                <w:szCs w:val="20"/>
                <w:color w:val="auto"/>
              </w:rPr>
            </w:pPr>
            <w:r>
              <w:rPr>
                <w:rFonts w:ascii="Arial" w:cs="Arial" w:eastAsia="Arial" w:hAnsi="Arial"/>
                <w:sz w:val="18"/>
                <w:szCs w:val="18"/>
                <w:color w:val="auto"/>
                <w:w w:val="84"/>
              </w:rPr>
              <w:t>2026</w:t>
            </w:r>
          </w:p>
        </w:tc>
        <w:tc>
          <w:tcPr>
            <w:tcW w:w="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4,038</w:t>
            </w:r>
          </w:p>
        </w:tc>
      </w:tr>
      <w:tr>
        <w:trPr>
          <w:trHeight w:val="210"/>
        </w:trPr>
        <w:tc>
          <w:tcPr>
            <w:tcW w:w="5740" w:type="dxa"/>
            <w:vAlign w:val="bottom"/>
          </w:tcPr>
          <w:p>
            <w:pPr>
              <w:spacing w:after="0"/>
              <w:rPr>
                <w:sz w:val="18"/>
                <w:szCs w:val="18"/>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38,642</w:t>
            </w:r>
          </w:p>
        </w:tc>
      </w:tr>
      <w:tr>
        <w:trPr>
          <w:trHeight w:val="20"/>
        </w:trPr>
        <w:tc>
          <w:tcPr>
            <w:tcW w:w="5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ind w:left="60" w:right="99"/>
        <w:spacing w:after="0" w:line="263" w:lineRule="auto"/>
        <w:rPr>
          <w:sz w:val="20"/>
          <w:szCs w:val="20"/>
          <w:color w:val="auto"/>
        </w:rPr>
      </w:pPr>
      <w:r>
        <w:rPr>
          <w:rFonts w:ascii="Arial" w:cs="Arial" w:eastAsia="Arial" w:hAnsi="Arial"/>
          <w:sz w:val="18"/>
          <w:szCs w:val="18"/>
          <w:color w:val="auto"/>
        </w:rPr>
        <w:t>From time to time, the Company has owned minority interest investments in certain businesses. Investments in entities that the Company does not control but in which it exercises significant influence are accounted for using the equity method of accounting.</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Accounts Payable and Accrued Liabilities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Accounts payable and accrued liabilities at December 31 consist of (amounts in thousands):</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2020</w:t>
            </w:r>
          </w:p>
        </w:tc>
      </w:tr>
      <w:tr>
        <w:trPr>
          <w:trHeight w:val="209"/>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23,125</w:t>
            </w: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Property and other taxes payable</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54,991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51,821</w:t>
            </w: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116,820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70,441</w:t>
            </w: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Accrued salaries and benefits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42,472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20,598</w:t>
            </w: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payable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14,263</w:t>
            </w:r>
          </w:p>
        </w:tc>
      </w:tr>
      <w:tr>
        <w:trPr>
          <w:trHeight w:val="216"/>
        </w:trPr>
        <w:tc>
          <w:tcPr>
            <w:tcW w:w="20" w:type="dxa"/>
            <w:vAlign w:val="bottom"/>
          </w:tcPr>
          <w:p>
            <w:pPr>
              <w:spacing w:after="0"/>
              <w:rPr>
                <w:sz w:val="18"/>
                <w:szCs w:val="18"/>
                <w:color w:val="auto"/>
              </w:rPr>
            </w:pPr>
          </w:p>
        </w:tc>
        <w:tc>
          <w:tcPr>
            <w:tcW w:w="5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accrued liabilities</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38,398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22,873</w:t>
            </w:r>
          </w:p>
        </w:tc>
      </w:tr>
      <w:tr>
        <w:trPr>
          <w:trHeight w:val="209"/>
        </w:trPr>
        <w:tc>
          <w:tcPr>
            <w:tcW w:w="20" w:type="dxa"/>
            <w:vAlign w:val="bottom"/>
          </w:tcPr>
          <w:p>
            <w:pPr>
              <w:spacing w:after="0"/>
              <w:rPr>
                <w:sz w:val="18"/>
                <w:szCs w:val="18"/>
                <w:color w:val="auto"/>
              </w:rPr>
            </w:pPr>
          </w:p>
        </w:tc>
        <w:tc>
          <w:tcPr>
            <w:tcW w:w="53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accounts payable and accrued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304,719</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203,121</w:t>
            </w: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color w:val="auto"/>
        </w:rPr>
        <w:t>Deferred revenues consist primarily of deposits on advance bookings of hotel rooms and advance ticket sales at the Company’s entertainment properties, as well as uncollected attrition and cancellation fees. Other accrued liabilities include accruals for, among others, purchasing, meeting planner commissions and utilities.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60" w:right="59"/>
        <w:spacing w:after="0" w:line="275" w:lineRule="auto"/>
        <w:rPr>
          <w:sz w:val="20"/>
          <w:szCs w:val="20"/>
          <w:color w:val="auto"/>
        </w:rPr>
      </w:pPr>
      <w:r>
        <w:rPr>
          <w:rFonts w:ascii="Arial" w:cs="Arial" w:eastAsia="Arial" w:hAnsi="Arial"/>
          <w:sz w:val="17"/>
          <w:szCs w:val="17"/>
          <w:color w:val="auto"/>
        </w:rPr>
        <w:t>The Company establishes deferred tax assets and liabilities based on the difference between the financial statement and income tax carrying amounts of assets and liabilities using existing tax laws and tax rates. The Company reports a liability for unrecognized tax benefits resulting from uncertain tax positions taken or expected to be taken in a tax return, if any. The Company recognizes interest and penalties, if any, related to unrecognized tax benefits in income tax expense. See Note 10, “Income Taxes,” for more detail on the Company’s income taxes.</w:t>
      </w:r>
    </w:p>
    <w:p>
      <w:pPr>
        <w:spacing w:after="0" w:line="176" w:lineRule="exact"/>
        <w:rPr>
          <w:sz w:val="20"/>
          <w:szCs w:val="20"/>
          <w:color w:val="auto"/>
        </w:rPr>
      </w:pPr>
    </w:p>
    <w:p>
      <w:pPr>
        <w:ind w:left="60" w:right="459"/>
        <w:spacing w:after="0" w:line="279" w:lineRule="auto"/>
        <w:rPr>
          <w:sz w:val="20"/>
          <w:szCs w:val="20"/>
          <w:color w:val="auto"/>
        </w:rPr>
      </w:pPr>
      <w:r>
        <w:rPr>
          <w:rFonts w:ascii="Arial" w:cs="Arial" w:eastAsia="Arial" w:hAnsi="Arial"/>
          <w:sz w:val="17"/>
          <w:szCs w:val="17"/>
          <w:color w:val="auto"/>
        </w:rPr>
        <w:t>The effect on deferred tax assets and liabilities of a change in the tax rate is recognized in income in the period that includes the enactment date of the rate change. The Company records a valuation allowance to reduce its deferred tax assets to the amount that is more likely than not to be realized. The Company has considered all available positive and negative evidence in assessing the need for a valuation allowance.</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Deferred Management Rights Proceeds</w:t>
      </w:r>
    </w:p>
    <w:p>
      <w:pPr>
        <w:spacing w:after="0" w:line="229" w:lineRule="exact"/>
        <w:rPr>
          <w:sz w:val="20"/>
          <w:szCs w:val="20"/>
          <w:color w:val="auto"/>
        </w:rPr>
      </w:pPr>
    </w:p>
    <w:p>
      <w:pPr>
        <w:ind w:left="60" w:right="219"/>
        <w:spacing w:after="0" w:line="259" w:lineRule="auto"/>
        <w:rPr>
          <w:sz w:val="20"/>
          <w:szCs w:val="20"/>
          <w:color w:val="auto"/>
        </w:rPr>
      </w:pPr>
      <w:r>
        <w:rPr>
          <w:rFonts w:ascii="Arial" w:cs="Arial" w:eastAsia="Arial" w:hAnsi="Arial"/>
          <w:sz w:val="18"/>
          <w:szCs w:val="18"/>
          <w:color w:val="auto"/>
        </w:rPr>
        <w:t>The Company has deferred and amortizes the proceeds received from Marriott that were allocated to the sale of the management rights, as discussed further in Note 5, “Deferred Management Rights Proceeds,” on a straight-line basis over the term of the hotel management agreements, including extensions, as a reduction in management fee expense in the accompanying consolidated statements of operations.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2" w:name="page93"/>
    <w:bookmarkEnd w:id="9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Liabilities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liabilities at December 31 consist of (amounts in thousands):</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2020</w:t>
            </w:r>
          </w:p>
        </w:tc>
      </w:tr>
      <w:tr>
        <w:trPr>
          <w:trHeight w:val="209"/>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Pension and postretirement benefits liability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20,061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32,686</w:t>
            </w: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Deferred compensation liability</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31,183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31,277</w:t>
            </w: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27,819</w:t>
            </w:r>
          </w:p>
        </w:tc>
      </w:tr>
      <w:tr>
        <w:trPr>
          <w:trHeight w:val="216"/>
        </w:trPr>
        <w:tc>
          <w:tcPr>
            <w:tcW w:w="20" w:type="dxa"/>
            <w:vAlign w:val="bottom"/>
          </w:tcPr>
          <w:p>
            <w:pPr>
              <w:spacing w:after="0"/>
              <w:rPr>
                <w:sz w:val="18"/>
                <w:szCs w:val="18"/>
                <w:color w:val="auto"/>
              </w:rPr>
            </w:pPr>
          </w:p>
        </w:tc>
        <w:tc>
          <w:tcPr>
            <w:tcW w:w="5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11,333</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w:t>
            </w:r>
          </w:p>
        </w:tc>
      </w:tr>
      <w:tr>
        <w:trPr>
          <w:trHeight w:val="209"/>
        </w:trPr>
        <w:tc>
          <w:tcPr>
            <w:tcW w:w="20" w:type="dxa"/>
            <w:vAlign w:val="bottom"/>
          </w:tcPr>
          <w:p>
            <w:pPr>
              <w:spacing w:after="0"/>
              <w:rPr>
                <w:sz w:val="18"/>
                <w:szCs w:val="18"/>
                <w:color w:val="auto"/>
              </w:rPr>
            </w:pPr>
          </w:p>
        </w:tc>
        <w:tc>
          <w:tcPr>
            <w:tcW w:w="54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other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71,939</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92,779</w:t>
            </w: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Deferred Financing Costs</w:t>
      </w:r>
    </w:p>
    <w:p>
      <w:pPr>
        <w:spacing w:after="0" w:line="229" w:lineRule="exact"/>
        <w:rPr>
          <w:sz w:val="20"/>
          <w:szCs w:val="20"/>
          <w:color w:val="auto"/>
        </w:rPr>
      </w:pPr>
    </w:p>
    <w:p>
      <w:pPr>
        <w:ind w:left="60" w:right="179"/>
        <w:spacing w:after="0" w:line="255" w:lineRule="auto"/>
        <w:rPr>
          <w:sz w:val="20"/>
          <w:szCs w:val="20"/>
          <w:color w:val="auto"/>
        </w:rPr>
      </w:pPr>
      <w:r>
        <w:rPr>
          <w:rFonts w:ascii="Arial" w:cs="Arial" w:eastAsia="Arial" w:hAnsi="Arial"/>
          <w:sz w:val="18"/>
          <w:szCs w:val="18"/>
          <w:color w:val="auto"/>
        </w:rPr>
        <w:t>Deferred financing costs (“DFCs”) consist of loan fees and other costs of financing that are amortized over the term of the related financing agreements, using the effective interest method, and are generally presented as a reduction of the related debt liability. DFCs on the Company’s revolving credit facility are included in prepaid expenses and other assets when the related revolving credit facility has no outstanding balance. During 2021, 2020 and 2019, DFCs of $8.8 million, $7.9 million and $7.7 million, respectively, were amortized and recorded as interest expense in the accompanying consolidated statements of operations.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Noncontrolling Interest</w:t>
      </w:r>
    </w:p>
    <w:p>
      <w:pPr>
        <w:spacing w:after="0" w:line="229" w:lineRule="exact"/>
        <w:rPr>
          <w:sz w:val="20"/>
          <w:szCs w:val="20"/>
          <w:color w:val="auto"/>
        </w:rPr>
      </w:pPr>
    </w:p>
    <w:p>
      <w:pPr>
        <w:jc w:val="both"/>
        <w:ind w:left="60" w:right="219"/>
        <w:spacing w:after="0" w:line="301" w:lineRule="auto"/>
        <w:rPr>
          <w:sz w:val="20"/>
          <w:szCs w:val="20"/>
          <w:color w:val="auto"/>
        </w:rPr>
      </w:pPr>
      <w:r>
        <w:rPr>
          <w:rFonts w:ascii="Arial" w:cs="Arial" w:eastAsia="Arial" w:hAnsi="Arial"/>
          <w:sz w:val="16"/>
          <w:szCs w:val="16"/>
          <w:color w:val="auto"/>
        </w:rPr>
        <w:t>The noncontrolling interest in consolidated joint venture represents the previous minority partners’ proportionate share of the assets and liabilities of the Gaylord Rockies joint venture. The noncontrolling interest was classified in the mezzanine section of the consolidated balance sheets as the related redemption options did not meet the requirements for permanent equity classification because these redemption options may have been redeemed by the holder as described below.</w:t>
      </w:r>
    </w:p>
    <w:p>
      <w:pPr>
        <w:spacing w:after="0" w:line="157"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The initial value of the noncontrolling interest in the Gaylord Rockies joint venture, which included certain put rights, was estimated based on the purchase price allocation performed. In general, the carrying value was based on the greater of the accumulated historical cost or the put right redemption value, and at December 31, 2020, approximated the fair value of the noncontrolling interest. An adjustment was also made for the minority partners’ proportionate share of income or loss in the accompanying consolidated statement of operations.</w:t>
      </w:r>
    </w:p>
    <w:p>
      <w:pPr>
        <w:spacing w:after="0" w:line="188" w:lineRule="exact"/>
        <w:rPr>
          <w:sz w:val="20"/>
          <w:szCs w:val="20"/>
          <w:color w:val="auto"/>
        </w:rPr>
      </w:pPr>
    </w:p>
    <w:p>
      <w:pPr>
        <w:ind w:left="60" w:right="119"/>
        <w:spacing w:after="0" w:line="269" w:lineRule="auto"/>
        <w:rPr>
          <w:sz w:val="20"/>
          <w:szCs w:val="20"/>
          <w:color w:val="auto"/>
        </w:rPr>
      </w:pPr>
      <w:r>
        <w:rPr>
          <w:rFonts w:ascii="Arial" w:cs="Arial" w:eastAsia="Arial" w:hAnsi="Arial"/>
          <w:sz w:val="17"/>
          <w:szCs w:val="17"/>
          <w:color w:val="auto"/>
        </w:rPr>
        <w:t>Pursuant to the amended and restated joint venture agreements, minority partners each had a put right to require the Company to purchase their joint venture interests at a defined appraised value during an annual window period, or under certain other circumstances, in consideration of cash or OP Units of the Operating Partnership. During 2020, put right holders totaling 0.5% ownership in the Gaylord Rockies joint venture exercised their put rights for $2.9 million in cash, and the remaining put right holders, totaling 2.4% ownership in the Gaylord Rockies joint venture, exercised their put rights for approximately $14.0 million in OP Units, which was equivalent to approximately 0.4 million OP Units. Such OP Units have economic terms that are substantially similar to shares of the Company’s common stock and are redeemable at the option of the holders thereof. Redemptions will be paid in cash, or if the Company so elects, in shares of the Company’s common stock on a one-for-one basis, subject to certain adjustments in accordance with the Operating Partnership’s limited partnership agreement.</w:t>
      </w:r>
    </w:p>
    <w:p>
      <w:pPr>
        <w:spacing w:after="0" w:line="185" w:lineRule="exact"/>
        <w:rPr>
          <w:sz w:val="20"/>
          <w:szCs w:val="20"/>
          <w:color w:val="auto"/>
        </w:rPr>
      </w:pPr>
    </w:p>
    <w:p>
      <w:pPr>
        <w:ind w:left="60" w:right="99"/>
        <w:spacing w:after="0" w:line="254" w:lineRule="auto"/>
        <w:rPr>
          <w:sz w:val="20"/>
          <w:szCs w:val="20"/>
          <w:color w:val="auto"/>
        </w:rPr>
      </w:pPr>
      <w:r>
        <w:rPr>
          <w:rFonts w:ascii="Arial" w:cs="Arial" w:eastAsia="Arial" w:hAnsi="Arial"/>
          <w:sz w:val="18"/>
          <w:szCs w:val="18"/>
          <w:color w:val="auto"/>
        </w:rPr>
        <w:t>The Company also entered into a tax protection agreement in connection with the December 31, 2018 purchase of additional interests in the Gaylord Rockies joint venture, which will generally require the Company to, among other things, indemnify certain minority partners that were members of the Gaylord Rockies joint venture for 50% of any income taxes incurred by them as a result of a direct or indirect sale or other disposition of the Gaylord Rockies joint venture, within seven years of closing, and for 100% of any income taxes incurred by them as a result of the failure to comply with certain obligations related to nonrecourse liability allocations and debt guarantee opportunities for the purpose of protecting such parties’ tax bases.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3" w:name="page94"/>
    <w:bookmarkEnd w:id="9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5" w:lineRule="auto"/>
        <w:rPr>
          <w:sz w:val="20"/>
          <w:szCs w:val="20"/>
          <w:color w:val="auto"/>
        </w:rPr>
      </w:pPr>
      <w:r>
        <w:rPr>
          <w:rFonts w:ascii="Arial" w:cs="Arial" w:eastAsia="Arial" w:hAnsi="Arial"/>
          <w:sz w:val="18"/>
          <w:szCs w:val="18"/>
          <w:color w:val="auto"/>
        </w:rPr>
        <w:t>The noncontrolling interest in the Operating Partnership represents the limited partners’ proportionate share of the equity of the Operating Partnership. The noncontrolling interest is classified in the equity section of the consolidated balance sheets, separately from stockholders’ equity, as the related redemptions options are redeemable for cash, or if the Company so elects, in unregistered shares of the Company’s common stock, as discussed further in Note 9, “Equity.” An adjustment is made for the limited partners’ proportionate share of income or loss in the accompanying consolidated statement of operations.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left="60" w:right="79"/>
        <w:spacing w:after="0" w:line="285" w:lineRule="auto"/>
        <w:rPr>
          <w:sz w:val="20"/>
          <w:szCs w:val="20"/>
          <w:color w:val="auto"/>
        </w:rPr>
      </w:pPr>
      <w:r>
        <w:rPr>
          <w:rFonts w:ascii="Arial" w:cs="Arial" w:eastAsia="Arial" w:hAnsi="Arial"/>
          <w:sz w:val="16"/>
          <w:szCs w:val="16"/>
          <w:color w:val="auto"/>
        </w:rPr>
        <w:t>Revenues from occupied hotel rooms are recognized over time as the daily hotel stay is provided to hotel groups and guests. Revenues from concessions, food and beverage sales and group meeting services are recognized over the period or at the point in time those goods or services are delivered to the hotel group or guest. Revenues from ancillary services at the Company’s hotels, such as spa, parking, and transportation services, are generally recognized at the time the goods or services are provided. Cancellation fees and attrition fees, which are charged to groups when they do not fulfill the minimum number of room nights or minimum food and beverage spending requirements originally contracted for, are generally recognized as revenue in the period the Company determines it is probable that a significant reversal in the amount of revenue recognized will not occur, which is typically the period these fees are collected. The Company generally recognizes revenues from the Entertainment segment at the point in time that services are provided or goods are delivered or shipped to the customer, as applicable. Entertainment segment revenues from licenses of content are recognized at the point in time the content is delivered to the licensee and the licensee can use and benefit from the content. Revenue related to content provided to Circle is eliminated for the portion of Circle that the Company owns. The Company is required to collect certain taxes from customers on behalf of government agencies and remit these to the applicable governmental entity on a periodic basis. These taxes are collected from customers at the time of purchase, but are not included in revenue. The Company records a liability upon collection from the customer and relieves the liability when payments are remitted to the applicable governmental agency.</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Company’s revenues disaggregated by major source are as follows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1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p>
        </w:tc>
      </w:tr>
      <w:tr>
        <w:trPr>
          <w:trHeight w:val="21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Hotel group rooms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$ 131,404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387,741</w:t>
            </w:r>
          </w:p>
        </w:tc>
      </w:tr>
      <w:tr>
        <w:trPr>
          <w:trHeight w:val="216"/>
        </w:trPr>
        <w:tc>
          <w:tcPr>
            <w:tcW w:w="6120" w:type="dxa"/>
            <w:vAlign w:val="bottom"/>
          </w:tcPr>
          <w:p>
            <w:pPr>
              <w:ind w:left="20"/>
              <w:spacing w:after="0"/>
              <w:rPr>
                <w:sz w:val="20"/>
                <w:szCs w:val="20"/>
                <w:color w:val="auto"/>
              </w:rPr>
            </w:pPr>
            <w:r>
              <w:rPr>
                <w:rFonts w:ascii="Arial" w:cs="Arial" w:eastAsia="Arial" w:hAnsi="Arial"/>
                <w:sz w:val="18"/>
                <w:szCs w:val="18"/>
                <w:color w:val="auto"/>
              </w:rPr>
              <w:t>Hotel transient rooms</w:t>
            </w:r>
          </w:p>
        </w:tc>
        <w:tc>
          <w:tcPr>
            <w:tcW w:w="780" w:type="dxa"/>
            <w:vAlign w:val="bottom"/>
          </w:tcPr>
          <w:p>
            <w:pPr>
              <w:jc w:val="right"/>
              <w:spacing w:after="0"/>
              <w:rPr>
                <w:sz w:val="20"/>
                <w:szCs w:val="20"/>
                <w:color w:val="auto"/>
              </w:rPr>
            </w:pPr>
            <w:r>
              <w:rPr>
                <w:rFonts w:ascii="Arial" w:cs="Arial" w:eastAsia="Arial" w:hAnsi="Arial"/>
                <w:sz w:val="18"/>
                <w:szCs w:val="18"/>
                <w:color w:val="auto"/>
              </w:rPr>
              <w:t>197,470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83,112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169,821</w:t>
            </w:r>
          </w:p>
        </w:tc>
      </w:tr>
      <w:tr>
        <w:trPr>
          <w:trHeight w:val="216"/>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Hotel food and beverage - banquets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140,186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116,624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453,612</w:t>
            </w:r>
          </w:p>
        </w:tc>
      </w:tr>
      <w:tr>
        <w:trPr>
          <w:trHeight w:val="216"/>
        </w:trPr>
        <w:tc>
          <w:tcPr>
            <w:tcW w:w="6120" w:type="dxa"/>
            <w:vAlign w:val="bottom"/>
          </w:tcPr>
          <w:p>
            <w:pPr>
              <w:ind w:left="20"/>
              <w:spacing w:after="0"/>
              <w:rPr>
                <w:sz w:val="20"/>
                <w:szCs w:val="20"/>
                <w:color w:val="auto"/>
              </w:rPr>
            </w:pPr>
            <w:r>
              <w:rPr>
                <w:rFonts w:ascii="Arial" w:cs="Arial" w:eastAsia="Arial" w:hAnsi="Arial"/>
                <w:sz w:val="18"/>
                <w:szCs w:val="18"/>
                <w:color w:val="auto"/>
              </w:rPr>
              <w:t>Hotel food and beverage - outlets</w:t>
            </w:r>
          </w:p>
        </w:tc>
        <w:tc>
          <w:tcPr>
            <w:tcW w:w="780" w:type="dxa"/>
            <w:vAlign w:val="bottom"/>
          </w:tcPr>
          <w:p>
            <w:pPr>
              <w:jc w:val="right"/>
              <w:spacing w:after="0"/>
              <w:rPr>
                <w:sz w:val="20"/>
                <w:szCs w:val="20"/>
                <w:color w:val="auto"/>
              </w:rPr>
            </w:pPr>
            <w:r>
              <w:rPr>
                <w:rFonts w:ascii="Arial" w:cs="Arial" w:eastAsia="Arial" w:hAnsi="Arial"/>
                <w:sz w:val="18"/>
                <w:szCs w:val="18"/>
                <w:color w:val="auto"/>
              </w:rPr>
              <w:t>139,303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70,914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207,158</w:t>
            </w:r>
          </w:p>
        </w:tc>
      </w:tr>
      <w:tr>
        <w:trPr>
          <w:trHeight w:val="216"/>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Hotel other</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106,789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203,114</w:t>
            </w:r>
          </w:p>
        </w:tc>
      </w:tr>
      <w:tr>
        <w:trPr>
          <w:trHeight w:val="216"/>
        </w:trPr>
        <w:tc>
          <w:tcPr>
            <w:tcW w:w="6120" w:type="dxa"/>
            <w:vAlign w:val="bottom"/>
          </w:tcPr>
          <w:p>
            <w:pPr>
              <w:ind w:left="20"/>
              <w:spacing w:after="0"/>
              <w:rPr>
                <w:sz w:val="20"/>
                <w:szCs w:val="20"/>
                <w:color w:val="auto"/>
              </w:rPr>
            </w:pPr>
            <w:r>
              <w:rPr>
                <w:rFonts w:ascii="Arial" w:cs="Arial" w:eastAsia="Arial" w:hAnsi="Arial"/>
                <w:sz w:val="18"/>
                <w:szCs w:val="18"/>
                <w:color w:val="auto"/>
              </w:rPr>
              <w:t>Entertainment admissions/ticketing</w:t>
            </w:r>
          </w:p>
        </w:tc>
        <w:tc>
          <w:tcPr>
            <w:tcW w:w="780" w:type="dxa"/>
            <w:vAlign w:val="bottom"/>
          </w:tcPr>
          <w:p>
            <w:pPr>
              <w:jc w:val="right"/>
              <w:spacing w:after="0"/>
              <w:rPr>
                <w:sz w:val="20"/>
                <w:szCs w:val="20"/>
                <w:color w:val="auto"/>
              </w:rPr>
            </w:pPr>
            <w:r>
              <w:rPr>
                <w:rFonts w:ascii="Arial" w:cs="Arial" w:eastAsia="Arial" w:hAnsi="Arial"/>
                <w:sz w:val="18"/>
                <w:szCs w:val="18"/>
                <w:color w:val="auto"/>
              </w:rPr>
              <w:t>62,768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16,564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81,434</w:t>
            </w:r>
          </w:p>
        </w:tc>
      </w:tr>
      <w:tr>
        <w:trPr>
          <w:trHeight w:val="216"/>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Entertainment food and beverage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63,815</w:t>
            </w:r>
          </w:p>
        </w:tc>
      </w:tr>
      <w:tr>
        <w:trPr>
          <w:trHeight w:val="216"/>
        </w:trPr>
        <w:tc>
          <w:tcPr>
            <w:tcW w:w="6120" w:type="dxa"/>
            <w:vAlign w:val="bottom"/>
          </w:tcPr>
          <w:p>
            <w:pPr>
              <w:ind w:left="20"/>
              <w:spacing w:after="0"/>
              <w:rPr>
                <w:sz w:val="20"/>
                <w:szCs w:val="20"/>
                <w:color w:val="auto"/>
              </w:rPr>
            </w:pPr>
            <w:r>
              <w:rPr>
                <w:rFonts w:ascii="Arial" w:cs="Arial" w:eastAsia="Arial" w:hAnsi="Arial"/>
                <w:sz w:val="18"/>
                <w:szCs w:val="18"/>
                <w:color w:val="auto"/>
              </w:rPr>
              <w:t>Entertainment produced content</w:t>
            </w:r>
          </w:p>
        </w:tc>
        <w:tc>
          <w:tcPr>
            <w:tcW w:w="780" w:type="dxa"/>
            <w:vAlign w:val="bottom"/>
          </w:tcPr>
          <w:p>
            <w:pPr>
              <w:jc w:val="right"/>
              <w:spacing w:after="0"/>
              <w:rPr>
                <w:sz w:val="20"/>
                <w:szCs w:val="20"/>
                <w:color w:val="auto"/>
              </w:rPr>
            </w:pPr>
            <w:r>
              <w:rPr>
                <w:rFonts w:ascii="Arial" w:cs="Arial" w:eastAsia="Arial" w:hAnsi="Arial"/>
                <w:sz w:val="18"/>
                <w:szCs w:val="18"/>
                <w:color w:val="auto"/>
              </w:rPr>
              <w:t>5,919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3,759</w:t>
            </w:r>
          </w:p>
        </w:tc>
      </w:tr>
      <w:tr>
        <w:trPr>
          <w:trHeight w:val="216"/>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Entertainment retail and other</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32,588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15,652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34,112</w:t>
            </w:r>
          </w:p>
        </w:tc>
      </w:tr>
      <w:tr>
        <w:trPr>
          <w:trHeight w:val="209"/>
        </w:trPr>
        <w:tc>
          <w:tcPr>
            <w:tcW w:w="612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$ 939,373</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524,475</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1,604,566</w:t>
            </w:r>
          </w:p>
        </w:tc>
      </w:tr>
      <w:tr>
        <w:trPr>
          <w:trHeight w:val="20"/>
        </w:trPr>
        <w:tc>
          <w:tcPr>
            <w:tcW w:w="6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413"/>
        </w:trPr>
        <w:tc>
          <w:tcPr>
            <w:tcW w:w="7980" w:type="dxa"/>
            <w:vAlign w:val="bottom"/>
            <w:gridSpan w:val="6"/>
          </w:tcPr>
          <w:p>
            <w:pPr>
              <w:ind w:left="20"/>
              <w:spacing w:after="0"/>
              <w:rPr>
                <w:sz w:val="20"/>
                <w:szCs w:val="20"/>
                <w:color w:val="auto"/>
              </w:rPr>
            </w:pPr>
            <w:r>
              <w:rPr>
                <w:rFonts w:ascii="Arial" w:cs="Arial" w:eastAsia="Arial" w:hAnsi="Arial"/>
                <w:sz w:val="18"/>
                <w:szCs w:val="18"/>
                <w:color w:val="auto"/>
                <w:w w:val="97"/>
              </w:rPr>
              <w:t>The Company’s Hospitality segment revenues disaggregated by location are as follows (in thousands):</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78"/>
        </w:trPr>
        <w:tc>
          <w:tcPr>
            <w:tcW w:w="612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p>
        </w:tc>
      </w:tr>
      <w:tr>
        <w:trPr>
          <w:trHeight w:val="209"/>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Gaylord Opryland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$ 238,567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133,333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385,610</w:t>
            </w:r>
          </w:p>
        </w:tc>
      </w:tr>
      <w:tr>
        <w:trPr>
          <w:trHeight w:val="216"/>
        </w:trPr>
        <w:tc>
          <w:tcPr>
            <w:tcW w:w="6120" w:type="dxa"/>
            <w:vAlign w:val="bottom"/>
          </w:tcPr>
          <w:p>
            <w:pPr>
              <w:ind w:left="20"/>
              <w:spacing w:after="0"/>
              <w:rPr>
                <w:sz w:val="20"/>
                <w:szCs w:val="20"/>
                <w:color w:val="auto"/>
              </w:rPr>
            </w:pPr>
            <w:r>
              <w:rPr>
                <w:rFonts w:ascii="Arial" w:cs="Arial" w:eastAsia="Arial" w:hAnsi="Arial"/>
                <w:sz w:val="18"/>
                <w:szCs w:val="18"/>
                <w:color w:val="auto"/>
              </w:rPr>
              <w:t>Gaylord Palms</w:t>
            </w:r>
          </w:p>
        </w:tc>
        <w:tc>
          <w:tcPr>
            <w:tcW w:w="780" w:type="dxa"/>
            <w:vAlign w:val="bottom"/>
          </w:tcPr>
          <w:p>
            <w:pPr>
              <w:jc w:val="right"/>
              <w:spacing w:after="0"/>
              <w:rPr>
                <w:sz w:val="20"/>
                <w:szCs w:val="20"/>
                <w:color w:val="auto"/>
              </w:rPr>
            </w:pPr>
            <w:r>
              <w:rPr>
                <w:rFonts w:ascii="Arial" w:cs="Arial" w:eastAsia="Arial" w:hAnsi="Arial"/>
                <w:sz w:val="18"/>
                <w:szCs w:val="18"/>
                <w:color w:val="auto"/>
              </w:rPr>
              <w:t>139,130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77,819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208,298</w:t>
            </w:r>
          </w:p>
        </w:tc>
      </w:tr>
      <w:tr>
        <w:trPr>
          <w:trHeight w:val="216"/>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Gaylord Texan</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180,031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111,236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292,548</w:t>
            </w:r>
          </w:p>
        </w:tc>
      </w:tr>
      <w:tr>
        <w:trPr>
          <w:trHeight w:val="216"/>
        </w:trPr>
        <w:tc>
          <w:tcPr>
            <w:tcW w:w="6120" w:type="dxa"/>
            <w:vAlign w:val="bottom"/>
          </w:tcPr>
          <w:p>
            <w:pPr>
              <w:ind w:left="20"/>
              <w:spacing w:after="0"/>
              <w:rPr>
                <w:sz w:val="20"/>
                <w:szCs w:val="20"/>
                <w:color w:val="auto"/>
              </w:rPr>
            </w:pPr>
            <w:r>
              <w:rPr>
                <w:rFonts w:ascii="Arial" w:cs="Arial" w:eastAsia="Arial" w:hAnsi="Arial"/>
                <w:sz w:val="18"/>
                <w:szCs w:val="18"/>
                <w:color w:val="auto"/>
              </w:rPr>
              <w:t>Gaylord National</w:t>
            </w:r>
          </w:p>
        </w:tc>
        <w:tc>
          <w:tcPr>
            <w:tcW w:w="780" w:type="dxa"/>
            <w:vAlign w:val="bottom"/>
          </w:tcPr>
          <w:p>
            <w:pPr>
              <w:jc w:val="right"/>
              <w:spacing w:after="0"/>
              <w:rPr>
                <w:sz w:val="20"/>
                <w:szCs w:val="20"/>
                <w:color w:val="auto"/>
              </w:rPr>
            </w:pPr>
            <w:r>
              <w:rPr>
                <w:rFonts w:ascii="Arial" w:cs="Arial" w:eastAsia="Arial" w:hAnsi="Arial"/>
                <w:sz w:val="18"/>
                <w:szCs w:val="18"/>
                <w:color w:val="auto"/>
              </w:rPr>
              <w:t>79,419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52,026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281,367</w:t>
            </w:r>
          </w:p>
        </w:tc>
      </w:tr>
      <w:tr>
        <w:trPr>
          <w:trHeight w:val="216"/>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Gaylord Rockies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135,942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226,576</w:t>
            </w:r>
          </w:p>
        </w:tc>
      </w:tr>
      <w:tr>
        <w:trPr>
          <w:trHeight w:val="216"/>
        </w:trPr>
        <w:tc>
          <w:tcPr>
            <w:tcW w:w="6120" w:type="dxa"/>
            <w:vAlign w:val="bottom"/>
          </w:tcPr>
          <w:p>
            <w:pPr>
              <w:ind w:left="20"/>
              <w:spacing w:after="0"/>
              <w:rPr>
                <w:sz w:val="20"/>
                <w:szCs w:val="20"/>
                <w:color w:val="auto"/>
              </w:rPr>
            </w:pPr>
            <w:r>
              <w:rPr>
                <w:rFonts w:ascii="Arial" w:cs="Arial" w:eastAsia="Arial" w:hAnsi="Arial"/>
                <w:sz w:val="18"/>
                <w:szCs w:val="18"/>
                <w:color w:val="auto"/>
              </w:rPr>
              <w:t>AC Hotel</w:t>
            </w:r>
          </w:p>
        </w:tc>
        <w:tc>
          <w:tcPr>
            <w:tcW w:w="780" w:type="dxa"/>
            <w:vAlign w:val="bottom"/>
          </w:tcPr>
          <w:p>
            <w:pPr>
              <w:jc w:val="right"/>
              <w:spacing w:after="0"/>
              <w:rPr>
                <w:sz w:val="20"/>
                <w:szCs w:val="20"/>
                <w:color w:val="auto"/>
              </w:rPr>
            </w:pPr>
            <w:r>
              <w:rPr>
                <w:rFonts w:ascii="Arial" w:cs="Arial" w:eastAsia="Arial" w:hAnsi="Arial"/>
                <w:sz w:val="18"/>
                <w:szCs w:val="18"/>
                <w:color w:val="auto"/>
              </w:rPr>
              <w:t>5,838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11,725</w:t>
            </w:r>
          </w:p>
        </w:tc>
      </w:tr>
      <w:tr>
        <w:trPr>
          <w:trHeight w:val="216"/>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Inn at Opryland</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15,322</w:t>
            </w:r>
          </w:p>
        </w:tc>
      </w:tr>
      <w:tr>
        <w:trPr>
          <w:trHeight w:val="209"/>
        </w:trPr>
        <w:tc>
          <w:tcPr>
            <w:tcW w:w="6120" w:type="dxa"/>
            <w:vAlign w:val="bottom"/>
          </w:tcPr>
          <w:p>
            <w:pPr>
              <w:ind w:left="20"/>
              <w:spacing w:after="0"/>
              <w:rPr>
                <w:sz w:val="20"/>
                <w:szCs w:val="20"/>
                <w:color w:val="auto"/>
              </w:rPr>
            </w:pPr>
            <w:r>
              <w:rPr>
                <w:rFonts w:ascii="Arial" w:cs="Arial" w:eastAsia="Arial" w:hAnsi="Arial"/>
                <w:sz w:val="18"/>
                <w:szCs w:val="18"/>
                <w:color w:val="auto"/>
              </w:rPr>
              <w:t>Total Hospitality segment revenues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$ 786,583</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466,045</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1,421,446</w:t>
            </w:r>
          </w:p>
        </w:tc>
      </w:tr>
      <w:tr>
        <w:trPr>
          <w:trHeight w:val="20"/>
        </w:trPr>
        <w:tc>
          <w:tcPr>
            <w:tcW w:w="6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majority of the Company’s Entertainment segment revenues are concentrated in Tennessee.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4" w:name="page95"/>
    <w:bookmarkEnd w:id="9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5" w:lineRule="auto"/>
        <w:rPr>
          <w:sz w:val="20"/>
          <w:szCs w:val="20"/>
          <w:color w:val="auto"/>
        </w:rPr>
      </w:pPr>
      <w:r>
        <w:rPr>
          <w:rFonts w:ascii="Arial" w:cs="Arial" w:eastAsia="Arial" w:hAnsi="Arial"/>
          <w:sz w:val="18"/>
          <w:szCs w:val="18"/>
          <w:color w:val="auto"/>
        </w:rPr>
        <w:t>The Company records deferred revenues when cash payments are received in advance of its performance obligations, primarily related to advanced deposits on hotel rooms in its Hospitality segment and advanced ticketing in its Entertainment segment. At December 31, 2021 and 2020, the Company had $116.8 million and $70.4 million, respectively, in deferred revenues, which are included in accounts payable and accrued liabilities in the accompanying consolidated balance sheets. Of the amount outstanding at December 31, 2020, approximately $17.3 million was recognized in revenues during 2021.</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 Fees</w:t>
      </w:r>
    </w:p>
    <w:p>
      <w:pPr>
        <w:spacing w:after="0" w:line="229" w:lineRule="exact"/>
        <w:rPr>
          <w:sz w:val="20"/>
          <w:szCs w:val="20"/>
          <w:color w:val="auto"/>
        </w:rPr>
      </w:pPr>
    </w:p>
    <w:p>
      <w:pPr>
        <w:ind w:left="60" w:right="179"/>
        <w:spacing w:after="0" w:line="272" w:lineRule="auto"/>
        <w:rPr>
          <w:sz w:val="20"/>
          <w:szCs w:val="20"/>
          <w:color w:val="auto"/>
        </w:rPr>
      </w:pPr>
      <w:r>
        <w:rPr>
          <w:rFonts w:ascii="Arial" w:cs="Arial" w:eastAsia="Arial" w:hAnsi="Arial"/>
          <w:sz w:val="17"/>
          <w:szCs w:val="17"/>
          <w:color w:val="auto"/>
        </w:rPr>
        <w:t>The Company pays Marriott a base management fee of approximately 2% of revenues for the majority of properties that Marriott manages and a base management fee of approximately 3% of revenues for Gaylord Rockies, as well as an incentive fee for each managed property that is based on profitability. The Company incurred $17.6 million, $10.3 million and $31.6 million in base management fees to Marriott during 2021, 2020 and 2019, respectively. The Company incurred $0.3 million, $0 and $12.6 million in incentive fees to Marriott during 2021, 2020 and 2019, respectively. Management fees are presented in the consolidated statements of operations net of the amortization of the deferred management rights proceeds discussed further in Note 5, “Deferred Management Rights Proceeds.”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Advertising Costs</w:t>
      </w:r>
    </w:p>
    <w:p>
      <w:pPr>
        <w:spacing w:after="0" w:line="229"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color w:val="auto"/>
        </w:rPr>
        <w:t>Advertising costs are expensed as incurred and were $36.2 million, $23.0 million, and $53.2 million for 2021, 2020 and 2019, respectively.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ind w:left="60" w:right="379"/>
        <w:spacing w:after="0" w:line="311" w:lineRule="auto"/>
        <w:rPr>
          <w:sz w:val="20"/>
          <w:szCs w:val="20"/>
          <w:color w:val="auto"/>
        </w:rPr>
      </w:pPr>
      <w:r>
        <w:rPr>
          <w:rFonts w:ascii="Arial" w:cs="Arial" w:eastAsia="Arial" w:hAnsi="Arial"/>
          <w:sz w:val="16"/>
          <w:szCs w:val="16"/>
          <w:color w:val="auto"/>
        </w:rPr>
        <w:t>The Company has stock-based employee compensation plans, which are described more fully in Note 7, “Stock Plans.” The Company accounts for its stock-based compensation plan under the provisions of Financial Accounting Standards Board (“FASB”) Accounting Standards Codification (“ASC”)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Preopening Costs</w:t>
      </w:r>
    </w:p>
    <w:p>
      <w:pPr>
        <w:spacing w:after="0" w:line="229" w:lineRule="exact"/>
        <w:rPr>
          <w:sz w:val="20"/>
          <w:szCs w:val="20"/>
          <w:color w:val="auto"/>
        </w:rPr>
      </w:pPr>
    </w:p>
    <w:p>
      <w:pPr>
        <w:ind w:left="60" w:right="79"/>
        <w:spacing w:after="0" w:line="272" w:lineRule="auto"/>
        <w:rPr>
          <w:sz w:val="20"/>
          <w:szCs w:val="20"/>
          <w:color w:val="auto"/>
        </w:rPr>
      </w:pPr>
      <w:r>
        <w:rPr>
          <w:rFonts w:ascii="Arial" w:cs="Arial" w:eastAsia="Arial" w:hAnsi="Arial"/>
          <w:sz w:val="17"/>
          <w:szCs w:val="17"/>
          <w:color w:val="auto"/>
        </w:rPr>
        <w:t>The Company expenses the costs associated with start-up activities and organization costs associated with its development or reopening of hotels and significant attractions as incurred. The Company’s preopening costs during 2021 include costs associated with the Gaylord Palms expansion, which was completed in April 2021. The Company’s preopening costs during 2020 include costs associated with Ole Red Orlando, which opened in June 2020, and the Gaylord Palms expansion. The Company’s preopening costs during 2019 include costs associated with Ole Red Gatlinburg, which opened in March 2019, costs associated with the opening of Gaylord Rockies, which opened on a fully operational basis in the first quarter of 2019, and costs associated with the expansion at Gaylord Palms.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Derivative Financial Instruments</w:t>
      </w:r>
    </w:p>
    <w:p>
      <w:pPr>
        <w:spacing w:after="0" w:line="229" w:lineRule="exact"/>
        <w:rPr>
          <w:sz w:val="20"/>
          <w:szCs w:val="20"/>
          <w:color w:val="auto"/>
        </w:rPr>
      </w:pPr>
    </w:p>
    <w:p>
      <w:pPr>
        <w:ind w:left="60" w:right="159"/>
        <w:spacing w:after="0" w:line="263" w:lineRule="auto"/>
        <w:rPr>
          <w:sz w:val="20"/>
          <w:szCs w:val="20"/>
          <w:color w:val="auto"/>
        </w:rPr>
      </w:pPr>
      <w:r>
        <w:rPr>
          <w:rFonts w:ascii="Arial" w:cs="Arial" w:eastAsia="Arial" w:hAnsi="Arial"/>
          <w:sz w:val="18"/>
          <w:szCs w:val="18"/>
          <w:color w:val="auto"/>
        </w:rPr>
        <w:t>The Company has entered into and may in the future enter into additional interest rate swap agreements to hedge against interest rate fluctuations. The Company does not use derivatives for trading or speculative purposes and currently does not hold any derivatives that are not designated as hedges.</w:t>
      </w:r>
    </w:p>
    <w:p>
      <w:pPr>
        <w:spacing w:after="0" w:line="157" w:lineRule="exact"/>
        <w:rPr>
          <w:sz w:val="20"/>
          <w:szCs w:val="20"/>
          <w:color w:val="auto"/>
        </w:rPr>
      </w:pPr>
    </w:p>
    <w:p>
      <w:pPr>
        <w:ind w:left="60" w:right="219"/>
        <w:spacing w:after="0" w:line="293" w:lineRule="auto"/>
        <w:rPr>
          <w:sz w:val="20"/>
          <w:szCs w:val="20"/>
          <w:color w:val="auto"/>
        </w:rPr>
      </w:pPr>
      <w:r>
        <w:rPr>
          <w:rFonts w:ascii="Arial" w:cs="Arial" w:eastAsia="Arial" w:hAnsi="Arial"/>
          <w:sz w:val="16"/>
          <w:szCs w:val="16"/>
          <w:color w:val="auto"/>
        </w:rPr>
        <w:t>For derivatives designated as and that qualify as cash flow hedges of interest rate risk, the gain or loss on the derivative resulting from recording each instrument at estimated fair value is recorded in accumulated other comprehensive loss and subsequently reclassified to interest expense in the same period during which the hedged transaction affects earnings. These amounts reported in accumulated other comprehensive loss will be reclassified to interest expense as interest payments are made on the related variable-rate debt. The Company estimates that $9.1 million will be reclassified from accumulated other comprehensive loss to interest expense in the next twelve months.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5" w:name="page96"/>
    <w:bookmarkEnd w:id="9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Impairment of Long-Lived and Other Assets</w:t>
      </w:r>
    </w:p>
    <w:p>
      <w:pPr>
        <w:spacing w:after="0" w:line="229" w:lineRule="exact"/>
        <w:rPr>
          <w:sz w:val="20"/>
          <w:szCs w:val="20"/>
          <w:color w:val="auto"/>
        </w:rPr>
      </w:pPr>
    </w:p>
    <w:p>
      <w:pPr>
        <w:jc w:val="both"/>
        <w:ind w:left="60" w:right="219"/>
        <w:spacing w:after="0" w:line="263" w:lineRule="auto"/>
        <w:rPr>
          <w:sz w:val="20"/>
          <w:szCs w:val="20"/>
          <w:color w:val="auto"/>
        </w:rPr>
      </w:pPr>
      <w:r>
        <w:rPr>
          <w:rFonts w:ascii="Arial" w:cs="Arial" w:eastAsia="Arial" w:hAnsi="Arial"/>
          <w:sz w:val="18"/>
          <w:szCs w:val="18"/>
          <w:color w:val="auto"/>
        </w:rPr>
        <w:t>In accounting for the Company’s long-lived and other assets (including its property and equipment and intangible assets), the Company assesses its long-lived assets for impairment whenever events or changes in circumstances indicate that the carrying value of the assets or asset group may not be recoverable.</w:t>
      </w:r>
    </w:p>
    <w:p>
      <w:pPr>
        <w:spacing w:after="0" w:line="184" w:lineRule="exact"/>
        <w:rPr>
          <w:sz w:val="20"/>
          <w:szCs w:val="20"/>
          <w:color w:val="auto"/>
        </w:rPr>
      </w:pPr>
    </w:p>
    <w:p>
      <w:pPr>
        <w:ind w:left="60" w:right="79"/>
        <w:spacing w:after="0" w:line="255" w:lineRule="auto"/>
        <w:rPr>
          <w:sz w:val="20"/>
          <w:szCs w:val="20"/>
          <w:color w:val="auto"/>
        </w:rPr>
      </w:pPr>
      <w:r>
        <w:rPr>
          <w:rFonts w:ascii="Arial" w:cs="Arial" w:eastAsia="Arial" w:hAnsi="Arial"/>
          <w:sz w:val="18"/>
          <w:szCs w:val="18"/>
          <w:color w:val="auto"/>
        </w:rPr>
        <w:t>Recoverability of property and equipment and definite-lived intangible assets that will continue to be used is measured by comparing the carrying amount of the asset or asset group to the related total future undiscounted net cash flows. If an asset or asset group’s carrying value is not recoverable through those cash flows, the asset group is considered to be impaired. The impairment is measured by the difference between the assets’ carrying amount and their fair value, which is estimated using discounted cash flow analyses that utilize comprehensive cash flow projections, as well as observable market data to the extent available.</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recorded no impairment losses during 2021, 2020 or 2019.</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(Loss) Per Share</w:t>
      </w:r>
    </w:p>
    <w:p>
      <w:pPr>
        <w:spacing w:after="0" w:line="229" w:lineRule="exact"/>
        <w:rPr>
          <w:sz w:val="20"/>
          <w:szCs w:val="20"/>
          <w:color w:val="auto"/>
        </w:rPr>
      </w:pPr>
    </w:p>
    <w:p>
      <w:pPr>
        <w:ind w:left="60" w:right="99"/>
        <w:spacing w:after="0" w:line="273" w:lineRule="auto"/>
        <w:rPr>
          <w:sz w:val="20"/>
          <w:szCs w:val="20"/>
          <w:color w:val="auto"/>
        </w:rPr>
      </w:pPr>
      <w:r>
        <w:rPr>
          <w:rFonts w:ascii="Arial" w:cs="Arial" w:eastAsia="Arial" w:hAnsi="Arial"/>
          <w:sz w:val="17"/>
          <w:szCs w:val="17"/>
          <w:color w:val="auto"/>
        </w:rPr>
        <w:t>Income (loss) per share is measured as basic earnings per share and diluted earnings per share. Basic earnings per share is computed by dividing net income (loss) by the weighted average number of common shares outstanding during the year. Diluted earnings per share is computed by dividing net income (loss) by the weighted average number of common shares outstanding after considering the effect of conversion of dilutive instruments, calculated using the treasury stock method or if-converted method, as applicable. Net income (loss) per share amounts are calculated as follows for the years ended December 31 (income and share amounts in thousands):</w:t>
      </w:r>
    </w:p>
    <w:p>
      <w:pPr>
        <w:spacing w:after="0" w:line="183"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rPr>
              <w:t>Loss</w:t>
            </w:r>
          </w:p>
        </w:tc>
        <w:tc>
          <w:tcPr>
            <w:tcW w:w="60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available to common stockholders</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(176,966)</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55,047</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dilutive stock-based compensation</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40" w:type="dxa"/>
            <w:vAlign w:val="bottom"/>
            <w:shd w:val="clear" w:color="auto" w:fill="CCEEFF"/>
          </w:tcPr>
          <w:p>
            <w:pPr>
              <w:ind w:left="100"/>
              <w:spacing w:after="0" w:line="182" w:lineRule="exact"/>
              <w:rPr>
                <w:sz w:val="20"/>
                <w:szCs w:val="20"/>
                <w:color w:val="auto"/>
              </w:rPr>
            </w:pPr>
            <w:r>
              <w:rPr>
                <w:rFonts w:ascii="Arial" w:cs="Arial" w:eastAsia="Arial" w:hAnsi="Arial"/>
                <w:sz w:val="18"/>
                <w:szCs w:val="18"/>
                <w:color w:val="auto"/>
                <w:w w:val="99"/>
              </w:rPr>
              <w:t>Net loss available to common stockholders — assuming</w:t>
            </w:r>
          </w:p>
        </w:tc>
        <w:tc>
          <w:tcPr>
            <w:tcW w:w="102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 (176,966)</w:t>
            </w:r>
          </w:p>
        </w:tc>
        <w:tc>
          <w:tcPr>
            <w:tcW w:w="1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55,047</w:t>
            </w:r>
          </w:p>
        </w:tc>
        <w:tc>
          <w:tcPr>
            <w:tcW w:w="300" w:type="dxa"/>
            <w:vAlign w:val="bottom"/>
            <w:gridSpan w:val="3"/>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dilution</w:t>
            </w:r>
          </w:p>
        </w:tc>
        <w:tc>
          <w:tcPr>
            <w:tcW w:w="1020" w:type="dxa"/>
            <w:vAlign w:val="bottom"/>
            <w:gridSpan w:val="3"/>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300" w:type="dxa"/>
            <w:vAlign w:val="bottom"/>
            <w:gridSpan w:val="3"/>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rPr>
              <w:t>Loss</w:t>
            </w:r>
          </w:p>
        </w:tc>
        <w:tc>
          <w:tcPr>
            <w:tcW w:w="60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available to common stockholders</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(417,391)</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54,962</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dilutive stock-based compensation</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40" w:type="dxa"/>
            <w:vAlign w:val="bottom"/>
            <w:shd w:val="clear" w:color="auto" w:fill="CCEEFF"/>
          </w:tcPr>
          <w:p>
            <w:pPr>
              <w:ind w:left="100"/>
              <w:spacing w:after="0" w:line="182" w:lineRule="exact"/>
              <w:rPr>
                <w:sz w:val="20"/>
                <w:szCs w:val="20"/>
                <w:color w:val="auto"/>
              </w:rPr>
            </w:pPr>
            <w:r>
              <w:rPr>
                <w:rFonts w:ascii="Arial" w:cs="Arial" w:eastAsia="Arial" w:hAnsi="Arial"/>
                <w:sz w:val="18"/>
                <w:szCs w:val="18"/>
                <w:color w:val="auto"/>
                <w:w w:val="99"/>
              </w:rPr>
              <w:t>Net loss available to common stockholders — assuming</w:t>
            </w:r>
          </w:p>
        </w:tc>
        <w:tc>
          <w:tcPr>
            <w:tcW w:w="102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 (417,391)</w:t>
            </w:r>
          </w:p>
        </w:tc>
        <w:tc>
          <w:tcPr>
            <w:tcW w:w="1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54,962</w:t>
            </w:r>
          </w:p>
        </w:tc>
        <w:tc>
          <w:tcPr>
            <w:tcW w:w="300" w:type="dxa"/>
            <w:vAlign w:val="bottom"/>
            <w:gridSpan w:val="3"/>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dilution</w:t>
            </w:r>
          </w:p>
        </w:tc>
        <w:tc>
          <w:tcPr>
            <w:tcW w:w="1020" w:type="dxa"/>
            <w:vAlign w:val="bottom"/>
            <w:gridSpan w:val="3"/>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300" w:type="dxa"/>
            <w:vAlign w:val="bottom"/>
            <w:gridSpan w:val="3"/>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Income</w:t>
            </w:r>
          </w:p>
        </w:tc>
        <w:tc>
          <w:tcPr>
            <w:tcW w:w="60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available to common stockholders</w:t>
            </w:r>
          </w:p>
        </w:tc>
        <w:tc>
          <w:tcPr>
            <w:tcW w:w="240" w:type="dxa"/>
            <w:vAlign w:val="bottom"/>
            <w:tcBorders>
              <w:top w:val="single" w:sz="8" w:color="CCEEFF"/>
            </w:tcBorders>
            <w:gridSpan w:val="2"/>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$ 145,794</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51,609</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Effect of dilutive stock-based compensation</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put rights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40" w:type="dxa"/>
            <w:vAlign w:val="bottom"/>
          </w:tcPr>
          <w:p>
            <w:pPr>
              <w:ind w:left="100"/>
              <w:spacing w:after="0" w:line="182" w:lineRule="exact"/>
              <w:rPr>
                <w:sz w:val="20"/>
                <w:szCs w:val="20"/>
                <w:color w:val="auto"/>
              </w:rPr>
            </w:pPr>
            <w:r>
              <w:rPr>
                <w:rFonts w:ascii="Arial" w:cs="Arial" w:eastAsia="Arial" w:hAnsi="Arial"/>
                <w:sz w:val="18"/>
                <w:szCs w:val="18"/>
                <w:color w:val="auto"/>
                <w:w w:val="93"/>
              </w:rPr>
              <w:t>Net income available to common stockholders — assuming</w:t>
            </w:r>
          </w:p>
        </w:tc>
        <w:tc>
          <w:tcPr>
            <w:tcW w:w="1020" w:type="dxa"/>
            <w:vAlign w:val="bottom"/>
            <w:gridSpan w:val="3"/>
            <w:vMerge w:val="restart"/>
          </w:tcPr>
          <w:p>
            <w:pPr>
              <w:jc w:val="right"/>
              <w:spacing w:after="0"/>
              <w:rPr>
                <w:sz w:val="20"/>
                <w:szCs w:val="20"/>
                <w:color w:val="auto"/>
              </w:rPr>
            </w:pPr>
            <w:r>
              <w:rPr>
                <w:rFonts w:ascii="Arial" w:cs="Arial" w:eastAsia="Arial" w:hAnsi="Arial"/>
                <w:sz w:val="18"/>
                <w:szCs w:val="18"/>
                <w:color w:val="auto"/>
              </w:rPr>
              <w:t>$ 145,794</w:t>
            </w:r>
          </w:p>
        </w:tc>
        <w:tc>
          <w:tcPr>
            <w:tcW w:w="1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w w:val="94"/>
              </w:rPr>
              <w:t>51,975</w:t>
            </w:r>
          </w:p>
        </w:tc>
        <w:tc>
          <w:tcPr>
            <w:tcW w:w="300" w:type="dxa"/>
            <w:vAlign w:val="bottom"/>
            <w:gridSpan w:val="3"/>
            <w:vMerge w:val="restart"/>
          </w:tcPr>
          <w:p>
            <w:pPr>
              <w:ind w:left="140"/>
              <w:spacing w:after="0"/>
              <w:rPr>
                <w:sz w:val="20"/>
                <w:szCs w:val="20"/>
                <w:color w:val="auto"/>
              </w:rPr>
            </w:pPr>
            <w:r>
              <w:rPr>
                <w:rFonts w:ascii="Arial" w:cs="Arial" w:eastAsia="Arial" w:hAnsi="Arial"/>
                <w:sz w:val="18"/>
                <w:szCs w:val="18"/>
                <w:color w:val="auto"/>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81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40" w:type="dxa"/>
            <w:vAlign w:val="bottom"/>
          </w:tcPr>
          <w:p>
            <w:pPr>
              <w:ind w:left="100"/>
              <w:spacing w:after="0"/>
              <w:rPr>
                <w:sz w:val="20"/>
                <w:szCs w:val="20"/>
                <w:color w:val="auto"/>
              </w:rPr>
            </w:pPr>
            <w:r>
              <w:rPr>
                <w:rFonts w:ascii="Arial" w:cs="Arial" w:eastAsia="Arial" w:hAnsi="Arial"/>
                <w:sz w:val="18"/>
                <w:szCs w:val="18"/>
                <w:color w:val="auto"/>
              </w:rPr>
              <w:t>dilution</w:t>
            </w:r>
          </w:p>
        </w:tc>
        <w:tc>
          <w:tcPr>
            <w:tcW w:w="102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300" w:type="dxa"/>
            <w:vAlign w:val="bottom"/>
            <w:gridSpan w:val="3"/>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59"/>
        <w:spacing w:after="0" w:line="259" w:lineRule="auto"/>
        <w:rPr>
          <w:sz w:val="20"/>
          <w:szCs w:val="20"/>
          <w:color w:val="auto"/>
        </w:rPr>
      </w:pPr>
      <w:r>
        <w:rPr>
          <w:rFonts w:ascii="Arial" w:cs="Arial" w:eastAsia="Arial" w:hAnsi="Arial"/>
          <w:sz w:val="18"/>
          <w:szCs w:val="18"/>
          <w:color w:val="auto"/>
        </w:rPr>
        <w:t>For 2021 and 2020, the effect of dilutive stock-based compensation was the equivalent of 0.2 million and 0.1 million shares of common stock outstanding, respectively. Because the Company had a loss available to common stockholders in 2021 and 2020, these incremental shares were excluded from the computation of dilutive earnings per share as the effect of their inclusion would have been anti-dilutive.</w:t>
      </w:r>
    </w:p>
    <w:p>
      <w:pPr>
        <w:spacing w:after="0" w:line="187" w:lineRule="exact"/>
        <w:rPr>
          <w:sz w:val="20"/>
          <w:szCs w:val="20"/>
          <w:color w:val="auto"/>
        </w:rPr>
      </w:pPr>
    </w:p>
    <w:p>
      <w:pPr>
        <w:ind w:left="60" w:right="79"/>
        <w:spacing w:after="0" w:line="286" w:lineRule="auto"/>
        <w:rPr>
          <w:sz w:val="20"/>
          <w:szCs w:val="20"/>
          <w:color w:val="auto"/>
        </w:rPr>
      </w:pPr>
      <w:r>
        <w:rPr>
          <w:rFonts w:ascii="Arial" w:cs="Arial" w:eastAsia="Arial" w:hAnsi="Arial"/>
          <w:sz w:val="17"/>
          <w:szCs w:val="17"/>
          <w:color w:val="auto"/>
        </w:rPr>
        <w:t>As discussed above, certain minority partners in the Gaylord Rockies joint venture each had a put right to require the Company to purchase their joint venture interests in the Gaylord Rockies joint venture in consideration of cash or OP Units of the Operating Partnership. These put rights were exercised in 2020. The OP Units held by the noncontrolling</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6" w:name="page97"/>
    <w:bookmarkEnd w:id="9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311" w:lineRule="auto"/>
        <w:rPr>
          <w:sz w:val="20"/>
          <w:szCs w:val="20"/>
          <w:color w:val="auto"/>
        </w:rPr>
      </w:pPr>
      <w:r>
        <w:rPr>
          <w:rFonts w:ascii="Arial" w:cs="Arial" w:eastAsia="Arial" w:hAnsi="Arial"/>
          <w:sz w:val="16"/>
          <w:szCs w:val="16"/>
          <w:color w:val="auto"/>
        </w:rPr>
        <w:t>interest holders have been excluded from the denominator of the diluted loss per share calculation for 2021 and 2020 as there would be no effect on the calculation of diluted earnings per share because the loss attributable to the OP Units held by the noncontrolling interest holders would also be subtracted to derive net loss available to common shareholders.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Accounting Estimates</w:t>
      </w:r>
    </w:p>
    <w:p>
      <w:pPr>
        <w:spacing w:after="0" w:line="229" w:lineRule="exact"/>
        <w:rPr>
          <w:sz w:val="20"/>
          <w:szCs w:val="20"/>
          <w:color w:val="auto"/>
        </w:rPr>
      </w:pPr>
    </w:p>
    <w:p>
      <w:pPr>
        <w:ind w:left="60" w:right="219"/>
        <w:spacing w:after="0" w:line="301"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reported period. Actual results could differ from those estimates.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Newly Issued Accounting Standards</w:t>
      </w:r>
    </w:p>
    <w:p>
      <w:pPr>
        <w:spacing w:after="0" w:line="229" w:lineRule="exact"/>
        <w:rPr>
          <w:sz w:val="20"/>
          <w:szCs w:val="20"/>
          <w:color w:val="auto"/>
        </w:rPr>
      </w:pPr>
    </w:p>
    <w:p>
      <w:pPr>
        <w:ind w:left="60" w:right="159"/>
        <w:spacing w:after="0" w:line="269" w:lineRule="auto"/>
        <w:rPr>
          <w:sz w:val="20"/>
          <w:szCs w:val="20"/>
          <w:color w:val="auto"/>
        </w:rPr>
      </w:pPr>
      <w:r>
        <w:rPr>
          <w:rFonts w:ascii="Arial" w:cs="Arial" w:eastAsia="Arial" w:hAnsi="Arial"/>
          <w:sz w:val="17"/>
          <w:szCs w:val="17"/>
          <w:color w:val="auto"/>
        </w:rPr>
        <w:t>In June 2016, the FASB issued Accounting Standards Update (“ASU”) No. 2016-13, “</w:t>
      </w:r>
      <w:r>
        <w:rPr>
          <w:rFonts w:ascii="Arial" w:cs="Arial" w:eastAsia="Arial" w:hAnsi="Arial"/>
          <w:sz w:val="17"/>
          <w:szCs w:val="17"/>
          <w:i w:val="1"/>
          <w:iCs w:val="1"/>
          <w:color w:val="auto"/>
        </w:rPr>
        <w:t>Financial Instruments – Credit</w:t>
      </w:r>
      <w:r>
        <w:rPr>
          <w:rFonts w:ascii="Arial" w:cs="Arial" w:eastAsia="Arial" w:hAnsi="Arial"/>
          <w:sz w:val="17"/>
          <w:szCs w:val="17"/>
          <w:color w:val="auto"/>
        </w:rPr>
        <w:t xml:space="preserve"> </w:t>
      </w:r>
      <w:r>
        <w:rPr>
          <w:rFonts w:ascii="Arial" w:cs="Arial" w:eastAsia="Arial" w:hAnsi="Arial"/>
          <w:sz w:val="17"/>
          <w:szCs w:val="17"/>
          <w:i w:val="1"/>
          <w:iCs w:val="1"/>
          <w:color w:val="auto"/>
        </w:rPr>
        <w:t>Losses – Measurement of Credit Losses on Financial Instruments</w:t>
      </w:r>
      <w:r>
        <w:rPr>
          <w:rFonts w:ascii="Arial" w:cs="Arial" w:eastAsia="Arial" w:hAnsi="Arial"/>
          <w:sz w:val="17"/>
          <w:szCs w:val="17"/>
          <w:color w:val="auto"/>
        </w:rPr>
        <w:t>,” which changes how entities measure credit losses for</w:t>
      </w:r>
      <w:r>
        <w:rPr>
          <w:rFonts w:ascii="Arial" w:cs="Arial" w:eastAsia="Arial" w:hAnsi="Arial"/>
          <w:sz w:val="17"/>
          <w:szCs w:val="17"/>
          <w:i w:val="1"/>
          <w:iCs w:val="1"/>
          <w:color w:val="auto"/>
        </w:rPr>
        <w:t xml:space="preserve"> </w:t>
      </w:r>
      <w:r>
        <w:rPr>
          <w:rFonts w:ascii="Arial" w:cs="Arial" w:eastAsia="Arial" w:hAnsi="Arial"/>
          <w:sz w:val="17"/>
          <w:szCs w:val="17"/>
          <w:color w:val="auto"/>
        </w:rPr>
        <w:t>most financial assets and certain other instruments that are not measured at fair value through net income. The ASU replaces the current “incurred loss” approach with an “expected loss” model for instruments measured at amortized cost. For trade and other receivables, held-to-maturity debt securities, loans and other instruments, entities are required to use a new forward-looking “expected loss” model that generally will result in the earlier recognition of allowances for losses. The Company has applied these amendments with a modified-retrospective approach, with a cumulative-effect adjustment to retained earnings as of the beginning of period of adoption. For debt securities for which an other-than-temporary impairment has been previously recognized, a prospective transition approach for the prior other-than-temporary impairment is required. The Company adopted this ASU in the first quarter of 2020 and recorded an adjustment to beginning retained earnings of $5.3 million and an adjustment to accumulated other comprehensive loss of $2.2 million. See Note 3, “Notes Receivable,” for additional disclosure.</w:t>
      </w:r>
    </w:p>
    <w:p>
      <w:pPr>
        <w:spacing w:after="0" w:line="179" w:lineRule="exact"/>
        <w:rPr>
          <w:sz w:val="20"/>
          <w:szCs w:val="20"/>
          <w:color w:val="auto"/>
        </w:rPr>
      </w:pPr>
    </w:p>
    <w:p>
      <w:pPr>
        <w:jc w:val="both"/>
        <w:ind w:left="60" w:right="99"/>
        <w:spacing w:after="0" w:line="257" w:lineRule="auto"/>
        <w:rPr>
          <w:sz w:val="20"/>
          <w:szCs w:val="20"/>
          <w:color w:val="auto"/>
        </w:rPr>
      </w:pPr>
      <w:r>
        <w:rPr>
          <w:rFonts w:ascii="Arial" w:cs="Arial" w:eastAsia="Arial" w:hAnsi="Arial"/>
          <w:sz w:val="18"/>
          <w:szCs w:val="18"/>
          <w:color w:val="auto"/>
        </w:rPr>
        <w:t>In December 2019, the FASB issued ASU No. 2019-12, “</w:t>
      </w:r>
      <w:r>
        <w:rPr>
          <w:rFonts w:ascii="Arial" w:cs="Arial" w:eastAsia="Arial" w:hAnsi="Arial"/>
          <w:sz w:val="18"/>
          <w:szCs w:val="18"/>
          <w:i w:val="1"/>
          <w:iCs w:val="1"/>
          <w:color w:val="auto"/>
        </w:rPr>
        <w:t>Simplifying the Accounting for Income Taxes (Topic 740)</w:t>
      </w:r>
      <w:r>
        <w:rPr>
          <w:rFonts w:ascii="Arial" w:cs="Arial" w:eastAsia="Arial" w:hAnsi="Arial"/>
          <w:sz w:val="18"/>
          <w:szCs w:val="18"/>
          <w:color w:val="auto"/>
        </w:rPr>
        <w:t>,” which is intended to simplify various aspects related to accounting for income taxes. ASU 2019-12 removes certain exceptions to the general principles in Topic 740 and also clarifies and amends existing guidance to improve consistent application. The Company adopted this ASU in the first quarter of 2021, and this adoption did not have a material impact on the Company’s condensed consolidated financial statements.</w:t>
      </w:r>
    </w:p>
    <w:p>
      <w:pPr>
        <w:spacing w:after="0" w:line="188" w:lineRule="exact"/>
        <w:rPr>
          <w:sz w:val="20"/>
          <w:szCs w:val="20"/>
          <w:color w:val="auto"/>
        </w:rPr>
      </w:pPr>
    </w:p>
    <w:p>
      <w:pPr>
        <w:ind w:left="60" w:right="99"/>
        <w:spacing w:after="0" w:line="287" w:lineRule="auto"/>
        <w:rPr>
          <w:sz w:val="20"/>
          <w:szCs w:val="20"/>
          <w:color w:val="auto"/>
        </w:rPr>
      </w:pPr>
      <w:r>
        <w:rPr>
          <w:rFonts w:ascii="Arial" w:cs="Arial" w:eastAsia="Arial" w:hAnsi="Arial"/>
          <w:sz w:val="16"/>
          <w:szCs w:val="16"/>
          <w:color w:val="auto"/>
        </w:rPr>
        <w:t>In March 2020, the FASB issued ASU No. 2020-04, “</w:t>
      </w:r>
      <w:r>
        <w:rPr>
          <w:rFonts w:ascii="Arial" w:cs="Arial" w:eastAsia="Arial" w:hAnsi="Arial"/>
          <w:sz w:val="16"/>
          <w:szCs w:val="16"/>
          <w:i w:val="1"/>
          <w:iCs w:val="1"/>
          <w:color w:val="auto"/>
        </w:rPr>
        <w:t>Reference Rate Reform – Facilitation of the Effects of Reference Rate</w:t>
      </w:r>
      <w:r>
        <w:rPr>
          <w:rFonts w:ascii="Arial" w:cs="Arial" w:eastAsia="Arial" w:hAnsi="Arial"/>
          <w:sz w:val="16"/>
          <w:szCs w:val="16"/>
          <w:color w:val="auto"/>
        </w:rPr>
        <w:t xml:space="preserve"> </w:t>
      </w:r>
      <w:r>
        <w:rPr>
          <w:rFonts w:ascii="Arial" w:cs="Arial" w:eastAsia="Arial" w:hAnsi="Arial"/>
          <w:sz w:val="16"/>
          <w:szCs w:val="16"/>
          <w:i w:val="1"/>
          <w:iCs w:val="1"/>
          <w:color w:val="auto"/>
        </w:rPr>
        <w:t>Reform on Financial Reporting</w:t>
      </w:r>
      <w:r>
        <w:rPr>
          <w:rFonts w:ascii="Arial" w:cs="Arial" w:eastAsia="Arial" w:hAnsi="Arial"/>
          <w:sz w:val="16"/>
          <w:szCs w:val="16"/>
          <w:color w:val="auto"/>
        </w:rPr>
        <w:t>,” which provides temporary optional expedients and exceptions to the existing guidance on</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 modifications and hedge accounting to ease the financial reporting burdens of the expected market transition from the London Interbank Offered Rate (“LIBOR”) and other interbank offered rates to alternative reference rates, such as the Secured Overnight Financing Rate (“SOFR”). The guidance in ASU 2020-04 is optional, effective immediately, and may be elected over time as reference rate reform activities occur generally through December 31, 2022. During 2020, the Company elected to apply the hedge accounting expedients related to probability and the assessments of effectiveness for future LIBOR-indexed cash flows to assume that the index upon which future hedged transactions will be based matches the index on the corresponding derivatives. Application of these expedients preserves the presentation of derivatives consistent with past presentation. The Company continues to evaluate the impact of this guidance and may apply other elections as applicable as additional market changes occur.</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7" w:name="page98"/>
    <w:bookmarkEnd w:id="9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Property and Equipment</w:t>
      </w:r>
    </w:p>
    <w:p>
      <w:pPr>
        <w:spacing w:after="0" w:line="229" w:lineRule="exact"/>
        <w:rPr>
          <w:sz w:val="20"/>
          <w:szCs w:val="20"/>
          <w:color w:val="auto"/>
        </w:rPr>
      </w:pPr>
    </w:p>
    <w:p>
      <w:pPr>
        <w:ind w:left="60" w:right="379"/>
        <w:spacing w:after="0" w:line="277" w:lineRule="auto"/>
        <w:rPr>
          <w:sz w:val="20"/>
          <w:szCs w:val="20"/>
          <w:color w:val="auto"/>
        </w:rPr>
      </w:pPr>
      <w:r>
        <w:rPr>
          <w:rFonts w:ascii="Arial" w:cs="Arial" w:eastAsia="Arial" w:hAnsi="Arial"/>
          <w:sz w:val="18"/>
          <w:szCs w:val="18"/>
          <w:color w:val="auto"/>
        </w:rPr>
        <w:t>Property and equipment at December 31 is recorded at cost, with the exception of right-of-use finance leases and assets acquired in an acquisition, and summarized as follows (amounts in thousands):</w:t>
      </w:r>
    </w:p>
    <w:p>
      <w:pPr>
        <w:spacing w:after="0" w:line="175"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55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2020</w:t>
            </w:r>
          </w:p>
        </w:tc>
      </w:tr>
      <w:tr>
        <w:trPr>
          <w:trHeight w:val="209"/>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378,598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351,618</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Buildings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3,601,974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3,462,218</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981,589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960,666</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Right-of-use finance lease assets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1,613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1,613</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Construction-in-progress</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166,084</w:t>
            </w:r>
          </w:p>
        </w:tc>
      </w:tr>
      <w:tr>
        <w:trPr>
          <w:trHeight w:val="210"/>
        </w:trPr>
        <w:tc>
          <w:tcPr>
            <w:tcW w:w="5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4,978,111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4,942,199</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(1,946,267)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(1,824,952)</w:t>
            </w:r>
          </w:p>
        </w:tc>
      </w:tr>
      <w:tr>
        <w:trPr>
          <w:trHeight w:val="209"/>
        </w:trPr>
        <w:tc>
          <w:tcPr>
            <w:tcW w:w="55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3,031,844</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3,117,247</w:t>
            </w:r>
          </w:p>
        </w:tc>
      </w:tr>
      <w:tr>
        <w:trPr>
          <w:trHeight w:val="20"/>
        </w:trPr>
        <w:tc>
          <w:tcPr>
            <w:tcW w:w="5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color w:val="auto"/>
        </w:rPr>
        <w:t>Depreciation expense, including amortization of assets under finance lease obligations, during 2021, 2020 and 2019 was $178.8 million, $173.3 million, and $172.2 million, respectively.</w:t>
      </w:r>
    </w:p>
    <w:p>
      <w:pPr>
        <w:spacing w:after="0" w:line="170"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In June 2017, the Company entered into an agreement with the Industrial Development Board of the Metropolitan Government of Nashville and Davidson County (the “Board”) to implement a tax abatement plan related to Gaylord Opryland. The tax abatement plan provides for the capping of real property taxes for a period of eight years by legally transferring title to the Gaylord Opryland real property to the Board. The Board financed the acquisition of the Gaylord Opryland real property by issuing a $650 million industrial revenue bond to the Company. The Board then leased this property back to the Company. The Company is obligated to make lease payments equal to the debt service on the industrial revenue bond. No cash was exchanged, and no cash will be exchanged in connection with the Company’s lease payments under the lease. The tax abatement period extends through the term of the lease, which coincides with the nine-year maturity of the bond. At any time, the Company has the option to repurchase the real property at a de minimis amount. Due to the form of these transactions, the Company has not recorded the bond or the lease obligation associated with the sale lease-back transaction, and the cost of the Gaylord Opryland real property remains recorded on the balance sheet and is being depreciated over its estimated useful life.</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Notes Receivable</w:t>
      </w:r>
    </w:p>
    <w:p>
      <w:pPr>
        <w:spacing w:after="0" w:line="229" w:lineRule="exact"/>
        <w:rPr>
          <w:sz w:val="20"/>
          <w:szCs w:val="20"/>
          <w:color w:val="auto"/>
        </w:rPr>
      </w:pPr>
    </w:p>
    <w:p>
      <w:pPr>
        <w:ind w:left="60" w:right="139"/>
        <w:spacing w:after="0" w:line="275" w:lineRule="auto"/>
        <w:rPr>
          <w:sz w:val="20"/>
          <w:szCs w:val="20"/>
          <w:color w:val="auto"/>
        </w:rPr>
      </w:pPr>
      <w:r>
        <w:rPr>
          <w:rFonts w:ascii="Arial" w:cs="Arial" w:eastAsia="Arial" w:hAnsi="Arial"/>
          <w:sz w:val="17"/>
          <w:szCs w:val="17"/>
          <w:color w:val="auto"/>
        </w:rPr>
        <w:t>In connection with the development of Gaylord National, Prince George’s County, Maryland (“the County”) issued a bond with a face value of $95 million (“Series A Bond”) and an additional bond with a face value of $50 million (“Series B Bond”), which were delivered to the Company upon substantial completion and opening of Gaylord National in 2008. The interest rate on the Series A Bond and Series B Bond is 8.0% and 10.0%, respectively. The maturity date of the Series A Bond and the Series B Bond is July 1, 2034 and September 1, 2037, respectively.</w:t>
      </w:r>
    </w:p>
    <w:p>
      <w:pPr>
        <w:spacing w:after="0" w:line="176" w:lineRule="exact"/>
        <w:rPr>
          <w:sz w:val="20"/>
          <w:szCs w:val="20"/>
          <w:color w:val="auto"/>
        </w:rPr>
      </w:pPr>
    </w:p>
    <w:p>
      <w:pPr>
        <w:ind w:left="60" w:right="79"/>
        <w:spacing w:after="0" w:line="286" w:lineRule="auto"/>
        <w:rPr>
          <w:sz w:val="20"/>
          <w:szCs w:val="20"/>
          <w:color w:val="auto"/>
        </w:rPr>
      </w:pPr>
      <w:r>
        <w:rPr>
          <w:rFonts w:ascii="Arial" w:cs="Arial" w:eastAsia="Arial" w:hAnsi="Arial"/>
          <w:sz w:val="16"/>
          <w:szCs w:val="16"/>
          <w:color w:val="auto"/>
        </w:rPr>
        <w:t>Upon receipt in 2008, the Company calculated the present value of the future debt service payments from the Series A Bond and Series B Bond based on their effective interest rates of 8.04% and 11.42%, respectively, and recorded the notes receivable at their discounted values of $93.8 million and $38.3 million, respectively. The Company records the amortization of discount on these notes receivable as interest income over the terms of the notes. The Company is currently holding the bonds, which have aggregate carrying values and approximate fair values of $71.2 million and $71.9 million at December 31, 2021 and 2020, respectively, net of a credit loss reserve of $38.0 million at each period. The Company is receiving the debt service on the notes receivable, which are payable from tax increments, hotel taxes and special hotel rental taxes generated from the development through the maturity date. The Company’s estimate of credit loss reserves is sensitive to the significant assumptions, which include the projections of hotel taxes (which are based on expected hotel revenues) and property taxes, both of which are affected by expectations about future market and economic conditions, particularly those in the Washington D.C. market. These assumptions are based on Level 3 inputs. Further, such assumptions are judgmental as the bonds and related projected cash flows continue for an extended period of time through 2037 and include uncertainty of the impact of the COVID-19 pandemic.</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8" w:name="page99"/>
    <w:bookmarkEnd w:id="9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70" w:lineRule="auto"/>
        <w:rPr>
          <w:sz w:val="20"/>
          <w:szCs w:val="20"/>
          <w:color w:val="auto"/>
        </w:rPr>
      </w:pPr>
      <w:r>
        <w:rPr>
          <w:rFonts w:ascii="Arial" w:cs="Arial" w:eastAsia="Arial" w:hAnsi="Arial"/>
          <w:sz w:val="17"/>
          <w:szCs w:val="17"/>
          <w:color w:val="auto"/>
        </w:rPr>
        <w:t>The Company has the intent and ability to hold the Series A Bond and Series B Bond to maturity and had at inception expected to receive all debt service payments due. As a result of reduced long-range tax revenue projections over the remaining life of the Series B Bond, in 2017, the Company no longer believed it would receive all debt service payments due under the note, and the Company considered the Series B Bond to be other-than-temporarily impaired (“OTTI”). The amount of the OTTI related to changing market conditions, or the increase in the discount rate, of $6.5 million was recorded as an increase to other comprehensive loss in 2017 and is amortized as an adjustment to the carrying value of the Series B Bond in the accompanying consolidated balance sheets. The discount rate was determined based on current market interest rates of notes receivable with comparable market ratings and current expectations about the timing of debt service payments under the note.</w:t>
      </w:r>
    </w:p>
    <w:p>
      <w:pPr>
        <w:spacing w:after="0" w:line="181" w:lineRule="exact"/>
        <w:rPr>
          <w:sz w:val="20"/>
          <w:szCs w:val="20"/>
          <w:color w:val="auto"/>
        </w:rPr>
      </w:pPr>
    </w:p>
    <w:p>
      <w:pPr>
        <w:ind w:left="60" w:right="99"/>
        <w:spacing w:after="0" w:line="289" w:lineRule="auto"/>
        <w:rPr>
          <w:sz w:val="20"/>
          <w:szCs w:val="20"/>
          <w:color w:val="auto"/>
        </w:rPr>
      </w:pPr>
      <w:r>
        <w:rPr>
          <w:rFonts w:ascii="Arial" w:cs="Arial" w:eastAsia="Arial" w:hAnsi="Arial"/>
          <w:sz w:val="16"/>
          <w:szCs w:val="16"/>
          <w:color w:val="auto"/>
        </w:rPr>
        <w:t>In the first quarter of 2020, in accordance with the adoption of ASU No. 2016-13, as discussed in Note 1, the Company recorded an initial transition adjustment of $5.2 million and has since performed its quarterly assessment of credit losses under the new standard, which considers the estimate of projected tax revenues that will service the bonds over its remaining term. These tax revenue projections were updated each quarter in connection with the Company’s preparation of its quarterly financial statements as a result of the closure of Gaylord National during the COVID-19 pandemic and to reflect updated industry projections as to future anticipated operations of the hotel. As a result of these reduced tax revenue projections over the remaining life of the bonds, the Company increased its credit loss reserve by $38.0 million in 2020, which includes the initial transition adjustment. At December 31, 2021 and 2020, the Series B Bond is fully reserved. The Series A Bond is of higher priority than other tranches which fall between the Company’s two issuances.</w:t>
      </w:r>
    </w:p>
    <w:p>
      <w:pPr>
        <w:spacing w:after="0" w:line="166" w:lineRule="exact"/>
        <w:rPr>
          <w:sz w:val="20"/>
          <w:szCs w:val="20"/>
          <w:color w:val="auto"/>
        </w:rPr>
      </w:pPr>
    </w:p>
    <w:p>
      <w:pPr>
        <w:ind w:left="60" w:right="79"/>
        <w:spacing w:after="0" w:line="275" w:lineRule="auto"/>
        <w:rPr>
          <w:sz w:val="20"/>
          <w:szCs w:val="20"/>
          <w:color w:val="auto"/>
        </w:rPr>
      </w:pPr>
      <w:r>
        <w:rPr>
          <w:rFonts w:ascii="Arial" w:cs="Arial" w:eastAsia="Arial" w:hAnsi="Arial"/>
          <w:sz w:val="17"/>
          <w:szCs w:val="17"/>
          <w:color w:val="auto"/>
        </w:rPr>
        <w:t>During 2021, 2020 and 2019, the Company recorded interest income of $5.5 million, $6.2 million and $10.2 million, respectively, on these bonds. The Company received payments of $6.4 million, $8.8 million and $11.3 million during 2021, 2020 and 2019, respectively, relating to these notes receivable, which includes principal and interest payments. At December 31, 2021 and 2020, before consideration of the credit loss reserve, the Company had accrued interest receivable related to these bonds of $41.0 million and $40.9 million, respectively.</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color w:val="auto"/>
        </w:rPr>
        <w:t>4</w:t>
      </w:r>
      <w:r>
        <w:rPr>
          <w:rFonts w:ascii="Arial" w:cs="Arial" w:eastAsia="Arial" w:hAnsi="Arial"/>
          <w:sz w:val="18"/>
          <w:szCs w:val="18"/>
          <w:b w:val="1"/>
          <w:bCs w:val="1"/>
          <w:color w:val="auto"/>
        </w:rPr>
        <w:t>. Debt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Company’s debt and finance lease obligations at December 31 consisted of (amounts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60" w:type="dxa"/>
            <w:vAlign w:val="bottom"/>
            <w:tcBorders>
              <w:bottom w:val="single" w:sz="8" w:color="CCEEFF"/>
            </w:tcBorders>
          </w:tcPr>
          <w:p>
            <w:pPr>
              <w:spacing w:after="0"/>
              <w:rPr>
                <w:sz w:val="14"/>
                <w:szCs w:val="14"/>
                <w:color w:val="auto"/>
              </w:rPr>
            </w:pPr>
          </w:p>
        </w:tc>
        <w:tc>
          <w:tcPr>
            <w:tcW w:w="63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r>
      <w:tr>
        <w:trPr>
          <w:trHeight w:val="210"/>
        </w:trPr>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$700M</w:t>
            </w:r>
          </w:p>
        </w:tc>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106,000</w:t>
            </w:r>
          </w:p>
        </w:tc>
      </w:tr>
      <w:tr>
        <w:trPr>
          <w:trHeight w:val="216"/>
        </w:trPr>
        <w:tc>
          <w:tcPr>
            <w:tcW w:w="6920" w:type="dxa"/>
            <w:vAlign w:val="bottom"/>
            <w:gridSpan w:val="2"/>
          </w:tcPr>
          <w:p>
            <w:pPr>
              <w:ind w:left="20"/>
              <w:spacing w:after="0"/>
              <w:rPr>
                <w:sz w:val="20"/>
                <w:szCs w:val="20"/>
                <w:color w:val="auto"/>
              </w:rPr>
            </w:pPr>
            <w:r>
              <w:rPr>
                <w:rFonts w:ascii="Arial" w:cs="Arial" w:eastAsia="Arial" w:hAnsi="Arial"/>
                <w:sz w:val="18"/>
                <w:szCs w:val="18"/>
                <w:color w:val="auto"/>
              </w:rPr>
              <w:t>$300M Term Loan A</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300,000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300,000</w:t>
            </w:r>
          </w:p>
        </w:tc>
      </w:tr>
      <w:tr>
        <w:trPr>
          <w:trHeight w:val="216"/>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$500M Term Loan B</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376,250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381,250</w:t>
            </w:r>
          </w:p>
        </w:tc>
      </w:tr>
      <w:tr>
        <w:trPr>
          <w:trHeight w:val="216"/>
        </w:trPr>
        <w:tc>
          <w:tcPr>
            <w:tcW w:w="6920" w:type="dxa"/>
            <w:vAlign w:val="bottom"/>
            <w:gridSpan w:val="2"/>
          </w:tcPr>
          <w:p>
            <w:pPr>
              <w:ind w:left="20"/>
              <w:spacing w:after="0"/>
              <w:rPr>
                <w:sz w:val="20"/>
                <w:szCs w:val="20"/>
                <w:color w:val="auto"/>
              </w:rPr>
            </w:pPr>
            <w:r>
              <w:rPr>
                <w:rFonts w:ascii="Arial" w:cs="Arial" w:eastAsia="Arial" w:hAnsi="Arial"/>
                <w:sz w:val="18"/>
                <w:szCs w:val="18"/>
                <w:color w:val="auto"/>
              </w:rPr>
              <w:t>$400M Senior Notes</w:t>
            </w: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400,000</w:t>
            </w:r>
          </w:p>
        </w:tc>
      </w:tr>
      <w:tr>
        <w:trPr>
          <w:trHeight w:val="216"/>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$600M Senior Notes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60" w:type="dxa"/>
            <w:vAlign w:val="bottom"/>
          </w:tcPr>
          <w:p>
            <w:pPr>
              <w:ind w:left="20"/>
              <w:spacing w:after="0"/>
              <w:rPr>
                <w:sz w:val="20"/>
                <w:szCs w:val="20"/>
                <w:color w:val="auto"/>
              </w:rPr>
            </w:pPr>
            <w:r>
              <w:rPr>
                <w:rFonts w:ascii="Arial" w:cs="Arial" w:eastAsia="Arial" w:hAnsi="Arial"/>
                <w:sz w:val="18"/>
                <w:szCs w:val="18"/>
                <w:color w:val="auto"/>
                <w:w w:val="94"/>
              </w:rPr>
              <w:t>$700M</w:t>
            </w:r>
          </w:p>
        </w:tc>
        <w:tc>
          <w:tcPr>
            <w:tcW w:w="6360" w:type="dxa"/>
            <w:vAlign w:val="bottom"/>
          </w:tcPr>
          <w:p>
            <w:pPr>
              <w:ind w:left="20"/>
              <w:spacing w:after="0"/>
              <w:rPr>
                <w:sz w:val="20"/>
                <w:szCs w:val="20"/>
                <w:color w:val="auto"/>
              </w:rPr>
            </w:pPr>
            <w:r>
              <w:rPr>
                <w:rFonts w:ascii="Arial" w:cs="Arial" w:eastAsia="Arial" w:hAnsi="Arial"/>
                <w:sz w:val="18"/>
                <w:szCs w:val="18"/>
                <w:color w:val="auto"/>
              </w:rPr>
              <w:t>Senior Notes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700,000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700,000</w:t>
            </w:r>
          </w:p>
        </w:tc>
      </w:tr>
      <w:tr>
        <w:trPr>
          <w:trHeight w:val="216"/>
        </w:trPr>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$800M</w:t>
            </w:r>
          </w:p>
        </w:tc>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Gaylord Rockies Term Loan</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r>
      <w:tr>
        <w:trPr>
          <w:trHeight w:val="216"/>
        </w:trPr>
        <w:tc>
          <w:tcPr>
            <w:tcW w:w="6920" w:type="dxa"/>
            <w:vAlign w:val="bottom"/>
            <w:gridSpan w:val="2"/>
          </w:tcPr>
          <w:p>
            <w:pPr>
              <w:ind w:left="20"/>
              <w:spacing w:after="0"/>
              <w:rPr>
                <w:sz w:val="20"/>
                <w:szCs w:val="20"/>
                <w:color w:val="auto"/>
              </w:rPr>
            </w:pPr>
            <w:r>
              <w:rPr>
                <w:rFonts w:ascii="Arial" w:cs="Arial" w:eastAsia="Arial" w:hAnsi="Arial"/>
                <w:sz w:val="18"/>
                <w:szCs w:val="18"/>
                <w:color w:val="auto"/>
              </w:rPr>
              <w:t>Finance lease obligations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1,095</w:t>
            </w:r>
          </w:p>
        </w:tc>
      </w:tr>
      <w:tr>
        <w:trPr>
          <w:trHeight w:val="216"/>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Unamortized deferred financing costs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(32,203)</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(32,504)</w:t>
            </w:r>
          </w:p>
        </w:tc>
      </w:tr>
      <w:tr>
        <w:trPr>
          <w:trHeight w:val="216"/>
        </w:trPr>
        <w:tc>
          <w:tcPr>
            <w:tcW w:w="69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Unamortized premium</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2,167</w:t>
            </w:r>
          </w:p>
        </w:tc>
      </w:tr>
      <w:tr>
        <w:trPr>
          <w:trHeight w:val="210"/>
        </w:trPr>
        <w:tc>
          <w:tcPr>
            <w:tcW w:w="69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debt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2,936,819</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2,658,008</w:t>
            </w:r>
          </w:p>
        </w:tc>
      </w:tr>
      <w:tr>
        <w:trPr>
          <w:trHeight w:val="20"/>
        </w:trPr>
        <w:tc>
          <w:tcPr>
            <w:tcW w:w="56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color w:val="auto"/>
        </w:rPr>
        <w:t>At December 31, 2021, there were no defaults under the covenants related to the Company’s outstanding debt based on the amended terms of the Company’s credit agreement.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9" w:name="page100"/>
    <w:bookmarkEnd w:id="9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7"/>
          <w:szCs w:val="17"/>
          <w:color w:val="auto"/>
        </w:rPr>
        <w:t>Annual maturities of long-term debt, excluding finance lease obligations, are as follows (amounts in thousands):</w:t>
      </w:r>
    </w:p>
    <w:p>
      <w:pPr>
        <w:spacing w:after="0" w:line="29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78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Years</w:t>
            </w:r>
          </w:p>
        </w:tc>
        <w:tc>
          <w:tcPr>
            <w:tcW w:w="120" w:type="dxa"/>
            <w:vAlign w:val="bottom"/>
          </w:tcPr>
          <w:p>
            <w:pPr>
              <w:spacing w:after="0"/>
              <w:rPr>
                <w:sz w:val="14"/>
                <w:szCs w:val="14"/>
                <w:color w:val="auto"/>
              </w:rPr>
            </w:pPr>
          </w:p>
        </w:tc>
        <w:tc>
          <w:tcPr>
            <w:tcW w:w="82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Thereafter</w:t>
            </w: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$700M Revolving Credit Facility</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$ 190,000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190,000</w:t>
            </w:r>
          </w:p>
        </w:tc>
        <w:tc>
          <w:tcPr>
            <w:tcW w:w="0" w:type="dxa"/>
            <w:vAlign w:val="bottom"/>
          </w:tcPr>
          <w:p>
            <w:pPr>
              <w:spacing w:after="0"/>
              <w:rPr>
                <w:sz w:val="1"/>
                <w:szCs w:val="1"/>
                <w:color w:val="auto"/>
              </w:rPr>
            </w:pPr>
          </w:p>
        </w:tc>
      </w:tr>
      <w:tr>
        <w:trPr>
          <w:trHeight w:val="216"/>
        </w:trPr>
        <w:tc>
          <w:tcPr>
            <w:tcW w:w="2720" w:type="dxa"/>
            <w:vAlign w:val="bottom"/>
          </w:tcPr>
          <w:p>
            <w:pPr>
              <w:ind w:left="20"/>
              <w:spacing w:after="0"/>
              <w:rPr>
                <w:sz w:val="20"/>
                <w:szCs w:val="20"/>
                <w:color w:val="auto"/>
              </w:rPr>
            </w:pPr>
            <w:r>
              <w:rPr>
                <w:rFonts w:ascii="Arial" w:cs="Arial" w:eastAsia="Arial" w:hAnsi="Arial"/>
                <w:sz w:val="18"/>
                <w:szCs w:val="18"/>
                <w:color w:val="auto"/>
              </w:rPr>
              <w:t>$300M Term Loan A</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300,000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$500M Term Loan B</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366,250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376,250</w:t>
            </w:r>
          </w:p>
        </w:tc>
        <w:tc>
          <w:tcPr>
            <w:tcW w:w="0" w:type="dxa"/>
            <w:vAlign w:val="bottom"/>
          </w:tcPr>
          <w:p>
            <w:pPr>
              <w:spacing w:after="0"/>
              <w:rPr>
                <w:sz w:val="1"/>
                <w:szCs w:val="1"/>
                <w:color w:val="auto"/>
              </w:rPr>
            </w:pPr>
          </w:p>
        </w:tc>
      </w:tr>
      <w:tr>
        <w:trPr>
          <w:trHeight w:val="216"/>
        </w:trPr>
        <w:tc>
          <w:tcPr>
            <w:tcW w:w="2720" w:type="dxa"/>
            <w:vAlign w:val="bottom"/>
          </w:tcPr>
          <w:p>
            <w:pPr>
              <w:ind w:left="20"/>
              <w:spacing w:after="0"/>
              <w:rPr>
                <w:sz w:val="20"/>
                <w:szCs w:val="20"/>
                <w:color w:val="auto"/>
              </w:rPr>
            </w:pPr>
            <w:r>
              <w:rPr>
                <w:rFonts w:ascii="Arial" w:cs="Arial" w:eastAsia="Arial" w:hAnsi="Arial"/>
                <w:sz w:val="18"/>
                <w:szCs w:val="18"/>
                <w:color w:val="auto"/>
              </w:rPr>
              <w:t>$600M 4.50% Senior Notes</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600,000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$700M 4.75% Senior Notes</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0" w:type="dxa"/>
            <w:vAlign w:val="bottom"/>
          </w:tcPr>
          <w:p>
            <w:pPr>
              <w:spacing w:after="0"/>
              <w:rPr>
                <w:sz w:val="1"/>
                <w:szCs w:val="1"/>
                <w:color w:val="auto"/>
              </w:rPr>
            </w:pPr>
          </w:p>
        </w:tc>
      </w:tr>
      <w:tr>
        <w:trPr>
          <w:trHeight w:val="216"/>
        </w:trPr>
        <w:tc>
          <w:tcPr>
            <w:tcW w:w="2720" w:type="dxa"/>
            <w:vAlign w:val="bottom"/>
          </w:tcPr>
          <w:p>
            <w:pPr>
              <w:ind w:left="20"/>
              <w:spacing w:after="0"/>
              <w:rPr>
                <w:sz w:val="20"/>
                <w:szCs w:val="20"/>
                <w:color w:val="auto"/>
              </w:rPr>
            </w:pPr>
            <w:r>
              <w:rPr>
                <w:rFonts w:ascii="Arial" w:cs="Arial" w:eastAsia="Arial" w:hAnsi="Arial"/>
                <w:sz w:val="18"/>
                <w:szCs w:val="18"/>
                <w:color w:val="auto"/>
                <w:w w:val="94"/>
              </w:rPr>
              <w:t>$800M Gaylord Rockies Term Loan</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800,000</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800,000</w:t>
            </w:r>
          </w:p>
        </w:tc>
        <w:tc>
          <w:tcPr>
            <w:tcW w:w="0" w:type="dxa"/>
            <w:vAlign w:val="bottom"/>
          </w:tcPr>
          <w:p>
            <w:pPr>
              <w:spacing w:after="0"/>
              <w:rPr>
                <w:sz w:val="1"/>
                <w:szCs w:val="1"/>
                <w:color w:val="auto"/>
              </w:rPr>
            </w:pPr>
          </w:p>
        </w:tc>
      </w:tr>
      <w:tr>
        <w:trPr>
          <w:trHeight w:val="209"/>
        </w:trPr>
        <w:tc>
          <w:tcPr>
            <w:tcW w:w="2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805,000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$ 556,250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300,000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1,300,000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2,966,250</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Credit Facility</w:t>
      </w:r>
    </w:p>
    <w:p>
      <w:pPr>
        <w:spacing w:after="0" w:line="225" w:lineRule="exact"/>
        <w:rPr>
          <w:sz w:val="20"/>
          <w:szCs w:val="20"/>
          <w:color w:val="auto"/>
        </w:rPr>
      </w:pPr>
    </w:p>
    <w:p>
      <w:pPr>
        <w:ind w:left="60" w:right="139"/>
        <w:spacing w:after="0" w:line="287" w:lineRule="auto"/>
        <w:rPr>
          <w:sz w:val="20"/>
          <w:szCs w:val="20"/>
          <w:color w:val="auto"/>
        </w:rPr>
      </w:pPr>
      <w:r>
        <w:rPr>
          <w:rFonts w:ascii="Arial" w:cs="Arial" w:eastAsia="Arial" w:hAnsi="Arial"/>
          <w:sz w:val="16"/>
          <w:szCs w:val="16"/>
          <w:color w:val="auto"/>
        </w:rPr>
        <w:t>In October 2019, the Company entered into a Sixth Amended and Restated Credit Agreement (the “Credit Agreement”) among the Company, as guarantor, the Operating Partnership, as borrower, certain other subsidiaries of the Company party thereto, as guarantors, certain subsidiaries of the Company party thereto, as pledgors, the lenders party thereto and Wells Fargo Bank, N.A., as administrative agent, which amended and restated the Company’s existing credit facility. As amended, the Company’s credit facility consists of a $700.0 million senior secured revolving credit facility (the “Revolver”), a $300.0 million senior secured term loan A (the “Term Loan A”), and a $500.0 million senior secured term loan B (the “Term Loan B”), each as discussed below. The Credit Agreement also includes an accordion feature of $600 million and a $50.0 million letter of credit sublimit. In 2020, the Company entered into two amendments (the “Amendments”) to the Credit Agreement among the same parties, as discussed below. Additionally, the Company further amended the Credit Agreement in October 2021 to permit an acquisition during the Credit Agreement’s restricted period (as defined below) using borrowings under the Revolver, so long as the aggregate amount outstanding under the Revolver is equal to or less than $400.0 million, and an associated assumption of indebtedness, subject to certain conditions.</w:t>
      </w:r>
    </w:p>
    <w:p>
      <w:pPr>
        <w:spacing w:after="0" w:line="168" w:lineRule="exact"/>
        <w:rPr>
          <w:sz w:val="20"/>
          <w:szCs w:val="20"/>
          <w:color w:val="auto"/>
        </w:rPr>
      </w:pPr>
    </w:p>
    <w:p>
      <w:pPr>
        <w:ind w:left="60" w:right="119"/>
        <w:spacing w:after="0" w:line="269" w:lineRule="auto"/>
        <w:rPr>
          <w:sz w:val="20"/>
          <w:szCs w:val="20"/>
          <w:color w:val="auto"/>
        </w:rPr>
      </w:pPr>
      <w:r>
        <w:rPr>
          <w:rFonts w:ascii="Arial" w:cs="Arial" w:eastAsia="Arial" w:hAnsi="Arial"/>
          <w:sz w:val="17"/>
          <w:szCs w:val="17"/>
          <w:color w:val="auto"/>
        </w:rPr>
        <w:t>Each of the Revolver, Term Loan A and Term Loan B is guaranteed by the Company, each of the Company’s subsidiaries that own the Gaylord Hotels properties, other than Gaylord Rockies, and certain other of the Company’s subsidiaries. Each is secured by (i) a first mortgage lien on the real property of each of the Gaylord Hotels properties, excluding Gaylord Rockies, (ii) pledges of equity interests in the Company’s subsidiaries that own the Gaylord Hotels properties, excluding Gaylord Rockies, (iii) pledges of equity interests in the Operating Partnership, the subsidiaries that guarantee the Credit Agreement, and certain other of the Company’s subsidiaries, (iv) the personal property of the Company, the Operating Partnership and the subsidiaries that guarantee the Credit Agreement and (v) all proceeds and products from the Company’s Gaylord Hotels properties, excluding Gaylord Rockies. Advances are subject to a 55% borrowing base, based on the appraisal value of the Gaylord Hotels properties (reduced to 50% in the event one of the Gaylord Hotels properties is sold), in each case, excluding Gaylord Rockies. Assets of Gaylord Rockies are not subject to the liens of the credit facility.</w:t>
      </w:r>
    </w:p>
    <w:p>
      <w:pPr>
        <w:spacing w:after="0" w:line="182" w:lineRule="exact"/>
        <w:rPr>
          <w:sz w:val="20"/>
          <w:szCs w:val="20"/>
          <w:color w:val="auto"/>
        </w:rPr>
      </w:pPr>
    </w:p>
    <w:p>
      <w:pPr>
        <w:ind w:left="60" w:right="99"/>
        <w:spacing w:after="0" w:line="286" w:lineRule="auto"/>
        <w:rPr>
          <w:sz w:val="20"/>
          <w:szCs w:val="20"/>
          <w:color w:val="auto"/>
        </w:rPr>
      </w:pPr>
      <w:r>
        <w:rPr>
          <w:rFonts w:ascii="Arial" w:cs="Arial" w:eastAsia="Arial" w:hAnsi="Arial"/>
          <w:sz w:val="17"/>
          <w:szCs w:val="17"/>
          <w:color w:val="auto"/>
        </w:rPr>
        <w:t>Each of the Revolver, Term Loan A and Term Loan B contains certain covenants which, among other things, limit the incurrence of additional indebtedness, investments, dividends, transactions with affiliates, asset sales, acquisitions, mergers and consolidations, liens and encumbrances and other matters customarily restricted in such agreements.</w:t>
      </w:r>
    </w:p>
    <w:p>
      <w:pPr>
        <w:spacing w:after="0" w:line="165" w:lineRule="exact"/>
        <w:rPr>
          <w:sz w:val="20"/>
          <w:szCs w:val="20"/>
          <w:color w:val="auto"/>
        </w:rPr>
      </w:pPr>
    </w:p>
    <w:p>
      <w:pPr>
        <w:ind w:left="60" w:right="139"/>
        <w:spacing w:after="0" w:line="255" w:lineRule="auto"/>
        <w:rPr>
          <w:sz w:val="20"/>
          <w:szCs w:val="20"/>
          <w:color w:val="auto"/>
        </w:rPr>
      </w:pPr>
      <w:r>
        <w:rPr>
          <w:rFonts w:ascii="Arial" w:cs="Arial" w:eastAsia="Arial" w:hAnsi="Arial"/>
          <w:sz w:val="18"/>
          <w:szCs w:val="18"/>
          <w:color w:val="auto"/>
        </w:rPr>
        <w:t>The Amendments provide for a waiver of the Credit Agreement’s financial covenants through March 31, 2022 (the “Temporary Waiver Period”). In addition, the Amendments contain a covenant that the Company must maintain unrestricted liquidity (in the form of unrestricted cash on hand or undrawn availability under the Revolver) of at least $100 million. In the event the Company is unable to comply with the Credit Agreement’s financial covenants following the Temporary Waiver Period, it expects to further amend the Credit Agreement or take other mitigating actions prior to a potential breach.</w:t>
      </w:r>
    </w:p>
    <w:p>
      <w:pPr>
        <w:spacing w:after="0" w:line="192" w:lineRule="exact"/>
        <w:rPr>
          <w:sz w:val="20"/>
          <w:szCs w:val="20"/>
          <w:color w:val="auto"/>
        </w:rPr>
      </w:pPr>
    </w:p>
    <w:p>
      <w:pPr>
        <w:ind w:left="60" w:right="219"/>
        <w:spacing w:after="0" w:line="311" w:lineRule="auto"/>
        <w:rPr>
          <w:sz w:val="20"/>
          <w:szCs w:val="20"/>
          <w:color w:val="auto"/>
        </w:rPr>
      </w:pPr>
      <w:r>
        <w:rPr>
          <w:rFonts w:ascii="Arial" w:cs="Arial" w:eastAsia="Arial" w:hAnsi="Arial"/>
          <w:sz w:val="16"/>
          <w:szCs w:val="16"/>
          <w:color w:val="auto"/>
        </w:rPr>
        <w:t>The Company may elect to terminate the Temporary Waiver Period prior to expiration. For the first quarter following expiration or termination of the Temporary Waiver Period, it will calculate compliance with the financial covenants in the Credit Agreement using a designated annualized calculation based on the Company’s most recently completed fiscal</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0" w:name="page101"/>
    <w:bookmarkEnd w:id="10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93" w:lineRule="auto"/>
        <w:rPr>
          <w:sz w:val="20"/>
          <w:szCs w:val="20"/>
          <w:color w:val="auto"/>
        </w:rPr>
      </w:pPr>
      <w:r>
        <w:rPr>
          <w:rFonts w:ascii="Arial" w:cs="Arial" w:eastAsia="Arial" w:hAnsi="Arial"/>
          <w:sz w:val="16"/>
          <w:szCs w:val="16"/>
          <w:color w:val="auto"/>
        </w:rPr>
        <w:t>quarter. Thereafter, the Company will be required to satisfy financial covenants at the levels set forth in the Credit Agreement using a designated annualized calculation based on the Company’s most recently completed fiscal quarters, as applicable. Pursuant to the Amendments, the Company is required to use any proceeds from borrowings drawn during the Temporary Waiver Period and until the Company can demonstrate financial covenant compliance following the expiration or earlier termination of the Temporary Waiver Period (the “Restricted Period”) to fund operating expenses, debt service of the Company and its subsidiaries, and permitted capital expenditures and investments.</w:t>
      </w:r>
    </w:p>
    <w:p>
      <w:pPr>
        <w:spacing w:after="0" w:line="164" w:lineRule="exact"/>
        <w:rPr>
          <w:sz w:val="20"/>
          <w:szCs w:val="20"/>
          <w:color w:val="auto"/>
        </w:rPr>
      </w:pPr>
    </w:p>
    <w:p>
      <w:pPr>
        <w:ind w:left="60" w:right="139"/>
        <w:spacing w:after="0" w:line="286" w:lineRule="auto"/>
        <w:rPr>
          <w:sz w:val="20"/>
          <w:szCs w:val="20"/>
          <w:color w:val="auto"/>
        </w:rPr>
      </w:pPr>
      <w:r>
        <w:rPr>
          <w:rFonts w:ascii="Arial" w:cs="Arial" w:eastAsia="Arial" w:hAnsi="Arial"/>
          <w:sz w:val="17"/>
          <w:szCs w:val="17"/>
          <w:color w:val="auto"/>
        </w:rPr>
        <w:t>If an event of default shall occur and be continuing under the Credit Agreement, the commitments under the Credit Agreement may be terminated and the principal amount outstanding under the Credit Agreement, together with all accrued unpaid interest and other amounts owing in respect thereof, may be declared immediately due and payable.</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$700 Million Revolving Credit Facility</w:t>
      </w:r>
    </w:p>
    <w:p>
      <w:pPr>
        <w:spacing w:after="0" w:line="225" w:lineRule="exact"/>
        <w:rPr>
          <w:sz w:val="20"/>
          <w:szCs w:val="20"/>
          <w:color w:val="auto"/>
        </w:rPr>
      </w:pPr>
    </w:p>
    <w:p>
      <w:pPr>
        <w:ind w:left="60" w:right="219"/>
        <w:spacing w:after="0" w:line="255" w:lineRule="auto"/>
        <w:rPr>
          <w:sz w:val="20"/>
          <w:szCs w:val="20"/>
          <w:color w:val="auto"/>
        </w:rPr>
      </w:pPr>
      <w:r>
        <w:rPr>
          <w:rFonts w:ascii="Arial" w:cs="Arial" w:eastAsia="Arial" w:hAnsi="Arial"/>
          <w:sz w:val="18"/>
          <w:szCs w:val="18"/>
          <w:color w:val="auto"/>
        </w:rPr>
        <w:t>Pursuant to the Credit Agreement, the Company extended the maturity of the Revolver to March 31, 2024. Borrowings under the Revolver bear interest at an annual rate equal to, at the Company’s option, either (i) LIBOR plus the applicable margin ranging from 1.40% to 1.95%, dependent upon the Company’s funded debt to total asset value ratio (as defined in the Credit Agreement) or (ii) a base rate as set in the Credit Agreement. Pursuant to the Amendments, beginning April 1, 2021 through the end of the Restricted Period, the interest rate on LIBOR-based borrowings under the Revolver will be LIBOR plus 2.25%.</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$300 Million Term Loan A</w:t>
      </w:r>
    </w:p>
    <w:p>
      <w:pPr>
        <w:spacing w:after="0" w:line="225" w:lineRule="exact"/>
        <w:rPr>
          <w:sz w:val="20"/>
          <w:szCs w:val="20"/>
          <w:color w:val="auto"/>
        </w:rPr>
      </w:pPr>
    </w:p>
    <w:p>
      <w:pPr>
        <w:ind w:left="60" w:right="99"/>
        <w:spacing w:after="0" w:line="254" w:lineRule="auto"/>
        <w:rPr>
          <w:sz w:val="20"/>
          <w:szCs w:val="20"/>
          <w:color w:val="auto"/>
        </w:rPr>
      </w:pPr>
      <w:r>
        <w:rPr>
          <w:rFonts w:ascii="Arial" w:cs="Arial" w:eastAsia="Arial" w:hAnsi="Arial"/>
          <w:sz w:val="18"/>
          <w:szCs w:val="18"/>
          <w:color w:val="auto"/>
        </w:rPr>
        <w:t>Pursuant to the Credit Agreement, the Company extended the maturity of the Term Loan A to March 31, 2025. Borrowings under the Term Loan A bear interest at an annual rate equal to, at the Company’s option, either (i) LIBOR plus the applicable margin ranging from 1.35% to 1.90%, dependent upon the Company’s funded debt to total asset value ratio (as defined in the Credit Agreement) or (ii) a base rate as set in the Credit Agreement. Pursuant to the Amendments, beginning April 1, 2021 through the end of the Restricted Period, the interest rate on LIBOR-based borrowings under the Term Loan A will be LIBOR plus 2.25%. Amounts borrowed under the Term Loan A that are repaid or prepaid may not be reborrowed.</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$500 Million Term Loan B</w:t>
      </w:r>
    </w:p>
    <w:p>
      <w:pPr>
        <w:spacing w:after="0" w:line="225" w:lineRule="exact"/>
        <w:rPr>
          <w:sz w:val="20"/>
          <w:szCs w:val="20"/>
          <w:color w:val="auto"/>
        </w:rPr>
      </w:pPr>
    </w:p>
    <w:p>
      <w:pPr>
        <w:ind w:left="60" w:right="139"/>
        <w:spacing w:after="0" w:line="289" w:lineRule="auto"/>
        <w:rPr>
          <w:sz w:val="20"/>
          <w:szCs w:val="20"/>
          <w:color w:val="auto"/>
        </w:rPr>
      </w:pPr>
      <w:r>
        <w:rPr>
          <w:rFonts w:ascii="Arial" w:cs="Arial" w:eastAsia="Arial" w:hAnsi="Arial"/>
          <w:sz w:val="16"/>
          <w:szCs w:val="16"/>
          <w:color w:val="auto"/>
        </w:rPr>
        <w:t>The Term Loan B has a maturity of May 11, 2024. The applicable interest rate margins for borrowings under the Term Loan B are, at the Company’s option, either (i) LIBOR plus 2.00% or (ii) a base rate as set in the Credit Agreement. At December 31, 2021, the interest rate on the Term Loan B was LIBOR plus 2.00%. In October 2019, the Company entered into four interest rate swaps with a total notional amount of $350.0 million to fix the LIBOR portion of the interest rate, at rates between 1.2235% and 1.2315%, through May 11, 2023. The Company has designated these swaps as effective cash flow hedges. The Term Loan B amortizes in equal quarterly installments in aggregate annual amounts equal to 1.0% of the original principal amount of $500.0 million, with the balance due at maturity. In addition, if for any fiscal year there is Excess Cash Flow (as defined in the Credit Agreement), payment of an additional principal payment is required. Amounts borrowed under the Term Loan B that are repaid or prepaid may not be reborrowed.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Tender for and Redemption of $350 Million 5% Senior Notes</w:t>
      </w:r>
    </w:p>
    <w:p>
      <w:pPr>
        <w:spacing w:after="0" w:line="225"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color w:val="auto"/>
        </w:rPr>
        <w:t>In 2013, the Operating Partnership and Finco completed the private placement of $350.0 million in aggregate principal amount of senior notes due 2021 (the “$350 Million 5% Senior Notes”).</w:t>
      </w:r>
    </w:p>
    <w:p>
      <w:pPr>
        <w:spacing w:after="0" w:line="170" w:lineRule="exact"/>
        <w:rPr>
          <w:sz w:val="20"/>
          <w:szCs w:val="20"/>
          <w:color w:val="auto"/>
        </w:rPr>
      </w:pPr>
    </w:p>
    <w:p>
      <w:pPr>
        <w:ind w:left="60" w:right="79"/>
        <w:spacing w:after="0" w:line="255" w:lineRule="auto"/>
        <w:rPr>
          <w:sz w:val="20"/>
          <w:szCs w:val="20"/>
          <w:color w:val="auto"/>
        </w:rPr>
      </w:pPr>
      <w:r>
        <w:rPr>
          <w:rFonts w:ascii="Arial" w:cs="Arial" w:eastAsia="Arial" w:hAnsi="Arial"/>
          <w:sz w:val="18"/>
          <w:szCs w:val="18"/>
          <w:color w:val="auto"/>
        </w:rPr>
        <w:t>In September 2019, the Company tendered and redeemed any and all outstanding $350 Million 5% Senior Notes, using a portion of the proceeds from the issuance of the $700 million 4.75% senior notes discussed below. As a result of the Company’s purchase of tendered $350 Million 5% Senior Notes and the redemption of all untendered $350 Million 5% Senior Notes, the Company recognized a loss on extinguishment of debt of $0.5 million in 2019 and wrote off $1.7 million of unamortized DFCs, which are recorded as interest expense in the accompanying consolidated statement of operations for 2019.</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1" w:name="page102"/>
    <w:bookmarkEnd w:id="10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Tender for and Redemption of $400 Million 5% Senior Notes</w:t>
      </w:r>
    </w:p>
    <w:p>
      <w:pPr>
        <w:spacing w:after="0" w:line="225"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color w:val="auto"/>
        </w:rPr>
        <w:t>In 2015, the Operating Partnership and Finco completed the private placement of $400.0 million in aggregate principal amount of senior notes due 2023 (the “$400 Million 5% Senior Notes”).</w:t>
      </w:r>
    </w:p>
    <w:p>
      <w:pPr>
        <w:spacing w:after="0" w:line="170" w:lineRule="exact"/>
        <w:rPr>
          <w:sz w:val="20"/>
          <w:szCs w:val="20"/>
          <w:color w:val="auto"/>
        </w:rPr>
      </w:pPr>
    </w:p>
    <w:p>
      <w:pPr>
        <w:ind w:left="60" w:right="319"/>
        <w:spacing w:after="0" w:line="301" w:lineRule="auto"/>
        <w:rPr>
          <w:sz w:val="20"/>
          <w:szCs w:val="20"/>
          <w:color w:val="auto"/>
        </w:rPr>
      </w:pPr>
      <w:r>
        <w:rPr>
          <w:rFonts w:ascii="Arial" w:cs="Arial" w:eastAsia="Arial" w:hAnsi="Arial"/>
          <w:sz w:val="16"/>
          <w:szCs w:val="16"/>
          <w:color w:val="auto"/>
        </w:rPr>
        <w:t>On February 9, 2021, the Company commenced a cash tender offer for any and all outstanding $400 Million 5% Senior Notes at a redemption price of $1,005.00 per $1,000 principal amount. Pursuant to the tender offer, $161.9 million aggregate principal amount of the $400 Million 5% Senior Notes were validly tendered. The Company used a portion of the proceeds from the issuance of the $600 million 4.50% senior notes discussed below to fund the tender offer.</w:t>
      </w:r>
    </w:p>
    <w:p>
      <w:pPr>
        <w:spacing w:after="0" w:line="157"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In accordance with the indenture governing the $400 Million 5% Senior Notes, subsequent to expiration of the tender offer, in February 2021 the Company gave irrevocable notice of the redemption of all remaining $400 Million 5% Senior Notes not tendered in the tender offer. The redemption and cancellation of the remaining $400 Million 5% Senior Notes was completed on April 15, 2021. The Company used a portion of the proceeds from the issuance of the $600 million 4.50% senior notes discussed below to fund the redemption.</w:t>
      </w:r>
    </w:p>
    <w:p>
      <w:pPr>
        <w:spacing w:after="0" w:line="188" w:lineRule="exact"/>
        <w:rPr>
          <w:sz w:val="20"/>
          <w:szCs w:val="20"/>
          <w:color w:val="auto"/>
        </w:rPr>
      </w:pPr>
    </w:p>
    <w:p>
      <w:pPr>
        <w:ind w:left="60" w:right="379"/>
        <w:spacing w:after="0" w:line="342" w:lineRule="auto"/>
        <w:rPr>
          <w:sz w:val="20"/>
          <w:szCs w:val="20"/>
          <w:color w:val="auto"/>
        </w:rPr>
      </w:pPr>
      <w:r>
        <w:rPr>
          <w:rFonts w:ascii="Arial" w:cs="Arial" w:eastAsia="Arial" w:hAnsi="Arial"/>
          <w:sz w:val="16"/>
          <w:szCs w:val="16"/>
          <w:color w:val="auto"/>
        </w:rPr>
        <w:t>As a result of the Company’s purchase of tendered $400 Million 5% Senior Notes and the redemption of all untendered $400 Million 5% Senior Notes, the Company recognized a loss on extinguishment of debt of $2.9 million in 2021.</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$600 Million 4.50% Senior Notes Due 2029</w:t>
      </w:r>
    </w:p>
    <w:p>
      <w:pPr>
        <w:spacing w:after="0" w:line="225" w:lineRule="exact"/>
        <w:rPr>
          <w:sz w:val="20"/>
          <w:szCs w:val="20"/>
          <w:color w:val="auto"/>
        </w:rPr>
      </w:pPr>
    </w:p>
    <w:p>
      <w:pPr>
        <w:ind w:left="60" w:right="59"/>
        <w:spacing w:after="0" w:line="263" w:lineRule="auto"/>
        <w:rPr>
          <w:sz w:val="20"/>
          <w:szCs w:val="20"/>
          <w:color w:val="auto"/>
        </w:rPr>
      </w:pPr>
      <w:r>
        <w:rPr>
          <w:rFonts w:ascii="Arial" w:cs="Arial" w:eastAsia="Arial" w:hAnsi="Arial"/>
          <w:sz w:val="18"/>
          <w:szCs w:val="18"/>
          <w:color w:val="auto"/>
        </w:rPr>
        <w:t>On February 17, 2021, the Operating Partnership and Finco completed the private placement of $600.0 million in aggregate principal amount of 4.50% senior notes due 2029 (the “$600 Million 4.50% Senior Notes”), which are guaranteed by the Company and its subsidiaries that guarantee the Company’s credit agreement.</w:t>
      </w:r>
    </w:p>
    <w:p>
      <w:pPr>
        <w:spacing w:after="0" w:line="157" w:lineRule="exact"/>
        <w:rPr>
          <w:sz w:val="20"/>
          <w:szCs w:val="20"/>
          <w:color w:val="auto"/>
        </w:rPr>
      </w:pPr>
    </w:p>
    <w:p>
      <w:pPr>
        <w:ind w:left="60" w:right="139"/>
        <w:spacing w:after="0" w:line="272" w:lineRule="auto"/>
        <w:rPr>
          <w:sz w:val="20"/>
          <w:szCs w:val="20"/>
          <w:color w:val="auto"/>
        </w:rPr>
      </w:pPr>
      <w:r>
        <w:rPr>
          <w:rFonts w:ascii="Arial" w:cs="Arial" w:eastAsia="Arial" w:hAnsi="Arial"/>
          <w:sz w:val="17"/>
          <w:szCs w:val="17"/>
          <w:color w:val="auto"/>
        </w:rPr>
        <w:t>The $600 Million 4.50% Senior Notes and guarantees were issued pursuant to an indenture by and among the issuing subsidiaries, the guarantors and U.S. Bank National Association, as trustee. The $600 Million 4.50% Senior Notes have a maturity date of February 15, 2029 and bear interest at 4.50% per annum, payable semi-annually in cash in arrears on February 15 and August 15 each year, beginning on August 15, 2021. The $600 Million 4.50% Senior Notes are general unsecured and unsubordinated obligations of the issuing subsidiaries and rank equal in right of payment with such subsidiaries’ existing and future senior unsecured indebtedness, including the Company’s $700 million 4.75% senior notes due 2027, and senior in right of payment to future subordinated indebtedness, if any.</w:t>
      </w:r>
    </w:p>
    <w:p>
      <w:pPr>
        <w:spacing w:after="0" w:line="137" w:lineRule="exact"/>
        <w:rPr>
          <w:sz w:val="20"/>
          <w:szCs w:val="20"/>
          <w:color w:val="auto"/>
        </w:rPr>
      </w:pPr>
    </w:p>
    <w:p>
      <w:pPr>
        <w:ind w:left="60" w:right="179"/>
        <w:spacing w:after="0" w:line="272" w:lineRule="auto"/>
        <w:rPr>
          <w:sz w:val="20"/>
          <w:szCs w:val="20"/>
          <w:color w:val="auto"/>
        </w:rPr>
      </w:pPr>
      <w:r>
        <w:rPr>
          <w:rFonts w:ascii="Arial" w:cs="Arial" w:eastAsia="Arial" w:hAnsi="Arial"/>
          <w:sz w:val="17"/>
          <w:szCs w:val="17"/>
          <w:color w:val="auto"/>
        </w:rPr>
        <w:t>The $600 Million 4.50%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$600 Million 4.50%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$600 Million 4.50% Senior Notes.</w:t>
      </w:r>
    </w:p>
    <w:p>
      <w:pPr>
        <w:spacing w:after="0" w:line="137" w:lineRule="exact"/>
        <w:rPr>
          <w:sz w:val="20"/>
          <w:szCs w:val="20"/>
          <w:color w:val="auto"/>
        </w:rPr>
      </w:pPr>
    </w:p>
    <w:p>
      <w:pPr>
        <w:ind w:left="60" w:right="99"/>
        <w:spacing w:after="0" w:line="257" w:lineRule="auto"/>
        <w:rPr>
          <w:sz w:val="20"/>
          <w:szCs w:val="20"/>
          <w:color w:val="auto"/>
        </w:rPr>
      </w:pPr>
      <w:r>
        <w:rPr>
          <w:rFonts w:ascii="Arial" w:cs="Arial" w:eastAsia="Arial" w:hAnsi="Arial"/>
          <w:sz w:val="18"/>
          <w:szCs w:val="18"/>
          <w:color w:val="auto"/>
        </w:rPr>
        <w:t>The net proceeds from the issuance of the $600 Million 4.50% Senior Notes totaled approximately $591 million, after deducting the initial purchasers’ discounts, commissions and offering expenses. The Company used a significant portion of these proceeds to tender and redeem the previous $400 Million 5% Senior Notes, as discussed above, and to repay all of the amounts outstanding under the Revolver at that time. The Company used the remaining net proceeds for general corporate purposes.</w:t>
      </w:r>
    </w:p>
    <w:p>
      <w:pPr>
        <w:spacing w:after="0" w:line="161" w:lineRule="exact"/>
        <w:rPr>
          <w:sz w:val="20"/>
          <w:szCs w:val="20"/>
          <w:color w:val="auto"/>
        </w:rPr>
      </w:pPr>
    </w:p>
    <w:p>
      <w:pPr>
        <w:ind w:left="60" w:right="159"/>
        <w:spacing w:after="0" w:line="273" w:lineRule="auto"/>
        <w:rPr>
          <w:sz w:val="20"/>
          <w:szCs w:val="20"/>
          <w:color w:val="auto"/>
        </w:rPr>
      </w:pPr>
      <w:r>
        <w:rPr>
          <w:rFonts w:ascii="Arial" w:cs="Arial" w:eastAsia="Arial" w:hAnsi="Arial"/>
          <w:sz w:val="17"/>
          <w:szCs w:val="17"/>
          <w:color w:val="auto"/>
        </w:rPr>
        <w:t>The $600 Million 4.50% Senior Notes are redeemable before February 15, 2024, in whole or in part, at 100.00%, plus accrued and unpaid interest thereon to, but not including, the redemption date, plus a make-whole premium. The $600 Million 4.50% Senior Notes will be redeemable, in whole or in part, at any time on or after February 15, 2024 at a redemption price expressed as a percentage of the principal amount thereof, which percentage is 102.250%, 101.500%, 100.750%, and 100.000% beginning on February 15 of 2024, 2025, 2026, and 2027, respectively, plus accrued and unpaid interest thereon to, but not including, the redemption date.</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2" w:name="page103"/>
    <w:bookmarkEnd w:id="10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$700 Million 4.75% Senior Notes Due 2027</w:t>
      </w:r>
    </w:p>
    <w:p>
      <w:pPr>
        <w:spacing w:after="0" w:line="225" w:lineRule="exact"/>
        <w:rPr>
          <w:sz w:val="20"/>
          <w:szCs w:val="20"/>
          <w:color w:val="auto"/>
        </w:rPr>
      </w:pPr>
    </w:p>
    <w:p>
      <w:pPr>
        <w:ind w:left="60" w:right="219"/>
        <w:spacing w:after="0" w:line="284" w:lineRule="auto"/>
        <w:rPr>
          <w:sz w:val="20"/>
          <w:szCs w:val="20"/>
          <w:color w:val="auto"/>
        </w:rPr>
      </w:pPr>
      <w:r>
        <w:rPr>
          <w:rFonts w:ascii="Arial" w:cs="Arial" w:eastAsia="Arial" w:hAnsi="Arial"/>
          <w:sz w:val="16"/>
          <w:szCs w:val="16"/>
          <w:color w:val="auto"/>
        </w:rPr>
        <w:t>In September 2019, the Operating Partnership and Finco completed the private placement of $500.0 million in aggregate principal amount of senior notes due 2027 (the “$500 Million 4.75% Senior Notes”), which are guaranteed by the Company and its subsidiaries that guarantee the Credit Agreement. The $500 Million 4.75% Senior Notes and guarantees were issued pursuant to an indenture by and among the issuing subsidiaries and the guarantors and U.S. Bank National Association as trustee. The $500 Million 4.75% Senior Notes have a maturity date of October 15, 2027 and bear interest at 4.75% per annum, payable semi-annually in cash in arrears on April 15 and October 15 of each year. The</w:t>
      </w:r>
    </w:p>
    <w:p>
      <w:pPr>
        <w:spacing w:after="0" w:line="4" w:lineRule="exact"/>
        <w:rPr>
          <w:sz w:val="20"/>
          <w:szCs w:val="20"/>
          <w:color w:val="auto"/>
        </w:rPr>
      </w:pPr>
    </w:p>
    <w:p>
      <w:pPr>
        <w:ind w:left="60" w:right="99"/>
        <w:spacing w:after="0" w:line="281" w:lineRule="auto"/>
        <w:rPr>
          <w:sz w:val="20"/>
          <w:szCs w:val="20"/>
          <w:color w:val="auto"/>
        </w:rPr>
      </w:pPr>
      <w:r>
        <w:rPr>
          <w:rFonts w:ascii="Arial" w:cs="Arial" w:eastAsia="Arial" w:hAnsi="Arial"/>
          <w:sz w:val="16"/>
          <w:szCs w:val="16"/>
          <w:color w:val="auto"/>
        </w:rPr>
        <w:t>$500 Million 4.75% Senior Notes are general unsecured and unsubordinated obligations of the issuing subsidiaries and rank equal in right of payment with such subsidiaries’ existing and future senior unsecured indebtedness and senior in right of payment to future subordinated indebtedness, if any. The $500 Million 4.75%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w:t>
      </w:r>
    </w:p>
    <w:p>
      <w:pPr>
        <w:spacing w:after="0" w:line="4" w:lineRule="exact"/>
        <w:rPr>
          <w:sz w:val="20"/>
          <w:szCs w:val="20"/>
          <w:color w:val="auto"/>
        </w:rPr>
      </w:pPr>
    </w:p>
    <w:p>
      <w:pPr>
        <w:jc w:val="both"/>
        <w:ind w:left="60" w:right="59"/>
        <w:spacing w:after="0" w:line="302" w:lineRule="auto"/>
        <w:rPr>
          <w:sz w:val="20"/>
          <w:szCs w:val="20"/>
          <w:color w:val="auto"/>
        </w:rPr>
      </w:pPr>
      <w:r>
        <w:rPr>
          <w:rFonts w:ascii="Arial" w:cs="Arial" w:eastAsia="Arial" w:hAnsi="Arial"/>
          <w:sz w:val="16"/>
          <w:szCs w:val="16"/>
          <w:color w:val="auto"/>
        </w:rPr>
        <w:t>$500 Million 4.75%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$500 Million 4.75% Senior Notes.</w:t>
      </w:r>
    </w:p>
    <w:p>
      <w:pPr>
        <w:spacing w:after="0" w:line="155" w:lineRule="exact"/>
        <w:rPr>
          <w:sz w:val="20"/>
          <w:szCs w:val="20"/>
          <w:color w:val="auto"/>
        </w:rPr>
      </w:pPr>
    </w:p>
    <w:p>
      <w:pPr>
        <w:ind w:left="60" w:right="419"/>
        <w:spacing w:after="0" w:line="259" w:lineRule="auto"/>
        <w:rPr>
          <w:sz w:val="20"/>
          <w:szCs w:val="20"/>
          <w:color w:val="auto"/>
        </w:rPr>
      </w:pPr>
      <w:r>
        <w:rPr>
          <w:rFonts w:ascii="Arial" w:cs="Arial" w:eastAsia="Arial" w:hAnsi="Arial"/>
          <w:sz w:val="18"/>
          <w:szCs w:val="18"/>
          <w:color w:val="auto"/>
        </w:rPr>
        <w:t>The net proceeds from the issuance of the $500 Million 4.75% Senior Notes totaled approximately $493 million, after deducting the initial purchasers’ discounts, commissions and offering expenses. The Company used substantially all of these proceeds to tender and redeem the $350 Million 5% Senior Notes discussed above and to repay a portion of the amounts outstanding under the Revolver.</w:t>
      </w:r>
    </w:p>
    <w:p>
      <w:pPr>
        <w:spacing w:after="0" w:line="187" w:lineRule="exact"/>
        <w:rPr>
          <w:sz w:val="20"/>
          <w:szCs w:val="20"/>
          <w:color w:val="auto"/>
        </w:rPr>
      </w:pPr>
    </w:p>
    <w:p>
      <w:pPr>
        <w:ind w:left="60" w:right="179"/>
        <w:spacing w:after="0" w:line="255" w:lineRule="auto"/>
        <w:rPr>
          <w:sz w:val="20"/>
          <w:szCs w:val="20"/>
          <w:color w:val="auto"/>
        </w:rPr>
      </w:pPr>
      <w:r>
        <w:rPr>
          <w:rFonts w:ascii="Arial" w:cs="Arial" w:eastAsia="Arial" w:hAnsi="Arial"/>
          <w:sz w:val="18"/>
          <w:szCs w:val="18"/>
          <w:color w:val="auto"/>
        </w:rPr>
        <w:t>In October 2019, the Operating Partnership and Finco completed a tack-on private placement of $200.0 million in aggregate principal amount of 4.75% senior notes due 2027 (the “additional 2027 notes”) at an issue price of 101.250% of their aggregate principal amount plus accrued interest from the September 2019 issue date for the $500 Million 4.75% Senior Notes. The additional 2027 notes and the $500 Million 4.75% Senior Notes constitute a single class of securities (collectively, the “$700 Million 4.75% Senior Notes”). All other terms and conditions of the additional 2027 notes are identical to the $500 Million 4.75% Senior Notes.</w:t>
      </w:r>
    </w:p>
    <w:p>
      <w:pPr>
        <w:spacing w:after="0" w:line="192" w:lineRule="exact"/>
        <w:rPr>
          <w:sz w:val="20"/>
          <w:szCs w:val="20"/>
          <w:color w:val="auto"/>
        </w:rPr>
      </w:pPr>
    </w:p>
    <w:p>
      <w:pPr>
        <w:ind w:left="60" w:right="159"/>
        <w:spacing w:after="0" w:line="263" w:lineRule="auto"/>
        <w:rPr>
          <w:sz w:val="20"/>
          <w:szCs w:val="20"/>
          <w:color w:val="auto"/>
        </w:rPr>
      </w:pPr>
      <w:r>
        <w:rPr>
          <w:rFonts w:ascii="Arial" w:cs="Arial" w:eastAsia="Arial" w:hAnsi="Arial"/>
          <w:sz w:val="18"/>
          <w:szCs w:val="18"/>
          <w:color w:val="auto"/>
        </w:rPr>
        <w:t>The net proceeds of the additional 2027 notes totaled approximately $199 million, after deducting the initial purchasers’ discounts, commissions and offering expenses. The Company used substantially all of these proceeds to repay a portion of the amounts outstanding under the Revolver.</w:t>
      </w:r>
    </w:p>
    <w:p>
      <w:pPr>
        <w:spacing w:after="0" w:line="184" w:lineRule="exact"/>
        <w:rPr>
          <w:sz w:val="20"/>
          <w:szCs w:val="20"/>
          <w:color w:val="auto"/>
        </w:rPr>
      </w:pPr>
    </w:p>
    <w:p>
      <w:pPr>
        <w:ind w:left="60" w:right="179"/>
        <w:spacing w:after="0" w:line="286" w:lineRule="auto"/>
        <w:rPr>
          <w:sz w:val="20"/>
          <w:szCs w:val="20"/>
          <w:color w:val="auto"/>
        </w:rPr>
      </w:pPr>
      <w:r>
        <w:rPr>
          <w:rFonts w:ascii="Arial" w:cs="Arial" w:eastAsia="Arial" w:hAnsi="Arial"/>
          <w:sz w:val="16"/>
          <w:szCs w:val="16"/>
          <w:color w:val="auto"/>
        </w:rPr>
        <w:t>The $700 Million 4.75% Senior Notes are redeemable before October 15, 2022, in whole or in part, at 100.00% of the principal amount thereof, plus accrued and unpaid interest thereon to, but not including, the redemption date plus a make-whole redemption premium. The $700 Million 4.75% Senior Notes will be redeemable, in whole or in part, at any time on or after October 15, 2022 at a redemption price expressed as a percentage of the principal amount thereof,</w:t>
      </w:r>
    </w:p>
    <w:p>
      <w:pPr>
        <w:spacing w:after="0" w:line="1" w:lineRule="exact"/>
        <w:rPr>
          <w:sz w:val="20"/>
          <w:szCs w:val="20"/>
          <w:color w:val="auto"/>
        </w:rPr>
      </w:pPr>
    </w:p>
    <w:p>
      <w:pPr>
        <w:ind w:left="60" w:right="379"/>
        <w:spacing w:after="0" w:line="290" w:lineRule="auto"/>
        <w:rPr>
          <w:sz w:val="20"/>
          <w:szCs w:val="20"/>
          <w:color w:val="auto"/>
        </w:rPr>
      </w:pPr>
      <w:r>
        <w:rPr>
          <w:rFonts w:ascii="Arial" w:cs="Arial" w:eastAsia="Arial" w:hAnsi="Arial"/>
          <w:sz w:val="17"/>
          <w:szCs w:val="17"/>
          <w:color w:val="auto"/>
        </w:rPr>
        <w:t>which percentage is 103.563%, 102.375%, 101.188%, and 100.00% beginning on October 15 of 2022, 2023, 2024, and 2025, respectively, plus accrued and unpaid interest thereon to, but not including, the redemption date.</w:t>
      </w:r>
    </w:p>
    <w:p>
      <w:pPr>
        <w:spacing w:after="0" w:line="134"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color w:val="auto"/>
        </w:rPr>
        <w:t>The Company completed a registered offer to exchange the $700 Million 4.75% Senior Notes for registered notes with substantially identical terms as the $700 Million 4.75% Senior Notes in July 2020.</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$800 Million Gaylord Rockies Term Loan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7"/>
          <w:szCs w:val="17"/>
          <w:color w:val="auto"/>
        </w:rPr>
        <w:t>In July 2019, Aurora Convention Center Hotel, LLC and Aurora Convention Center Hotel Lessee, LLC, the entities that</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comprise Gaylord Rockies, entered into a Second Amended and Restated Loan Agreement (the “Gaylord Rockies Loan”)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with Wells Fargo Bank, National Association, as administrative agent, which refinanced Gaylord Rockies’ previous</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$500 million construction loan and $39 million mezzanine loan, which were scheduled to mature in December 2019. The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Gaylord Rockies Loan consists of an $800.0 million secured term loan facility and also includes the option for an</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additional $80.0 million of borrowing capacity should Gaylord Rockies intend to pursue a future expansion of Gaylord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Rockies, which was announced in February 2020, but has been postponed as a result of the COVID-19 pandemic. The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Gaylord Rockies Loan matures July 2, 2023 with three, one-year extension options, subject to certain requirements in the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Gaylord Rockies Loan, and bears interest at LIBOR plus 2.50%. Simultaneous with closing, Gaylord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3" w:name="page104"/>
    <w:bookmarkEnd w:id="10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color w:val="auto"/>
        </w:rPr>
        <w:t>Rockies entered into an interest rate swap to fix the LIBOR portion of the interest rate at 1.65% for the first three years of the loan. The Company has designated this interest rate swap as an effective cash flow hedge.</w:t>
      </w:r>
    </w:p>
    <w:p>
      <w:pPr>
        <w:spacing w:after="0" w:line="143" w:lineRule="exact"/>
        <w:rPr>
          <w:sz w:val="20"/>
          <w:szCs w:val="20"/>
          <w:color w:val="auto"/>
        </w:rPr>
      </w:pPr>
    </w:p>
    <w:p>
      <w:pPr>
        <w:ind w:left="60" w:right="179"/>
        <w:spacing w:after="0" w:line="275" w:lineRule="auto"/>
        <w:rPr>
          <w:sz w:val="20"/>
          <w:szCs w:val="20"/>
          <w:color w:val="auto"/>
        </w:rPr>
      </w:pPr>
      <w:r>
        <w:rPr>
          <w:rFonts w:ascii="Arial" w:cs="Arial" w:eastAsia="Arial" w:hAnsi="Arial"/>
          <w:sz w:val="17"/>
          <w:szCs w:val="17"/>
          <w:color w:val="auto"/>
        </w:rPr>
        <w:t>The proceeds from the Gaylord Rockies Loan were used to repay the previously outstanding $500 million construction loan and $39 million mezzanine loan, and, after payment of expenses, the excess proceeds were distributed to the owners of Gaylord Rockies pro rata in proportion to their interests therein. The noncontrolling interest owners received a distribution of approximately $95 million, and the Company received a distribution of approximately $153 million, which was used to repay a portion of the outstanding indebtedness under the Revolver.</w:t>
      </w:r>
    </w:p>
    <w:p>
      <w:pPr>
        <w:spacing w:after="0" w:line="176" w:lineRule="exact"/>
        <w:rPr>
          <w:sz w:val="20"/>
          <w:szCs w:val="20"/>
          <w:color w:val="auto"/>
        </w:rPr>
      </w:pPr>
    </w:p>
    <w:p>
      <w:pPr>
        <w:ind w:left="60" w:right="99"/>
        <w:spacing w:after="0" w:line="273" w:lineRule="auto"/>
        <w:rPr>
          <w:sz w:val="20"/>
          <w:szCs w:val="20"/>
          <w:color w:val="auto"/>
        </w:rPr>
      </w:pPr>
      <w:r>
        <w:rPr>
          <w:rFonts w:ascii="Arial" w:cs="Arial" w:eastAsia="Arial" w:hAnsi="Arial"/>
          <w:sz w:val="17"/>
          <w:szCs w:val="17"/>
          <w:color w:val="auto"/>
        </w:rPr>
        <w:t>The Gaylord Rockies Loan is secured by a deed of trust lien on the Gaylord Rockies real estate and related assets. The Company has entered into limited repayment and carry guaranties that, in the aggregate, guarantee repayment of 10% of the principal debt, together with interest and operating expenses, which are to be released once Gaylord Rockies achieves a certain debt service coverage threshold as defined in the Gaylord Rockies Loan. Generally, the Gaylord Rockies Loan is non-recourse to the Company, subject to (i) those limited guaranties, (ii) a completion guaranty in the event the expansion is pursued, and (iii) customary non-recourse carve-outs.</w:t>
      </w:r>
    </w:p>
    <w:p>
      <w:pPr>
        <w:spacing w:after="0" w:line="178" w:lineRule="exact"/>
        <w:rPr>
          <w:sz w:val="20"/>
          <w:szCs w:val="20"/>
          <w:color w:val="auto"/>
        </w:rPr>
      </w:pPr>
    </w:p>
    <w:p>
      <w:pPr>
        <w:ind w:left="60" w:right="99"/>
        <w:spacing w:after="0" w:line="271" w:lineRule="auto"/>
        <w:rPr>
          <w:sz w:val="20"/>
          <w:szCs w:val="20"/>
          <w:color w:val="auto"/>
        </w:rPr>
      </w:pPr>
      <w:r>
        <w:rPr>
          <w:rFonts w:ascii="Arial" w:cs="Arial" w:eastAsia="Arial" w:hAnsi="Arial"/>
          <w:sz w:val="17"/>
          <w:szCs w:val="17"/>
          <w:color w:val="auto"/>
        </w:rPr>
        <w:t>In June 2020, the Loan Parties entered into Amendment No. 1 (the “Loan Amendment”) to the Gaylord Rockies Loan, by and among the Loan Parties, Wells Fargo Bank, National Association, as administrative agent, and the lenders from time to time party thereto. The Loan Amendment modified the Gaylord Rockies Loan to (i) provide for the ability to use cash for certain purposes, even during a Cash Sweep Period (as defined in the Loan Agreement), which Gaylord Rockies is in beginning in July 2020, (ii) extend the deadline for the Company to commence construction of an expansion to Gaylord Rockies, and (iii) provide favorable changes to the debt service coverage ratio provisions. The Loan Amendment includes restrictions on distributions to the Company’s subsidiaries that own Gaylord Rockies and requires a certain level of equity financing for a Gaylord Rockies expansion.</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Rate Derivatives</w:t>
      </w:r>
    </w:p>
    <w:p>
      <w:pPr>
        <w:spacing w:after="0" w:line="225" w:lineRule="exact"/>
        <w:rPr>
          <w:sz w:val="20"/>
          <w:szCs w:val="20"/>
          <w:color w:val="auto"/>
        </w:rPr>
      </w:pPr>
    </w:p>
    <w:p>
      <w:pPr>
        <w:ind w:left="60" w:right="199"/>
        <w:spacing w:after="0" w:line="259" w:lineRule="auto"/>
        <w:rPr>
          <w:sz w:val="20"/>
          <w:szCs w:val="20"/>
          <w:color w:val="auto"/>
        </w:rPr>
      </w:pPr>
      <w:r>
        <w:rPr>
          <w:rFonts w:ascii="Arial" w:cs="Arial" w:eastAsia="Arial" w:hAnsi="Arial"/>
          <w:sz w:val="18"/>
          <w:szCs w:val="18"/>
          <w:color w:val="auto"/>
        </w:rPr>
        <w:t>The Company has entered into interest rate swaps to manage interest rate risk associated with the Term Loan B and Gaylord Rockies Loan. Each swap has been designated as a cash flow hedge whereby the Company receives variable-rate amounts in exchange for fixed-rate payments over the life of the agreement without exchange of the underlying principal amount.</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estimated fair values of the Company’s derivative financial instruments at December 31 are as follows (in thousands):</w:t>
      </w:r>
    </w:p>
    <w:p>
      <w:pPr>
        <w:spacing w:after="0" w:line="20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4"/>
              </w:rPr>
              <w:t>Estimated Fair Value</w:t>
            </w:r>
          </w:p>
        </w:tc>
        <w:tc>
          <w:tcPr>
            <w:tcW w:w="0" w:type="dxa"/>
            <w:vAlign w:val="bottom"/>
          </w:tcPr>
          <w:p>
            <w:pPr>
              <w:spacing w:after="0"/>
              <w:rPr>
                <w:sz w:val="1"/>
                <w:szCs w:val="1"/>
                <w:color w:val="auto"/>
              </w:rPr>
            </w:pPr>
          </w:p>
        </w:tc>
      </w:tr>
      <w:tr>
        <w:trPr>
          <w:trHeight w:val="171"/>
        </w:trPr>
        <w:tc>
          <w:tcPr>
            <w:tcW w:w="2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7"/>
              </w:rPr>
              <w:t>Strike</w:t>
            </w: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Notional</w:t>
            </w:r>
          </w:p>
        </w:tc>
        <w:tc>
          <w:tcPr>
            <w:tcW w:w="120" w:type="dxa"/>
            <w:vAlign w:val="bottom"/>
          </w:tcPr>
          <w:p>
            <w:pPr>
              <w:spacing w:after="0"/>
              <w:rPr>
                <w:sz w:val="14"/>
                <w:szCs w:val="14"/>
                <w:color w:val="auto"/>
              </w:rPr>
            </w:pPr>
          </w:p>
        </w:tc>
        <w:tc>
          <w:tcPr>
            <w:tcW w:w="17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3"/>
              </w:rPr>
              <w:t>Asset (Liability) Balance</w:t>
            </w:r>
          </w:p>
        </w:tc>
        <w:tc>
          <w:tcPr>
            <w:tcW w:w="0" w:type="dxa"/>
            <w:vAlign w:val="bottom"/>
          </w:tcPr>
          <w:p>
            <w:pPr>
              <w:spacing w:after="0"/>
              <w:rPr>
                <w:sz w:val="1"/>
                <w:szCs w:val="1"/>
                <w:color w:val="auto"/>
              </w:rPr>
            </w:pPr>
          </w:p>
        </w:tc>
      </w:tr>
      <w:tr>
        <w:trPr>
          <w:trHeight w:val="119"/>
        </w:trPr>
        <w:tc>
          <w:tcPr>
            <w:tcW w:w="206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Hedged Debt</w:t>
            </w:r>
          </w:p>
        </w:tc>
        <w:tc>
          <w:tcPr>
            <w:tcW w:w="12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1"/>
              </w:rPr>
              <w:t>Type</w:t>
            </w:r>
          </w:p>
        </w:tc>
        <w:tc>
          <w:tcPr>
            <w:tcW w:w="660" w:type="dxa"/>
            <w:vAlign w:val="bottom"/>
            <w:gridSpan w:val="2"/>
            <w:vMerge w:val="continue"/>
          </w:tcPr>
          <w:p>
            <w:pPr>
              <w:spacing w:after="0"/>
              <w:rPr>
                <w:sz w:val="10"/>
                <w:szCs w:val="10"/>
                <w:color w:val="auto"/>
              </w:rPr>
            </w:pPr>
          </w:p>
        </w:tc>
        <w:tc>
          <w:tcPr>
            <w:tcW w:w="110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2"/>
              </w:rPr>
              <w:t>Index</w:t>
            </w:r>
          </w:p>
        </w:tc>
        <w:tc>
          <w:tcPr>
            <w:tcW w:w="10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9"/>
              </w:rPr>
              <w:t>Maturity Date</w:t>
            </w:r>
          </w:p>
        </w:tc>
        <w:tc>
          <w:tcPr>
            <w:tcW w:w="900" w:type="dxa"/>
            <w:vAlign w:val="bottom"/>
            <w:gridSpan w:val="2"/>
            <w:vMerge w:val="continue"/>
          </w:tcPr>
          <w:p>
            <w:pPr>
              <w:spacing w:after="0"/>
              <w:rPr>
                <w:sz w:val="10"/>
                <w:szCs w:val="10"/>
                <w:color w:val="auto"/>
              </w:rPr>
            </w:pPr>
          </w:p>
        </w:tc>
        <w:tc>
          <w:tcPr>
            <w:tcW w:w="96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December 31,</w:t>
            </w:r>
          </w:p>
        </w:tc>
        <w:tc>
          <w:tcPr>
            <w:tcW w:w="90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December 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60" w:type="dxa"/>
            <w:vAlign w:val="bottom"/>
            <w:gridSpan w:val="2"/>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6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8"/>
              </w:rPr>
              <w:t>Rate</w:t>
            </w:r>
          </w:p>
        </w:tc>
        <w:tc>
          <w:tcPr>
            <w:tcW w:w="110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900" w:type="dxa"/>
            <w:vAlign w:val="bottom"/>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780" w:type="dxa"/>
            <w:vAlign w:val="bottom"/>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0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Term Loan B</w:t>
            </w:r>
          </w:p>
        </w:tc>
        <w:tc>
          <w:tcPr>
            <w:tcW w:w="6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0"/>
              </w:rPr>
              <w:t>Interest Rate Swap</w:t>
            </w:r>
          </w:p>
        </w:tc>
        <w:tc>
          <w:tcPr>
            <w:tcW w:w="6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0"/>
              </w:rPr>
              <w:t>1.2235%</w:t>
            </w:r>
          </w:p>
        </w:tc>
        <w:tc>
          <w:tcPr>
            <w:tcW w:w="4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8"/>
              </w:rPr>
              <w:t>1-month LIBOR</w:t>
            </w:r>
          </w:p>
        </w:tc>
        <w:tc>
          <w:tcPr>
            <w:tcW w:w="6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May 11, 2023</w:t>
            </w:r>
          </w:p>
        </w:tc>
        <w:tc>
          <w:tcPr>
            <w:tcW w:w="6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1"/>
              </w:rPr>
              <w:t>$ 87,500</w:t>
            </w: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(733)</w:t>
            </w: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Term Loan B</w:t>
            </w:r>
          </w:p>
        </w:tc>
        <w:tc>
          <w:tcPr>
            <w:tcW w:w="128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0"/>
              </w:rPr>
              <w:t>Interest Rate Swap</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0"/>
              </w:rPr>
              <w:t>1.2235%</w:t>
            </w:r>
          </w:p>
        </w:tc>
        <w:tc>
          <w:tcPr>
            <w:tcW w:w="40" w:type="dxa"/>
            <w:vAlign w:val="bottom"/>
          </w:tcPr>
          <w:p>
            <w:pPr>
              <w:spacing w:after="0"/>
              <w:rPr>
                <w:sz w:val="12"/>
                <w:szCs w:val="12"/>
                <w:color w:val="auto"/>
              </w:rPr>
            </w:pPr>
          </w:p>
        </w:tc>
        <w:tc>
          <w:tcPr>
            <w:tcW w:w="110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8"/>
              </w:rPr>
              <w:t>1-month LIBOR</w:t>
            </w:r>
          </w:p>
        </w:tc>
        <w:tc>
          <w:tcPr>
            <w:tcW w:w="104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4"/>
              </w:rPr>
              <w:t>May 11, 2023</w:t>
            </w: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1"/>
              </w:rPr>
              <w:t>$ 87,500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(733)</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(2,206)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Term Loan B</w:t>
            </w:r>
          </w:p>
        </w:tc>
        <w:tc>
          <w:tcPr>
            <w:tcW w:w="128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0"/>
              </w:rPr>
              <w:t>Interest Rate Swap</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1.2235%</w:t>
            </w:r>
          </w:p>
        </w:tc>
        <w:tc>
          <w:tcPr>
            <w:tcW w:w="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98"/>
              </w:rPr>
              <w:t>1-month LIBOR</w:t>
            </w:r>
          </w:p>
        </w:tc>
        <w:tc>
          <w:tcPr>
            <w:tcW w:w="104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4"/>
              </w:rPr>
              <w:t>May 11, 2023</w:t>
            </w:r>
          </w:p>
        </w:tc>
        <w:tc>
          <w:tcPr>
            <w:tcW w:w="8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$ 87,500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(733)</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Term Loan B</w:t>
            </w:r>
          </w:p>
        </w:tc>
        <w:tc>
          <w:tcPr>
            <w:tcW w:w="128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0"/>
              </w:rPr>
              <w:t>Interest Rate Swap</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0"/>
              </w:rPr>
              <w:t>1.2315%</w:t>
            </w:r>
          </w:p>
        </w:tc>
        <w:tc>
          <w:tcPr>
            <w:tcW w:w="40" w:type="dxa"/>
            <w:vAlign w:val="bottom"/>
          </w:tcPr>
          <w:p>
            <w:pPr>
              <w:spacing w:after="0"/>
              <w:rPr>
                <w:sz w:val="12"/>
                <w:szCs w:val="12"/>
                <w:color w:val="auto"/>
              </w:rPr>
            </w:pPr>
          </w:p>
        </w:tc>
        <w:tc>
          <w:tcPr>
            <w:tcW w:w="110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8"/>
              </w:rPr>
              <w:t>1-month LIBOR</w:t>
            </w:r>
          </w:p>
        </w:tc>
        <w:tc>
          <w:tcPr>
            <w:tcW w:w="104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4"/>
              </w:rPr>
              <w:t>May 11, 2023</w:t>
            </w: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1"/>
              </w:rPr>
              <w:t>$ 87,500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(742)</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(2,222)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Gaylord Rockies Term Loan</w:t>
            </w:r>
          </w:p>
        </w:tc>
        <w:tc>
          <w:tcPr>
            <w:tcW w:w="128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0"/>
              </w:rPr>
              <w:t>Interest Rate Swap</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1.6500%</w:t>
            </w:r>
          </w:p>
        </w:tc>
        <w:tc>
          <w:tcPr>
            <w:tcW w:w="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98"/>
              </w:rPr>
              <w:t>1-month LIBOR</w:t>
            </w:r>
          </w:p>
        </w:tc>
        <w:tc>
          <w:tcPr>
            <w:tcW w:w="104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3"/>
              </w:rPr>
              <w:t>August 1, 2022</w:t>
            </w:r>
          </w:p>
        </w:tc>
        <w:tc>
          <w:tcPr>
            <w:tcW w:w="8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$ 800,000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(6,421)</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(9,362)</w:t>
            </w:r>
          </w:p>
        </w:tc>
        <w:tc>
          <w:tcPr>
            <w:tcW w:w="6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(27,819)</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619"/>
        <w:spacing w:after="0" w:line="308" w:lineRule="auto"/>
        <w:rPr>
          <w:sz w:val="20"/>
          <w:szCs w:val="20"/>
          <w:color w:val="auto"/>
        </w:rPr>
      </w:pPr>
      <w:r>
        <w:rPr>
          <w:rFonts w:ascii="Arial" w:cs="Arial" w:eastAsia="Arial" w:hAnsi="Arial"/>
          <w:sz w:val="17"/>
          <w:szCs w:val="17"/>
          <w:color w:val="auto"/>
        </w:rPr>
        <w:t>Derivative financial instruments in an asset position are included in prepaid expenses and other assets and those in a liability position are included in other liabilities in the accompanying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4" w:name="page105"/>
    <w:bookmarkEnd w:id="10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color w:val="auto"/>
        </w:rPr>
        <w:t>The effect of the Company’s derivative financial instruments on the accompanying consolidated statements of operations and comprehensive loss for the years ended December 31 is as follows (in thousands):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tcPr>
          <w:p>
            <w:pPr>
              <w:ind w:left="40"/>
              <w:spacing w:after="0"/>
              <w:rPr>
                <w:sz w:val="20"/>
                <w:szCs w:val="20"/>
                <w:color w:val="auto"/>
              </w:rPr>
            </w:pPr>
            <w:r>
              <w:rPr>
                <w:rFonts w:ascii="Arial" w:cs="Arial" w:eastAsia="Arial" w:hAnsi="Arial"/>
                <w:sz w:val="14"/>
                <w:szCs w:val="14"/>
                <w:b w:val="1"/>
                <w:bCs w:val="1"/>
                <w:color w:val="auto"/>
              </w:rPr>
              <w:t>Amount of Gain (Loss)</w:t>
            </w: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Location of Gain (Loss)</w:t>
            </w:r>
          </w:p>
        </w:tc>
        <w:tc>
          <w:tcPr>
            <w:tcW w:w="120" w:type="dxa"/>
            <w:vAlign w:val="bottom"/>
          </w:tcPr>
          <w:p>
            <w:pPr>
              <w:spacing w:after="0"/>
              <w:rPr>
                <w:sz w:val="14"/>
                <w:szCs w:val="14"/>
                <w:color w:val="auto"/>
              </w:rPr>
            </w:pPr>
          </w:p>
        </w:tc>
        <w:tc>
          <w:tcPr>
            <w:tcW w:w="1880" w:type="dxa"/>
            <w:vAlign w:val="bottom"/>
            <w:gridSpan w:val="4"/>
          </w:tcPr>
          <w:p>
            <w:pPr>
              <w:jc w:val="center"/>
              <w:ind w:right="25"/>
              <w:spacing w:after="0"/>
              <w:rPr>
                <w:sz w:val="20"/>
                <w:szCs w:val="20"/>
                <w:color w:val="auto"/>
              </w:rPr>
            </w:pPr>
            <w:r>
              <w:rPr>
                <w:rFonts w:ascii="Arial" w:cs="Arial" w:eastAsia="Arial" w:hAnsi="Arial"/>
                <w:sz w:val="14"/>
                <w:szCs w:val="14"/>
                <w:b w:val="1"/>
                <w:bCs w:val="1"/>
                <w:color w:val="auto"/>
                <w:w w:val="94"/>
              </w:rPr>
              <w:t>Amount of Gain (Loss)</w:t>
            </w:r>
          </w:p>
        </w:tc>
      </w:tr>
      <w:tr>
        <w:trPr>
          <w:trHeight w:val="148"/>
        </w:trPr>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5"/>
          </w:tcPr>
          <w:p>
            <w:pPr>
              <w:ind w:left="160"/>
              <w:spacing w:after="0" w:line="149" w:lineRule="exact"/>
              <w:rPr>
                <w:sz w:val="20"/>
                <w:szCs w:val="20"/>
                <w:color w:val="auto"/>
              </w:rPr>
            </w:pPr>
            <w:r>
              <w:rPr>
                <w:rFonts w:ascii="Arial" w:cs="Arial" w:eastAsia="Arial" w:hAnsi="Arial"/>
                <w:sz w:val="14"/>
                <w:szCs w:val="14"/>
                <w:b w:val="1"/>
                <w:bCs w:val="1"/>
                <w:color w:val="auto"/>
              </w:rPr>
              <w:t>Recognized in OCI</w:t>
            </w:r>
          </w:p>
        </w:tc>
        <w:tc>
          <w:tcPr>
            <w:tcW w:w="1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200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1"/>
              </w:rPr>
              <w:t>Reclassified from Accumulated</w:t>
            </w:r>
          </w:p>
        </w:tc>
      </w:tr>
      <w:tr>
        <w:trPr>
          <w:trHeight w:val="171"/>
        </w:trPr>
        <w:tc>
          <w:tcPr>
            <w:tcW w:w="3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tcPr>
          <w:p>
            <w:pPr>
              <w:ind w:left="320"/>
              <w:spacing w:after="0"/>
              <w:rPr>
                <w:sz w:val="20"/>
                <w:szCs w:val="20"/>
                <w:color w:val="auto"/>
              </w:rPr>
            </w:pPr>
            <w:r>
              <w:rPr>
                <w:rFonts w:ascii="Arial" w:cs="Arial" w:eastAsia="Arial" w:hAnsi="Arial"/>
                <w:sz w:val="14"/>
                <w:szCs w:val="14"/>
                <w:b w:val="1"/>
                <w:bCs w:val="1"/>
                <w:color w:val="auto"/>
              </w:rPr>
              <w:t>on Derivative</w:t>
            </w:r>
          </w:p>
        </w:tc>
        <w:tc>
          <w:tcPr>
            <w:tcW w:w="14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Accumulated OCI</w:t>
            </w:r>
          </w:p>
        </w:tc>
        <w:tc>
          <w:tcPr>
            <w:tcW w:w="120" w:type="dxa"/>
            <w:vAlign w:val="bottom"/>
          </w:tcPr>
          <w:p>
            <w:pPr>
              <w:spacing w:after="0"/>
              <w:rPr>
                <w:sz w:val="14"/>
                <w:szCs w:val="14"/>
                <w:color w:val="auto"/>
              </w:rPr>
            </w:pPr>
          </w:p>
        </w:tc>
        <w:tc>
          <w:tcPr>
            <w:tcW w:w="1880" w:type="dxa"/>
            <w:vAlign w:val="bottom"/>
            <w:gridSpan w:val="4"/>
          </w:tcPr>
          <w:p>
            <w:pPr>
              <w:jc w:val="center"/>
              <w:ind w:right="45"/>
              <w:spacing w:after="0"/>
              <w:rPr>
                <w:sz w:val="20"/>
                <w:szCs w:val="20"/>
                <w:color w:val="auto"/>
              </w:rPr>
            </w:pPr>
            <w:r>
              <w:rPr>
                <w:rFonts w:ascii="Arial" w:cs="Arial" w:eastAsia="Arial" w:hAnsi="Arial"/>
                <w:sz w:val="14"/>
                <w:szCs w:val="14"/>
                <w:b w:val="1"/>
                <w:bCs w:val="1"/>
                <w:color w:val="auto"/>
                <w:w w:val="94"/>
              </w:rPr>
              <w:t>OCI into Income (Expense)</w:t>
            </w:r>
          </w:p>
        </w:tc>
      </w:tr>
      <w:tr>
        <w:trPr>
          <w:trHeight w:val="142"/>
        </w:trPr>
        <w:tc>
          <w:tcPr>
            <w:tcW w:w="36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85"/>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148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2"/>
              </w:rPr>
              <w:t>into Income (Expense)</w:t>
            </w: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246"/>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65"/>
              <w:spacing w:after="0" w:line="142" w:lineRule="exact"/>
              <w:rPr>
                <w:sz w:val="20"/>
                <w:szCs w:val="20"/>
                <w:color w:val="auto"/>
              </w:rPr>
            </w:pPr>
            <w:r>
              <w:rPr>
                <w:rFonts w:ascii="Arial" w:cs="Arial" w:eastAsia="Arial" w:hAnsi="Arial"/>
                <w:sz w:val="14"/>
                <w:szCs w:val="14"/>
                <w:b w:val="1"/>
                <w:bCs w:val="1"/>
                <w:color w:val="auto"/>
              </w:rPr>
              <w:t>2020</w:t>
            </w:r>
          </w:p>
        </w:tc>
      </w:tr>
      <w:tr>
        <w:trPr>
          <w:trHeight w:val="155"/>
        </w:trPr>
        <w:tc>
          <w:tcPr>
            <w:tcW w:w="364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5"/>
                <w:szCs w:val="15"/>
                <w:color w:val="auto"/>
              </w:rPr>
              <w:t>Derivatives in Cash Flow Hedging Relationships:</w:t>
            </w: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r>
      <w:tr>
        <w:trPr>
          <w:trHeight w:val="162"/>
        </w:trPr>
        <w:tc>
          <w:tcPr>
            <w:tcW w:w="3640" w:type="dxa"/>
            <w:vAlign w:val="bottom"/>
          </w:tcPr>
          <w:p>
            <w:pPr>
              <w:ind w:left="20"/>
              <w:spacing w:after="0" w:line="162" w:lineRule="exact"/>
              <w:rPr>
                <w:sz w:val="20"/>
                <w:szCs w:val="20"/>
                <w:color w:val="auto"/>
              </w:rPr>
            </w:pPr>
            <w:r>
              <w:rPr>
                <w:rFonts w:ascii="Arial" w:cs="Arial" w:eastAsia="Arial" w:hAnsi="Arial"/>
                <w:sz w:val="15"/>
                <w:szCs w:val="15"/>
                <w:color w:val="auto"/>
              </w:rPr>
              <w:t>Interest rate swaps</w:t>
            </w: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720" w:type="dxa"/>
            <w:vAlign w:val="bottom"/>
          </w:tcPr>
          <w:p>
            <w:pPr>
              <w:ind w:left="340"/>
              <w:spacing w:after="0" w:line="162" w:lineRule="exact"/>
              <w:rPr>
                <w:sz w:val="20"/>
                <w:szCs w:val="20"/>
                <w:color w:val="auto"/>
              </w:rPr>
            </w:pPr>
            <w:r>
              <w:rPr>
                <w:rFonts w:ascii="Arial" w:cs="Arial" w:eastAsia="Arial" w:hAnsi="Arial"/>
                <w:sz w:val="15"/>
                <w:szCs w:val="15"/>
                <w:color w:val="auto"/>
                <w:w w:val="95"/>
              </w:rPr>
              <w:t>1,955</w:t>
            </w:r>
          </w:p>
        </w:tc>
        <w:tc>
          <w:tcPr>
            <w:tcW w:w="40" w:type="dxa"/>
            <w:vAlign w:val="bottom"/>
          </w:tcPr>
          <w:p>
            <w:pPr>
              <w:spacing w:after="0"/>
              <w:rPr>
                <w:sz w:val="14"/>
                <w:szCs w:val="14"/>
                <w:color w:val="auto"/>
              </w:rPr>
            </w:pPr>
          </w:p>
        </w:tc>
        <w:tc>
          <w:tcPr>
            <w:tcW w:w="180" w:type="dxa"/>
            <w:vAlign w:val="bottom"/>
          </w:tcPr>
          <w:p>
            <w:pPr>
              <w:jc w:val="right"/>
              <w:ind w:right="24"/>
              <w:spacing w:after="0" w:line="162" w:lineRule="exact"/>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(39,958)</w:t>
            </w:r>
          </w:p>
        </w:tc>
        <w:tc>
          <w:tcPr>
            <w:tcW w:w="1480" w:type="dxa"/>
            <w:vAlign w:val="bottom"/>
            <w:gridSpan w:val="2"/>
          </w:tcPr>
          <w:p>
            <w:pPr>
              <w:jc w:val="center"/>
              <w:ind w:right="100"/>
              <w:spacing w:after="0" w:line="162" w:lineRule="exact"/>
              <w:rPr>
                <w:sz w:val="20"/>
                <w:szCs w:val="20"/>
                <w:color w:val="auto"/>
              </w:rPr>
            </w:pPr>
            <w:r>
              <w:rPr>
                <w:rFonts w:ascii="Arial" w:cs="Arial" w:eastAsia="Arial" w:hAnsi="Arial"/>
                <w:sz w:val="15"/>
                <w:szCs w:val="15"/>
                <w:color w:val="auto"/>
                <w:w w:val="88"/>
              </w:rPr>
              <w:t>Interest expense</w:t>
            </w:r>
          </w:p>
        </w:tc>
        <w:tc>
          <w:tcPr>
            <w:tcW w:w="12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920" w:type="dxa"/>
            <w:vAlign w:val="bottom"/>
            <w:gridSpan w:val="2"/>
          </w:tcPr>
          <w:p>
            <w:pPr>
              <w:ind w:left="320"/>
              <w:spacing w:after="0" w:line="162" w:lineRule="exact"/>
              <w:rPr>
                <w:sz w:val="20"/>
                <w:szCs w:val="20"/>
                <w:color w:val="auto"/>
              </w:rPr>
            </w:pPr>
            <w:r>
              <w:rPr>
                <w:rFonts w:ascii="Arial" w:cs="Arial" w:eastAsia="Arial" w:hAnsi="Arial"/>
                <w:sz w:val="15"/>
                <w:szCs w:val="15"/>
                <w:color w:val="auto"/>
              </w:rPr>
              <w:t>(16,501)</w:t>
            </w:r>
          </w:p>
        </w:tc>
        <w:tc>
          <w:tcPr>
            <w:tcW w:w="200" w:type="dxa"/>
            <w:vAlign w:val="bottom"/>
          </w:tcPr>
          <w:p>
            <w:pPr>
              <w:jc w:val="right"/>
              <w:ind w:right="44"/>
              <w:spacing w:after="0" w:line="162" w:lineRule="exact"/>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62" w:lineRule="exact"/>
              <w:rPr>
                <w:sz w:val="20"/>
                <w:szCs w:val="20"/>
                <w:color w:val="auto"/>
              </w:rPr>
            </w:pPr>
            <w:r>
              <w:rPr>
                <w:rFonts w:ascii="Arial" w:cs="Arial" w:eastAsia="Arial" w:hAnsi="Arial"/>
                <w:sz w:val="15"/>
                <w:szCs w:val="15"/>
                <w:color w:val="auto"/>
              </w:rPr>
              <w:t>(10,505)</w:t>
            </w:r>
          </w:p>
        </w:tc>
      </w:tr>
      <w:tr>
        <w:trPr>
          <w:trHeight w:val="155"/>
        </w:trPr>
        <w:tc>
          <w:tcPr>
            <w:tcW w:w="3640" w:type="dxa"/>
            <w:vAlign w:val="bottom"/>
            <w:tcBorders>
              <w:top w:val="single" w:sz="8" w:color="CCEEFF"/>
              <w:bottom w:val="single" w:sz="8" w:color="CCEEFF"/>
            </w:tcBorders>
            <w:shd w:val="clear" w:color="auto" w:fill="CCEEFF"/>
          </w:tcPr>
          <w:p>
            <w:pPr>
              <w:ind w:left="20"/>
              <w:spacing w:after="0" w:line="156" w:lineRule="exact"/>
              <w:rPr>
                <w:sz w:val="20"/>
                <w:szCs w:val="20"/>
                <w:color w:val="auto"/>
              </w:rPr>
            </w:pPr>
            <w:r>
              <w:rPr>
                <w:rFonts w:ascii="Arial" w:cs="Arial" w:eastAsia="Arial" w:hAnsi="Arial"/>
                <w:sz w:val="15"/>
                <w:szCs w:val="15"/>
                <w:color w:val="auto"/>
              </w:rPr>
              <w:t>Total derivatives</w:t>
            </w:r>
          </w:p>
        </w:tc>
        <w:tc>
          <w:tcPr>
            <w:tcW w:w="1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ind w:left="340"/>
              <w:spacing w:after="0" w:line="156" w:lineRule="exact"/>
              <w:rPr>
                <w:sz w:val="20"/>
                <w:szCs w:val="20"/>
                <w:color w:val="auto"/>
              </w:rPr>
            </w:pPr>
            <w:r>
              <w:rPr>
                <w:rFonts w:ascii="Arial" w:cs="Arial" w:eastAsia="Arial" w:hAnsi="Arial"/>
                <w:sz w:val="15"/>
                <w:szCs w:val="15"/>
                <w:color w:val="auto"/>
                <w:w w:val="95"/>
              </w:rPr>
              <w:t>1,955</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24"/>
              <w:spacing w:after="0" w:line="156" w:lineRule="exact"/>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(39,958)</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3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ind w:left="320"/>
              <w:spacing w:after="0" w:line="156" w:lineRule="exact"/>
              <w:rPr>
                <w:sz w:val="20"/>
                <w:szCs w:val="20"/>
                <w:color w:val="auto"/>
              </w:rPr>
            </w:pPr>
            <w:r>
              <w:rPr>
                <w:rFonts w:ascii="Arial" w:cs="Arial" w:eastAsia="Arial" w:hAnsi="Arial"/>
                <w:sz w:val="15"/>
                <w:szCs w:val="15"/>
                <w:color w:val="auto"/>
                <w:w w:val="89"/>
              </w:rPr>
              <w:t>(16,501)</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44"/>
              <w:spacing w:after="0" w:line="156" w:lineRule="exact"/>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(10,505)</w:t>
            </w:r>
          </w:p>
        </w:tc>
      </w:tr>
      <w:tr>
        <w:trPr>
          <w:trHeight w:val="20"/>
        </w:trPr>
        <w:tc>
          <w:tcPr>
            <w:tcW w:w="3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499"/>
        <w:spacing w:after="0" w:line="263" w:lineRule="auto"/>
        <w:rPr>
          <w:sz w:val="20"/>
          <w:szCs w:val="20"/>
          <w:color w:val="auto"/>
        </w:rPr>
      </w:pPr>
      <w:r>
        <w:rPr>
          <w:rFonts w:ascii="Arial" w:cs="Arial" w:eastAsia="Arial" w:hAnsi="Arial"/>
          <w:sz w:val="18"/>
          <w:szCs w:val="18"/>
          <w:color w:val="auto"/>
        </w:rPr>
        <w:t>Reclassifications from accumulated other comprehensive loss for interest rate swaps are shown in the table above and included in interest expense. Total consolidated interest expense for 2021, 2020 and 2019 was $125.3 million, $115.8 million and $131.6 million, respectively.</w:t>
      </w:r>
    </w:p>
    <w:p>
      <w:pPr>
        <w:spacing w:after="0" w:line="157" w:lineRule="exact"/>
        <w:rPr>
          <w:sz w:val="20"/>
          <w:szCs w:val="20"/>
          <w:color w:val="auto"/>
        </w:rPr>
      </w:pPr>
    </w:p>
    <w:p>
      <w:pPr>
        <w:ind w:left="60" w:right="219"/>
        <w:spacing w:after="0" w:line="254" w:lineRule="auto"/>
        <w:rPr>
          <w:sz w:val="20"/>
          <w:szCs w:val="20"/>
          <w:color w:val="auto"/>
        </w:rPr>
      </w:pPr>
      <w:r>
        <w:rPr>
          <w:rFonts w:ascii="Arial" w:cs="Arial" w:eastAsia="Arial" w:hAnsi="Arial"/>
          <w:sz w:val="18"/>
          <w:szCs w:val="18"/>
          <w:color w:val="auto"/>
        </w:rPr>
        <w:t>At December 31, 2021, the fair value of derivatives in a net liability position including accrued interest but excluding any adjustment for nonperformance risk related to these agreements was $10.5 million. As of December 31, 2021, the Company has not posted any collateral related to these agreements and was not in breach of any agreement provisions. If the Company had breached any of these provisions, it could have been required to settle its obligations under the agreements at the aggregate termination value of $10.5 million. In addition, the Company has an agreement with its derivative counterparty that contains a provision whereby the Company could be declared in default on its derivative obligations if repayment of the underlying indebtedness is accelerated by the lender due to the Company’s default on the indebtedness.</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Deferred Management Rights Proceeds</w:t>
      </w:r>
    </w:p>
    <w:p>
      <w:pPr>
        <w:spacing w:after="0" w:line="229" w:lineRule="exact"/>
        <w:rPr>
          <w:sz w:val="20"/>
          <w:szCs w:val="20"/>
          <w:color w:val="auto"/>
        </w:rPr>
      </w:pPr>
    </w:p>
    <w:p>
      <w:pPr>
        <w:ind w:left="60" w:right="259"/>
        <w:spacing w:after="0" w:line="254" w:lineRule="auto"/>
        <w:rPr>
          <w:sz w:val="20"/>
          <w:szCs w:val="20"/>
          <w:color w:val="auto"/>
        </w:rPr>
      </w:pPr>
      <w:r>
        <w:rPr>
          <w:rFonts w:ascii="Arial" w:cs="Arial" w:eastAsia="Arial" w:hAnsi="Arial"/>
          <w:sz w:val="18"/>
          <w:szCs w:val="18"/>
          <w:color w:val="auto"/>
        </w:rPr>
        <w:t>On October 1, 2012, the Company consummated its agreement to sell the Gaylord Hotels brand and rights to manage the Gaylord Hotels properties (the “Management Rights”) to Marriott for $210.0 million in cash. Effective October 1, 2012, Marriott assumed responsibility for managing the day-to-day operations of the Gaylord Hotels properties pursuant to a management agreement for each such property. The Company allocated $190.0 million of the purchase price to the Management Rights, based on the Company’s estimates of the fair values for the respective components. For financial reporting purposes, the amount related to the Management Rights was deferred and is amortized on a straight-line basis over the 65-year term of the hotel management agreements, including extensions, as a reduction in management fee expense.</w:t>
      </w:r>
    </w:p>
    <w:p>
      <w:pPr>
        <w:spacing w:after="0" w:line="192" w:lineRule="exact"/>
        <w:rPr>
          <w:sz w:val="20"/>
          <w:szCs w:val="20"/>
          <w:color w:val="auto"/>
        </w:rPr>
      </w:pPr>
    </w:p>
    <w:p>
      <w:pPr>
        <w:ind w:left="60" w:right="419"/>
        <w:spacing w:after="0" w:line="311" w:lineRule="auto"/>
        <w:rPr>
          <w:sz w:val="20"/>
          <w:szCs w:val="20"/>
          <w:color w:val="auto"/>
        </w:rPr>
      </w:pPr>
      <w:r>
        <w:rPr>
          <w:rFonts w:ascii="Arial" w:cs="Arial" w:eastAsia="Arial" w:hAnsi="Arial"/>
          <w:sz w:val="16"/>
          <w:szCs w:val="16"/>
          <w:color w:val="auto"/>
        </w:rPr>
        <w:t>In addition, Gaylord Rockies sold its management rights to Marriott for $4.9 million, which was also deferred and is amortized on a straight-line basis over the 70-year term of the hotel management agreement, including extensions, as a reduction in management fee expense in the accompanying consolidated statements of operations.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Leases</w:t>
      </w:r>
    </w:p>
    <w:p>
      <w:pPr>
        <w:spacing w:after="0" w:line="229" w:lineRule="exact"/>
        <w:rPr>
          <w:sz w:val="20"/>
          <w:szCs w:val="20"/>
          <w:color w:val="auto"/>
        </w:rPr>
      </w:pPr>
    </w:p>
    <w:p>
      <w:pPr>
        <w:ind w:left="60" w:right="79"/>
        <w:spacing w:after="0" w:line="254" w:lineRule="auto"/>
        <w:rPr>
          <w:sz w:val="20"/>
          <w:szCs w:val="20"/>
          <w:color w:val="auto"/>
        </w:rPr>
      </w:pPr>
      <w:r>
        <w:rPr>
          <w:rFonts w:ascii="Arial" w:cs="Arial" w:eastAsia="Arial" w:hAnsi="Arial"/>
          <w:sz w:val="18"/>
          <w:szCs w:val="18"/>
          <w:color w:val="auto"/>
        </w:rPr>
        <w:t>The Company is a lessee of a 65.3 acre site in Osceola County, Florida on which Gaylord Palms is located, building or land leases for Ole Red Gatlinburg, Ole Red Orlando, Ole Red Tishomingo and Ole Red Nashville International Airport, various warehouse, general office and other equipment leases. The Gaylord Palms land lease has a term through 2074, which may be extended through January 2101, at the Company’s discretion. The leases for Ole Red locations range from five to ten years, with renewal options ranging from five to fifty-five years, at the Company’s discretion. Extension options are not considered reasonably assured and thus are not included in the Company’s calculation of its right-of-use assets and liabilities.</w:t>
      </w:r>
    </w:p>
    <w:p>
      <w:pPr>
        <w:spacing w:after="0" w:line="195" w:lineRule="exact"/>
        <w:rPr>
          <w:sz w:val="20"/>
          <w:szCs w:val="20"/>
          <w:color w:val="auto"/>
        </w:rPr>
      </w:pPr>
    </w:p>
    <w:p>
      <w:pPr>
        <w:ind w:left="60" w:right="139"/>
        <w:spacing w:after="0" w:line="257" w:lineRule="auto"/>
        <w:rPr>
          <w:sz w:val="20"/>
          <w:szCs w:val="20"/>
          <w:color w:val="auto"/>
        </w:rPr>
      </w:pPr>
      <w:r>
        <w:rPr>
          <w:rFonts w:ascii="Arial" w:cs="Arial" w:eastAsia="Arial" w:hAnsi="Arial"/>
          <w:sz w:val="18"/>
          <w:szCs w:val="18"/>
          <w:color w:val="auto"/>
        </w:rPr>
        <w:t>The terms of the Gaylord Palms lease include variable lease payments based upon net revenues at Gaylord Palms and certain other of the Company’s leases include rental payments adjusted periodically for inflation. The Company recorded $1.8 million, $0.7 million and $2.5 million of contingent rental expense related to Gaylord Palms in 2021, 2020 and 2019, respectively. The Company’s lease agreements do not contain any material residual value guarantees or material restrictive covenants.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5" w:name="page106"/>
    <w:bookmarkEnd w:id="10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75" w:lineRule="auto"/>
        <w:rPr>
          <w:sz w:val="20"/>
          <w:szCs w:val="20"/>
          <w:color w:val="auto"/>
        </w:rPr>
      </w:pPr>
      <w:r>
        <w:rPr>
          <w:rFonts w:ascii="Arial" w:cs="Arial" w:eastAsia="Arial" w:hAnsi="Arial"/>
          <w:sz w:val="17"/>
          <w:szCs w:val="17"/>
          <w:color w:val="auto"/>
        </w:rPr>
        <w:t>As the discount rate implicit in the Company’s operating leases is not readily determinable, the Company applied judgments related to the determination of the discount rates used to calculate the lease liability as required by Accounting Standards Codification Topic 842, “</w:t>
      </w:r>
      <w:r>
        <w:rPr>
          <w:rFonts w:ascii="Arial" w:cs="Arial" w:eastAsia="Arial" w:hAnsi="Arial"/>
          <w:sz w:val="17"/>
          <w:szCs w:val="17"/>
          <w:i w:val="1"/>
          <w:iCs w:val="1"/>
          <w:color w:val="auto"/>
        </w:rPr>
        <w:t>Leases</w:t>
      </w:r>
      <w:r>
        <w:rPr>
          <w:rFonts w:ascii="Arial" w:cs="Arial" w:eastAsia="Arial" w:hAnsi="Arial"/>
          <w:sz w:val="17"/>
          <w:szCs w:val="17"/>
          <w:color w:val="auto"/>
        </w:rPr>
        <w:t>”. The Company calculated its incremental borrowing rates by utilizing judgments and estimates regarding the Company’s secured borrowing rates, market credit rating, comparable bond yield curve, and adjustments to market yield curves to determine a securitized rate.</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Company’s lease cost for the years ended December 31 is as follows (in thousands):</w:t>
      </w:r>
    </w:p>
    <w:p>
      <w:pPr>
        <w:spacing w:after="0" w:line="298"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6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2019</w:t>
            </w:r>
          </w:p>
        </w:tc>
      </w:tr>
      <w:tr>
        <w:trPr>
          <w:trHeight w:val="209"/>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12,016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13,877</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Finance lease cost:</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4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right-of-use assets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16"/>
        </w:trPr>
        <w:tc>
          <w:tcPr>
            <w:tcW w:w="46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Interest on lease liabilities</w:t>
            </w: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r>
      <w:tr>
        <w:trPr>
          <w:trHeight w:val="209"/>
        </w:trPr>
        <w:tc>
          <w:tcPr>
            <w:tcW w:w="4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lease cost</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13,384</w:t>
            </w: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12,213</w:t>
            </w: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14,097</w:t>
            </w:r>
          </w:p>
        </w:tc>
      </w:tr>
      <w:tr>
        <w:trPr>
          <w:trHeight w:val="20"/>
        </w:trPr>
        <w:tc>
          <w:tcPr>
            <w:tcW w:w="4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7"/>
          <w:szCs w:val="17"/>
          <w:color w:val="auto"/>
        </w:rPr>
        <w:t>Future minimum lease payments under non-cancelable leases at December 31, 2021 are as follows (in thousands):</w:t>
      </w:r>
    </w:p>
    <w:p>
      <w:pPr>
        <w:spacing w:after="0" w:line="22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b w:val="1"/>
                <w:bCs w:val="1"/>
                <w:color w:val="auto"/>
                <w:w w:val="93"/>
              </w:rPr>
              <w:t>Operating</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6"/>
              </w:rPr>
              <w:t>Finance</w:t>
            </w:r>
          </w:p>
        </w:tc>
        <w:tc>
          <w:tcPr>
            <w:tcW w:w="0" w:type="dxa"/>
            <w:vAlign w:val="bottom"/>
          </w:tcPr>
          <w:p>
            <w:pPr>
              <w:spacing w:after="0"/>
              <w:rPr>
                <w:sz w:val="1"/>
                <w:szCs w:val="1"/>
                <w:color w:val="auto"/>
              </w:rPr>
            </w:pPr>
          </w:p>
        </w:tc>
      </w:tr>
      <w:tr>
        <w:trPr>
          <w:trHeight w:val="171"/>
        </w:trPr>
        <w:tc>
          <w:tcPr>
            <w:tcW w:w="940" w:type="dxa"/>
            <w:vAlign w:val="bottom"/>
          </w:tcPr>
          <w:p>
            <w:pPr>
              <w:spacing w:after="0"/>
              <w:rPr>
                <w:sz w:val="14"/>
                <w:szCs w:val="14"/>
                <w:color w:val="auto"/>
              </w:rPr>
            </w:pPr>
          </w:p>
        </w:tc>
        <w:tc>
          <w:tcPr>
            <w:tcW w:w="52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Leases</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84"/>
              </w:rPr>
              <w:t>Leases</w:t>
            </w:r>
          </w:p>
        </w:tc>
        <w:tc>
          <w:tcPr>
            <w:tcW w:w="0" w:type="dxa"/>
            <w:vAlign w:val="bottom"/>
          </w:tcPr>
          <w:p>
            <w:pPr>
              <w:spacing w:after="0"/>
              <w:rPr>
                <w:sz w:val="1"/>
                <w:szCs w:val="1"/>
                <w:color w:val="auto"/>
              </w:rPr>
            </w:pPr>
          </w:p>
        </w:tc>
      </w:tr>
      <w:tr>
        <w:trPr>
          <w:trHeight w:val="209"/>
        </w:trPr>
        <w:tc>
          <w:tcPr>
            <w:tcW w:w="940" w:type="dxa"/>
            <w:vAlign w:val="bottom"/>
            <w:tcBorders>
              <w:right w:val="single" w:sz="8" w:color="CCEEFF"/>
            </w:tcBorders>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Year 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Year 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6,775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right w:val="single" w:sz="8" w:color="CCEEFF"/>
            </w:tcBorders>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Year 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Year 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6,602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right w:val="single" w:sz="8" w:color="CCEEFF"/>
            </w:tcBorders>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Year 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Years thereafter</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565,152</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Borders>
              <w:right w:val="single" w:sz="8" w:color="CCEEFF"/>
            </w:tcBorders>
          </w:tcPr>
          <w:p>
            <w:pPr>
              <w:spacing w:after="0"/>
              <w:rPr>
                <w:sz w:val="18"/>
                <w:szCs w:val="18"/>
                <w:color w:val="auto"/>
              </w:rPr>
            </w:pPr>
          </w:p>
        </w:tc>
        <w:tc>
          <w:tcPr>
            <w:tcW w:w="5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 future minimum lease payments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598,451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amount representing interest</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(484,681)</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0"/>
        </w:trPr>
        <w:tc>
          <w:tcPr>
            <w:tcW w:w="940" w:type="dxa"/>
            <w:vAlign w:val="bottom"/>
            <w:tcBorders>
              <w:right w:val="single" w:sz="8" w:color="CCEEFF"/>
            </w:tcBorders>
          </w:tcPr>
          <w:p>
            <w:pPr>
              <w:spacing w:after="0"/>
              <w:rPr>
                <w:sz w:val="18"/>
                <w:szCs w:val="18"/>
                <w:color w:val="auto"/>
              </w:rPr>
            </w:pPr>
          </w:p>
        </w:tc>
        <w:tc>
          <w:tcPr>
            <w:tcW w:w="5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 present value of minimum payments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113,770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CCEEFF"/>
            </w:tcBorders>
          </w:tcPr>
          <w:p>
            <w:pPr>
              <w:spacing w:after="0" w:line="20" w:lineRule="exact"/>
              <w:rPr>
                <w:sz w:val="1"/>
                <w:szCs w:val="1"/>
                <w:color w:val="auto"/>
              </w:rPr>
            </w:pPr>
          </w:p>
        </w:tc>
        <w:tc>
          <w:tcPr>
            <w:tcW w:w="5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w w:val="91"/>
              </w:rPr>
              <w:t>The remaining lease term and discount rate for the Company’s leases are as follows:</w:t>
            </w: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lease term:</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Operating leases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w w:val="85"/>
              </w:rPr>
              <w:t>48.1 years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Finance leases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5"/>
              </w:rPr>
              <w:t>10.6 years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leases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3"/>
            <w:shd w:val="clear" w:color="auto" w:fill="CCEEFF"/>
          </w:tcPr>
          <w:p>
            <w:pPr>
              <w:jc w:val="right"/>
              <w:ind w:right="173"/>
              <w:spacing w:after="0"/>
              <w:rPr>
                <w:sz w:val="20"/>
                <w:szCs w:val="20"/>
                <w:color w:val="auto"/>
              </w:rPr>
            </w:pPr>
            <w:r>
              <w:rPr>
                <w:rFonts w:ascii="Arial" w:cs="Arial" w:eastAsia="Arial" w:hAnsi="Arial"/>
                <w:sz w:val="18"/>
                <w:szCs w:val="18"/>
                <w:color w:val="auto"/>
              </w:rPr>
              <w:t>6.8 %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Finance leases</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gridSpan w:val="3"/>
          </w:tcPr>
          <w:p>
            <w:pPr>
              <w:jc w:val="right"/>
              <w:ind w:right="173"/>
              <w:spacing w:after="0"/>
              <w:rPr>
                <w:sz w:val="20"/>
                <w:szCs w:val="20"/>
                <w:color w:val="auto"/>
              </w:rPr>
            </w:pPr>
            <w:r>
              <w:rPr>
                <w:rFonts w:ascii="Arial" w:cs="Arial" w:eastAsia="Arial" w:hAnsi="Arial"/>
                <w:sz w:val="18"/>
                <w:szCs w:val="18"/>
                <w:color w:val="auto"/>
              </w:rPr>
              <w:t>4.0 %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Stock Plans</w:t>
      </w:r>
    </w:p>
    <w:p>
      <w:pPr>
        <w:spacing w:after="0" w:line="229" w:lineRule="exact"/>
        <w:rPr>
          <w:sz w:val="20"/>
          <w:szCs w:val="20"/>
          <w:color w:val="auto"/>
        </w:rPr>
      </w:pPr>
    </w:p>
    <w:p>
      <w:pPr>
        <w:jc w:val="both"/>
        <w:ind w:left="60" w:right="339"/>
        <w:spacing w:after="0" w:line="259" w:lineRule="auto"/>
        <w:rPr>
          <w:sz w:val="20"/>
          <w:szCs w:val="20"/>
          <w:color w:val="auto"/>
        </w:rPr>
      </w:pPr>
      <w:r>
        <w:rPr>
          <w:rFonts w:ascii="Arial" w:cs="Arial" w:eastAsia="Arial" w:hAnsi="Arial"/>
          <w:sz w:val="18"/>
          <w:szCs w:val="18"/>
          <w:color w:val="auto"/>
        </w:rPr>
        <w:t>The Company’s 2016 Omnibus Incentive Plan (the “Plan”) permits the grant of stock options, stock appreciation rights, restricted stock, restricted stock units, performance awards and other share-based awards to its directors, employees and consultants. At December 31, 2021, approximately 0.8 million shares of common stock remained available for issuance pursuant to future grants of awards under the Plan.</w:t>
      </w:r>
    </w:p>
    <w:p>
      <w:pPr>
        <w:spacing w:after="0" w:line="187" w:lineRule="exact"/>
        <w:rPr>
          <w:sz w:val="20"/>
          <w:szCs w:val="20"/>
          <w:color w:val="auto"/>
        </w:rPr>
      </w:pPr>
    </w:p>
    <w:p>
      <w:pPr>
        <w:ind w:left="60" w:right="59"/>
        <w:spacing w:after="0" w:line="272" w:lineRule="auto"/>
        <w:rPr>
          <w:sz w:val="20"/>
          <w:szCs w:val="20"/>
          <w:color w:val="auto"/>
        </w:rPr>
      </w:pPr>
      <w:r>
        <w:rPr>
          <w:rFonts w:ascii="Arial" w:cs="Arial" w:eastAsia="Arial" w:hAnsi="Arial"/>
          <w:sz w:val="17"/>
          <w:szCs w:val="17"/>
          <w:color w:val="auto"/>
        </w:rPr>
        <w:t>Restricted stock units granted to employees vest one to four years from the date of grant, and restricted stock units granted to non-employee directors vest one year from the date of grant, unless the recipient chooses to defer the vesting for a period of time. Depending on the type of award, the fair value of restricted stock units is determined either based on the market price of the Company’s stock at the date of grant or based on a Monte-Carlo valuation. Forfeitures are estimated based on historical experience. The Company generally records compensation expense equal to the fair value of each restricted stock unit granted over the vesting period. The weighted-average grant-date fair value of restricted stock units granted during 2021, 2020, and 2019 was $73.96, $84.26, and $89.29, respectively.</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6" w:name="page107"/>
    <w:bookmarkEnd w:id="10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277" w:lineRule="auto"/>
        <w:rPr>
          <w:sz w:val="20"/>
          <w:szCs w:val="20"/>
          <w:color w:val="auto"/>
        </w:rPr>
      </w:pPr>
      <w:r>
        <w:rPr>
          <w:rFonts w:ascii="Arial" w:cs="Arial" w:eastAsia="Arial" w:hAnsi="Arial"/>
          <w:sz w:val="18"/>
          <w:szCs w:val="18"/>
          <w:color w:val="auto"/>
        </w:rPr>
        <w:t>A summary of the status of the Company’s restricted stock units as of December 31, 2021 and changes during the year ended December 31, 2021, is presented below:</w:t>
      </w:r>
    </w:p>
    <w:p>
      <w:pPr>
        <w:spacing w:after="0" w:line="16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5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Restricted Stock Units</w:t>
            </w:r>
          </w:p>
        </w:tc>
        <w:tc>
          <w:tcPr>
            <w:tcW w:w="76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Shares</w:t>
            </w:r>
          </w:p>
        </w:tc>
        <w:tc>
          <w:tcPr>
            <w:tcW w:w="860" w:type="dxa"/>
            <w:vAlign w:val="bottom"/>
            <w:gridSpan w:val="2"/>
          </w:tcPr>
          <w:p>
            <w:pPr>
              <w:jc w:val="center"/>
              <w:ind w:left="54"/>
              <w:spacing w:after="0" w:line="149"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71"/>
        </w:trPr>
        <w:tc>
          <w:tcPr>
            <w:tcW w:w="5500" w:type="dxa"/>
            <w:vAlign w:val="bottom"/>
            <w:gridSpan w:val="3"/>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Nonvested shares at January 1, 2021</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359,903</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78.41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760" w:type="dxa"/>
            <w:vAlign w:val="bottom"/>
          </w:tcPr>
          <w:p>
            <w:pPr>
              <w:jc w:val="right"/>
              <w:spacing w:after="0"/>
              <w:rPr>
                <w:sz w:val="20"/>
                <w:szCs w:val="20"/>
                <w:color w:val="auto"/>
              </w:rPr>
            </w:pPr>
            <w:r>
              <w:rPr>
                <w:rFonts w:ascii="Arial" w:cs="Arial" w:eastAsia="Arial" w:hAnsi="Arial"/>
                <w:sz w:val="18"/>
                <w:szCs w:val="18"/>
                <w:color w:val="auto"/>
              </w:rPr>
              <w:t>336,199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(127,419)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Canceled</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(7,467)</w:t>
            </w:r>
          </w:p>
        </w:tc>
        <w:tc>
          <w:tcPr>
            <w:tcW w:w="8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Nonvested shares at December 31, 2021</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561,216</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499"/>
        <w:spacing w:after="0" w:line="277" w:lineRule="auto"/>
        <w:rPr>
          <w:sz w:val="20"/>
          <w:szCs w:val="20"/>
          <w:color w:val="auto"/>
        </w:rPr>
      </w:pPr>
      <w:r>
        <w:rPr>
          <w:rFonts w:ascii="Arial" w:cs="Arial" w:eastAsia="Arial" w:hAnsi="Arial"/>
          <w:sz w:val="18"/>
          <w:szCs w:val="18"/>
          <w:color w:val="auto"/>
        </w:rPr>
        <w:t>The fair value of all restricted stock units that vested during 2021, 2020 and 2019 was $10.6 million, $4.9 million and $12.7 million, respectively.</w:t>
      </w:r>
    </w:p>
    <w:p>
      <w:pPr>
        <w:spacing w:after="0" w:line="170" w:lineRule="exact"/>
        <w:rPr>
          <w:sz w:val="20"/>
          <w:szCs w:val="20"/>
          <w:color w:val="auto"/>
        </w:rPr>
      </w:pPr>
    </w:p>
    <w:p>
      <w:pPr>
        <w:ind w:left="60" w:right="59"/>
        <w:spacing w:after="0" w:line="263" w:lineRule="auto"/>
        <w:rPr>
          <w:sz w:val="20"/>
          <w:szCs w:val="20"/>
          <w:color w:val="auto"/>
        </w:rPr>
      </w:pPr>
      <w:r>
        <w:rPr>
          <w:rFonts w:ascii="Arial" w:cs="Arial" w:eastAsia="Arial" w:hAnsi="Arial"/>
          <w:sz w:val="18"/>
          <w:szCs w:val="18"/>
          <w:color w:val="auto"/>
        </w:rPr>
        <w:t>At December 31, 2021, there was $26.4 million of total unrecognized compensation cost related to restricted stock units granted under the Company’s equity incentive plans. That cost is expected to be recognized over a weighted-average period of 2.3 years.</w:t>
      </w:r>
    </w:p>
    <w:p>
      <w:pPr>
        <w:spacing w:after="0" w:line="184" w:lineRule="exact"/>
        <w:rPr>
          <w:sz w:val="20"/>
          <w:szCs w:val="20"/>
          <w:color w:val="auto"/>
        </w:rPr>
      </w:pPr>
    </w:p>
    <w:p>
      <w:pPr>
        <w:ind w:left="60" w:right="79"/>
        <w:spacing w:after="0" w:line="301" w:lineRule="auto"/>
        <w:rPr>
          <w:sz w:val="20"/>
          <w:szCs w:val="20"/>
          <w:color w:val="auto"/>
        </w:rPr>
      </w:pPr>
      <w:r>
        <w:rPr>
          <w:rFonts w:ascii="Arial" w:cs="Arial" w:eastAsia="Arial" w:hAnsi="Arial"/>
          <w:sz w:val="16"/>
          <w:szCs w:val="16"/>
          <w:color w:val="auto"/>
        </w:rPr>
        <w:t>The compensation cost that has been charged against pre-tax income for all of the Company’s stock-based compensation plans was $12.1 million, $8.7 million, and $7.8 million for 2021, 2020, and 2019, respectively. The total income tax benefit recognized in the accompanying consolidated statements of operations for all of the Company’s stock-based employee compensation plans was $2.9 million, $2.1 million, and $1.8 million for 2021, 2020, and 2019, respectively.</w:t>
      </w:r>
    </w:p>
    <w:p>
      <w:pPr>
        <w:spacing w:after="0" w:line="157" w:lineRule="exact"/>
        <w:rPr>
          <w:sz w:val="20"/>
          <w:szCs w:val="20"/>
          <w:color w:val="auto"/>
        </w:rPr>
      </w:pPr>
    </w:p>
    <w:p>
      <w:pPr>
        <w:ind w:left="60" w:right="159"/>
        <w:spacing w:after="0" w:line="311" w:lineRule="auto"/>
        <w:rPr>
          <w:sz w:val="20"/>
          <w:szCs w:val="20"/>
          <w:color w:val="auto"/>
        </w:rPr>
      </w:pPr>
      <w:r>
        <w:rPr>
          <w:rFonts w:ascii="Arial" w:cs="Arial" w:eastAsia="Arial" w:hAnsi="Arial"/>
          <w:sz w:val="16"/>
          <w:szCs w:val="16"/>
          <w:color w:val="auto"/>
        </w:rPr>
        <w:t>The actual tax benefit (expense) realized from exercise, vesting or cancellation of the stock-based employee compensation arrangements during 2021, 2020, and 2019 totaled $0.4 million, $(0.7) million, and $1.5 million, respectively, and is reflected as an adjustment to deferred tax liabilities in the accompanying consolidated balance sheets.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Pension Plans</w:t>
      </w:r>
    </w:p>
    <w:p>
      <w:pPr>
        <w:spacing w:after="0" w:line="229" w:lineRule="exact"/>
        <w:rPr>
          <w:sz w:val="20"/>
          <w:szCs w:val="20"/>
          <w:color w:val="auto"/>
        </w:rPr>
      </w:pPr>
    </w:p>
    <w:p>
      <w:pPr>
        <w:ind w:left="60" w:right="59"/>
        <w:spacing w:after="0" w:line="286" w:lineRule="auto"/>
        <w:rPr>
          <w:sz w:val="20"/>
          <w:szCs w:val="20"/>
          <w:color w:val="auto"/>
        </w:rPr>
      </w:pPr>
      <w:r>
        <w:rPr>
          <w:rFonts w:ascii="Arial" w:cs="Arial" w:eastAsia="Arial" w:hAnsi="Arial"/>
          <w:sz w:val="16"/>
          <w:szCs w:val="16"/>
          <w:color w:val="auto"/>
        </w:rPr>
        <w:t>Prior to January 1, 2001, the Company maintained a noncontributory defined benefit pension plan in which substantially all of its employees were eligible to participate upon meeting the pension plan’s participation requirements. The benefits were based on years of service and compensation levels. On December 31, 2000, benefits credited under the plan’s previous formula were frozen. On January 1, 2001, the Company amended its defined benefit pension plan to determine future benefits using a cash balance formula. Under the cash formula, each participant had an account which was credited monthly with 3% of qualified earnings and the interest earned on their previous month-end cash balance. In addition, the Company included a “grandfather” clause which assures that those participating at January 1, 2001 will receive the greater of the benefit calculated under the cash balance plan and the benefit that would have been payable if the defined benefit plan had remained in existence. The benefit payable to a terminated vested participant upon retirement at age 65, or as early as age 55 if the participant had 15 years of service at the time the plan was frozen, is equal to the participant’s account balance, which increases with interest credits over time. At retirement, the employee generally receives the balance in the account as a lump sum. The funding policy of the Company is to contribute annually an amount which equals or exceeds the minimum required by applicable law. On December 31, 2001, the plan was frozen such that no new participants were allowed to enter the plan and existing participants were no longer eligible to earn service credits.</w:t>
      </w:r>
    </w:p>
    <w:p>
      <w:pPr>
        <w:spacing w:after="0" w:line="171" w:lineRule="exact"/>
        <w:rPr>
          <w:sz w:val="20"/>
          <w:szCs w:val="20"/>
          <w:color w:val="auto"/>
        </w:rPr>
      </w:pPr>
    </w:p>
    <w:p>
      <w:pPr>
        <w:ind w:left="60" w:right="119"/>
        <w:spacing w:after="0" w:line="311" w:lineRule="auto"/>
        <w:rPr>
          <w:sz w:val="20"/>
          <w:szCs w:val="20"/>
          <w:color w:val="auto"/>
        </w:rPr>
      </w:pPr>
      <w:r>
        <w:rPr>
          <w:rFonts w:ascii="Arial" w:cs="Arial" w:eastAsia="Arial" w:hAnsi="Arial"/>
          <w:sz w:val="16"/>
          <w:szCs w:val="16"/>
          <w:color w:val="auto"/>
        </w:rPr>
        <w:t>As a result of increased lump-sum distributions from the retirement plan during 2021, 2020 and 2019, net settlement losses of $1.4 million, $1.7 million and $1.9 million were recognized in 2021, 2020 and 2019, respectively. These settlement losses have been classified as other gains and (losses), net in the accompanying consolidated statements of operations.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7" w:name="page108"/>
    <w:bookmarkEnd w:id="10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sets forth the funded status of the retirement plan at December 31 (amounts in thousands):</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78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152"/>
              <w:spacing w:after="0"/>
              <w:rPr>
                <w:sz w:val="20"/>
                <w:szCs w:val="20"/>
                <w:color w:val="auto"/>
              </w:rPr>
            </w:pPr>
            <w:r>
              <w:rPr>
                <w:rFonts w:ascii="Arial" w:cs="Arial" w:eastAsia="Arial" w:hAnsi="Arial"/>
                <w:sz w:val="14"/>
                <w:szCs w:val="14"/>
                <w:b w:val="1"/>
                <w:bCs w:val="1"/>
                <w:color w:val="auto"/>
              </w:rPr>
              <w:t>2020</w:t>
            </w:r>
          </w:p>
        </w:tc>
      </w:tr>
      <w:tr>
        <w:trPr>
          <w:trHeight w:val="209"/>
        </w:trPr>
        <w:tc>
          <w:tcPr>
            <w:tcW w:w="20" w:type="dxa"/>
            <w:vAlign w:val="bottom"/>
          </w:tcPr>
          <w:p>
            <w:pPr>
              <w:spacing w:after="0"/>
              <w:rPr>
                <w:sz w:val="18"/>
                <w:szCs w:val="18"/>
                <w:color w:val="auto"/>
              </w:rPr>
            </w:pPr>
          </w:p>
        </w:tc>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CHANGE IN BENEFIT OBLIGATION:</w:t>
            </w:r>
          </w:p>
        </w:tc>
        <w:tc>
          <w:tcPr>
            <w:tcW w:w="1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Benefit obligation at beginning of year</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$ 86,748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82,518</w:t>
            </w: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cost</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w:t>
            </w: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Actuarial (gain) loss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(4,547)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8,568</w:t>
            </w: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Benefits paid</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(7,236)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(6,307)</w:t>
            </w:r>
          </w:p>
        </w:tc>
      </w:tr>
      <w:tr>
        <w:trPr>
          <w:trHeight w:val="209"/>
        </w:trPr>
        <w:tc>
          <w:tcPr>
            <w:tcW w:w="20" w:type="dxa"/>
            <w:vAlign w:val="bottom"/>
          </w:tcPr>
          <w:p>
            <w:pPr>
              <w:spacing w:after="0"/>
              <w:rPr>
                <w:sz w:val="18"/>
                <w:szCs w:val="18"/>
                <w:color w:val="auto"/>
              </w:rPr>
            </w:pPr>
          </w:p>
        </w:tc>
        <w:tc>
          <w:tcPr>
            <w:tcW w:w="44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Benefit obligation at end of year</w:t>
            </w:r>
          </w:p>
        </w:tc>
        <w:tc>
          <w:tcPr>
            <w:tcW w:w="110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76,680</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86,748</w:t>
            </w:r>
          </w:p>
        </w:tc>
      </w:tr>
      <w:tr>
        <w:trPr>
          <w:trHeight w:val="210"/>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PLAN ASSETS:</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Fair value of plan assets at beginning of year</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71,221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66,000</w:t>
            </w: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Actual return on plan assets</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9,801</w:t>
            </w: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Employer contributions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299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1,727</w:t>
            </w: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Benefits paid</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(7,236)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(6,307)</w:t>
            </w:r>
          </w:p>
        </w:tc>
      </w:tr>
      <w:tr>
        <w:trPr>
          <w:trHeight w:val="210"/>
        </w:trPr>
        <w:tc>
          <w:tcPr>
            <w:tcW w:w="20" w:type="dxa"/>
            <w:vAlign w:val="bottom"/>
          </w:tcPr>
          <w:p>
            <w:pPr>
              <w:spacing w:after="0"/>
              <w:rPr>
                <w:sz w:val="18"/>
                <w:szCs w:val="18"/>
                <w:color w:val="auto"/>
              </w:rPr>
            </w:pPr>
          </w:p>
        </w:tc>
        <w:tc>
          <w:tcPr>
            <w:tcW w:w="44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Fair value of plan assets at end of year</w:t>
            </w:r>
          </w:p>
        </w:tc>
        <w:tc>
          <w:tcPr>
            <w:tcW w:w="110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72,486</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71,221</w:t>
            </w:r>
          </w:p>
        </w:tc>
      </w:tr>
      <w:tr>
        <w:trPr>
          <w:trHeight w:val="209"/>
        </w:trPr>
        <w:tc>
          <w:tcPr>
            <w:tcW w:w="20" w:type="dxa"/>
            <w:vAlign w:val="bottom"/>
          </w:tcPr>
          <w:p>
            <w:pPr>
              <w:spacing w:after="0"/>
              <w:rPr>
                <w:sz w:val="18"/>
                <w:szCs w:val="18"/>
                <w:color w:val="auto"/>
              </w:rPr>
            </w:pPr>
          </w:p>
        </w:tc>
        <w:tc>
          <w:tcPr>
            <w:tcW w:w="44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Funded status and accrued pension cost</w:t>
            </w:r>
          </w:p>
        </w:tc>
        <w:tc>
          <w:tcPr>
            <w:tcW w:w="1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(4,194)</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(15,527)</w:t>
            </w: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419"/>
        <w:spacing w:after="0" w:line="342" w:lineRule="auto"/>
        <w:rPr>
          <w:sz w:val="20"/>
          <w:szCs w:val="20"/>
          <w:color w:val="auto"/>
        </w:rPr>
      </w:pPr>
      <w:r>
        <w:rPr>
          <w:rFonts w:ascii="Arial" w:cs="Arial" w:eastAsia="Arial" w:hAnsi="Arial"/>
          <w:sz w:val="16"/>
          <w:szCs w:val="16"/>
          <w:color w:val="auto"/>
        </w:rPr>
        <w:t>Net periodic pension (income) expense reflected in other gains and (losses), net in the accompanying consolidated statements of operations included the following components for the years ended December 31 (amounts in thousands):</w:t>
      </w:r>
    </w:p>
    <w:p>
      <w:pPr>
        <w:spacing w:after="0" w:line="129"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2019</w:t>
            </w:r>
          </w:p>
        </w:tc>
      </w:tr>
      <w:tr>
        <w:trPr>
          <w:trHeight w:val="209"/>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w:t>
            </w: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(4,253)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(4,101)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(3,849)</w:t>
            </w: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r>
      <w:tr>
        <w:trPr>
          <w:trHeight w:val="216"/>
        </w:trPr>
        <w:tc>
          <w:tcPr>
            <w:tcW w:w="20" w:type="dxa"/>
            <w:vAlign w:val="bottom"/>
          </w:tcPr>
          <w:p>
            <w:pPr>
              <w:spacing w:after="0"/>
              <w:rPr>
                <w:sz w:val="18"/>
                <w:szCs w:val="18"/>
                <w:color w:val="auto"/>
              </w:rPr>
            </w:pPr>
          </w:p>
        </w:tc>
        <w:tc>
          <w:tcPr>
            <w:tcW w:w="4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settlement loss</w:t>
            </w: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1,904</w:t>
            </w:r>
          </w:p>
        </w:tc>
      </w:tr>
      <w:tr>
        <w:trPr>
          <w:trHeight w:val="209"/>
        </w:trPr>
        <w:tc>
          <w:tcPr>
            <w:tcW w:w="20" w:type="dxa"/>
            <w:vAlign w:val="bottom"/>
          </w:tcPr>
          <w:p>
            <w:pPr>
              <w:spacing w:after="0"/>
              <w:rPr>
                <w:sz w:val="18"/>
                <w:szCs w:val="18"/>
                <w:color w:val="auto"/>
              </w:rPr>
            </w:pPr>
          </w:p>
        </w:tc>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periodic pension (income)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w:t>
            </w: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Assumptions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assumptions used to determine the benefit obligation at December 31 are as follows:</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2.42</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1.95</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2.85</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r>
      <w:tr>
        <w:trPr>
          <w:trHeight w:val="230"/>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Rate of compensation increase</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N/A</w:t>
            </w:r>
          </w:p>
        </w:tc>
        <w:tc>
          <w:tcPr>
            <w:tcW w:w="660" w:type="dxa"/>
            <w:vAlign w:val="bottom"/>
            <w:gridSpan w:val="2"/>
          </w:tcPr>
          <w:p>
            <w:pPr>
              <w:jc w:val="right"/>
              <w:ind w:right="230"/>
              <w:spacing w:after="0"/>
              <w:rPr>
                <w:sz w:val="20"/>
                <w:szCs w:val="20"/>
                <w:color w:val="auto"/>
              </w:rPr>
            </w:pPr>
            <w:r>
              <w:rPr>
                <w:rFonts w:ascii="Arial" w:cs="Arial" w:eastAsia="Arial" w:hAnsi="Arial"/>
                <w:sz w:val="18"/>
                <w:szCs w:val="18"/>
                <w:color w:val="auto"/>
              </w:rPr>
              <w:t>N/A</w:t>
            </w:r>
          </w:p>
        </w:tc>
        <w:tc>
          <w:tcPr>
            <w:tcW w:w="660" w:type="dxa"/>
            <w:vAlign w:val="bottom"/>
            <w:gridSpan w:val="2"/>
          </w:tcPr>
          <w:p>
            <w:pPr>
              <w:jc w:val="right"/>
              <w:ind w:right="210"/>
              <w:spacing w:after="0"/>
              <w:rPr>
                <w:sz w:val="20"/>
                <w:szCs w:val="20"/>
                <w:color w:val="auto"/>
              </w:rPr>
            </w:pPr>
            <w:r>
              <w:rPr>
                <w:rFonts w:ascii="Arial" w:cs="Arial" w:eastAsia="Arial" w:hAnsi="Arial"/>
                <w:sz w:val="18"/>
                <w:szCs w:val="18"/>
                <w:color w:val="auto"/>
              </w:rPr>
              <w:t>N/A</w:t>
            </w:r>
          </w:p>
        </w:tc>
      </w:tr>
    </w:tbl>
    <w:p>
      <w:pPr>
        <w:spacing w:after="0" w:line="187"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The weighted-average assumptions used to determine the net periodic pension expense for years ended December 31 are as follows:</w:t>
      </w:r>
    </w:p>
    <w:p>
      <w:pPr>
        <w:spacing w:after="0" w:line="175"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2.13</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2.40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3.51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Rate of compensation increase</w:t>
            </w:r>
          </w:p>
        </w:tc>
        <w:tc>
          <w:tcPr>
            <w:tcW w:w="660" w:type="dxa"/>
            <w:vAlign w:val="bottom"/>
            <w:gridSpan w:val="2"/>
          </w:tcPr>
          <w:p>
            <w:pPr>
              <w:jc w:val="right"/>
              <w:ind w:right="230"/>
              <w:spacing w:after="0"/>
              <w:rPr>
                <w:sz w:val="20"/>
                <w:szCs w:val="20"/>
                <w:color w:val="auto"/>
              </w:rPr>
            </w:pPr>
            <w:r>
              <w:rPr>
                <w:rFonts w:ascii="Arial" w:cs="Arial" w:eastAsia="Arial" w:hAnsi="Arial"/>
                <w:sz w:val="18"/>
                <w:szCs w:val="18"/>
                <w:color w:val="auto"/>
              </w:rPr>
              <w:t>N/A</w:t>
            </w:r>
          </w:p>
        </w:tc>
        <w:tc>
          <w:tcPr>
            <w:tcW w:w="660" w:type="dxa"/>
            <w:vAlign w:val="bottom"/>
            <w:gridSpan w:val="2"/>
          </w:tcPr>
          <w:p>
            <w:pPr>
              <w:jc w:val="right"/>
              <w:ind w:right="210"/>
              <w:spacing w:after="0"/>
              <w:rPr>
                <w:sz w:val="20"/>
                <w:szCs w:val="20"/>
                <w:color w:val="auto"/>
              </w:rPr>
            </w:pPr>
            <w:r>
              <w:rPr>
                <w:rFonts w:ascii="Arial" w:cs="Arial" w:eastAsia="Arial" w:hAnsi="Arial"/>
                <w:sz w:val="18"/>
                <w:szCs w:val="18"/>
                <w:color w:val="auto"/>
              </w:rPr>
              <w:t>N/A</w:t>
            </w:r>
          </w:p>
        </w:tc>
        <w:tc>
          <w:tcPr>
            <w:tcW w:w="580" w:type="dxa"/>
            <w:vAlign w:val="bottom"/>
            <w:gridSpan w:val="2"/>
          </w:tcPr>
          <w:p>
            <w:pPr>
              <w:jc w:val="right"/>
              <w:ind w:right="130"/>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Expected long-term rate of return on plan assets</w:t>
            </w:r>
          </w:p>
        </w:tc>
        <w:tc>
          <w:tcPr>
            <w:tcW w:w="6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6"/>
              </w:rPr>
              <w:t>6.00 %</w:t>
            </w:r>
          </w:p>
        </w:tc>
        <w:tc>
          <w:tcPr>
            <w:tcW w:w="6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6"/>
              </w:rPr>
              <w:t>6.50 %</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6.50 %</w:t>
            </w:r>
          </w:p>
        </w:tc>
      </w:tr>
    </w:tbl>
    <w:p>
      <w:pPr>
        <w:spacing w:after="0" w:line="202"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The rate of increase in future compensation levels was not applicable for any reported years due to the Company amending the plan to freeze the cash balance benefit as described above.</w:t>
      </w:r>
    </w:p>
    <w:p>
      <w:pPr>
        <w:spacing w:after="0" w:line="170" w:lineRule="exact"/>
        <w:rPr>
          <w:sz w:val="20"/>
          <w:szCs w:val="20"/>
          <w:color w:val="auto"/>
        </w:rPr>
      </w:pPr>
    </w:p>
    <w:p>
      <w:pPr>
        <w:ind w:left="60" w:right="179"/>
        <w:spacing w:after="0" w:line="290" w:lineRule="auto"/>
        <w:rPr>
          <w:sz w:val="20"/>
          <w:szCs w:val="20"/>
          <w:color w:val="auto"/>
        </w:rPr>
      </w:pPr>
      <w:r>
        <w:rPr>
          <w:rFonts w:ascii="Arial" w:cs="Arial" w:eastAsia="Arial" w:hAnsi="Arial"/>
          <w:sz w:val="16"/>
          <w:szCs w:val="16"/>
          <w:color w:val="auto"/>
        </w:rPr>
        <w:t>The Company determines the overall expected long-term rate of return on plan assets based on its estimate of the return that plan assets will provide over the period that benefits are expected to be paid out. In preparing this estimate, the Company assesses the rates of return on each current allocation of plan assets, and advice from its third-party actuary and investment consultants. The expected return on plan assets is a long-term assumption and generally does not significantly change annually. While historical returns are considered, the rate of return assumption is primarily based on projections of expected returns based on fair value, using economic data and financial models to estimate the probability of returns. The probability distribution of annualized returns for the portfolio using current asset allocations is used to determine the expected range of returns for a ten-to-twenty-year horizon. While management believes that the</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8" w:name="page109"/>
    <w:bookmarkEnd w:id="10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color w:val="auto"/>
        </w:rPr>
        <w:t>assumptions used are appropriate, differences in actual experience or changes in assumptions may affect the Company’s pension obligations and expense.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Plan Assets</w:t>
      </w:r>
    </w:p>
    <w:p>
      <w:pPr>
        <w:spacing w:after="0" w:line="225" w:lineRule="exact"/>
        <w:rPr>
          <w:sz w:val="20"/>
          <w:szCs w:val="20"/>
          <w:color w:val="auto"/>
        </w:rPr>
      </w:pPr>
    </w:p>
    <w:p>
      <w:pPr>
        <w:jc w:val="both"/>
        <w:ind w:left="60" w:right="299"/>
        <w:spacing w:after="0" w:line="311" w:lineRule="auto"/>
        <w:rPr>
          <w:sz w:val="20"/>
          <w:szCs w:val="20"/>
          <w:color w:val="auto"/>
        </w:rPr>
      </w:pPr>
      <w:r>
        <w:rPr>
          <w:rFonts w:ascii="Arial" w:cs="Arial" w:eastAsia="Arial" w:hAnsi="Arial"/>
          <w:sz w:val="16"/>
          <w:szCs w:val="16"/>
          <w:color w:val="auto"/>
        </w:rPr>
        <w:t>The plan’s overall strategy is to achieve a rate of return necessary to fund benefit payments by utilizing a variety of asset types, investment strategies and investment managers. The plan seeks to achieve a long-term rate of return over inflation resulting from income, capital gains, or both, which assists the plan in meeting its long-term objectives.</w:t>
      </w:r>
    </w:p>
    <w:p>
      <w:pPr>
        <w:spacing w:after="0" w:line="149" w:lineRule="exact"/>
        <w:rPr>
          <w:sz w:val="20"/>
          <w:szCs w:val="20"/>
          <w:color w:val="auto"/>
        </w:rPr>
      </w:pPr>
    </w:p>
    <w:p>
      <w:pPr>
        <w:ind w:left="60" w:right="119"/>
        <w:spacing w:after="0" w:line="275" w:lineRule="auto"/>
        <w:rPr>
          <w:sz w:val="20"/>
          <w:szCs w:val="20"/>
          <w:color w:val="auto"/>
        </w:rPr>
      </w:pPr>
      <w:r>
        <w:rPr>
          <w:rFonts w:ascii="Arial" w:cs="Arial" w:eastAsia="Arial" w:hAnsi="Arial"/>
          <w:sz w:val="17"/>
          <w:szCs w:val="17"/>
          <w:color w:val="auto"/>
        </w:rPr>
        <w:t>The long-term target allocations for the plan’s assets are managed dynamically according to a sliding scale correlating with the funded status of the plan. As the plan’s funded status increases, allocations are moved away from equity securities toward fixed income securities. Equity securities primarily include large cap and mid cap companies. Fixed income securities primarily include corporate bonds of companies in diversified industries, mortgage-backed securities and U.S. Treasuries. Investments in hedge funds and private equity funds are not held by the plan.</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allocation of the defined benefit pension plan’s assets at December 31 is as follows (amounts in thousands):</w:t>
      </w:r>
    </w:p>
    <w:p>
      <w:pPr>
        <w:spacing w:after="0" w:line="242"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5440" w:type="dxa"/>
            <w:vAlign w:val="bottom"/>
            <w:gridSpan w:val="2"/>
          </w:tcPr>
          <w:p>
            <w:pPr>
              <w:spacing w:after="0"/>
              <w:rPr>
                <w:sz w:val="20"/>
                <w:szCs w:val="20"/>
                <w:color w:val="auto"/>
              </w:rPr>
            </w:pPr>
            <w:r>
              <w:rPr>
                <w:rFonts w:ascii="Arial" w:cs="Arial" w:eastAsia="Arial" w:hAnsi="Arial"/>
                <w:sz w:val="14"/>
                <w:szCs w:val="14"/>
                <w:b w:val="1"/>
                <w:bCs w:val="1"/>
                <w:color w:val="auto"/>
              </w:rPr>
              <w:t>Asset Class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15"/>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15"/>
              <w:spacing w:after="0"/>
              <w:rPr>
                <w:sz w:val="20"/>
                <w:szCs w:val="20"/>
                <w:color w:val="auto"/>
              </w:rPr>
            </w:pPr>
            <w:r>
              <w:rPr>
                <w:rFonts w:ascii="Arial" w:cs="Arial" w:eastAsia="Arial" w:hAnsi="Arial"/>
                <w:sz w:val="14"/>
                <w:szCs w:val="14"/>
                <w:b w:val="1"/>
                <w:bCs w:val="1"/>
                <w:color w:val="auto"/>
              </w:rPr>
              <w:t>2020</w:t>
            </w:r>
          </w:p>
        </w:tc>
      </w:tr>
      <w:tr>
        <w:trPr>
          <w:trHeight w:val="209"/>
        </w:trPr>
        <w:tc>
          <w:tcPr>
            <w:tcW w:w="20" w:type="dxa"/>
            <w:vAlign w:val="bottom"/>
          </w:tcPr>
          <w:p>
            <w:pPr>
              <w:spacing w:after="0"/>
              <w:rPr>
                <w:sz w:val="18"/>
                <w:szCs w:val="18"/>
                <w:color w:val="auto"/>
              </w:rPr>
            </w:pPr>
          </w:p>
        </w:tc>
        <w:tc>
          <w:tcPr>
            <w:tcW w:w="5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2,457</w:t>
            </w:r>
          </w:p>
        </w:tc>
      </w:tr>
      <w:tr>
        <w:trPr>
          <w:trHeight w:val="216"/>
        </w:trPr>
        <w:tc>
          <w:tcPr>
            <w:tcW w:w="20" w:type="dxa"/>
            <w:vAlign w:val="bottom"/>
          </w:tcPr>
          <w:p>
            <w:pPr>
              <w:spacing w:after="0"/>
              <w:rPr>
                <w:sz w:val="18"/>
                <w:szCs w:val="18"/>
                <w:color w:val="auto"/>
              </w:rPr>
            </w:pPr>
          </w:p>
        </w:tc>
        <w:tc>
          <w:tcPr>
            <w:tcW w:w="5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Mutual funds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71,551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68,764</w:t>
            </w:r>
          </w:p>
        </w:tc>
      </w:tr>
      <w:tr>
        <w:trPr>
          <w:trHeight w:val="210"/>
        </w:trPr>
        <w:tc>
          <w:tcPr>
            <w:tcW w:w="20" w:type="dxa"/>
            <w:vAlign w:val="bottom"/>
          </w:tcPr>
          <w:p>
            <w:pPr>
              <w:spacing w:after="0"/>
              <w:rPr>
                <w:sz w:val="18"/>
                <w:szCs w:val="18"/>
                <w:color w:val="auto"/>
              </w:rPr>
            </w:pPr>
          </w:p>
        </w:tc>
        <w:tc>
          <w:tcPr>
            <w:tcW w:w="5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72,486</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71,221</w:t>
            </w: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259"/>
        <w:spacing w:after="0" w:line="311" w:lineRule="auto"/>
        <w:rPr>
          <w:sz w:val="20"/>
          <w:szCs w:val="20"/>
          <w:color w:val="auto"/>
        </w:rPr>
      </w:pPr>
      <w:r>
        <w:rPr>
          <w:rFonts w:ascii="Arial" w:cs="Arial" w:eastAsia="Arial" w:hAnsi="Arial"/>
          <w:sz w:val="16"/>
          <w:szCs w:val="16"/>
          <w:color w:val="auto"/>
        </w:rPr>
        <w:t>All of the assets held by the plan consist of money market and mutual funds traded in an active market. The Company determined the fair value of these assets based on the net asset value per unit of the funds or the portfolio, which is based upon quoted market prices in an active market. Therefore, the Company has categorized these investments as Level 1.</w:t>
      </w:r>
    </w:p>
    <w:p>
      <w:pPr>
        <w:spacing w:after="0" w:line="149" w:lineRule="exact"/>
        <w:rPr>
          <w:sz w:val="20"/>
          <w:szCs w:val="20"/>
          <w:color w:val="auto"/>
        </w:rPr>
      </w:pPr>
    </w:p>
    <w:p>
      <w:pPr>
        <w:ind w:left="60" w:right="219"/>
        <w:spacing w:after="0" w:line="311" w:lineRule="auto"/>
        <w:rPr>
          <w:sz w:val="20"/>
          <w:szCs w:val="20"/>
          <w:color w:val="auto"/>
        </w:rPr>
      </w:pPr>
      <w:r>
        <w:rPr>
          <w:rFonts w:ascii="Arial" w:cs="Arial" w:eastAsia="Arial" w:hAnsi="Arial"/>
          <w:sz w:val="16"/>
          <w:szCs w:val="16"/>
          <w:color w:val="auto"/>
        </w:rPr>
        <w:t>Periodically, and based on market conditions, the entire account is rebalanced to maintain the desired allocation and the investment policy is reviewed. Within each asset class, plan assets are allocated to various investment styles. Professional managers manage all assets of the plan, and professional advisors assist the plan in the attainment of its objectives.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Expected Contributions and Benefit Payments</w:t>
      </w:r>
    </w:p>
    <w:p>
      <w:pPr>
        <w:spacing w:after="0" w:line="225" w:lineRule="exact"/>
        <w:rPr>
          <w:sz w:val="20"/>
          <w:szCs w:val="20"/>
          <w:color w:val="auto"/>
        </w:rPr>
      </w:pPr>
    </w:p>
    <w:p>
      <w:pPr>
        <w:ind w:left="60" w:right="239"/>
        <w:spacing w:after="0" w:line="263" w:lineRule="auto"/>
        <w:rPr>
          <w:sz w:val="20"/>
          <w:szCs w:val="20"/>
          <w:color w:val="auto"/>
        </w:rPr>
      </w:pPr>
      <w:r>
        <w:rPr>
          <w:rFonts w:ascii="Arial" w:cs="Arial" w:eastAsia="Arial" w:hAnsi="Arial"/>
          <w:sz w:val="18"/>
          <w:szCs w:val="18"/>
          <w:color w:val="auto"/>
        </w:rPr>
        <w:t>The Company does not expect to be required to contribute to its defined benefit pension plan in 2022. Based on the Company’s assumptions discussed above, the Company expects to make the following estimated future benefit payments under the plan during the years ending December 31 (amounts in thousands):</w:t>
      </w:r>
    </w:p>
    <w:p>
      <w:pPr>
        <w:spacing w:after="0" w:line="211"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7,460</w:t>
            </w: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2023</w:t>
            </w:r>
          </w:p>
        </w:tc>
        <w:tc>
          <w:tcPr>
            <w:tcW w:w="3480" w:type="dxa"/>
            <w:vAlign w:val="bottom"/>
          </w:tcPr>
          <w:p>
            <w:pPr>
              <w:jc w:val="right"/>
              <w:spacing w:after="0"/>
              <w:rPr>
                <w:sz w:val="20"/>
                <w:szCs w:val="20"/>
                <w:color w:val="auto"/>
              </w:rPr>
            </w:pPr>
            <w:r>
              <w:rPr>
                <w:rFonts w:ascii="Arial" w:cs="Arial" w:eastAsia="Arial" w:hAnsi="Arial"/>
                <w:sz w:val="18"/>
                <w:szCs w:val="18"/>
                <w:color w:val="auto"/>
              </w:rPr>
              <w:t>4,771</w:t>
            </w: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4,709</w:t>
            </w: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2025</w:t>
            </w:r>
          </w:p>
        </w:tc>
        <w:tc>
          <w:tcPr>
            <w:tcW w:w="3480" w:type="dxa"/>
            <w:vAlign w:val="bottom"/>
          </w:tcPr>
          <w:p>
            <w:pPr>
              <w:jc w:val="right"/>
              <w:spacing w:after="0"/>
              <w:rPr>
                <w:sz w:val="20"/>
                <w:szCs w:val="20"/>
                <w:color w:val="auto"/>
              </w:rPr>
            </w:pPr>
            <w:r>
              <w:rPr>
                <w:rFonts w:ascii="Arial" w:cs="Arial" w:eastAsia="Arial" w:hAnsi="Arial"/>
                <w:sz w:val="18"/>
                <w:szCs w:val="18"/>
                <w:color w:val="auto"/>
              </w:rPr>
              <w:t>6,535</w:t>
            </w: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5,452</w:t>
            </w:r>
          </w:p>
        </w:tc>
      </w:tr>
      <w:tr>
        <w:trPr>
          <w:trHeight w:val="230"/>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2027 - 2031</w:t>
            </w:r>
          </w:p>
        </w:tc>
        <w:tc>
          <w:tcPr>
            <w:tcW w:w="3480" w:type="dxa"/>
            <w:vAlign w:val="bottom"/>
          </w:tcPr>
          <w:p>
            <w:pPr>
              <w:jc w:val="right"/>
              <w:spacing w:after="0"/>
              <w:rPr>
                <w:sz w:val="20"/>
                <w:szCs w:val="20"/>
                <w:color w:val="auto"/>
              </w:rPr>
            </w:pPr>
            <w:r>
              <w:rPr>
                <w:rFonts w:ascii="Arial" w:cs="Arial" w:eastAsia="Arial" w:hAnsi="Arial"/>
                <w:sz w:val="18"/>
                <w:szCs w:val="18"/>
                <w:color w:val="auto"/>
              </w:rPr>
              <w:t>26,985</w:t>
            </w: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Information</w:t>
      </w:r>
    </w:p>
    <w:p>
      <w:pPr>
        <w:spacing w:after="0" w:line="225" w:lineRule="exact"/>
        <w:rPr>
          <w:sz w:val="20"/>
          <w:szCs w:val="20"/>
          <w:color w:val="auto"/>
        </w:rPr>
      </w:pPr>
    </w:p>
    <w:p>
      <w:pPr>
        <w:ind w:left="60" w:right="179"/>
        <w:spacing w:after="0" w:line="279" w:lineRule="auto"/>
        <w:rPr>
          <w:sz w:val="20"/>
          <w:szCs w:val="20"/>
          <w:color w:val="auto"/>
        </w:rPr>
      </w:pPr>
      <w:r>
        <w:rPr>
          <w:rFonts w:ascii="Arial" w:cs="Arial" w:eastAsia="Arial" w:hAnsi="Arial"/>
          <w:sz w:val="17"/>
          <w:szCs w:val="17"/>
          <w:color w:val="auto"/>
        </w:rPr>
        <w:t>The Company also maintains non-qualified pension plans (the “Non-Qualified Plans”) to provide benefits to certain key employees. The Non-Qualified Plans are not funded and the beneficiaries’ rights to receive distributions under these plans constitute unsecured claims to be paid from the Company’s general assets. At December 31, 2021, the Non-Qualified Plans’ projected benefit obligations and accumulated benefit obligations were $14.2 million.</w:t>
      </w:r>
    </w:p>
    <w:p>
      <w:pPr>
        <w:spacing w:after="0" w:line="171" w:lineRule="exact"/>
        <w:rPr>
          <w:sz w:val="20"/>
          <w:szCs w:val="20"/>
          <w:color w:val="auto"/>
        </w:rPr>
      </w:pPr>
    </w:p>
    <w:p>
      <w:pPr>
        <w:ind w:left="60" w:right="79"/>
        <w:spacing w:after="0" w:line="311" w:lineRule="auto"/>
        <w:rPr>
          <w:sz w:val="20"/>
          <w:szCs w:val="20"/>
          <w:color w:val="auto"/>
        </w:rPr>
      </w:pPr>
      <w:r>
        <w:rPr>
          <w:rFonts w:ascii="Arial" w:cs="Arial" w:eastAsia="Arial" w:hAnsi="Arial"/>
          <w:sz w:val="16"/>
          <w:szCs w:val="16"/>
          <w:color w:val="auto"/>
        </w:rPr>
        <w:t>The Company’s accrued cost related to its qualified and non-qualified pension plans of $18.4 million and $30.8 million at December 31, 2021 and 2020, respectively, is included in other liabilities in the accompanying consolidated balance sheets. The change in the deferred net loss related to the Company’s retirement plans during 2021, 2020 and 2019</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9" w:name="page110"/>
    <w:bookmarkEnd w:id="10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9" w:lineRule="auto"/>
        <w:rPr>
          <w:sz w:val="20"/>
          <w:szCs w:val="20"/>
          <w:color w:val="auto"/>
        </w:rPr>
      </w:pPr>
      <w:r>
        <w:rPr>
          <w:rFonts w:ascii="Arial" w:cs="Arial" w:eastAsia="Arial" w:hAnsi="Arial"/>
          <w:sz w:val="18"/>
          <w:szCs w:val="18"/>
          <w:color w:val="auto"/>
        </w:rPr>
        <w:t>resulted in an increase (decrease) in equity of $9.9 million, $(2.3) million and $2.1 million, respectively, net of taxes of $0, $0, and $0.5 million, respectively. Each of these adjustments to equity due to the change in the minimum liability is included in other comprehensive loss in the accompanying consolidated statements of stockholders’ equity (deficit) and noncontrolling interest.</w:t>
      </w:r>
    </w:p>
    <w:p>
      <w:pPr>
        <w:spacing w:after="0" w:line="187" w:lineRule="exact"/>
        <w:rPr>
          <w:sz w:val="20"/>
          <w:szCs w:val="20"/>
          <w:color w:val="auto"/>
        </w:rPr>
      </w:pPr>
    </w:p>
    <w:p>
      <w:pPr>
        <w:ind w:left="60" w:right="139"/>
        <w:spacing w:after="0" w:line="272" w:lineRule="auto"/>
        <w:rPr>
          <w:sz w:val="20"/>
          <w:szCs w:val="20"/>
          <w:color w:val="auto"/>
        </w:rPr>
      </w:pPr>
      <w:r>
        <w:rPr>
          <w:rFonts w:ascii="Arial" w:cs="Arial" w:eastAsia="Arial" w:hAnsi="Arial"/>
          <w:sz w:val="17"/>
          <w:szCs w:val="17"/>
          <w:color w:val="auto"/>
        </w:rPr>
        <w:t>The combined net loss, amortization of net loss, and new prior service credit and amortization of prior service credit recognized in other comprehensive loss for the years ended December 31, 2021 and 2020 was $9.9 million and $(2.3) million, respectively. Included in accumulated other comprehensive loss at December 31, 2021 and 2020 are unrecognized actuarial losses of $26.1 million and $37.4 million ($19.3 million and $30.7 million net of tax), respectively, that have not yet been recognized in net periodic pension expense. Net losses are amortized into net periodic pension expense based on the life expectancy of plan participants expected to receive benefits, using a corridor approach based on the greater of projected benefit obligation or fair value of plan assets.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Equity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Equity Offering</w:t>
      </w:r>
    </w:p>
    <w:p>
      <w:pPr>
        <w:spacing w:after="0" w:line="225" w:lineRule="exact"/>
        <w:rPr>
          <w:sz w:val="20"/>
          <w:szCs w:val="20"/>
          <w:color w:val="auto"/>
        </w:rPr>
      </w:pPr>
    </w:p>
    <w:p>
      <w:pPr>
        <w:ind w:left="60" w:right="239"/>
        <w:spacing w:after="0" w:line="279" w:lineRule="auto"/>
        <w:rPr>
          <w:sz w:val="20"/>
          <w:szCs w:val="20"/>
          <w:color w:val="auto"/>
        </w:rPr>
      </w:pPr>
      <w:r>
        <w:rPr>
          <w:rFonts w:ascii="Arial" w:cs="Arial" w:eastAsia="Arial" w:hAnsi="Arial"/>
          <w:sz w:val="17"/>
          <w:szCs w:val="17"/>
          <w:color w:val="auto"/>
        </w:rPr>
        <w:t>In December 2019, the Company completed an underwritten public offering of approximately 3.5 million shares of its common stock, par value $0.01 per share, at a price to the public of $85.60 per share. Net proceeds to the Company, after deducting underwriting discounts and commissions and other expenses paid by the Company, were approximately $283 million. The Company used the net proceeds for general corporate purposes.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ind w:left="60" w:right="99"/>
        <w:spacing w:after="0" w:line="254" w:lineRule="auto"/>
        <w:rPr>
          <w:sz w:val="20"/>
          <w:szCs w:val="20"/>
          <w:color w:val="auto"/>
        </w:rPr>
      </w:pPr>
      <w:r>
        <w:rPr>
          <w:rFonts w:ascii="Arial" w:cs="Arial" w:eastAsia="Arial" w:hAnsi="Arial"/>
          <w:sz w:val="18"/>
          <w:szCs w:val="18"/>
          <w:color w:val="auto"/>
        </w:rPr>
        <w:t>During 2020, the Company’s board of directors declared a first quarter dividend of $0.95 per share of common stock, or an aggregate of $52.2 million in cash. Following the payment of the first quarter 2020 cash dividend, the Company suspended its regular quarterly dividend payments. The Company’s board of directors will consider a future dividend as permitted by the Company’s credit agreement. The Amendment described in Note 4, “Debt,” permits payment of dividends as necessary to maintain the Company’s REIT status and permits the Company to pay a dividend of $0.01 per share each quarter. Any future dividend is subject to the Company’s board of director’s determination as to the amount of distributions and the timing thereof.</w:t>
      </w:r>
    </w:p>
    <w:p>
      <w:pPr>
        <w:spacing w:after="0" w:line="195"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During 2019, the Company’s board of directors declared quarterly dividends totaling $3.60 per share of common stock for the full year, or an aggregate of $188.3 million in cash.</w:t>
      </w:r>
    </w:p>
    <w:p>
      <w:pPr>
        <w:spacing w:after="0" w:line="170" w:lineRule="exact"/>
        <w:rPr>
          <w:sz w:val="20"/>
          <w:szCs w:val="20"/>
          <w:color w:val="auto"/>
        </w:rPr>
      </w:pPr>
    </w:p>
    <w:p>
      <w:pPr>
        <w:ind w:left="60" w:right="179"/>
        <w:spacing w:after="0" w:line="272" w:lineRule="auto"/>
        <w:rPr>
          <w:sz w:val="20"/>
          <w:szCs w:val="20"/>
          <w:color w:val="auto"/>
        </w:rPr>
      </w:pPr>
      <w:r>
        <w:rPr>
          <w:rFonts w:ascii="Arial" w:cs="Arial" w:eastAsia="Arial" w:hAnsi="Arial"/>
          <w:sz w:val="17"/>
          <w:szCs w:val="17"/>
          <w:color w:val="auto"/>
        </w:rPr>
        <w:t>To maintain its qualification as a REIT for federal income tax purposes, the Company must distribute at least 90% of its REIT taxable income each year. Prior to the suspension of dividends due to the COVID-19 pandemic, the Company had planned to continue to pay a quarterly cash dividend to stockholders in an amount equal to an annualized payment of at least 50% of adjusted funds from operations (as defined by the Company) less maintenance capital expenditures or 100% of REIT taxable income on an annual basis, whichever is greater. The declaration, timing and amount of dividends will be determined by future action of the Company’s board of directors. The dividend policy may be altered at any time by the Company’s board of directors.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Treasury Stock</w:t>
      </w:r>
    </w:p>
    <w:p>
      <w:pPr>
        <w:spacing w:after="0" w:line="225" w:lineRule="exact"/>
        <w:rPr>
          <w:sz w:val="20"/>
          <w:szCs w:val="20"/>
          <w:color w:val="auto"/>
        </w:rPr>
      </w:pPr>
    </w:p>
    <w:p>
      <w:pPr>
        <w:ind w:left="60" w:right="99"/>
        <w:spacing w:after="0" w:line="285" w:lineRule="auto"/>
        <w:rPr>
          <w:sz w:val="20"/>
          <w:szCs w:val="20"/>
          <w:color w:val="auto"/>
        </w:rPr>
      </w:pPr>
      <w:r>
        <w:rPr>
          <w:rFonts w:ascii="Arial" w:cs="Arial" w:eastAsia="Arial" w:hAnsi="Arial"/>
          <w:sz w:val="16"/>
          <w:szCs w:val="16"/>
          <w:color w:val="auto"/>
        </w:rPr>
        <w:t>On December 18, 2008, following approval by the Human Resources Committee and the Board of Directors, the Company and the Company’s Chairman of the Board of Directors and Chief Executive Officer (“Executive”) entered into an amendment to Executive’s employment agreement. The amendment provided Executive with the option of making an irrevocable election to invest his existing Supplemental Employee Retirement Plan (“SERP”) benefit in Company common stock, which election Executive subsequently made. The investment was made by a rabbi trust in which, during</w:t>
      </w:r>
    </w:p>
    <w:p>
      <w:pPr>
        <w:spacing w:after="0" w:line="2" w:lineRule="exact"/>
        <w:rPr>
          <w:sz w:val="20"/>
          <w:szCs w:val="20"/>
          <w:color w:val="auto"/>
        </w:rPr>
      </w:pPr>
    </w:p>
    <w:p>
      <w:pPr>
        <w:ind w:left="60" w:right="119"/>
        <w:spacing w:after="0" w:line="295" w:lineRule="auto"/>
        <w:rPr>
          <w:sz w:val="20"/>
          <w:szCs w:val="20"/>
          <w:color w:val="auto"/>
        </w:rPr>
      </w:pPr>
      <w:r>
        <w:rPr>
          <w:rFonts w:ascii="Arial" w:cs="Arial" w:eastAsia="Arial" w:hAnsi="Arial"/>
          <w:sz w:val="16"/>
          <w:szCs w:val="16"/>
          <w:color w:val="auto"/>
        </w:rPr>
        <w:t>January 2009, the independent trustee of the rabbi trust purchased shares of Company common stock in the open market in compliance with applicable law. Executive is only entitled to a distribution of the Company common stock held by the rabbi trust in satisfaction of his SERP benefit. As such, the Company believes that the ownership of shares of common stock by the rabbi trust and the distribution of those shares to Executive in satisfaction of his SERP</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0" w:name="page111"/>
    <w:bookmarkEnd w:id="1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7" w:lineRule="auto"/>
        <w:rPr>
          <w:sz w:val="20"/>
          <w:szCs w:val="20"/>
          <w:color w:val="auto"/>
        </w:rPr>
      </w:pPr>
      <w:r>
        <w:rPr>
          <w:rFonts w:ascii="Arial" w:cs="Arial" w:eastAsia="Arial" w:hAnsi="Arial"/>
          <w:sz w:val="18"/>
          <w:szCs w:val="18"/>
          <w:color w:val="auto"/>
        </w:rPr>
        <w:t>benefit meets the requirements necessary so that the Company will not recognize any increase or decrease in expense as a result of subsequent changes in the value of the Company common stock and the purchased shares are treated as treasury stock and the SERP benefit is included in additional paid-in capital in the Company’s accompanying consolidated financial statements. The increase in treasury stock for a particular year represents dividends received on shares of Company common stock held by the rabbi trust.</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Noncontrolling Interest in Operating Partnership</w:t>
      </w:r>
    </w:p>
    <w:p>
      <w:pPr>
        <w:spacing w:after="0" w:line="225" w:lineRule="exact"/>
        <w:rPr>
          <w:sz w:val="20"/>
          <w:szCs w:val="20"/>
          <w:color w:val="auto"/>
        </w:rPr>
      </w:pPr>
    </w:p>
    <w:p>
      <w:pPr>
        <w:ind w:left="60" w:right="99"/>
        <w:spacing w:after="0" w:line="293" w:lineRule="auto"/>
        <w:rPr>
          <w:sz w:val="20"/>
          <w:szCs w:val="20"/>
          <w:color w:val="auto"/>
        </w:rPr>
      </w:pPr>
      <w:r>
        <w:rPr>
          <w:rFonts w:ascii="Arial" w:cs="Arial" w:eastAsia="Arial" w:hAnsi="Arial"/>
          <w:sz w:val="16"/>
          <w:szCs w:val="16"/>
          <w:color w:val="auto"/>
        </w:rPr>
        <w:t>The Company consolidates the Operating Partnership, which is a majority-owned limited partnership that has a noncontrolling interest. The outstanding OP Units held by the noncontrolling limited partners are redeemable for cash, or if the Company so elects, in shares of the Company’s common stock on a one-for-one basis, subject to certain adjustments. At December 31, 2021, 0.4 million outstanding OP Units, or less than 1% of the outstanding OP Units, were held by the noncontrolling limited partners and are included as a component of equity in the accompanying consolidated balance sheet. The Company owns, directly or indirectly, the remaining 99.3% of the outstanding OP Units.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At-the-Market (“ATM”) Equity Distribution Agreement</w:t>
      </w:r>
    </w:p>
    <w:p>
      <w:pPr>
        <w:spacing w:after="0" w:line="225" w:lineRule="exact"/>
        <w:rPr>
          <w:sz w:val="20"/>
          <w:szCs w:val="20"/>
          <w:color w:val="auto"/>
        </w:rPr>
      </w:pPr>
    </w:p>
    <w:p>
      <w:pPr>
        <w:ind w:left="60" w:right="439"/>
        <w:spacing w:after="0" w:line="275" w:lineRule="auto"/>
        <w:rPr>
          <w:sz w:val="20"/>
          <w:szCs w:val="20"/>
          <w:color w:val="auto"/>
        </w:rPr>
      </w:pPr>
      <w:r>
        <w:rPr>
          <w:rFonts w:ascii="Arial" w:cs="Arial" w:eastAsia="Arial" w:hAnsi="Arial"/>
          <w:sz w:val="17"/>
          <w:szCs w:val="17"/>
          <w:color w:val="auto"/>
        </w:rPr>
        <w:t>On May 27, 2021, the Company entered into an ATM equity distribution agreement (the “ATM Agreement”) with a consortium of banks (each a “Sales Agent” and collectively, the “Sales Agents”), pursuant to which the Company may offer and sell to or through the Sales Agents (the “ATM Offering”), from time to time, up to 4.0 million shares (the “Shares”) of the Company’s common stock in such share amounts as the Company may specify by notice to the Sales Agents, in accordance with the terms and conditions set forth in the ATM Agreement.</w:t>
      </w:r>
    </w:p>
    <w:p>
      <w:pPr>
        <w:spacing w:after="0" w:line="149" w:lineRule="exact"/>
        <w:rPr>
          <w:sz w:val="20"/>
          <w:szCs w:val="20"/>
          <w:color w:val="auto"/>
        </w:rPr>
      </w:pPr>
    </w:p>
    <w:p>
      <w:pPr>
        <w:ind w:left="60" w:right="99"/>
        <w:spacing w:after="0" w:line="287" w:lineRule="auto"/>
        <w:rPr>
          <w:sz w:val="20"/>
          <w:szCs w:val="20"/>
          <w:color w:val="auto"/>
        </w:rPr>
      </w:pPr>
      <w:r>
        <w:rPr>
          <w:rFonts w:ascii="Arial" w:cs="Arial" w:eastAsia="Arial" w:hAnsi="Arial"/>
          <w:sz w:val="16"/>
          <w:szCs w:val="16"/>
          <w:color w:val="auto"/>
        </w:rPr>
        <w:t>Under the ATM Agreement, the Company will set the parameters for the sale of the Shares, including the number of the Shares to be issued, the time period during which sales are requested to be made, limitation on the number of the Shares that may be sold in any one trading day and any minimum price below which sales may not be made. Each Sales Agent will use its commercially reasonable efforts, consistent with its normal trading and sales practices, to sell such Shares up to the amount specified, and otherwise in accordance with mutually agreed terms between the Sales Agent and the Company. Neither the Company nor any of the Sales Agents are obligated to sell any specific number or dollar amount of Shares under the ATM Agreement. The Sales Agents will be paid a commission of up to 2.0% of the gross sales price from the sale of any Shares. The Company intends to use the net proceeds from any sale of Shares for the repayment of outstanding indebtedness, which may include the repayment of amounts outstanding under the Company’s credit agreement governing the Company’s revolving credit facility. Net proceeds which are not used for the repayment of outstanding indebtedness (to the extent then permitted by the Company’s credit agreement) may be used for general corporate purposes.</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 shares were issued under the ATM Agreement during 2021.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1" w:name="page112"/>
    <w:bookmarkEnd w:id="1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Accumulated Other Comprehensive Loss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7"/>
          <w:szCs w:val="17"/>
          <w:color w:val="auto"/>
        </w:rPr>
        <w:t>Changes in accumulated other comprehensive loss by component consisted of the following (amounts in thousands):</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Minimum</w:t>
            </w:r>
          </w:p>
        </w:tc>
        <w:tc>
          <w:tcPr>
            <w:tcW w:w="10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9"/>
              </w:rPr>
              <w:t>Other-Than-</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Temporary</w:t>
            </w:r>
          </w:p>
        </w:tc>
        <w:tc>
          <w:tcPr>
            <w:tcW w:w="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Interest Rate</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Pension</w:t>
            </w: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Impairment of</w:t>
            </w:r>
          </w:p>
        </w:tc>
        <w:tc>
          <w:tcPr>
            <w:tcW w:w="9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Liability</w:t>
            </w:r>
          </w:p>
        </w:tc>
        <w:tc>
          <w:tcPr>
            <w:tcW w:w="10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Investment</w:t>
            </w:r>
          </w:p>
        </w:tc>
        <w:tc>
          <w:tcPr>
            <w:tcW w:w="980" w:type="dxa"/>
            <w:vAlign w:val="bottom"/>
            <w:gridSpan w:val="3"/>
          </w:tcPr>
          <w:p>
            <w:pPr>
              <w:ind w:left="60"/>
              <w:spacing w:after="0"/>
              <w:rPr>
                <w:sz w:val="20"/>
                <w:szCs w:val="20"/>
                <w:color w:val="auto"/>
              </w:rPr>
            </w:pPr>
            <w:r>
              <w:rPr>
                <w:rFonts w:ascii="Arial" w:cs="Arial" w:eastAsia="Arial" w:hAnsi="Arial"/>
                <w:sz w:val="14"/>
                <w:szCs w:val="14"/>
                <w:b w:val="1"/>
                <w:bCs w:val="1"/>
                <w:color w:val="auto"/>
              </w:rPr>
              <w:t>Derivatives</w:t>
            </w:r>
          </w:p>
        </w:tc>
        <w:tc>
          <w:tcPr>
            <w:tcW w:w="1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December 31, 2018</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(21,814)</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(6,210)</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00" w:type="dxa"/>
            <w:vAlign w:val="bottom"/>
          </w:tcPr>
          <w:p>
            <w:pPr>
              <w:spacing w:after="0"/>
              <w:rPr>
                <w:sz w:val="20"/>
                <w:szCs w:val="20"/>
                <w:color w:val="auto"/>
              </w:rPr>
            </w:pPr>
            <w:r>
              <w:rPr>
                <w:rFonts w:ascii="Arial" w:cs="Arial" w:eastAsia="Arial" w:hAnsi="Arial"/>
                <w:sz w:val="16"/>
                <w:szCs w:val="16"/>
                <w:color w:val="auto"/>
              </w:rPr>
              <w:t>Gains arising during period</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693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3,539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4,232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00" w:type="dxa"/>
            <w:vAlign w:val="bottom"/>
            <w:shd w:val="clear" w:color="auto" w:fill="CCEEFF"/>
          </w:tcPr>
          <w:p>
            <w:pPr>
              <w:spacing w:after="0"/>
              <w:rPr>
                <w:sz w:val="20"/>
                <w:szCs w:val="20"/>
                <w:color w:val="auto"/>
              </w:rPr>
            </w:pPr>
            <w:r>
              <w:rPr>
                <w:rFonts w:ascii="Arial" w:cs="Arial" w:eastAsia="Arial" w:hAnsi="Arial"/>
                <w:sz w:val="16"/>
                <w:szCs w:val="16"/>
                <w:color w:val="auto"/>
              </w:rPr>
              <w:t>Amounts reclassified from accumulated other comprehensive loss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(1,905)</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00" w:type="dxa"/>
            <w:vAlign w:val="bottom"/>
          </w:tcPr>
          <w:p>
            <w:pPr>
              <w:spacing w:after="0"/>
              <w:rPr>
                <w:sz w:val="20"/>
                <w:szCs w:val="20"/>
                <w:color w:val="auto"/>
              </w:rPr>
            </w:pPr>
            <w:r>
              <w:rPr>
                <w:rFonts w:ascii="Arial" w:cs="Arial" w:eastAsia="Arial" w:hAnsi="Arial"/>
                <w:sz w:val="16"/>
                <w:szCs w:val="16"/>
                <w:color w:val="auto"/>
              </w:rPr>
              <w:t>Income tax expense</w:t>
            </w:r>
          </w:p>
        </w:tc>
        <w:tc>
          <w:tcPr>
            <w:tcW w:w="10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other comprehensive income</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605</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1,634</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Transition adjustment related to adoption of ASU 2018-02</w:t>
            </w: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(2,707)</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00" w:type="dxa"/>
            <w:vAlign w:val="bottom"/>
            <w:shd w:val="clear" w:color="auto" w:fill="CCEEFF"/>
          </w:tcPr>
          <w:p>
            <w:pPr>
              <w:spacing w:after="0"/>
              <w:rPr>
                <w:sz w:val="20"/>
                <w:szCs w:val="20"/>
                <w:color w:val="auto"/>
              </w:rPr>
            </w:pPr>
            <w:r>
              <w:rPr>
                <w:rFonts w:ascii="Arial" w:cs="Arial" w:eastAsia="Arial" w:hAnsi="Arial"/>
                <w:sz w:val="16"/>
                <w:szCs w:val="16"/>
                <w:color w:val="auto"/>
              </w:rPr>
              <w:t>Balance, December 31, 2019</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(23,916)</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(5,877)</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1,634</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00" w:type="dxa"/>
            <w:vAlign w:val="bottom"/>
          </w:tcPr>
          <w:p>
            <w:pPr>
              <w:spacing w:after="0"/>
              <w:rPr>
                <w:sz w:val="20"/>
                <w:szCs w:val="20"/>
                <w:color w:val="auto"/>
              </w:rPr>
            </w:pPr>
            <w:r>
              <w:rPr>
                <w:rFonts w:ascii="Arial" w:cs="Arial" w:eastAsia="Arial" w:hAnsi="Arial"/>
                <w:sz w:val="16"/>
                <w:szCs w:val="16"/>
                <w:color w:val="auto"/>
              </w:rPr>
              <w:t>Losses arising during period</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(2,901)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(39,958)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(42,859)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00" w:type="dxa"/>
            <w:vAlign w:val="bottom"/>
            <w:shd w:val="clear" w:color="auto" w:fill="CCEEFF"/>
          </w:tcPr>
          <w:p>
            <w:pPr>
              <w:spacing w:after="0"/>
              <w:rPr>
                <w:sz w:val="20"/>
                <w:szCs w:val="20"/>
                <w:color w:val="auto"/>
              </w:rPr>
            </w:pPr>
            <w:r>
              <w:rPr>
                <w:rFonts w:ascii="Arial" w:cs="Arial" w:eastAsia="Arial" w:hAnsi="Arial"/>
                <w:sz w:val="16"/>
                <w:szCs w:val="16"/>
                <w:color w:val="auto"/>
              </w:rPr>
              <w:t>Amounts reclassified from accumulated other comprehensive loss</w:t>
            </w: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10,505</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other comprehensive income (loss)</w:t>
            </w: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(2,707)</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(29,453)</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00" w:type="dxa"/>
            <w:vAlign w:val="bottom"/>
            <w:shd w:val="clear" w:color="auto" w:fill="CCEEFF"/>
          </w:tcPr>
          <w:p>
            <w:pPr>
              <w:spacing w:after="0"/>
              <w:rPr>
                <w:sz w:val="20"/>
                <w:szCs w:val="20"/>
                <w:color w:val="auto"/>
              </w:rPr>
            </w:pPr>
            <w:r>
              <w:rPr>
                <w:rFonts w:ascii="Arial" w:cs="Arial" w:eastAsia="Arial" w:hAnsi="Arial"/>
                <w:sz w:val="16"/>
                <w:szCs w:val="16"/>
                <w:color w:val="auto"/>
              </w:rPr>
              <w:t>Transition adjustment related to adoption of ASU 2016-13</w:t>
            </w: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2,158</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Balance, December 31, 2020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(26,623)</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(3,509)</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(27,819)</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00" w:type="dxa"/>
            <w:vAlign w:val="bottom"/>
            <w:shd w:val="clear" w:color="auto" w:fill="CCEEFF"/>
          </w:tcPr>
          <w:p>
            <w:pPr>
              <w:spacing w:after="0"/>
              <w:rPr>
                <w:sz w:val="20"/>
                <w:szCs w:val="20"/>
                <w:color w:val="auto"/>
              </w:rPr>
            </w:pPr>
            <w:r>
              <w:rPr>
                <w:rFonts w:ascii="Arial" w:cs="Arial" w:eastAsia="Arial" w:hAnsi="Arial"/>
                <w:sz w:val="16"/>
                <w:szCs w:val="16"/>
                <w:color w:val="auto"/>
              </w:rPr>
              <w:t>Gains arising during period</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10,314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1,955</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00" w:type="dxa"/>
            <w:vAlign w:val="bottom"/>
          </w:tcPr>
          <w:p>
            <w:pPr>
              <w:spacing w:after="0"/>
              <w:rPr>
                <w:sz w:val="20"/>
                <w:szCs w:val="20"/>
                <w:color w:val="auto"/>
              </w:rPr>
            </w:pPr>
            <w:r>
              <w:rPr>
                <w:rFonts w:ascii="Arial" w:cs="Arial" w:eastAsia="Arial" w:hAnsi="Arial"/>
                <w:sz w:val="16"/>
                <w:szCs w:val="16"/>
                <w:color w:val="auto"/>
              </w:rPr>
              <w:t>Amounts reclassified from accumulated other comprehensive loss</w:t>
            </w:r>
          </w:p>
        </w:tc>
        <w:tc>
          <w:tcPr>
            <w:tcW w:w="10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211</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16,501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16,602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other comprehensive income</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10,204</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18,456</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00" w:type="dxa"/>
            <w:vAlign w:val="bottom"/>
          </w:tcPr>
          <w:p>
            <w:pPr>
              <w:spacing w:after="0"/>
              <w:rPr>
                <w:sz w:val="20"/>
                <w:szCs w:val="20"/>
                <w:color w:val="auto"/>
              </w:rPr>
            </w:pPr>
            <w:r>
              <w:rPr>
                <w:rFonts w:ascii="Arial" w:cs="Arial" w:eastAsia="Arial" w:hAnsi="Arial"/>
                <w:sz w:val="16"/>
                <w:szCs w:val="16"/>
                <w:color w:val="auto"/>
              </w:rPr>
              <w:t>Balance, December 31, 2021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(16,419)</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(3,298)</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(9,363)</w:t>
            </w:r>
          </w:p>
        </w:tc>
        <w:tc>
          <w:tcPr>
            <w:tcW w:w="160" w:type="dxa"/>
            <w:vAlign w:val="bottom"/>
          </w:tcPr>
          <w:p>
            <w:pPr>
              <w:spacing w:after="0"/>
              <w:rPr>
                <w:sz w:val="17"/>
                <w:szCs w:val="17"/>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(29,080)</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Income Taxes</w:t>
      </w:r>
    </w:p>
    <w:p>
      <w:pPr>
        <w:spacing w:after="0" w:line="229" w:lineRule="exact"/>
        <w:rPr>
          <w:sz w:val="20"/>
          <w:szCs w:val="20"/>
          <w:color w:val="auto"/>
        </w:rPr>
      </w:pPr>
    </w:p>
    <w:p>
      <w:pPr>
        <w:ind w:left="60" w:right="219"/>
        <w:spacing w:after="0" w:line="301" w:lineRule="auto"/>
        <w:rPr>
          <w:sz w:val="20"/>
          <w:szCs w:val="20"/>
          <w:color w:val="auto"/>
        </w:rPr>
      </w:pPr>
      <w:r>
        <w:rPr>
          <w:rFonts w:ascii="Arial" w:cs="Arial" w:eastAsia="Arial" w:hAnsi="Arial"/>
          <w:sz w:val="16"/>
          <w:szCs w:val="16"/>
          <w:color w:val="auto"/>
        </w:rPr>
        <w:t>The Company has elected to be taxed as a REIT effective January 1, 2013, pursuant to the U.S. Internal Revenue Code of 1986, as amended. As a REIT, generally the Company will not be subject to federal corporate income taxes on ordinary taxable income and capital gains income from real estate investments that it distributes to its stockholders. The Company pays federal and state corporate income taxes on earnings of its taxable REIT subsidiaries (“TRSs”).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income tax provision for continuing operations consists of the following (amounts in thousands):</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8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2019</w:t>
            </w:r>
          </w:p>
        </w:tc>
      </w:tr>
      <w:tr>
        <w:trPr>
          <w:trHeight w:val="209"/>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100"/>
              <w:spacing w:after="0"/>
              <w:rPr>
                <w:sz w:val="20"/>
                <w:szCs w:val="20"/>
                <w:color w:val="auto"/>
              </w:rPr>
            </w:pPr>
            <w:r>
              <w:rPr>
                <w:rFonts w:ascii="Arial" w:cs="Arial" w:eastAsia="Arial" w:hAnsi="Arial"/>
                <w:sz w:val="18"/>
                <w:szCs w:val="18"/>
                <w:color w:val="auto"/>
              </w:rPr>
              <w:t>Federal</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State</w:t>
            </w:r>
          </w:p>
        </w:tc>
        <w:tc>
          <w:tcPr>
            <w:tcW w:w="10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(1,077)</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(3,941)</w:t>
            </w:r>
          </w:p>
        </w:tc>
      </w:tr>
      <w:tr>
        <w:trPr>
          <w:trHeight w:val="210"/>
        </w:trPr>
        <w:tc>
          <w:tcPr>
            <w:tcW w:w="20" w:type="dxa"/>
            <w:vAlign w:val="bottom"/>
          </w:tcPr>
          <w:p>
            <w:pPr>
              <w:spacing w:after="0"/>
              <w:rPr>
                <w:sz w:val="18"/>
                <w:szCs w:val="18"/>
                <w:color w:val="auto"/>
              </w:rPr>
            </w:pPr>
          </w:p>
        </w:tc>
        <w:tc>
          <w:tcPr>
            <w:tcW w:w="35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current provision</w:t>
            </w:r>
          </w:p>
        </w:tc>
        <w:tc>
          <w:tcPr>
            <w:tcW w:w="10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(4,061)</w:t>
            </w:r>
          </w:p>
        </w:tc>
      </w:tr>
      <w:tr>
        <w:trPr>
          <w:trHeight w:val="210"/>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100"/>
              <w:spacing w:after="0"/>
              <w:rPr>
                <w:sz w:val="20"/>
                <w:szCs w:val="20"/>
                <w:color w:val="auto"/>
              </w:rPr>
            </w:pPr>
            <w:r>
              <w:rPr>
                <w:rFonts w:ascii="Arial" w:cs="Arial" w:eastAsia="Arial" w:hAnsi="Arial"/>
                <w:sz w:val="18"/>
                <w:szCs w:val="18"/>
                <w:color w:val="auto"/>
              </w:rPr>
              <w:t>Federal</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(3,646)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(13,565)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(13,715)</w:t>
            </w: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State</w:t>
            </w:r>
          </w:p>
        </w:tc>
        <w:tc>
          <w:tcPr>
            <w:tcW w:w="10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(12,961)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w:t>
            </w:r>
          </w:p>
        </w:tc>
      </w:tr>
      <w:tr>
        <w:trPr>
          <w:trHeight w:val="210"/>
        </w:trPr>
        <w:tc>
          <w:tcPr>
            <w:tcW w:w="20" w:type="dxa"/>
            <w:vAlign w:val="bottom"/>
          </w:tcPr>
          <w:p>
            <w:pPr>
              <w:spacing w:after="0"/>
              <w:rPr>
                <w:sz w:val="18"/>
                <w:szCs w:val="18"/>
                <w:color w:val="auto"/>
              </w:rPr>
            </w:pPr>
          </w:p>
        </w:tc>
        <w:tc>
          <w:tcPr>
            <w:tcW w:w="35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deferred provision</w:t>
            </w:r>
          </w:p>
        </w:tc>
        <w:tc>
          <w:tcPr>
            <w:tcW w:w="10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(4,006)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(26,526)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(14,414)</w:t>
            </w:r>
          </w:p>
        </w:tc>
      </w:tr>
      <w:tr>
        <w:trPr>
          <w:trHeight w:val="210"/>
        </w:trPr>
        <w:tc>
          <w:tcPr>
            <w:tcW w:w="20" w:type="dxa"/>
            <w:vAlign w:val="bottom"/>
          </w:tcPr>
          <w:p>
            <w:pPr>
              <w:spacing w:after="0"/>
              <w:rPr>
                <w:sz w:val="18"/>
                <w:szCs w:val="18"/>
                <w:color w:val="auto"/>
              </w:rPr>
            </w:pPr>
          </w:p>
        </w:tc>
        <w:tc>
          <w:tcPr>
            <w:tcW w:w="3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provision for income taxes</w:t>
            </w: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(4,957)</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(27,084)</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(18,475)</w:t>
            </w: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219"/>
        <w:spacing w:after="0" w:line="279" w:lineRule="auto"/>
        <w:rPr>
          <w:sz w:val="20"/>
          <w:szCs w:val="20"/>
          <w:color w:val="auto"/>
        </w:rPr>
      </w:pPr>
      <w:r>
        <w:rPr>
          <w:rFonts w:ascii="Arial" w:cs="Arial" w:eastAsia="Arial" w:hAnsi="Arial"/>
          <w:sz w:val="17"/>
          <w:szCs w:val="17"/>
          <w:color w:val="auto"/>
        </w:rPr>
        <w:t>Due to the financial statement impact of the COVID-19 pandemic, and in connection with the preparation of the consolidated financial statements included herein, the Company reassessed the realizability of net deferred tax assets during 2020. As a result, the Company’s tax provision for 2020 includes $26.7 million in expense related to the recording of a valuation allowance on the 2020 beginning net deferred tax assets of its TRSs.</w:t>
      </w:r>
    </w:p>
    <w:p>
      <w:pPr>
        <w:spacing w:after="0" w:line="171" w:lineRule="exact"/>
        <w:rPr>
          <w:sz w:val="20"/>
          <w:szCs w:val="20"/>
          <w:color w:val="auto"/>
        </w:rPr>
      </w:pPr>
    </w:p>
    <w:p>
      <w:pPr>
        <w:ind w:left="60" w:right="279"/>
        <w:spacing w:after="0" w:line="311" w:lineRule="auto"/>
        <w:rPr>
          <w:sz w:val="20"/>
          <w:szCs w:val="20"/>
          <w:color w:val="auto"/>
        </w:rPr>
      </w:pPr>
      <w:r>
        <w:rPr>
          <w:rFonts w:ascii="Arial" w:cs="Arial" w:eastAsia="Arial" w:hAnsi="Arial"/>
          <w:sz w:val="16"/>
          <w:szCs w:val="16"/>
          <w:color w:val="auto"/>
        </w:rPr>
        <w:t>The Company is required to distribute at least 90% of its annual taxable income, excluding net capital gains, to its stockholders in order to maintain its qualification as a REIT. The taxability of distributions to stockholders is determined by the Company’s earnings and profits, which differs from net income (loss) reported for financial reporting purposes.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2" w:name="page113"/>
    <w:bookmarkEnd w:id="1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The Company made no cash distributions in 2021. The estimated taxability of cash distributions to common shareholders is shown in the table below (per common share) (unaudited).</w:t>
      </w:r>
    </w:p>
    <w:p>
      <w:pPr>
        <w:spacing w:after="0" w:line="175"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Pr>
          <w:p>
            <w:pPr>
              <w:spacing w:after="0"/>
              <w:rPr>
                <w:sz w:val="14"/>
                <w:szCs w:val="14"/>
                <w:color w:val="auto"/>
              </w:rPr>
            </w:pPr>
          </w:p>
        </w:tc>
        <w:tc>
          <w:tcPr>
            <w:tcW w:w="54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2019</w:t>
            </w:r>
          </w:p>
        </w:tc>
      </w:tr>
      <w:tr>
        <w:trPr>
          <w:trHeight w:val="210"/>
        </w:trPr>
        <w:tc>
          <w:tcPr>
            <w:tcW w:w="20" w:type="dxa"/>
            <w:vAlign w:val="bottom"/>
          </w:tcPr>
          <w:p>
            <w:pPr>
              <w:spacing w:after="0"/>
              <w:rPr>
                <w:sz w:val="18"/>
                <w:szCs w:val="18"/>
                <w:color w:val="auto"/>
              </w:rPr>
            </w:pPr>
          </w:p>
        </w:tc>
        <w:tc>
          <w:tcPr>
            <w:tcW w:w="3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Ordinary income</w:t>
            </w:r>
          </w:p>
        </w:tc>
        <w:tc>
          <w:tcPr>
            <w:tcW w:w="20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$ 2.55</w:t>
            </w: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Capital gains</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6"/>
              </w:rPr>
              <w:t>0.05</w:t>
            </w:r>
          </w:p>
        </w:tc>
        <w:tc>
          <w:tcPr>
            <w:tcW w:w="1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0.05</w:t>
            </w: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Return of capital</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1.80</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0.88</w:t>
            </w:r>
          </w:p>
        </w:tc>
      </w:tr>
      <w:tr>
        <w:trPr>
          <w:trHeight w:val="209"/>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1.85</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$ 3.48</w:t>
            </w: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279"/>
        <w:spacing w:after="0" w:line="308" w:lineRule="auto"/>
        <w:rPr>
          <w:sz w:val="20"/>
          <w:szCs w:val="20"/>
          <w:color w:val="auto"/>
        </w:rPr>
      </w:pPr>
      <w:r>
        <w:rPr>
          <w:rFonts w:ascii="Arial" w:cs="Arial" w:eastAsia="Arial" w:hAnsi="Arial"/>
          <w:sz w:val="17"/>
          <w:szCs w:val="17"/>
          <w:color w:val="auto"/>
        </w:rPr>
        <w:t>The differences between the income tax provision calculated at the statutory U.S. federal income tax rate of 21% and the actual income tax provision recorded for continuing operations are as follows (amounts in thousands):</w:t>
      </w:r>
    </w:p>
    <w:p>
      <w:pPr>
        <w:spacing w:after="0" w:line="15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56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2019</w:t>
            </w:r>
          </w:p>
        </w:tc>
      </w:tr>
      <w:tr>
        <w:trPr>
          <w:trHeight w:val="209"/>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income tax (provision) benefit</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91,085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(30,822)</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Adjustment for nontaxable income of the REIT</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(16,379)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(33,116)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15,803</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Adjustment for noncontrolling interest in consolidated joint venture</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State tax (provision) benefit (net of federal taxes)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5,876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(4,596)</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Permanent share-based compensation adjustment</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Other permanent items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(377)</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Change in federal valuation allowance</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(25,698)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(65,368)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Change in state valuation allowance (net of federal taxes)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(9,264)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(19,293)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r>
      <w:tr>
        <w:trPr>
          <w:trHeight w:val="209"/>
        </w:trPr>
        <w:tc>
          <w:tcPr>
            <w:tcW w:w="5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(4,957)</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(27,084)</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(18,475)</w:t>
            </w:r>
          </w:p>
        </w:tc>
      </w:tr>
      <w:tr>
        <w:trPr>
          <w:trHeight w:val="20"/>
        </w:trPr>
        <w:tc>
          <w:tcPr>
            <w:tcW w:w="5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color w:val="auto"/>
        </w:rPr>
        <w:t>Significant components of the Company’s deferred tax assets and liabilities at December 31 are as follows (amounts in thousands):</w:t>
      </w:r>
    </w:p>
    <w:p>
      <w:pPr>
        <w:spacing w:after="0" w:line="175"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2020</w:t>
            </w: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Accounting reserves and accruals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26,340</w:t>
            </w: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17,545</w:t>
            </w: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Defined benefit plan</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3,924</w:t>
            </w:r>
          </w:p>
        </w:tc>
      </w:tr>
      <w:tr>
        <w:trPr>
          <w:trHeight w:val="216"/>
        </w:trPr>
        <w:tc>
          <w:tcPr>
            <w:tcW w:w="2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Deferred management rights proceeds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43,009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42,424</w:t>
            </w: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Federal and State net operating loss carryforwards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105,484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110,869</w:t>
            </w:r>
          </w:p>
        </w:tc>
      </w:tr>
      <w:tr>
        <w:trPr>
          <w:trHeight w:val="216"/>
        </w:trPr>
        <w:tc>
          <w:tcPr>
            <w:tcW w:w="2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Tax credits and other carryforwards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1,484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1,114</w:t>
            </w: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assets</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5,022</w:t>
            </w:r>
          </w:p>
        </w:tc>
      </w:tr>
      <w:tr>
        <w:trPr>
          <w:trHeight w:val="210"/>
        </w:trPr>
        <w:tc>
          <w:tcPr>
            <w:tcW w:w="20" w:type="dxa"/>
            <w:vAlign w:val="bottom"/>
          </w:tcPr>
          <w:p>
            <w:pPr>
              <w:spacing w:after="0"/>
              <w:rPr>
                <w:sz w:val="18"/>
                <w:szCs w:val="18"/>
                <w:color w:val="auto"/>
              </w:rPr>
            </w:pPr>
          </w:p>
        </w:tc>
        <w:tc>
          <w:tcPr>
            <w:tcW w:w="4620" w:type="dxa"/>
            <w:vAlign w:val="bottom"/>
          </w:tcPr>
          <w:p>
            <w:pPr>
              <w:ind w:left="200"/>
              <w:spacing w:after="0"/>
              <w:rPr>
                <w:sz w:val="20"/>
                <w:szCs w:val="20"/>
                <w:color w:val="auto"/>
              </w:rPr>
            </w:pPr>
            <w:r>
              <w:rPr>
                <w:rFonts w:ascii="Arial" w:cs="Arial" w:eastAsia="Arial" w:hAnsi="Arial"/>
                <w:sz w:val="18"/>
                <w:szCs w:val="18"/>
                <w:color w:val="auto"/>
              </w:rPr>
              <w:t>Total deferred tax assets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181,868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180,898</w:t>
            </w: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Valuation allowance</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(125,387)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(97,700)</w:t>
            </w:r>
          </w:p>
        </w:tc>
      </w:tr>
      <w:tr>
        <w:trPr>
          <w:trHeight w:val="210"/>
        </w:trPr>
        <w:tc>
          <w:tcPr>
            <w:tcW w:w="20" w:type="dxa"/>
            <w:vAlign w:val="bottom"/>
          </w:tcPr>
          <w:p>
            <w:pPr>
              <w:spacing w:after="0"/>
              <w:rPr>
                <w:sz w:val="18"/>
                <w:szCs w:val="18"/>
                <w:color w:val="auto"/>
              </w:rPr>
            </w:pPr>
          </w:p>
        </w:tc>
        <w:tc>
          <w:tcPr>
            <w:tcW w:w="46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deferred tax assets, net of valuation allowance</w:t>
            </w: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56,481</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83,198</w:t>
            </w:r>
          </w:p>
        </w:tc>
      </w:tr>
      <w:tr>
        <w:trPr>
          <w:trHeight w:val="209"/>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Property and equipment, net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57,035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71,940</w:t>
            </w: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Investment in joint ventures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11,048</w:t>
            </w:r>
          </w:p>
        </w:tc>
      </w:tr>
      <w:tr>
        <w:trPr>
          <w:trHeight w:val="216"/>
        </w:trPr>
        <w:tc>
          <w:tcPr>
            <w:tcW w:w="20" w:type="dxa"/>
            <w:vAlign w:val="bottom"/>
          </w:tcPr>
          <w:p>
            <w:pPr>
              <w:spacing w:after="0"/>
              <w:rPr>
                <w:sz w:val="18"/>
                <w:szCs w:val="18"/>
                <w:color w:val="auto"/>
              </w:rPr>
            </w:pPr>
          </w:p>
        </w:tc>
        <w:tc>
          <w:tcPr>
            <w:tcW w:w="46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liabilities</w:t>
            </w: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4,016</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w:t>
            </w: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deferred tax liabilities</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61,152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83,863</w:t>
            </w:r>
          </w:p>
        </w:tc>
      </w:tr>
      <w:tr>
        <w:trPr>
          <w:trHeight w:val="210"/>
        </w:trPr>
        <w:tc>
          <w:tcPr>
            <w:tcW w:w="2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Net deferred tax liabilities</w:t>
            </w:r>
          </w:p>
        </w:tc>
        <w:tc>
          <w:tcPr>
            <w:tcW w:w="7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(4,671)</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w:t>
            </w: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79"/>
        <w:spacing w:after="0" w:line="290" w:lineRule="auto"/>
        <w:rPr>
          <w:sz w:val="20"/>
          <w:szCs w:val="20"/>
          <w:color w:val="auto"/>
        </w:rPr>
      </w:pPr>
      <w:r>
        <w:rPr>
          <w:rFonts w:ascii="Arial" w:cs="Arial" w:eastAsia="Arial" w:hAnsi="Arial"/>
          <w:sz w:val="16"/>
          <w:szCs w:val="16"/>
          <w:color w:val="auto"/>
        </w:rPr>
        <w:t>Federal net operating loss carryforwards at the TRS at December 31, 2021 totaled $367.2 million, resulting in a deferred tax asset of $77.1 million. Of the total TRS federal net operating loss carryforwards, $40.3 million were created prior to 2018 and can be used to offset 100% of taxable income in the future. These federal net operating loss carryforwards will expire between 2033 and 2037. The remaining $326.9 million of federal net operating loss carryforwards have no expiration date and can be used to offset 80% of taxable income in the future. Federal net operating loss carryforwards at the REIT at December 31, 2021 totaled $88.4 million, resulting in no deferred tax asset. These net operating losses have no expiration date and can be used to offset 80% of REIT taxable income in the future. The use of certain federal net operating losses, credits and other deferred tax assets are limited to the Company’s future taxable earnings. As a result, a</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3" w:name="page114"/>
    <w:bookmarkEnd w:id="1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342" w:lineRule="auto"/>
        <w:rPr>
          <w:sz w:val="20"/>
          <w:szCs w:val="20"/>
          <w:color w:val="auto"/>
        </w:rPr>
      </w:pPr>
      <w:r>
        <w:rPr>
          <w:rFonts w:ascii="Arial" w:cs="Arial" w:eastAsia="Arial" w:hAnsi="Arial"/>
          <w:sz w:val="16"/>
          <w:szCs w:val="16"/>
          <w:color w:val="auto"/>
        </w:rPr>
        <w:t>valuation allowance has been provided for certain federal deferred tax assets. The valuation allowance related to federal deferred tax assets increased (decreased) $23.0 million, $65.9 million and $(0.5) in 2021, 2020 and 2019, respectively.</w:t>
      </w:r>
    </w:p>
    <w:p>
      <w:pPr>
        <w:spacing w:after="0" w:line="124" w:lineRule="exact"/>
        <w:rPr>
          <w:sz w:val="20"/>
          <w:szCs w:val="20"/>
          <w:color w:val="auto"/>
        </w:rPr>
      </w:pPr>
    </w:p>
    <w:p>
      <w:pPr>
        <w:ind w:left="60" w:right="279"/>
        <w:spacing w:after="0" w:line="255" w:lineRule="auto"/>
        <w:rPr>
          <w:sz w:val="20"/>
          <w:szCs w:val="20"/>
          <w:color w:val="auto"/>
        </w:rPr>
      </w:pPr>
      <w:r>
        <w:rPr>
          <w:rFonts w:ascii="Arial" w:cs="Arial" w:eastAsia="Arial" w:hAnsi="Arial"/>
          <w:sz w:val="18"/>
          <w:szCs w:val="18"/>
          <w:color w:val="auto"/>
        </w:rPr>
        <w:t>State net operating loss carryforwards at December 31, 2021 totaled $597.4 million, resulting in a deferred tax benefit of $28.4 million, which will expire between 2024 and 2037. The use of certain state net operating losses, credits and other state deferred tax assets are limited to the future taxable earnings of separate legal entities. As a result, a valuation allowance has been provided for certain state deferred tax assets, including loss carryforwards. The valuation allowance related to state deferred tax assets increased (decreased) $4.7 million, $19.4 million and $(1.3) million in 2021, 2020 and 2019, respectively.</w:t>
      </w:r>
    </w:p>
    <w:p>
      <w:pPr>
        <w:spacing w:after="0" w:line="192" w:lineRule="exact"/>
        <w:rPr>
          <w:sz w:val="20"/>
          <w:szCs w:val="20"/>
          <w:color w:val="auto"/>
        </w:rPr>
      </w:pPr>
    </w:p>
    <w:p>
      <w:pPr>
        <w:ind w:left="60" w:right="119"/>
        <w:spacing w:after="0" w:line="257" w:lineRule="auto"/>
        <w:rPr>
          <w:sz w:val="20"/>
          <w:szCs w:val="20"/>
          <w:color w:val="auto"/>
        </w:rPr>
      </w:pPr>
      <w:r>
        <w:rPr>
          <w:rFonts w:ascii="Arial" w:cs="Arial" w:eastAsia="Arial" w:hAnsi="Arial"/>
          <w:sz w:val="18"/>
          <w:szCs w:val="18"/>
          <w:color w:val="auto"/>
        </w:rPr>
        <w:t>The Company has concluded IRS examinations of the TRS through the 2015 tax year. For federal income tax purposes and substantially all the states with which the Company has nexus, the statute of limitations has expired through 2017. However, the Company has state net operating loss carryforwards from closed years, which could be adjusted upon audit. The Company is routinely subject to other various jurisdictional income tax audits; however, there were no outstanding state or local audits at December 31, 2021.</w:t>
      </w:r>
    </w:p>
    <w:p>
      <w:pPr>
        <w:spacing w:after="0" w:line="188" w:lineRule="exact"/>
        <w:rPr>
          <w:sz w:val="20"/>
          <w:szCs w:val="20"/>
          <w:color w:val="auto"/>
        </w:rPr>
      </w:pPr>
    </w:p>
    <w:p>
      <w:pPr>
        <w:ind w:left="60" w:right="119"/>
        <w:spacing w:after="0" w:line="286" w:lineRule="auto"/>
        <w:rPr>
          <w:sz w:val="20"/>
          <w:szCs w:val="20"/>
          <w:color w:val="auto"/>
        </w:rPr>
      </w:pPr>
      <w:r>
        <w:rPr>
          <w:rFonts w:ascii="Arial" w:cs="Arial" w:eastAsia="Arial" w:hAnsi="Arial"/>
          <w:sz w:val="17"/>
          <w:szCs w:val="17"/>
          <w:color w:val="auto"/>
        </w:rPr>
        <w:t>At December 31, 2021 and 2020, the Company had no accruals for unrecognized tax benefits. The Company recognizes interest and penalties related to uncertain tax positions, if any, in income tax expense. At December 31, 2021 and 2020, the Company has accrued no interest or penalties related to uncertain tax positions.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Commitments and Contingencies</w:t>
      </w:r>
    </w:p>
    <w:p>
      <w:pPr>
        <w:spacing w:after="0" w:line="229" w:lineRule="exact"/>
        <w:rPr>
          <w:sz w:val="20"/>
          <w:szCs w:val="20"/>
          <w:color w:val="auto"/>
        </w:rPr>
      </w:pPr>
    </w:p>
    <w:p>
      <w:pPr>
        <w:ind w:left="60" w:right="279"/>
        <w:spacing w:after="0" w:line="263" w:lineRule="auto"/>
        <w:rPr>
          <w:sz w:val="20"/>
          <w:szCs w:val="20"/>
          <w:color w:val="auto"/>
        </w:rPr>
      </w:pPr>
      <w:r>
        <w:rPr>
          <w:rFonts w:ascii="Arial" w:cs="Arial" w:eastAsia="Arial" w:hAnsi="Arial"/>
          <w:sz w:val="18"/>
          <w:szCs w:val="18"/>
          <w:color w:val="auto"/>
        </w:rPr>
        <w:t>In April 2019, the Company acquired a 50% equity interest in Circle and has made capital contributions of $21.0 million through December 31, 2021. In addition, the Company intends to contribute up to an additional $12.0 million through December 31, 2022 for working capital needs.</w:t>
      </w:r>
    </w:p>
    <w:p>
      <w:pPr>
        <w:spacing w:after="0" w:line="184" w:lineRule="exact"/>
        <w:rPr>
          <w:sz w:val="20"/>
          <w:szCs w:val="20"/>
          <w:color w:val="auto"/>
        </w:rPr>
      </w:pPr>
    </w:p>
    <w:p>
      <w:pPr>
        <w:ind w:left="60" w:right="199"/>
        <w:spacing w:after="0" w:line="293" w:lineRule="auto"/>
        <w:rPr>
          <w:sz w:val="20"/>
          <w:szCs w:val="20"/>
          <w:color w:val="auto"/>
        </w:rPr>
      </w:pPr>
      <w:r>
        <w:rPr>
          <w:rFonts w:ascii="Arial" w:cs="Arial" w:eastAsia="Arial" w:hAnsi="Arial"/>
          <w:sz w:val="16"/>
          <w:szCs w:val="16"/>
          <w:color w:val="auto"/>
        </w:rPr>
        <w:t>The Company is self-insured up to a stop loss for certain losses relating to workers’ compensation claims and general liability claims through September 30, 2012, and for certain losses related to employee medical benefits through December 31, 2012. The Company’s insurance program subsequently transitioned to a low or no deductible program. The Company has purchased stop-loss coverage in order to limit its exposure to any significant levels of claims relating to workers’ compensation, employee medical benefits and general liability for which it is self-insured. Beginning January 1, 2022, the Company is again self-insured for certain losses related to employee medical benefits.</w:t>
      </w:r>
    </w:p>
    <w:p>
      <w:pPr>
        <w:spacing w:after="0" w:line="164"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The Company has entered into employment agreements with certain officers, which provide for severance payments upon certain events, including after a change of control.</w:t>
      </w:r>
    </w:p>
    <w:p>
      <w:pPr>
        <w:spacing w:after="0" w:line="170" w:lineRule="exact"/>
        <w:rPr>
          <w:sz w:val="20"/>
          <w:szCs w:val="20"/>
          <w:color w:val="auto"/>
        </w:rPr>
      </w:pPr>
    </w:p>
    <w:p>
      <w:pPr>
        <w:ind w:left="60" w:right="259"/>
        <w:spacing w:after="0" w:line="263" w:lineRule="auto"/>
        <w:rPr>
          <w:sz w:val="20"/>
          <w:szCs w:val="20"/>
          <w:color w:val="auto"/>
        </w:rPr>
      </w:pPr>
      <w:r>
        <w:rPr>
          <w:rFonts w:ascii="Arial" w:cs="Arial" w:eastAsia="Arial" w:hAnsi="Arial"/>
          <w:sz w:val="18"/>
          <w:szCs w:val="18"/>
          <w:color w:val="auto"/>
        </w:rPr>
        <w:t>The Company, in the ordinary course of business, is involved in certain legal actions and claims on a variety of other matters. It is the opinion of management that such legal actions will not have a material effect on the financial statements of the Company.</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Fair Value Measurements</w:t>
      </w:r>
    </w:p>
    <w:p>
      <w:pPr>
        <w:spacing w:after="0" w:line="229" w:lineRule="exact"/>
        <w:rPr>
          <w:sz w:val="20"/>
          <w:szCs w:val="20"/>
          <w:color w:val="auto"/>
        </w:rPr>
      </w:pPr>
    </w:p>
    <w:p>
      <w:pPr>
        <w:ind w:left="60" w:right="99"/>
        <w:spacing w:after="0" w:line="301" w:lineRule="auto"/>
        <w:rPr>
          <w:sz w:val="20"/>
          <w:szCs w:val="20"/>
          <w:color w:val="auto"/>
        </w:rPr>
      </w:pPr>
      <w:r>
        <w:rPr>
          <w:rFonts w:ascii="Arial" w:cs="Arial" w:eastAsia="Arial" w:hAnsi="Arial"/>
          <w:sz w:val="16"/>
          <w:szCs w:val="16"/>
          <w:color w:val="auto"/>
        </w:rPr>
        <w:t>The Company uses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157" w:lineRule="exact"/>
        <w:rPr>
          <w:sz w:val="20"/>
          <w:szCs w:val="20"/>
          <w:color w:val="auto"/>
        </w:rPr>
      </w:pPr>
    </w:p>
    <w:p>
      <w:pPr>
        <w:ind w:left="60" w:right="299"/>
        <w:spacing w:after="0" w:line="259" w:lineRule="auto"/>
        <w:rPr>
          <w:sz w:val="20"/>
          <w:szCs w:val="20"/>
          <w:color w:val="auto"/>
        </w:rPr>
      </w:pPr>
      <w:r>
        <w:rPr>
          <w:rFonts w:ascii="Arial" w:cs="Arial" w:eastAsia="Arial" w:hAnsi="Arial"/>
          <w:sz w:val="18"/>
          <w:szCs w:val="18"/>
          <w:color w:val="auto"/>
        </w:rPr>
        <w:t>The investments held by the Company in connection with its deferred compensation plan consist of money market and mutual funds traded in an active market. The Company determined the fair value of these assets based on the net asset value per unit of the funds or the portfolio, which is based upon quoted market prices in an active market. Therefore, the Company has categorized these investments as Level 1.</w:t>
      </w:r>
    </w:p>
    <w:p>
      <w:pPr>
        <w:spacing w:after="0" w:line="187" w:lineRule="exact"/>
        <w:rPr>
          <w:sz w:val="20"/>
          <w:szCs w:val="20"/>
          <w:color w:val="auto"/>
        </w:rPr>
      </w:pPr>
    </w:p>
    <w:p>
      <w:pPr>
        <w:ind w:left="60" w:right="179"/>
        <w:spacing w:after="0" w:line="308" w:lineRule="auto"/>
        <w:rPr>
          <w:sz w:val="20"/>
          <w:szCs w:val="20"/>
          <w:color w:val="auto"/>
        </w:rPr>
      </w:pPr>
      <w:r>
        <w:rPr>
          <w:rFonts w:ascii="Arial" w:cs="Arial" w:eastAsia="Arial" w:hAnsi="Arial"/>
          <w:sz w:val="17"/>
          <w:szCs w:val="17"/>
          <w:color w:val="auto"/>
        </w:rPr>
        <w:t>The Company’s interest rate swaps consist of over-the-counter swap contracts, which are not traded on a public exchange. The Company determines the fair value of these swap contracts based on a widely accepted valuation</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4" w:name="page115"/>
    <w:bookmarkEnd w:id="1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9" w:lineRule="auto"/>
        <w:rPr>
          <w:sz w:val="20"/>
          <w:szCs w:val="20"/>
          <w:color w:val="auto"/>
        </w:rPr>
      </w:pPr>
      <w:r>
        <w:rPr>
          <w:rFonts w:ascii="Arial" w:cs="Arial" w:eastAsia="Arial" w:hAnsi="Arial"/>
          <w:sz w:val="18"/>
          <w:szCs w:val="18"/>
          <w:color w:val="auto"/>
        </w:rPr>
        <w:t>methodology of netting the discounted future fixed cash flows and the discounted expected variable cash flow, using interest rates derived from observable market interest rate curves and volatilities, with appropriate adjustments for any significant impact of non-performance risk of the parties to the swap contracts. Therefore, these swap contracts have been classified as Level 2.</w:t>
      </w:r>
    </w:p>
    <w:p>
      <w:pPr>
        <w:spacing w:after="0" w:line="187"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color w:val="auto"/>
        </w:rPr>
        <w:t>The Company has consistently applied these valuation techniques in all periods presented and believes it has obtained the most accurate information available for the types of instruments it holds.</w:t>
      </w:r>
    </w:p>
    <w:p>
      <w:pPr>
        <w:spacing w:after="0" w:line="170" w:lineRule="exact"/>
        <w:rPr>
          <w:sz w:val="20"/>
          <w:szCs w:val="20"/>
          <w:color w:val="auto"/>
        </w:rPr>
      </w:pPr>
    </w:p>
    <w:p>
      <w:pPr>
        <w:ind w:left="60" w:right="399"/>
        <w:spacing w:after="0" w:line="277" w:lineRule="auto"/>
        <w:rPr>
          <w:sz w:val="20"/>
          <w:szCs w:val="20"/>
          <w:color w:val="auto"/>
        </w:rPr>
      </w:pPr>
      <w:r>
        <w:rPr>
          <w:rFonts w:ascii="Arial" w:cs="Arial" w:eastAsia="Arial" w:hAnsi="Arial"/>
          <w:sz w:val="18"/>
          <w:szCs w:val="18"/>
          <w:color w:val="auto"/>
        </w:rPr>
        <w:t>The Company’s assets and liabilities that are required to be measured at fair value on a recurring basis at December 31, were as follows (in thousands):</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820" w:type="dxa"/>
            <w:vAlign w:val="bottom"/>
            <w:gridSpan w:val="3"/>
            <w:vMerge w:val="restart"/>
          </w:tcPr>
          <w:p>
            <w:pPr>
              <w:ind w:left="940"/>
              <w:spacing w:after="0"/>
              <w:rPr>
                <w:sz w:val="20"/>
                <w:szCs w:val="20"/>
                <w:color w:val="auto"/>
              </w:rPr>
            </w:pPr>
            <w:r>
              <w:rPr>
                <w:rFonts w:ascii="Arial" w:cs="Arial" w:eastAsia="Arial" w:hAnsi="Arial"/>
                <w:sz w:val="14"/>
                <w:szCs w:val="14"/>
                <w:b w:val="1"/>
                <w:bCs w:val="1"/>
                <w:color w:val="auto"/>
                <w:w w:val="94"/>
              </w:rPr>
              <w:t>December 31,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16"/>
              <w:spacing w:after="0"/>
              <w:rPr>
                <w:sz w:val="20"/>
                <w:szCs w:val="20"/>
                <w:color w:val="auto"/>
              </w:rPr>
            </w:pPr>
            <w:r>
              <w:rPr>
                <w:rFonts w:ascii="Arial" w:cs="Arial" w:eastAsia="Arial" w:hAnsi="Arial"/>
                <w:sz w:val="14"/>
                <w:szCs w:val="14"/>
                <w:b w:val="1"/>
                <w:bCs w:val="1"/>
                <w:color w:val="auto"/>
                <w:w w:val="98"/>
              </w:rPr>
              <w:t>Markets for</w:t>
            </w:r>
          </w:p>
        </w:tc>
        <w:tc>
          <w:tcPr>
            <w:tcW w:w="14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Observable</w:t>
            </w:r>
          </w:p>
        </w:tc>
        <w:tc>
          <w:tcPr>
            <w:tcW w:w="16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8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6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investments</w:t>
            </w:r>
          </w:p>
        </w:tc>
        <w:tc>
          <w:tcPr>
            <w:tcW w:w="9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31,183</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31,183</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assets measured at fair value</w:t>
            </w:r>
          </w:p>
        </w:tc>
        <w:tc>
          <w:tcPr>
            <w:tcW w:w="9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31,183</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31,183</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Variable to fixed interest rate swaps</w:t>
            </w:r>
          </w:p>
        </w:tc>
        <w:tc>
          <w:tcPr>
            <w:tcW w:w="11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9,362</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9,362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liabilities measured at fair value</w:t>
            </w: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820" w:type="dxa"/>
            <w:vAlign w:val="bottom"/>
            <w:gridSpan w:val="3"/>
            <w:vMerge w:val="restart"/>
          </w:tcPr>
          <w:p>
            <w:pPr>
              <w:ind w:left="940"/>
              <w:spacing w:after="0"/>
              <w:rPr>
                <w:sz w:val="20"/>
                <w:szCs w:val="20"/>
                <w:color w:val="auto"/>
              </w:rPr>
            </w:pPr>
            <w:r>
              <w:rPr>
                <w:rFonts w:ascii="Arial" w:cs="Arial" w:eastAsia="Arial" w:hAnsi="Arial"/>
                <w:sz w:val="14"/>
                <w:szCs w:val="14"/>
                <w:b w:val="1"/>
                <w:bCs w:val="1"/>
                <w:color w:val="auto"/>
                <w:w w:val="94"/>
              </w:rPr>
              <w:t>December 31,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center"/>
              <w:ind w:right="16"/>
              <w:spacing w:after="0"/>
              <w:rPr>
                <w:sz w:val="20"/>
                <w:szCs w:val="20"/>
                <w:color w:val="auto"/>
              </w:rPr>
            </w:pPr>
            <w:r>
              <w:rPr>
                <w:rFonts w:ascii="Arial" w:cs="Arial" w:eastAsia="Arial" w:hAnsi="Arial"/>
                <w:sz w:val="14"/>
                <w:szCs w:val="14"/>
                <w:b w:val="1"/>
                <w:bCs w:val="1"/>
                <w:color w:val="auto"/>
                <w:w w:val="98"/>
              </w:rPr>
              <w:t>Markets for</w:t>
            </w:r>
          </w:p>
        </w:tc>
        <w:tc>
          <w:tcPr>
            <w:tcW w:w="140" w:type="dxa"/>
            <w:vAlign w:val="bottom"/>
          </w:tcPr>
          <w:p>
            <w:pPr>
              <w:spacing w:after="0"/>
              <w:rPr>
                <w:sz w:val="24"/>
                <w:szCs w:val="2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Observable</w:t>
            </w:r>
          </w:p>
        </w:tc>
        <w:tc>
          <w:tcPr>
            <w:tcW w:w="160" w:type="dxa"/>
            <w:vAlign w:val="bottom"/>
          </w:tcPr>
          <w:p>
            <w:pPr>
              <w:spacing w:after="0"/>
              <w:rPr>
                <w:sz w:val="24"/>
                <w:szCs w:val="2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8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6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investments</w:t>
            </w:r>
          </w:p>
        </w:tc>
        <w:tc>
          <w:tcPr>
            <w:tcW w:w="9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31,277</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31,277</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assets measured at fair value</w:t>
            </w:r>
          </w:p>
        </w:tc>
        <w:tc>
          <w:tcPr>
            <w:tcW w:w="9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31,277</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31,277</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Variable to fixed interest rate swaps</w:t>
            </w:r>
          </w:p>
        </w:tc>
        <w:tc>
          <w:tcPr>
            <w:tcW w:w="11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27,819</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27,819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liabilities measured at fair value</w:t>
            </w: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27,819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27,819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259"/>
        <w:spacing w:after="0" w:line="342" w:lineRule="auto"/>
        <w:rPr>
          <w:sz w:val="20"/>
          <w:szCs w:val="20"/>
          <w:color w:val="auto"/>
        </w:rPr>
      </w:pPr>
      <w:r>
        <w:rPr>
          <w:rFonts w:ascii="Arial" w:cs="Arial" w:eastAsia="Arial" w:hAnsi="Arial"/>
          <w:sz w:val="16"/>
          <w:szCs w:val="16"/>
          <w:color w:val="auto"/>
        </w:rPr>
        <w:t>The remainder of the assets and liabilities held by the Company at December 31, 2021 are not required to be measured at fair value, and the carrying values of these assets and liabilities approximate fair value, except as described below.</w:t>
      </w:r>
    </w:p>
    <w:p>
      <w:pPr>
        <w:spacing w:after="0" w:line="124" w:lineRule="exact"/>
        <w:rPr>
          <w:sz w:val="20"/>
          <w:szCs w:val="20"/>
          <w:color w:val="auto"/>
        </w:rPr>
      </w:pPr>
    </w:p>
    <w:p>
      <w:pPr>
        <w:ind w:left="60" w:right="319"/>
        <w:spacing w:after="0" w:line="259" w:lineRule="auto"/>
        <w:rPr>
          <w:sz w:val="20"/>
          <w:szCs w:val="20"/>
          <w:color w:val="auto"/>
        </w:rPr>
      </w:pPr>
      <w:r>
        <w:rPr>
          <w:rFonts w:ascii="Arial" w:cs="Arial" w:eastAsia="Arial" w:hAnsi="Arial"/>
          <w:sz w:val="18"/>
          <w:szCs w:val="18"/>
          <w:color w:val="auto"/>
        </w:rPr>
        <w:t>As discussed in Note 4, “Debt,” the Company has outstanding $600.0 million in aggregate principal amount of the $600 Million 4.50% Senior Notes. The carrying value of these notes at December 31, 2021 was $590.6 million, net of unamortized DFCs. The fair value of these notes, based upon quoted market prices (Level 1), was $598.7 million at December 31, 2021.</w:t>
      </w:r>
    </w:p>
    <w:p>
      <w:pPr>
        <w:spacing w:after="0" w:line="187" w:lineRule="exact"/>
        <w:rPr>
          <w:sz w:val="20"/>
          <w:szCs w:val="20"/>
          <w:color w:val="auto"/>
        </w:rPr>
      </w:pPr>
    </w:p>
    <w:p>
      <w:pPr>
        <w:ind w:left="60" w:right="319"/>
        <w:spacing w:after="0" w:line="259" w:lineRule="auto"/>
        <w:rPr>
          <w:sz w:val="20"/>
          <w:szCs w:val="20"/>
          <w:color w:val="auto"/>
        </w:rPr>
      </w:pPr>
      <w:r>
        <w:rPr>
          <w:rFonts w:ascii="Arial" w:cs="Arial" w:eastAsia="Arial" w:hAnsi="Arial"/>
          <w:sz w:val="18"/>
          <w:szCs w:val="18"/>
          <w:color w:val="auto"/>
        </w:rPr>
        <w:t>As discussed in Note 4, “Debt,” the Company has outstanding $700.0 million in aggregate principal amount of the $700 Million 4.75% Senior Notes. The carrying value of these notes at December 31, 2021 was $692.6 million, net of unamortized DFCs and premiums. The fair value of these notes, based upon quoted market prices (Level 1), was $722.3 million at December 31, 2021.</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Financial Reporting By Business Segments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Company’s continuing operations are organized into the following principal business segments:</w:t>
      </w:r>
    </w:p>
    <w:p>
      <w:pPr>
        <w:spacing w:after="0" w:line="225" w:lineRule="exact"/>
        <w:rPr>
          <w:sz w:val="20"/>
          <w:szCs w:val="20"/>
          <w:color w:val="auto"/>
        </w:rPr>
      </w:pPr>
    </w:p>
    <w:p>
      <w:pPr>
        <w:ind w:left="720" w:hanging="319"/>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Hospitality</w:t>
      </w:r>
      <w:r>
        <w:rPr>
          <w:rFonts w:ascii="Arial" w:cs="Arial" w:eastAsia="Arial" w:hAnsi="Arial"/>
          <w:sz w:val="18"/>
          <w:szCs w:val="18"/>
          <w:color w:val="auto"/>
        </w:rPr>
        <w:t>, which includes the Gaylord Hotels properties, the Inn at Opryland and the AC Hotel;</w:t>
      </w:r>
    </w:p>
    <w:p>
      <w:pPr>
        <w:spacing w:after="0" w:line="225" w:lineRule="exact"/>
        <w:rPr>
          <w:rFonts w:ascii="Arial" w:cs="Arial" w:eastAsia="Arial" w:hAnsi="Arial"/>
          <w:sz w:val="18"/>
          <w:szCs w:val="18"/>
          <w:color w:val="auto"/>
        </w:rPr>
      </w:pPr>
    </w:p>
    <w:p>
      <w:pPr>
        <w:ind w:left="720" w:right="139" w:hanging="319"/>
        <w:spacing w:after="0" w:line="308" w:lineRule="auto"/>
        <w:tabs>
          <w:tab w:leader="none" w:pos="720"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Entertainment</w:t>
      </w:r>
      <w:r>
        <w:rPr>
          <w:rFonts w:ascii="Arial" w:cs="Arial" w:eastAsia="Arial" w:hAnsi="Arial"/>
          <w:sz w:val="17"/>
          <w:szCs w:val="17"/>
          <w:color w:val="auto"/>
        </w:rPr>
        <w:t>, which includes the Grand Ole Opry, the Ryman Auditorium, WSM-AM, Ole Red,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other Nashville-based attractions, and the Company’s investment in the Circle joint venture; and</w:t>
      </w:r>
    </w:p>
    <w:p>
      <w:pPr>
        <w:spacing w:after="0" w:line="146" w:lineRule="exact"/>
        <w:rPr>
          <w:rFonts w:ascii="Arial" w:cs="Arial" w:eastAsia="Arial" w:hAnsi="Arial"/>
          <w:sz w:val="17"/>
          <w:szCs w:val="17"/>
          <w:color w:val="auto"/>
        </w:rPr>
      </w:pPr>
    </w:p>
    <w:p>
      <w:pPr>
        <w:ind w:left="720" w:hanging="319"/>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Corporate and Other</w:t>
      </w:r>
      <w:r>
        <w:rPr>
          <w:rFonts w:ascii="Arial" w:cs="Arial" w:eastAsia="Arial" w:hAnsi="Arial"/>
          <w:sz w:val="18"/>
          <w:szCs w:val="18"/>
          <w:color w:val="auto"/>
        </w:rPr>
        <w:t>, which includes the Company’s corporate expenses.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5" w:name="page116"/>
    <w:bookmarkEnd w:id="1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The following information (amounts in thousands) is derived directly from the segments’ internal financial reports used for corporate management purposes.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1660" w:type="dxa"/>
            <w:vAlign w:val="bottom"/>
            <w:tcBorders>
              <w:bottom w:val="single" w:sz="8" w:color="CCEEFF"/>
            </w:tcBorders>
          </w:tcPr>
          <w:p>
            <w:pPr>
              <w:spacing w:after="0"/>
              <w:rPr>
                <w:sz w:val="14"/>
                <w:szCs w:val="14"/>
                <w:color w:val="auto"/>
              </w:rPr>
            </w:pPr>
          </w:p>
        </w:tc>
        <w:tc>
          <w:tcPr>
            <w:tcW w:w="242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Hospitality</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786,583</w:t>
            </w:r>
          </w:p>
        </w:tc>
        <w:tc>
          <w:tcPr>
            <w:tcW w:w="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466,045</w:t>
            </w:r>
          </w:p>
        </w:tc>
        <w:tc>
          <w:tcPr>
            <w:tcW w:w="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1,421,446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Entertainment</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152,790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58,430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Corporate and Other</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0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939,373</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524,475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1,604,566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Hospitality</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203,675</w:t>
            </w:r>
          </w:p>
        </w:tc>
        <w:tc>
          <w:tcPr>
            <w:tcW w:w="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198,073</w:t>
            </w:r>
          </w:p>
        </w:tc>
        <w:tc>
          <w:tcPr>
            <w:tcW w:w="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201,068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Entertainment</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Corporate and Other</w:t>
            </w:r>
          </w:p>
        </w:tc>
        <w:tc>
          <w:tcPr>
            <w:tcW w:w="7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2,638</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0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7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220,357</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215,082</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213,847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Hospitality</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(38,013)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(204,868)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263,203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Entertainment</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(34,242)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Corporate and Other</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(40,624)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(31,433)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(37,911)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Preopening costs (1)</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Gain on sale of assets (2)</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1,161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Credit loss on held-to-maturity securities (3)</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(32,784)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Total operating income (loss)</w:t>
            </w:r>
          </w:p>
        </w:tc>
        <w:tc>
          <w:tcPr>
            <w:tcW w:w="7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(58,675)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(303,831)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267,531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Interest expense</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(125,347)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(115,783)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(131,620)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Interest income</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Loss on extinguishment of debt</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(2,949)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Loss from unconsolidated joint ventures (4)</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(8,963)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(6,451)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Other gains and (losses), net</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(14,976)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0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(189,844)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(433,737)</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58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2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720" w:right="119" w:hanging="319"/>
        <w:spacing w:after="0" w:line="271" w:lineRule="auto"/>
        <w:tabs>
          <w:tab w:leader="none" w:pos="7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Preopening costs for 2021 relate to the Hospitality segment. Preopening costs for 2020 include $0.3 million and $1.4 million for the Hospitality and Entertainment segments, respectively. Preopening costs for 2019 include $1.3 million and $1.9 million for the Hospitality and Entertainment segments, respectively.</w:t>
      </w:r>
    </w:p>
    <w:p>
      <w:pPr>
        <w:ind w:left="720" w:hanging="319"/>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Gain on sale of assets for 2021 and 2020 relates to the Hospitality segment.</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Credit loss on held-to-maturity securities for 2020 relates to the Hospitality segment.</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Loss from unconsolidated joint ventures relates to the Entertainment segment.</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4"/>
                <w:szCs w:val="14"/>
                <w:color w:val="auto"/>
              </w:rPr>
            </w:pPr>
          </w:p>
        </w:tc>
        <w:tc>
          <w:tcPr>
            <w:tcW w:w="18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3360" w:type="dxa"/>
            <w:vAlign w:val="bottom"/>
            <w:gridSpan w:val="2"/>
          </w:tcPr>
          <w:p>
            <w:pPr>
              <w:jc w:val="right"/>
              <w:ind w:right="239"/>
              <w:spacing w:after="0"/>
              <w:rPr>
                <w:sz w:val="20"/>
                <w:szCs w:val="20"/>
                <w:color w:val="auto"/>
              </w:rPr>
            </w:pPr>
            <w:r>
              <w:rPr>
                <w:rFonts w:ascii="Arial" w:cs="Arial" w:eastAsia="Arial" w:hAnsi="Arial"/>
                <w:sz w:val="14"/>
                <w:szCs w:val="14"/>
                <w:b w:val="1"/>
                <w:bCs w:val="1"/>
                <w:color w:val="auto"/>
              </w:rPr>
              <w:t>2021</w:t>
            </w:r>
          </w:p>
        </w:tc>
        <w:tc>
          <w:tcPr>
            <w:tcW w:w="1080" w:type="dxa"/>
            <w:vAlign w:val="bottom"/>
            <w:gridSpan w:val="2"/>
          </w:tcPr>
          <w:p>
            <w:pPr>
              <w:jc w:val="right"/>
              <w:ind w:right="239"/>
              <w:spacing w:after="0"/>
              <w:rPr>
                <w:sz w:val="20"/>
                <w:szCs w:val="20"/>
                <w:color w:val="auto"/>
              </w:rPr>
            </w:pPr>
            <w:r>
              <w:rPr>
                <w:rFonts w:ascii="Arial" w:cs="Arial" w:eastAsia="Arial" w:hAnsi="Arial"/>
                <w:sz w:val="14"/>
                <w:szCs w:val="14"/>
                <w:b w:val="1"/>
                <w:bCs w:val="1"/>
                <w:color w:val="auto"/>
              </w:rPr>
              <w:t>2020</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24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660" w:type="dxa"/>
            <w:vAlign w:val="bottom"/>
          </w:tcPr>
          <w:p>
            <w:pPr>
              <w:ind w:left="100"/>
              <w:spacing w:after="0"/>
              <w:rPr>
                <w:sz w:val="20"/>
                <w:szCs w:val="20"/>
                <w:color w:val="auto"/>
              </w:rPr>
            </w:pPr>
            <w:r>
              <w:rPr>
                <w:rFonts w:ascii="Arial" w:cs="Arial" w:eastAsia="Arial" w:hAnsi="Arial"/>
                <w:sz w:val="18"/>
                <w:szCs w:val="18"/>
                <w:color w:val="auto"/>
              </w:rPr>
              <w:t>Hospitality</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$ 3,266,679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$ 3,279,238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Entertainment</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214,270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185,178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660" w:type="dxa"/>
            <w:vAlign w:val="bottom"/>
          </w:tcPr>
          <w:p>
            <w:pPr>
              <w:ind w:left="100"/>
              <w:spacing w:after="0"/>
              <w:rPr>
                <w:sz w:val="20"/>
                <w:szCs w:val="20"/>
                <w:color w:val="auto"/>
              </w:rPr>
            </w:pPr>
            <w:r>
              <w:rPr>
                <w:rFonts w:ascii="Arial" w:cs="Arial" w:eastAsia="Arial" w:hAnsi="Arial"/>
                <w:sz w:val="18"/>
                <w:szCs w:val="18"/>
                <w:color w:val="auto"/>
              </w:rPr>
              <w:t>Corporate and Other</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99,576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92,079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26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identifiable assets</w:t>
            </w:r>
          </w:p>
        </w:tc>
        <w:tc>
          <w:tcPr>
            <w:tcW w:w="24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$ 3,580,525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$ 3,556,495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440" w:type="dxa"/>
            <w:vAlign w:val="bottom"/>
            <w:vMerge w:val="restart"/>
          </w:tcPr>
          <w:p>
            <w:pPr>
              <w:jc w:val="right"/>
              <w:ind w:right="1334"/>
              <w:spacing w:after="0"/>
              <w:rPr>
                <w:sz w:val="20"/>
                <w:szCs w:val="20"/>
                <w:color w:val="auto"/>
              </w:rPr>
            </w:pPr>
            <w:r>
              <w:rPr>
                <w:rFonts w:ascii="Arial" w:cs="Arial" w:eastAsia="Arial" w:hAnsi="Arial"/>
                <w:sz w:val="18"/>
                <w:szCs w:val="18"/>
                <w:color w:val="auto"/>
              </w:rPr>
              <w:t>115</w:t>
            </w: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9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9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16" w:name="page117"/>
    <w:bookmarkEnd w:id="1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819"/>
        <w:spacing w:after="0" w:line="277" w:lineRule="auto"/>
        <w:rPr>
          <w:sz w:val="20"/>
          <w:szCs w:val="20"/>
          <w:color w:val="auto"/>
        </w:rPr>
      </w:pPr>
      <w:r>
        <w:rPr>
          <w:rFonts w:ascii="Arial" w:cs="Arial" w:eastAsia="Arial" w:hAnsi="Arial"/>
          <w:sz w:val="18"/>
          <w:szCs w:val="18"/>
          <w:color w:val="auto"/>
        </w:rPr>
        <w:t>The following table represents the capital expenditures by segment for the years ended December 31 (amounts in thousands):</w:t>
      </w:r>
    </w:p>
    <w:p>
      <w:pPr>
        <w:spacing w:after="0" w:line="175" w:lineRule="exact"/>
        <w:rPr>
          <w:sz w:val="20"/>
          <w:szCs w:val="20"/>
          <w:color w:val="auto"/>
        </w:rPr>
      </w:pPr>
    </w:p>
    <w:tbl>
      <w:tblPr>
        <w:tblLayout w:type="fixed"/>
        <w:tblInd w:w="96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194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2021</w:t>
            </w:r>
          </w:p>
        </w:tc>
        <w:tc>
          <w:tcPr>
            <w:tcW w:w="92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80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2019</w:t>
            </w:r>
          </w:p>
        </w:tc>
      </w:tr>
      <w:tr>
        <w:trPr>
          <w:trHeight w:val="210"/>
        </w:trPr>
        <w:tc>
          <w:tcPr>
            <w:tcW w:w="330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Hospitality</w:t>
            </w:r>
          </w:p>
        </w:tc>
        <w:tc>
          <w:tcPr>
            <w:tcW w:w="1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$ 73,199</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$ 146,654</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$ 120,899</w:t>
            </w:r>
          </w:p>
        </w:tc>
      </w:tr>
      <w:tr>
        <w:trPr>
          <w:trHeight w:val="216"/>
        </w:trPr>
        <w:tc>
          <w:tcPr>
            <w:tcW w:w="3300" w:type="dxa"/>
            <w:vAlign w:val="bottom"/>
          </w:tcPr>
          <w:p>
            <w:pPr>
              <w:ind w:left="100"/>
              <w:spacing w:after="0"/>
              <w:rPr>
                <w:sz w:val="20"/>
                <w:szCs w:val="20"/>
                <w:color w:val="auto"/>
              </w:rPr>
            </w:pPr>
            <w:r>
              <w:rPr>
                <w:rFonts w:ascii="Arial" w:cs="Arial" w:eastAsia="Arial" w:hAnsi="Arial"/>
                <w:sz w:val="18"/>
                <w:szCs w:val="18"/>
                <w:color w:val="auto"/>
              </w:rPr>
              <w:t>Entertainment</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3,560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13,697</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25,000</w:t>
            </w:r>
          </w:p>
        </w:tc>
      </w:tr>
      <w:tr>
        <w:trPr>
          <w:trHeight w:val="216"/>
        </w:trPr>
        <w:tc>
          <w:tcPr>
            <w:tcW w:w="3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and other</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5,112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6,642</w:t>
            </w:r>
          </w:p>
        </w:tc>
      </w:tr>
      <w:tr>
        <w:trPr>
          <w:trHeight w:val="209"/>
        </w:trPr>
        <w:tc>
          <w:tcPr>
            <w:tcW w:w="3300" w:type="dxa"/>
            <w:vAlign w:val="bottom"/>
          </w:tcPr>
          <w:p>
            <w:pPr>
              <w:ind w:left="200"/>
              <w:spacing w:after="0"/>
              <w:rPr>
                <w:sz w:val="20"/>
                <w:szCs w:val="20"/>
                <w:color w:val="auto"/>
              </w:rPr>
            </w:pPr>
            <w:r>
              <w:rPr>
                <w:rFonts w:ascii="Arial" w:cs="Arial" w:eastAsia="Arial" w:hAnsi="Arial"/>
                <w:sz w:val="18"/>
                <w:szCs w:val="18"/>
                <w:color w:val="auto"/>
              </w:rPr>
              <w:t>Total capital expenditures</w:t>
            </w:r>
          </w:p>
        </w:tc>
        <w:tc>
          <w:tcPr>
            <w:tcW w:w="12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$ 77,426</w:t>
            </w: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$ 165,463</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$ 152,541</w:t>
            </w:r>
          </w:p>
        </w:tc>
      </w:tr>
      <w:tr>
        <w:trPr>
          <w:trHeight w:val="20"/>
        </w:trPr>
        <w:tc>
          <w:tcPr>
            <w:tcW w:w="3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7" w:name="page118"/>
    <w:bookmarkEnd w:id="1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left="1500" w:right="1760"/>
        <w:spacing w:after="0" w:line="266" w:lineRule="auto"/>
        <w:rPr>
          <w:sz w:val="20"/>
          <w:szCs w:val="20"/>
          <w:color w:val="auto"/>
        </w:rPr>
      </w:pPr>
      <w:r>
        <w:rPr>
          <w:rFonts w:ascii="Arial" w:cs="Arial" w:eastAsia="Arial" w:hAnsi="Arial"/>
          <w:sz w:val="18"/>
          <w:szCs w:val="18"/>
          <w:b w:val="1"/>
          <w:bCs w:val="1"/>
          <w:color w:val="auto"/>
        </w:rPr>
        <w:t>RYMAN HOSPITALITY PROPERTIES, INC. AND SUBSIDIARIES SCHEDULE II – VALUATION AND QUALIFYING ACCOUNTS (Amounts in thousands)</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Balance at</w:t>
            </w:r>
          </w:p>
        </w:tc>
        <w:tc>
          <w:tcPr>
            <w:tcW w:w="100" w:type="dxa"/>
            <w:vAlign w:val="bottom"/>
          </w:tcPr>
          <w:p>
            <w:pPr>
              <w:spacing w:after="0"/>
              <w:rPr>
                <w:sz w:val="14"/>
                <w:szCs w:val="1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Additions Charged to</w:t>
            </w:r>
          </w:p>
        </w:tc>
        <w:tc>
          <w:tcPr>
            <w:tcW w:w="124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2"/>
              </w:rPr>
              <w:t>Net (Deductions)</w:t>
            </w:r>
          </w:p>
        </w:tc>
        <w:tc>
          <w:tcPr>
            <w:tcW w:w="100" w:type="dxa"/>
            <w:vAlign w:val="bottom"/>
          </w:tcPr>
          <w:p>
            <w:pPr>
              <w:spacing w:after="0"/>
              <w:rPr>
                <w:sz w:val="14"/>
                <w:szCs w:val="14"/>
                <w:color w:val="auto"/>
              </w:rPr>
            </w:pPr>
          </w:p>
        </w:tc>
        <w:tc>
          <w:tcPr>
            <w:tcW w:w="780" w:type="dxa"/>
            <w:vAlign w:val="bottom"/>
            <w:vMerge w:val="restart"/>
          </w:tcPr>
          <w:p>
            <w:pPr>
              <w:jc w:val="right"/>
              <w:ind w:right="41"/>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8"/>
        </w:trPr>
        <w:tc>
          <w:tcPr>
            <w:tcW w:w="3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Expenses/Other</w:t>
            </w:r>
          </w:p>
        </w:tc>
        <w:tc>
          <w:tcPr>
            <w:tcW w:w="12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Beginning of Year</w:t>
            </w:r>
          </w:p>
        </w:tc>
        <w:tc>
          <w:tcPr>
            <w:tcW w:w="100" w:type="dxa"/>
            <w:vAlign w:val="bottom"/>
          </w:tcPr>
          <w:p>
            <w:pPr>
              <w:spacing w:after="0"/>
              <w:rPr>
                <w:sz w:val="14"/>
                <w:szCs w:val="1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Accounts</w:t>
            </w:r>
          </w:p>
        </w:tc>
        <w:tc>
          <w:tcPr>
            <w:tcW w:w="160" w:type="dxa"/>
            <w:vAlign w:val="bottom"/>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Recoveries</w:t>
            </w:r>
          </w:p>
        </w:tc>
        <w:tc>
          <w:tcPr>
            <w:tcW w:w="880" w:type="dxa"/>
            <w:vAlign w:val="bottom"/>
            <w:gridSpan w:val="2"/>
          </w:tcPr>
          <w:p>
            <w:pPr>
              <w:jc w:val="right"/>
              <w:ind w:right="1"/>
              <w:spacing w:after="0"/>
              <w:rPr>
                <w:sz w:val="20"/>
                <w:szCs w:val="20"/>
                <w:color w:val="auto"/>
              </w:rPr>
            </w:pPr>
            <w:r>
              <w:rPr>
                <w:rFonts w:ascii="Arial" w:cs="Arial" w:eastAsia="Arial" w:hAnsi="Arial"/>
                <w:sz w:val="14"/>
                <w:szCs w:val="14"/>
                <w:b w:val="1"/>
                <w:bCs w:val="1"/>
                <w:color w:val="auto"/>
              </w:rPr>
              <w:t>End of Year</w:t>
            </w:r>
          </w:p>
        </w:tc>
        <w:tc>
          <w:tcPr>
            <w:tcW w:w="0" w:type="dxa"/>
            <w:vAlign w:val="bottom"/>
          </w:tcPr>
          <w:p>
            <w:pPr>
              <w:spacing w:after="0"/>
              <w:rPr>
                <w:sz w:val="1"/>
                <w:szCs w:val="1"/>
                <w:color w:val="auto"/>
              </w:rPr>
            </w:pPr>
          </w:p>
        </w:tc>
      </w:tr>
      <w:tr>
        <w:trPr>
          <w:trHeight w:val="196"/>
        </w:trPr>
        <w:tc>
          <w:tcPr>
            <w:tcW w:w="3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Credit loss reserve on notes receivable:</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Year ended December 31, 2021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37,962</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37,962</w:t>
            </w:r>
          </w:p>
        </w:tc>
        <w:tc>
          <w:tcPr>
            <w:tcW w:w="0" w:type="dxa"/>
            <w:vAlign w:val="bottom"/>
          </w:tcPr>
          <w:p>
            <w:pPr>
              <w:spacing w:after="0"/>
              <w:rPr>
                <w:sz w:val="1"/>
                <w:szCs w:val="1"/>
                <w:color w:val="auto"/>
              </w:rPr>
            </w:pPr>
          </w:p>
        </w:tc>
      </w:tr>
      <w:tr>
        <w:trPr>
          <w:trHeight w:val="203"/>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Year ended December 31, 2020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37,962</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37,962</w:t>
            </w: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Valuation allowance for deferred tax assets:</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Year ended December 31, 2021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97,700</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27,687</w:t>
            </w:r>
          </w:p>
        </w:tc>
        <w:tc>
          <w:tcPr>
            <w:tcW w:w="140" w:type="dxa"/>
            <w:vAlign w:val="bottom"/>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125,387</w:t>
            </w:r>
          </w:p>
        </w:tc>
        <w:tc>
          <w:tcPr>
            <w:tcW w:w="0" w:type="dxa"/>
            <w:vAlign w:val="bottom"/>
          </w:tcPr>
          <w:p>
            <w:pPr>
              <w:spacing w:after="0"/>
              <w:rPr>
                <w:sz w:val="1"/>
                <w:szCs w:val="1"/>
                <w:color w:val="auto"/>
              </w:rPr>
            </w:pPr>
          </w:p>
        </w:tc>
      </w:tr>
      <w:tr>
        <w:trPr>
          <w:trHeight w:val="203"/>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Year ended December 31, 2020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12,387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85,313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97,700</w:t>
            </w:r>
          </w:p>
        </w:tc>
        <w:tc>
          <w:tcPr>
            <w:tcW w:w="0" w:type="dxa"/>
            <w:vAlign w:val="bottom"/>
          </w:tcPr>
          <w:p>
            <w:pPr>
              <w:spacing w:after="0"/>
              <w:rPr>
                <w:sz w:val="1"/>
                <w:szCs w:val="1"/>
                <w:color w:val="auto"/>
              </w:rPr>
            </w:pPr>
          </w:p>
        </w:tc>
      </w:tr>
      <w:tr>
        <w:trPr>
          <w:trHeight w:val="206"/>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Year ended December 31, 2019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14,210</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(1,823)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12,387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8" w:name="page119"/>
    <w:bookmarkEnd w:id="118"/>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 – REAL ESTATE AND ACCUMULATED DEPRECIATION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82"/>
              </w:rPr>
              <w:t>Costs</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5"/>
          </w:tcPr>
          <w:p>
            <w:pPr>
              <w:jc w:val="right"/>
              <w:ind w:right="68"/>
              <w:spacing w:after="0"/>
              <w:rPr>
                <w:sz w:val="20"/>
                <w:szCs w:val="20"/>
                <w:color w:val="auto"/>
              </w:rPr>
            </w:pPr>
            <w:r>
              <w:rPr>
                <w:rFonts w:ascii="Arial" w:cs="Arial" w:eastAsia="Arial" w:hAnsi="Arial"/>
                <w:sz w:val="13"/>
                <w:szCs w:val="13"/>
                <w:b w:val="1"/>
                <w:bCs w:val="1"/>
                <w:color w:val="auto"/>
                <w:w w:val="90"/>
              </w:rPr>
              <w:t>Initial Cost to Company</w:t>
            </w:r>
          </w:p>
        </w:tc>
        <w:tc>
          <w:tcPr>
            <w:tcW w:w="1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0"/>
              </w:rPr>
              <w:t>Capitalized</w:t>
            </w:r>
          </w:p>
        </w:tc>
        <w:tc>
          <w:tcPr>
            <w:tcW w:w="160" w:type="dxa"/>
            <w:vAlign w:val="bottom"/>
          </w:tcPr>
          <w:p>
            <w:pPr>
              <w:spacing w:after="0"/>
              <w:rPr>
                <w:sz w:val="13"/>
                <w:szCs w:val="13"/>
                <w:color w:val="auto"/>
              </w:rPr>
            </w:pPr>
          </w:p>
        </w:tc>
        <w:tc>
          <w:tcPr>
            <w:tcW w:w="2500" w:type="dxa"/>
            <w:vAlign w:val="bottom"/>
            <w:gridSpan w:val="10"/>
          </w:tcPr>
          <w:p>
            <w:pPr>
              <w:jc w:val="right"/>
              <w:ind w:right="460"/>
              <w:spacing w:after="0"/>
              <w:rPr>
                <w:sz w:val="20"/>
                <w:szCs w:val="20"/>
                <w:color w:val="auto"/>
              </w:rPr>
            </w:pPr>
            <w:r>
              <w:rPr>
                <w:rFonts w:ascii="Arial" w:cs="Arial" w:eastAsia="Arial" w:hAnsi="Arial"/>
                <w:sz w:val="13"/>
                <w:szCs w:val="13"/>
                <w:b w:val="1"/>
                <w:bCs w:val="1"/>
                <w:color w:val="auto"/>
              </w:rPr>
              <w:t>Gross Amount at End of Year</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6"/>
              </w:rPr>
              <w:t>Date Acq/</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92"/>
              </w:rPr>
              <w:t>Depr Life</w:t>
            </w:r>
          </w:p>
        </w:tc>
        <w:tc>
          <w:tcPr>
            <w:tcW w:w="0" w:type="dxa"/>
            <w:vAlign w:val="bottom"/>
          </w:tcPr>
          <w:p>
            <w:pPr>
              <w:spacing w:after="0"/>
              <w:rPr>
                <w:sz w:val="1"/>
                <w:szCs w:val="1"/>
                <w:color w:val="auto"/>
              </w:rPr>
            </w:pPr>
          </w:p>
        </w:tc>
      </w:tr>
      <w:tr>
        <w:trPr>
          <w:trHeight w:val="128"/>
        </w:trPr>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Encmbr</w:t>
            </w: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3"/>
          </w:tcPr>
          <w:p>
            <w:pPr>
              <w:ind w:left="100"/>
              <w:spacing w:after="0" w:line="129" w:lineRule="exact"/>
              <w:rPr>
                <w:sz w:val="20"/>
                <w:szCs w:val="20"/>
                <w:color w:val="auto"/>
              </w:rPr>
            </w:pPr>
            <w:r>
              <w:rPr>
                <w:rFonts w:ascii="Arial" w:cs="Arial" w:eastAsia="Arial" w:hAnsi="Arial"/>
                <w:sz w:val="13"/>
                <w:szCs w:val="13"/>
                <w:b w:val="1"/>
                <w:bCs w:val="1"/>
                <w:color w:val="auto"/>
              </w:rPr>
              <w:t>Land</w:t>
            </w:r>
          </w:p>
        </w:tc>
        <w:tc>
          <w:tcPr>
            <w:tcW w:w="78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3"/>
                <w:szCs w:val="13"/>
                <w:b w:val="1"/>
                <w:bCs w:val="1"/>
                <w:color w:val="auto"/>
                <w:w w:val="91"/>
              </w:rPr>
              <w:t>Bldgs &amp; Impr</w:t>
            </w:r>
          </w:p>
        </w:tc>
        <w:tc>
          <w:tcPr>
            <w:tcW w:w="180" w:type="dxa"/>
            <w:vAlign w:val="bottom"/>
          </w:tcPr>
          <w:p>
            <w:pPr>
              <w:spacing w:after="0"/>
              <w:rPr>
                <w:sz w:val="11"/>
                <w:szCs w:val="11"/>
                <w:color w:val="auto"/>
              </w:rPr>
            </w:pPr>
          </w:p>
        </w:tc>
        <w:tc>
          <w:tcPr>
            <w:tcW w:w="74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81"/>
              </w:rPr>
              <w:t>Subs to Acq</w:t>
            </w:r>
          </w:p>
        </w:tc>
        <w:tc>
          <w:tcPr>
            <w:tcW w:w="160" w:type="dxa"/>
            <w:vAlign w:val="bottom"/>
          </w:tcPr>
          <w:p>
            <w:pPr>
              <w:spacing w:after="0"/>
              <w:rPr>
                <w:sz w:val="11"/>
                <w:szCs w:val="11"/>
                <w:color w:val="auto"/>
              </w:rPr>
            </w:pPr>
          </w:p>
        </w:tc>
        <w:tc>
          <w:tcPr>
            <w:tcW w:w="640" w:type="dxa"/>
            <w:vAlign w:val="bottom"/>
            <w:tcBorders>
              <w:top w:val="single" w:sz="8" w:color="auto"/>
            </w:tcBorders>
            <w:gridSpan w:val="2"/>
          </w:tcPr>
          <w:p>
            <w:pPr>
              <w:jc w:val="right"/>
              <w:ind w:right="90"/>
              <w:spacing w:after="0" w:line="129" w:lineRule="exact"/>
              <w:rPr>
                <w:sz w:val="20"/>
                <w:szCs w:val="20"/>
                <w:color w:val="auto"/>
              </w:rPr>
            </w:pPr>
            <w:r>
              <w:rPr>
                <w:rFonts w:ascii="Arial" w:cs="Arial" w:eastAsia="Arial" w:hAnsi="Arial"/>
                <w:sz w:val="13"/>
                <w:szCs w:val="13"/>
                <w:b w:val="1"/>
                <w:bCs w:val="1"/>
                <w:color w:val="auto"/>
              </w:rPr>
              <w:t>Land</w:t>
            </w: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3"/>
                <w:szCs w:val="13"/>
                <w:b w:val="1"/>
                <w:bCs w:val="1"/>
                <w:color w:val="auto"/>
                <w:w w:val="93"/>
              </w:rPr>
              <w:t>Bldgs &amp; Impr</w:t>
            </w: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81"/>
              <w:spacing w:after="0" w:line="129" w:lineRule="exact"/>
              <w:rPr>
                <w:sz w:val="20"/>
                <w:szCs w:val="20"/>
                <w:color w:val="auto"/>
              </w:rPr>
            </w:pPr>
            <w:r>
              <w:rPr>
                <w:rFonts w:ascii="Arial" w:cs="Arial" w:eastAsia="Arial" w:hAnsi="Arial"/>
                <w:sz w:val="13"/>
                <w:szCs w:val="13"/>
                <w:b w:val="1"/>
                <w:bCs w:val="1"/>
                <w:color w:val="auto"/>
              </w:rPr>
              <w:t>Total (3)</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4"/>
          </w:tcPr>
          <w:p>
            <w:pPr>
              <w:jc w:val="right"/>
              <w:ind w:right="297"/>
              <w:spacing w:after="0" w:line="129" w:lineRule="exact"/>
              <w:rPr>
                <w:sz w:val="20"/>
                <w:szCs w:val="20"/>
                <w:color w:val="auto"/>
              </w:rPr>
            </w:pPr>
            <w:r>
              <w:rPr>
                <w:rFonts w:ascii="Arial" w:cs="Arial" w:eastAsia="Arial" w:hAnsi="Arial"/>
                <w:sz w:val="13"/>
                <w:szCs w:val="13"/>
                <w:b w:val="1"/>
                <w:bCs w:val="1"/>
                <w:color w:val="auto"/>
                <w:w w:val="94"/>
              </w:rPr>
              <w:t>Acc Depr</w:t>
            </w:r>
          </w:p>
        </w:tc>
        <w:tc>
          <w:tcPr>
            <w:tcW w:w="600" w:type="dxa"/>
            <w:vAlign w:val="bottom"/>
            <w:gridSpan w:val="2"/>
          </w:tcPr>
          <w:p>
            <w:pPr>
              <w:jc w:val="center"/>
              <w:ind w:right="240"/>
              <w:spacing w:after="0" w:line="129" w:lineRule="exact"/>
              <w:rPr>
                <w:sz w:val="20"/>
                <w:szCs w:val="20"/>
                <w:color w:val="auto"/>
              </w:rPr>
            </w:pPr>
            <w:r>
              <w:rPr>
                <w:rFonts w:ascii="Arial" w:cs="Arial" w:eastAsia="Arial" w:hAnsi="Arial"/>
                <w:sz w:val="13"/>
                <w:szCs w:val="13"/>
                <w:b w:val="1"/>
                <w:bCs w:val="1"/>
                <w:color w:val="auto"/>
                <w:w w:val="85"/>
              </w:rPr>
              <w:t>Constr</w:t>
            </w:r>
          </w:p>
        </w:tc>
        <w:tc>
          <w:tcPr>
            <w:tcW w:w="54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2"/>
              </w:rPr>
              <w:t>(yrs)</w:t>
            </w:r>
          </w:p>
        </w:tc>
        <w:tc>
          <w:tcPr>
            <w:tcW w:w="0" w:type="dxa"/>
            <w:vAlign w:val="bottom"/>
          </w:tcPr>
          <w:p>
            <w:pPr>
              <w:spacing w:after="0"/>
              <w:rPr>
                <w:sz w:val="1"/>
                <w:szCs w:val="1"/>
                <w:color w:val="auto"/>
              </w:rPr>
            </w:pPr>
          </w:p>
        </w:tc>
      </w:tr>
      <w:tr>
        <w:trPr>
          <w:trHeight w:val="142"/>
        </w:trPr>
        <w:tc>
          <w:tcPr>
            <w:tcW w:w="110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w w:val="98"/>
              </w:rPr>
              <w:t>Gaylord Opryland</w:t>
            </w:r>
          </w:p>
        </w:tc>
        <w:tc>
          <w:tcPr>
            <w:tcW w:w="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11,482</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77,125</w:t>
            </w:r>
          </w:p>
        </w:tc>
        <w:tc>
          <w:tcPr>
            <w:tcW w:w="1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  691,991</w:t>
            </w: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  71,200</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709,398</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  780,598</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gridSpan w:val="3"/>
            <w:shd w:val="clear" w:color="auto" w:fill="CCEEFF"/>
          </w:tcPr>
          <w:p>
            <w:pPr>
              <w:jc w:val="right"/>
              <w:ind w:right="39"/>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415,006</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right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center"/>
              <w:ind w:right="29"/>
              <w:spacing w:after="0" w:line="142" w:lineRule="exact"/>
              <w:rPr>
                <w:sz w:val="20"/>
                <w:szCs w:val="20"/>
                <w:color w:val="auto"/>
              </w:rPr>
            </w:pPr>
            <w:r>
              <w:rPr>
                <w:rFonts w:ascii="Arial" w:cs="Arial" w:eastAsia="Arial" w:hAnsi="Arial"/>
                <w:sz w:val="14"/>
                <w:szCs w:val="14"/>
                <w:color w:val="auto"/>
                <w:w w:val="89"/>
              </w:rPr>
              <w:t>1983</w:t>
            </w:r>
          </w:p>
        </w:tc>
        <w:tc>
          <w:tcPr>
            <w:tcW w:w="1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20-40</w:t>
            </w:r>
          </w:p>
        </w:tc>
        <w:tc>
          <w:tcPr>
            <w:tcW w:w="0" w:type="dxa"/>
            <w:vAlign w:val="bottom"/>
          </w:tcPr>
          <w:p>
            <w:pPr>
              <w:spacing w:after="0"/>
              <w:rPr>
                <w:sz w:val="1"/>
                <w:szCs w:val="1"/>
                <w:color w:val="auto"/>
              </w:rPr>
            </w:pPr>
          </w:p>
        </w:tc>
      </w:tr>
      <w:tr>
        <w:trPr>
          <w:trHeight w:val="149"/>
        </w:trPr>
        <w:tc>
          <w:tcPr>
            <w:tcW w:w="1100" w:type="dxa"/>
            <w:vAlign w:val="bottom"/>
            <w:gridSpan w:val="2"/>
          </w:tcPr>
          <w:p>
            <w:pPr>
              <w:spacing w:after="0" w:line="149" w:lineRule="exact"/>
              <w:rPr>
                <w:sz w:val="20"/>
                <w:szCs w:val="20"/>
                <w:color w:val="auto"/>
              </w:rPr>
            </w:pPr>
            <w:r>
              <w:rPr>
                <w:rFonts w:ascii="Arial" w:cs="Arial" w:eastAsia="Arial" w:hAnsi="Arial"/>
                <w:sz w:val="14"/>
                <w:szCs w:val="14"/>
                <w:color w:val="auto"/>
              </w:rPr>
              <w:t>Gaylord Palms</w:t>
            </w: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21,564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314,661</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197,255</w:t>
            </w: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39,190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494,290</w:t>
            </w:r>
          </w:p>
        </w:tc>
        <w:tc>
          <w:tcPr>
            <w:tcW w:w="9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533,480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w w:val="98"/>
              </w:rPr>
              <w:t>200,561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center"/>
              <w:ind w:right="29"/>
              <w:spacing w:after="0" w:line="149" w:lineRule="exact"/>
              <w:rPr>
                <w:sz w:val="20"/>
                <w:szCs w:val="20"/>
                <w:color w:val="auto"/>
              </w:rPr>
            </w:pPr>
            <w:r>
              <w:rPr>
                <w:rFonts w:ascii="Arial" w:cs="Arial" w:eastAsia="Arial" w:hAnsi="Arial"/>
                <w:sz w:val="14"/>
                <w:szCs w:val="14"/>
                <w:color w:val="auto"/>
                <w:w w:val="89"/>
              </w:rPr>
              <w:t>2002</w:t>
            </w:r>
          </w:p>
        </w:tc>
        <w:tc>
          <w:tcPr>
            <w:tcW w:w="1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94"/>
              </w:rPr>
              <w:t>20-40</w:t>
            </w:r>
          </w:p>
        </w:tc>
        <w:tc>
          <w:tcPr>
            <w:tcW w:w="0" w:type="dxa"/>
            <w:vAlign w:val="bottom"/>
          </w:tcPr>
          <w:p>
            <w:pPr>
              <w:spacing w:after="0"/>
              <w:rPr>
                <w:sz w:val="1"/>
                <w:szCs w:val="1"/>
                <w:color w:val="auto"/>
              </w:rPr>
            </w:pPr>
          </w:p>
        </w:tc>
      </w:tr>
      <w:tr>
        <w:trPr>
          <w:trHeight w:val="148"/>
        </w:trPr>
        <w:tc>
          <w:tcPr>
            <w:tcW w:w="1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Gaylord Texan</w:t>
            </w: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21,235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388,030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185,144</w:t>
            </w: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49,003</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545,406</w:t>
            </w:r>
          </w:p>
        </w:tc>
        <w:tc>
          <w:tcPr>
            <w:tcW w:w="9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594,409</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218,248</w:t>
            </w:r>
          </w:p>
        </w:tc>
        <w:tc>
          <w:tcPr>
            <w:tcW w:w="16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center"/>
              <w:ind w:right="29"/>
              <w:spacing w:after="0" w:line="149" w:lineRule="exact"/>
              <w:rPr>
                <w:sz w:val="20"/>
                <w:szCs w:val="20"/>
                <w:color w:val="auto"/>
              </w:rPr>
            </w:pPr>
            <w:r>
              <w:rPr>
                <w:rFonts w:ascii="Arial" w:cs="Arial" w:eastAsia="Arial" w:hAnsi="Arial"/>
                <w:sz w:val="14"/>
                <w:szCs w:val="14"/>
                <w:color w:val="auto"/>
                <w:w w:val="89"/>
              </w:rPr>
              <w:t>2004</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20-40</w:t>
            </w:r>
          </w:p>
        </w:tc>
        <w:tc>
          <w:tcPr>
            <w:tcW w:w="0" w:type="dxa"/>
            <w:vAlign w:val="bottom"/>
          </w:tcPr>
          <w:p>
            <w:pPr>
              <w:spacing w:after="0"/>
              <w:rPr>
                <w:sz w:val="1"/>
                <w:szCs w:val="1"/>
                <w:color w:val="auto"/>
              </w:rPr>
            </w:pPr>
          </w:p>
        </w:tc>
      </w:tr>
      <w:tr>
        <w:trPr>
          <w:trHeight w:val="148"/>
        </w:trPr>
        <w:tc>
          <w:tcPr>
            <w:tcW w:w="1100" w:type="dxa"/>
            <w:vAlign w:val="bottom"/>
            <w:gridSpan w:val="2"/>
          </w:tcPr>
          <w:p>
            <w:pPr>
              <w:spacing w:after="0" w:line="149" w:lineRule="exact"/>
              <w:rPr>
                <w:sz w:val="20"/>
                <w:szCs w:val="20"/>
                <w:color w:val="auto"/>
              </w:rPr>
            </w:pPr>
            <w:r>
              <w:rPr>
                <w:rFonts w:ascii="Arial" w:cs="Arial" w:eastAsia="Arial" w:hAnsi="Arial"/>
                <w:sz w:val="14"/>
                <w:szCs w:val="14"/>
                <w:color w:val="auto"/>
              </w:rPr>
              <w:t>Gaylord National</w:t>
            </w: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43,212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840,261</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61,095</w:t>
            </w: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47,609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896,959</w:t>
            </w:r>
          </w:p>
        </w:tc>
        <w:tc>
          <w:tcPr>
            <w:tcW w:w="9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944,568</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w w:val="98"/>
              </w:rPr>
              <w:t>298,182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center"/>
              <w:ind w:right="29"/>
              <w:spacing w:after="0" w:line="149" w:lineRule="exact"/>
              <w:rPr>
                <w:sz w:val="20"/>
                <w:szCs w:val="20"/>
                <w:color w:val="auto"/>
              </w:rPr>
            </w:pPr>
            <w:r>
              <w:rPr>
                <w:rFonts w:ascii="Arial" w:cs="Arial" w:eastAsia="Arial" w:hAnsi="Arial"/>
                <w:sz w:val="14"/>
                <w:szCs w:val="14"/>
                <w:color w:val="auto"/>
                <w:w w:val="89"/>
              </w:rPr>
              <w:t>2008</w:t>
            </w:r>
          </w:p>
        </w:tc>
        <w:tc>
          <w:tcPr>
            <w:tcW w:w="1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94"/>
              </w:rPr>
              <w:t>20-40</w:t>
            </w:r>
          </w:p>
        </w:tc>
        <w:tc>
          <w:tcPr>
            <w:tcW w:w="0" w:type="dxa"/>
            <w:vAlign w:val="bottom"/>
          </w:tcPr>
          <w:p>
            <w:pPr>
              <w:spacing w:after="0"/>
              <w:rPr>
                <w:sz w:val="1"/>
                <w:szCs w:val="1"/>
                <w:color w:val="auto"/>
              </w:rPr>
            </w:pPr>
          </w:p>
        </w:tc>
      </w:tr>
      <w:tr>
        <w:trPr>
          <w:trHeight w:val="148"/>
        </w:trPr>
        <w:tc>
          <w:tcPr>
            <w:tcW w:w="1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Gaylord Rockies</w:t>
            </w: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53,374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760,898</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5,317</w:t>
            </w: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55,538</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764,051</w:t>
            </w:r>
          </w:p>
        </w:tc>
        <w:tc>
          <w:tcPr>
            <w:tcW w:w="9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819,589</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69,434</w:t>
            </w:r>
          </w:p>
        </w:tc>
        <w:tc>
          <w:tcPr>
            <w:tcW w:w="16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center"/>
              <w:ind w:right="29"/>
              <w:spacing w:after="0" w:line="149" w:lineRule="exact"/>
              <w:rPr>
                <w:sz w:val="20"/>
                <w:szCs w:val="20"/>
                <w:color w:val="auto"/>
              </w:rPr>
            </w:pPr>
            <w:r>
              <w:rPr>
                <w:rFonts w:ascii="Arial" w:cs="Arial" w:eastAsia="Arial" w:hAnsi="Arial"/>
                <w:sz w:val="14"/>
                <w:szCs w:val="14"/>
                <w:color w:val="auto"/>
                <w:w w:val="89"/>
              </w:rPr>
              <w:t>2018</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20-40</w:t>
            </w:r>
          </w:p>
        </w:tc>
        <w:tc>
          <w:tcPr>
            <w:tcW w:w="0" w:type="dxa"/>
            <w:vAlign w:val="bottom"/>
          </w:tcPr>
          <w:p>
            <w:pPr>
              <w:spacing w:after="0"/>
              <w:rPr>
                <w:sz w:val="1"/>
                <w:szCs w:val="1"/>
                <w:color w:val="auto"/>
              </w:rPr>
            </w:pPr>
          </w:p>
        </w:tc>
      </w:tr>
      <w:tr>
        <w:trPr>
          <w:trHeight w:val="148"/>
        </w:trPr>
        <w:tc>
          <w:tcPr>
            <w:tcW w:w="1100" w:type="dxa"/>
            <w:vAlign w:val="bottom"/>
            <w:gridSpan w:val="2"/>
          </w:tcPr>
          <w:p>
            <w:pPr>
              <w:spacing w:after="0" w:line="149" w:lineRule="exact"/>
              <w:rPr>
                <w:sz w:val="20"/>
                <w:szCs w:val="20"/>
                <w:color w:val="auto"/>
              </w:rPr>
            </w:pPr>
            <w:r>
              <w:rPr>
                <w:rFonts w:ascii="Arial" w:cs="Arial" w:eastAsia="Arial" w:hAnsi="Arial"/>
                <w:sz w:val="14"/>
                <w:szCs w:val="14"/>
                <w:color w:val="auto"/>
              </w:rPr>
              <w:t>Inn at Opryland</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2,675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7,248</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19,233</w:t>
            </w: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3,049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26,107</w:t>
            </w:r>
          </w:p>
        </w:tc>
        <w:tc>
          <w:tcPr>
            <w:tcW w:w="9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29,156</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11,763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center"/>
              <w:ind w:right="29"/>
              <w:spacing w:after="0" w:line="149" w:lineRule="exact"/>
              <w:rPr>
                <w:sz w:val="20"/>
                <w:szCs w:val="20"/>
                <w:color w:val="auto"/>
              </w:rPr>
            </w:pPr>
            <w:r>
              <w:rPr>
                <w:rFonts w:ascii="Arial" w:cs="Arial" w:eastAsia="Arial" w:hAnsi="Arial"/>
                <w:sz w:val="14"/>
                <w:szCs w:val="14"/>
                <w:color w:val="auto"/>
                <w:w w:val="89"/>
              </w:rPr>
              <w:t>1998</w:t>
            </w:r>
          </w:p>
        </w:tc>
        <w:tc>
          <w:tcPr>
            <w:tcW w:w="1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94"/>
              </w:rPr>
              <w:t>20-40</w:t>
            </w:r>
          </w:p>
        </w:tc>
        <w:tc>
          <w:tcPr>
            <w:tcW w:w="0" w:type="dxa"/>
            <w:vAlign w:val="bottom"/>
          </w:tcPr>
          <w:p>
            <w:pPr>
              <w:spacing w:after="0"/>
              <w:rPr>
                <w:sz w:val="1"/>
                <w:szCs w:val="1"/>
                <w:color w:val="auto"/>
              </w:rPr>
            </w:pPr>
          </w:p>
        </w:tc>
      </w:tr>
      <w:tr>
        <w:trPr>
          <w:trHeight w:val="149"/>
        </w:trPr>
        <w:tc>
          <w:tcPr>
            <w:tcW w:w="1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 Hotel</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9,079</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17,340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3,781</w:t>
            </w: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9,099</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21,101</w:t>
            </w:r>
          </w:p>
        </w:tc>
        <w:tc>
          <w:tcPr>
            <w:tcW w:w="9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30,200</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3,749</w:t>
            </w:r>
          </w:p>
        </w:tc>
        <w:tc>
          <w:tcPr>
            <w:tcW w:w="16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center"/>
              <w:ind w:right="29"/>
              <w:spacing w:after="0" w:line="149" w:lineRule="exact"/>
              <w:rPr>
                <w:sz w:val="20"/>
                <w:szCs w:val="20"/>
                <w:color w:val="auto"/>
              </w:rPr>
            </w:pPr>
            <w:r>
              <w:rPr>
                <w:rFonts w:ascii="Arial" w:cs="Arial" w:eastAsia="Arial" w:hAnsi="Arial"/>
                <w:sz w:val="14"/>
                <w:szCs w:val="14"/>
                <w:color w:val="auto"/>
                <w:w w:val="89"/>
              </w:rPr>
              <w:t>2014</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20-40</w:t>
            </w:r>
          </w:p>
        </w:tc>
        <w:tc>
          <w:tcPr>
            <w:tcW w:w="0" w:type="dxa"/>
            <w:vAlign w:val="bottom"/>
          </w:tcPr>
          <w:p>
            <w:pPr>
              <w:spacing w:after="0"/>
              <w:rPr>
                <w:sz w:val="1"/>
                <w:szCs w:val="1"/>
                <w:color w:val="auto"/>
              </w:rPr>
            </w:pPr>
          </w:p>
        </w:tc>
      </w:tr>
      <w:tr>
        <w:trPr>
          <w:trHeight w:val="148"/>
        </w:trPr>
        <w:tc>
          <w:tcPr>
            <w:tcW w:w="1100" w:type="dxa"/>
            <w:vAlign w:val="bottom"/>
            <w:gridSpan w:val="2"/>
          </w:tcPr>
          <w:p>
            <w:pPr>
              <w:spacing w:after="0" w:line="149" w:lineRule="exact"/>
              <w:rPr>
                <w:sz w:val="20"/>
                <w:szCs w:val="20"/>
                <w:color w:val="auto"/>
              </w:rPr>
            </w:pPr>
            <w:r>
              <w:rPr>
                <w:rFonts w:ascii="Arial" w:cs="Arial" w:eastAsia="Arial" w:hAnsi="Arial"/>
                <w:sz w:val="14"/>
                <w:szCs w:val="14"/>
                <w:color w:val="auto"/>
              </w:rPr>
              <w:t>Miscellaneous</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43,337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6,717</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9,957</w:t>
            </w: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54,806</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5,205</w:t>
            </w:r>
          </w:p>
        </w:tc>
        <w:tc>
          <w:tcPr>
            <w:tcW w:w="9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60,011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12,784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rPr>
              <w:t>N/A</w:t>
            </w: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94"/>
              </w:rPr>
              <w:t>20-40</w:t>
            </w:r>
          </w:p>
        </w:tc>
        <w:tc>
          <w:tcPr>
            <w:tcW w:w="0" w:type="dxa"/>
            <w:vAlign w:val="bottom"/>
          </w:tcPr>
          <w:p>
            <w:pPr>
              <w:spacing w:after="0"/>
              <w:rPr>
                <w:sz w:val="1"/>
                <w:szCs w:val="1"/>
                <w:color w:val="auto"/>
              </w:rPr>
            </w:pPr>
          </w:p>
        </w:tc>
      </w:tr>
      <w:tr>
        <w:trPr>
          <w:trHeight w:val="142"/>
        </w:trPr>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8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4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94"/>
              </w:rPr>
              <w:t>205,958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2,412,280</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$ 1,173,773</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$ 329,494</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3,462,517</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$ 3,792,011</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gridSpan w:val="4"/>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$ 1,229,727</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4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54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3"/>
          </w:tcPr>
          <w:p>
            <w:pPr>
              <w:ind w:left="160"/>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24"/>
                <w:szCs w:val="24"/>
                <w:color w:val="auto"/>
              </w:rPr>
            </w:pPr>
          </w:p>
        </w:tc>
        <w:tc>
          <w:tcPr>
            <w:tcW w:w="900" w:type="dxa"/>
            <w:vAlign w:val="bottom"/>
            <w:gridSpan w:val="3"/>
          </w:tcPr>
          <w:p>
            <w:pPr>
              <w:jc w:val="right"/>
              <w:ind w:right="221"/>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ind w:right="2"/>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0" w:type="dxa"/>
            <w:vAlign w:val="bottom"/>
            <w:tcBorders>
              <w:top w:val="single" w:sz="8" w:color="CCEEFF"/>
            </w:tcBorders>
            <w:gridSpan w:val="9"/>
            <w:shd w:val="clear" w:color="auto" w:fill="CCEEFF"/>
          </w:tcPr>
          <w:p>
            <w:pPr>
              <w:spacing w:after="0"/>
              <w:rPr>
                <w:sz w:val="20"/>
                <w:szCs w:val="20"/>
                <w:color w:val="auto"/>
              </w:rPr>
            </w:pPr>
            <w:r>
              <w:rPr>
                <w:rFonts w:ascii="Arial" w:cs="Arial" w:eastAsia="Arial" w:hAnsi="Arial"/>
                <w:sz w:val="18"/>
                <w:szCs w:val="18"/>
                <w:color w:val="auto"/>
              </w:rPr>
              <w:t>Investment in real estate:</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0" w:type="dxa"/>
            <w:vAlign w:val="bottom"/>
            <w:gridSpan w:val="9"/>
          </w:tcPr>
          <w:p>
            <w:pPr>
              <w:ind w:left="100"/>
              <w:spacing w:after="0"/>
              <w:rPr>
                <w:sz w:val="20"/>
                <w:szCs w:val="20"/>
                <w:color w:val="auto"/>
              </w:rPr>
            </w:pPr>
            <w:r>
              <w:rPr>
                <w:rFonts w:ascii="Arial" w:cs="Arial" w:eastAsia="Arial" w:hAnsi="Arial"/>
                <w:sz w:val="18"/>
                <w:szCs w:val="18"/>
                <w:color w:val="auto"/>
                <w:w w:val="99"/>
              </w:rPr>
              <w:t>Balance at beginning of year</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60" w:type="dxa"/>
            <w:vAlign w:val="bottom"/>
            <w:gridSpan w:val="6"/>
          </w:tcPr>
          <w:p>
            <w:pPr>
              <w:jc w:val="right"/>
              <w:spacing w:after="0"/>
              <w:rPr>
                <w:sz w:val="20"/>
                <w:szCs w:val="20"/>
                <w:color w:val="auto"/>
              </w:rPr>
            </w:pPr>
            <w:r>
              <w:rPr>
                <w:rFonts w:ascii="Arial" w:cs="Arial" w:eastAsia="Arial" w:hAnsi="Arial"/>
                <w:sz w:val="18"/>
                <w:szCs w:val="18"/>
                <w:color w:val="auto"/>
              </w:rPr>
              <w:t>$ 3,642,007</w:t>
            </w:r>
          </w:p>
        </w:tc>
        <w:tc>
          <w:tcPr>
            <w:tcW w:w="1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w w:val="88"/>
              </w:rPr>
              <w:t>$ 3,615,025</w:t>
            </w:r>
          </w:p>
        </w:tc>
        <w:tc>
          <w:tcPr>
            <w:tcW w:w="20" w:type="dxa"/>
            <w:vAlign w:val="bottom"/>
          </w:tcPr>
          <w:p>
            <w:pPr>
              <w:spacing w:after="0"/>
              <w:rPr>
                <w:sz w:val="18"/>
                <w:szCs w:val="18"/>
                <w:color w:val="auto"/>
              </w:rPr>
            </w:pPr>
          </w:p>
        </w:tc>
        <w:tc>
          <w:tcPr>
            <w:tcW w:w="1120" w:type="dxa"/>
            <w:vAlign w:val="bottom"/>
            <w:gridSpan w:val="7"/>
          </w:tcPr>
          <w:p>
            <w:pPr>
              <w:jc w:val="right"/>
              <w:spacing w:after="0"/>
              <w:rPr>
                <w:sz w:val="20"/>
                <w:szCs w:val="20"/>
                <w:color w:val="auto"/>
              </w:rPr>
            </w:pPr>
            <w:r>
              <w:rPr>
                <w:rFonts w:ascii="Arial" w:cs="Arial" w:eastAsia="Arial" w:hAnsi="Arial"/>
                <w:sz w:val="18"/>
                <w:szCs w:val="18"/>
                <w:color w:val="auto"/>
              </w:rPr>
              <w:t>$ 3,563,304</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gridSpan w:val="7"/>
            <w:shd w:val="clear" w:color="auto" w:fill="CCEEFF"/>
          </w:tcPr>
          <w:p>
            <w:pPr>
              <w:ind w:left="100"/>
              <w:spacing w:after="0"/>
              <w:rPr>
                <w:sz w:val="20"/>
                <w:szCs w:val="20"/>
                <w:color w:val="auto"/>
              </w:rPr>
            </w:pPr>
            <w:r>
              <w:rPr>
                <w:rFonts w:ascii="Arial" w:cs="Arial" w:eastAsia="Arial" w:hAnsi="Arial"/>
                <w:sz w:val="18"/>
                <w:szCs w:val="18"/>
                <w:color w:val="auto"/>
              </w:rPr>
              <w:t>Other acquisitions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22,227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gridSpan w:val="7"/>
          </w:tcPr>
          <w:p>
            <w:pPr>
              <w:ind w:left="100"/>
              <w:spacing w:after="0"/>
              <w:rPr>
                <w:sz w:val="20"/>
                <w:szCs w:val="20"/>
                <w:color w:val="auto"/>
              </w:rPr>
            </w:pPr>
            <w:r>
              <w:rPr>
                <w:rFonts w:ascii="Arial" w:cs="Arial" w:eastAsia="Arial" w:hAnsi="Arial"/>
                <w:sz w:val="18"/>
                <w:szCs w:val="18"/>
                <w:color w:val="auto"/>
              </w:rPr>
              <w:t>Improvements</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146,030</w:t>
            </w:r>
          </w:p>
        </w:tc>
        <w:tc>
          <w:tcPr>
            <w:tcW w:w="1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27,911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53,373</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2"/>
              </w:rPr>
              <w:t>Disposals</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(2,058)</w:t>
            </w:r>
          </w:p>
        </w:tc>
        <w:tc>
          <w:tcPr>
            <w:tcW w:w="18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tcBorders>
              <w:bottom w:val="single" w:sz="8" w:color="CCEEFF"/>
            </w:tcBorders>
            <w:gridSpan w:val="7"/>
          </w:tcPr>
          <w:p>
            <w:pPr>
              <w:ind w:left="100"/>
              <w:spacing w:after="0"/>
              <w:rPr>
                <w:sz w:val="20"/>
                <w:szCs w:val="20"/>
                <w:color w:val="auto"/>
              </w:rPr>
            </w:pPr>
            <w:r>
              <w:rPr>
                <w:rFonts w:ascii="Arial" w:cs="Arial" w:eastAsia="Arial" w:hAnsi="Arial"/>
                <w:sz w:val="18"/>
                <w:szCs w:val="18"/>
                <w:color w:val="auto"/>
                <w:w w:val="91"/>
              </w:rPr>
              <w:t>Other deductions (4)</w:t>
            </w: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(16,195)</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40" w:type="dxa"/>
            <w:vAlign w:val="bottom"/>
            <w:tcBorders>
              <w:bottom w:val="single" w:sz="8" w:color="CCEEFF"/>
            </w:tcBorders>
            <w:gridSpan w:val="8"/>
            <w:shd w:val="clear" w:color="auto" w:fill="CCEEFF"/>
          </w:tcPr>
          <w:p>
            <w:pPr>
              <w:ind w:left="100"/>
              <w:spacing w:after="0"/>
              <w:rPr>
                <w:sz w:val="20"/>
                <w:szCs w:val="20"/>
                <w:color w:val="auto"/>
              </w:rPr>
            </w:pPr>
            <w:r>
              <w:rPr>
                <w:rFonts w:ascii="Arial" w:cs="Arial" w:eastAsia="Arial" w:hAnsi="Arial"/>
                <w:sz w:val="18"/>
                <w:szCs w:val="18"/>
                <w:color w:val="auto"/>
                <w:w w:val="89"/>
              </w:rPr>
              <w:t>Balance at end of year</w:t>
            </w:r>
          </w:p>
        </w:tc>
        <w:tc>
          <w:tcPr>
            <w:tcW w:w="6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spacing w:after="0"/>
              <w:rPr>
                <w:sz w:val="18"/>
                <w:szCs w:val="18"/>
                <w:color w:val="auto"/>
              </w:rPr>
            </w:pPr>
          </w:p>
        </w:tc>
        <w:tc>
          <w:tcPr>
            <w:tcW w:w="9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8"/>
              </w:rPr>
              <w:t>$ 3,792,011</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$ 3,642,007</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gridSpan w:val="3"/>
            <w:shd w:val="clear" w:color="auto" w:fill="CCEEFF"/>
          </w:tcPr>
          <w:p>
            <w:pPr>
              <w:spacing w:after="0"/>
              <w:rPr>
                <w:sz w:val="18"/>
                <w:szCs w:val="18"/>
                <w:color w:val="auto"/>
              </w:rPr>
            </w:pPr>
          </w:p>
        </w:tc>
        <w:tc>
          <w:tcPr>
            <w:tcW w:w="920" w:type="dxa"/>
            <w:vAlign w:val="bottom"/>
            <w:tcBorders>
              <w:bottom w:val="single" w:sz="8" w:color="auto"/>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w w:val="88"/>
              </w:rPr>
              <w:t>$ 3,615,025</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vMerge w:val="restart"/>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240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0" w:type="dxa"/>
            <w:vAlign w:val="bottom"/>
            <w:gridSpan w:val="9"/>
          </w:tcPr>
          <w:p>
            <w:pPr>
              <w:ind w:left="100"/>
              <w:spacing w:after="0"/>
              <w:rPr>
                <w:sz w:val="20"/>
                <w:szCs w:val="20"/>
                <w:color w:val="auto"/>
              </w:rPr>
            </w:pPr>
            <w:r>
              <w:rPr>
                <w:rFonts w:ascii="Arial" w:cs="Arial" w:eastAsia="Arial" w:hAnsi="Arial"/>
                <w:sz w:val="18"/>
                <w:szCs w:val="18"/>
                <w:color w:val="auto"/>
                <w:w w:val="99"/>
              </w:rPr>
              <w:t>Balance at beginning of year</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60" w:type="dxa"/>
            <w:vAlign w:val="bottom"/>
            <w:gridSpan w:val="6"/>
          </w:tcPr>
          <w:p>
            <w:pPr>
              <w:jc w:val="right"/>
              <w:spacing w:after="0"/>
              <w:rPr>
                <w:sz w:val="20"/>
                <w:szCs w:val="20"/>
                <w:color w:val="auto"/>
              </w:rPr>
            </w:pPr>
            <w:r>
              <w:rPr>
                <w:rFonts w:ascii="Arial" w:cs="Arial" w:eastAsia="Arial" w:hAnsi="Arial"/>
                <w:sz w:val="18"/>
                <w:szCs w:val="18"/>
                <w:color w:val="auto"/>
              </w:rPr>
              <w:t>$ 1,140,564</w:t>
            </w:r>
          </w:p>
        </w:tc>
        <w:tc>
          <w:tcPr>
            <w:tcW w:w="1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w w:val="88"/>
              </w:rPr>
              <w:t>$ 1,044,689</w:t>
            </w:r>
          </w:p>
        </w:tc>
        <w:tc>
          <w:tcPr>
            <w:tcW w:w="20" w:type="dxa"/>
            <w:vAlign w:val="bottom"/>
          </w:tcPr>
          <w:p>
            <w:pPr>
              <w:spacing w:after="0"/>
              <w:rPr>
                <w:sz w:val="18"/>
                <w:szCs w:val="18"/>
                <w:color w:val="auto"/>
              </w:rPr>
            </w:pPr>
          </w:p>
        </w:tc>
        <w:tc>
          <w:tcPr>
            <w:tcW w:w="3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949,630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gridSpan w:val="7"/>
            <w:shd w:val="clear" w:color="auto" w:fill="CCEEFF"/>
          </w:tcPr>
          <w:p>
            <w:pPr>
              <w:ind w:left="100"/>
              <w:spacing w:after="0"/>
              <w:rPr>
                <w:sz w:val="20"/>
                <w:szCs w:val="20"/>
                <w:color w:val="auto"/>
              </w:rPr>
            </w:pPr>
            <w:r>
              <w:rPr>
                <w:rFonts w:ascii="Arial" w:cs="Arial" w:eastAsia="Arial" w:hAnsi="Arial"/>
                <w:sz w:val="18"/>
                <w:szCs w:val="18"/>
                <w:color w:val="auto"/>
              </w:rPr>
              <w:t>Depreciation</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99,104</w:t>
            </w: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96,263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95,415</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3"/>
          </w:tcPr>
          <w:p>
            <w:pPr>
              <w:ind w:left="100"/>
              <w:spacing w:after="0"/>
              <w:rPr>
                <w:sz w:val="20"/>
                <w:szCs w:val="20"/>
                <w:color w:val="auto"/>
              </w:rPr>
            </w:pPr>
            <w:r>
              <w:rPr>
                <w:rFonts w:ascii="Arial" w:cs="Arial" w:eastAsia="Arial" w:hAnsi="Arial"/>
                <w:sz w:val="18"/>
                <w:szCs w:val="18"/>
                <w:color w:val="auto"/>
                <w:w w:val="92"/>
              </w:rPr>
              <w:t>Disposals</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(1,346)</w:t>
            </w:r>
          </w:p>
        </w:tc>
        <w:tc>
          <w:tcPr>
            <w:tcW w:w="18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(356)</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gridSpan w:val="7"/>
            <w:shd w:val="clear" w:color="auto" w:fill="CCEEFF"/>
          </w:tcPr>
          <w:p>
            <w:pPr>
              <w:ind w:left="100"/>
              <w:spacing w:after="0"/>
              <w:rPr>
                <w:sz w:val="20"/>
                <w:szCs w:val="20"/>
                <w:color w:val="auto"/>
              </w:rPr>
            </w:pPr>
            <w:r>
              <w:rPr>
                <w:rFonts w:ascii="Arial" w:cs="Arial" w:eastAsia="Arial" w:hAnsi="Arial"/>
                <w:sz w:val="18"/>
                <w:szCs w:val="18"/>
                <w:color w:val="auto"/>
                <w:w w:val="91"/>
              </w:rPr>
              <w:t>Other deductions (4)</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(8,595)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40" w:type="dxa"/>
            <w:vAlign w:val="bottom"/>
            <w:gridSpan w:val="8"/>
          </w:tcPr>
          <w:p>
            <w:pPr>
              <w:ind w:left="100"/>
              <w:spacing w:after="0"/>
              <w:rPr>
                <w:sz w:val="20"/>
                <w:szCs w:val="20"/>
                <w:color w:val="auto"/>
              </w:rPr>
            </w:pPr>
            <w:r>
              <w:rPr>
                <w:rFonts w:ascii="Arial" w:cs="Arial" w:eastAsia="Arial" w:hAnsi="Arial"/>
                <w:sz w:val="18"/>
                <w:szCs w:val="18"/>
                <w:color w:val="auto"/>
                <w:w w:val="89"/>
              </w:rPr>
              <w:t>Balance at end of year</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gridSpan w:val="2"/>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w w:val="88"/>
              </w:rPr>
              <w:t>$ 1,229,727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86"/>
              </w:rPr>
              <w:t>$ 1,140,564</w:t>
            </w:r>
          </w:p>
        </w:tc>
        <w:tc>
          <w:tcPr>
            <w:tcW w:w="20" w:type="dxa"/>
            <w:vAlign w:val="bottom"/>
          </w:tcPr>
          <w:p>
            <w:pPr>
              <w:spacing w:after="0"/>
              <w:rPr>
                <w:sz w:val="18"/>
                <w:szCs w:val="18"/>
                <w:color w:val="auto"/>
              </w:rPr>
            </w:pPr>
          </w:p>
        </w:tc>
        <w:tc>
          <w:tcPr>
            <w:tcW w:w="200" w:type="dxa"/>
            <w:vAlign w:val="bottom"/>
            <w:gridSpan w:val="3"/>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w w:val="88"/>
              </w:rPr>
              <w:t>$ 1,044,689</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4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580" w:right="520" w:hanging="330"/>
        <w:spacing w:after="0" w:line="258" w:lineRule="auto"/>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Pledged as collateral under the Company’s credit facility. At December 31, 2021, $866.5 million in borrowings and letters of credit were outstanding under such facility.</w:t>
      </w:r>
    </w:p>
    <w:p>
      <w:pPr>
        <w:spacing w:after="0" w:line="1" w:lineRule="exact"/>
        <w:rPr>
          <w:rFonts w:ascii="Arial" w:cs="Arial" w:eastAsia="Arial" w:hAnsi="Arial"/>
          <w:sz w:val="18"/>
          <w:szCs w:val="18"/>
          <w:color w:val="auto"/>
        </w:rPr>
      </w:pPr>
    </w:p>
    <w:p>
      <w:pPr>
        <w:ind w:left="580" w:right="300" w:hanging="330"/>
        <w:spacing w:after="0" w:line="250" w:lineRule="auto"/>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Pledged as collateral under the Gaylord Rockies term loan. At December 31, 2021, $800.0 million in borrowings were outstanding under such loan.</w:t>
      </w:r>
    </w:p>
    <w:p>
      <w:pPr>
        <w:ind w:left="580" w:hanging="330"/>
        <w:spacing w:after="0"/>
        <w:tabs>
          <w:tab w:leader="none" w:pos="5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aggregate cost of properties for federal income tax purposes is approximately $3.4 billion at December 31, 2021.</w:t>
      </w:r>
    </w:p>
    <w:p>
      <w:pPr>
        <w:spacing w:after="0" w:line="20" w:lineRule="exact"/>
        <w:rPr>
          <w:rFonts w:ascii="Arial" w:cs="Arial" w:eastAsia="Arial" w:hAnsi="Arial"/>
          <w:sz w:val="17"/>
          <w:szCs w:val="17"/>
          <w:color w:val="auto"/>
        </w:rPr>
      </w:pPr>
    </w:p>
    <w:p>
      <w:pPr>
        <w:ind w:left="580" w:hanging="330"/>
        <w:spacing w:after="0"/>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 deductions represents assets transferred as part of an internal reorganization.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357505</wp:posOffset>
            </wp:positionV>
            <wp:extent cx="56578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400"/>
          </w:cols>
          <w:pgMar w:left="1240" w:top="517" w:right="1259" w:bottom="1440" w:gutter="0" w:footer="0" w:header="0"/>
        </w:sectPr>
      </w:pPr>
    </w:p>
    <w:bookmarkStart w:id="119" w:name="page120"/>
    <w:bookmarkEnd w:id="119"/>
    <w:p>
      <w:pPr>
        <w:jc w:val="right"/>
        <w:ind w:right="219"/>
        <w:spacing w:after="0"/>
        <w:rPr>
          <w:sz w:val="20"/>
          <w:szCs w:val="20"/>
          <w:color w:val="auto"/>
        </w:rPr>
      </w:pPr>
      <w:r>
        <w:rPr>
          <w:rFonts w:ascii="Arial" w:cs="Arial" w:eastAsia="Arial" w:hAnsi="Arial"/>
          <w:sz w:val="18"/>
          <w:szCs w:val="18"/>
          <w:b w:val="1"/>
          <w:bCs w:val="1"/>
          <w:color w:val="auto"/>
        </w:rPr>
        <w:t>Exhibit 10.31</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Ryman Hospitality Properties, Inc. (the “Company”)</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Director and Executive Officer Compensation</w:t>
      </w:r>
    </w:p>
    <w:p>
      <w:pPr>
        <w:spacing w:after="0" w:line="306" w:lineRule="exact"/>
        <w:rPr>
          <w:sz w:val="20"/>
          <w:szCs w:val="20"/>
          <w:color w:val="auto"/>
        </w:rPr>
      </w:pPr>
    </w:p>
    <w:p>
      <w:pPr>
        <w:jc w:val="both"/>
        <w:ind w:left="640" w:right="259" w:hanging="431"/>
        <w:spacing w:after="0" w:line="281" w:lineRule="auto"/>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Director Compensation</w:t>
      </w:r>
      <w:r>
        <w:rPr>
          <w:rFonts w:ascii="Arial" w:cs="Arial" w:eastAsia="Arial" w:hAnsi="Arial"/>
          <w:sz w:val="18"/>
          <w:szCs w:val="18"/>
          <w:color w:val="auto"/>
        </w:rPr>
        <w:t>. Directors who are employees of the Company do not receive additional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for serving as directors of the Company. The following table sets forth current rates of cash compensation for the Company’s non-employee directors.</w:t>
      </w:r>
    </w:p>
    <w:p>
      <w:pPr>
        <w:spacing w:after="0" w:line="285" w:lineRule="exact"/>
        <w:rPr>
          <w:sz w:val="20"/>
          <w:szCs w:val="20"/>
          <w:color w:val="auto"/>
        </w:rPr>
      </w:pPr>
    </w:p>
    <w:tbl>
      <w:tblPr>
        <w:tblLayout w:type="fixed"/>
        <w:tblInd w:w="640" w:type="dxa"/>
        <w:tblCellMar>
          <w:top w:w="0" w:type="dxa"/>
          <w:left w:w="0" w:type="dxa"/>
          <w:bottom w:w="0" w:type="dxa"/>
          <w:right w:w="0" w:type="dxa"/>
        </w:tblCellMar>
      </w:tblPr>
      <w:tr>
        <w:trPr>
          <w:trHeight w:val="254"/>
        </w:trPr>
        <w:tc>
          <w:tcPr>
            <w:tcW w:w="6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Retainer</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2"/>
                <w:szCs w:val="22"/>
                <w:color w:val="auto"/>
              </w:rPr>
            </w:pPr>
          </w:p>
        </w:tc>
      </w:tr>
      <w:tr>
        <w:trPr>
          <w:trHeight w:val="217"/>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Board retainer</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6760" w:type="dxa"/>
            <w:vAlign w:val="bottom"/>
          </w:tcPr>
          <w:p>
            <w:pPr>
              <w:spacing w:after="0"/>
              <w:rPr>
                <w:sz w:val="20"/>
                <w:szCs w:val="20"/>
                <w:color w:val="auto"/>
              </w:rPr>
            </w:pPr>
            <w:r>
              <w:rPr>
                <w:rFonts w:ascii="Arial" w:cs="Arial" w:eastAsia="Arial" w:hAnsi="Arial"/>
                <w:sz w:val="18"/>
                <w:szCs w:val="18"/>
                <w:color w:val="auto"/>
              </w:rPr>
              <w:t>Lead Non-Management Director retainer</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30,000</w:t>
            </w:r>
          </w:p>
        </w:tc>
      </w:tr>
      <w:tr>
        <w:trPr>
          <w:trHeight w:val="230"/>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Audit chair retainer</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25,000</w:t>
            </w:r>
          </w:p>
        </w:tc>
      </w:tr>
      <w:tr>
        <w:trPr>
          <w:trHeight w:val="229"/>
        </w:trPr>
        <w:tc>
          <w:tcPr>
            <w:tcW w:w="6760" w:type="dxa"/>
            <w:vAlign w:val="bottom"/>
          </w:tcPr>
          <w:p>
            <w:pPr>
              <w:spacing w:after="0"/>
              <w:rPr>
                <w:sz w:val="20"/>
                <w:szCs w:val="20"/>
                <w:color w:val="auto"/>
              </w:rPr>
            </w:pPr>
            <w:r>
              <w:rPr>
                <w:rFonts w:ascii="Arial" w:cs="Arial" w:eastAsia="Arial" w:hAnsi="Arial"/>
                <w:sz w:val="18"/>
                <w:szCs w:val="18"/>
                <w:color w:val="auto"/>
              </w:rPr>
              <w:t>Human Resources chair retainer</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20,000</w:t>
            </w:r>
          </w:p>
        </w:tc>
      </w:tr>
      <w:tr>
        <w:trPr>
          <w:trHeight w:val="229"/>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Nominating and Corporate Governance chair retainer</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15,000</w:t>
            </w: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Audit member retainer</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10,000</w:t>
            </w:r>
          </w:p>
        </w:tc>
      </w:tr>
      <w:tr>
        <w:trPr>
          <w:trHeight w:val="229"/>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Human Resources member retainer</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10,000</w:t>
            </w: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Nominating member retainer</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7,500</w:t>
            </w:r>
          </w:p>
        </w:tc>
      </w:tr>
    </w:tbl>
    <w:p>
      <w:pPr>
        <w:spacing w:after="0" w:line="214" w:lineRule="exact"/>
        <w:rPr>
          <w:sz w:val="20"/>
          <w:szCs w:val="20"/>
          <w:color w:val="auto"/>
        </w:rPr>
      </w:pPr>
    </w:p>
    <w:p>
      <w:pPr>
        <w:ind w:left="700" w:right="319"/>
        <w:spacing w:after="0" w:line="292" w:lineRule="auto"/>
        <w:rPr>
          <w:sz w:val="20"/>
          <w:szCs w:val="20"/>
          <w:color w:val="auto"/>
        </w:rPr>
      </w:pPr>
      <w:r>
        <w:rPr>
          <w:rFonts w:ascii="Arial" w:cs="Arial" w:eastAsia="Arial" w:hAnsi="Arial"/>
          <w:sz w:val="17"/>
          <w:szCs w:val="17"/>
          <w:color w:val="auto"/>
        </w:rPr>
        <w:t>Non-employee directors may elect payment in cash or may defer this portion of their compensation and receive restricted stock units pursuant to the Company’s 2016 Omnibus Incentive Plan with a value equal to the fees, based on the fair market value of the Company’s common stock on the date of issuance. Such restricted stock units will be deferred until a specified date or the end of the director’s service on the Board of Directors. All directors are reimbursed for expenses incurred in attending meetings.</w:t>
      </w:r>
    </w:p>
    <w:p>
      <w:pPr>
        <w:spacing w:after="0" w:line="174" w:lineRule="exact"/>
        <w:rPr>
          <w:sz w:val="20"/>
          <w:szCs w:val="20"/>
          <w:color w:val="auto"/>
        </w:rPr>
      </w:pPr>
    </w:p>
    <w:p>
      <w:pPr>
        <w:ind w:left="700" w:right="279"/>
        <w:spacing w:after="0" w:line="290" w:lineRule="auto"/>
        <w:rPr>
          <w:sz w:val="20"/>
          <w:szCs w:val="20"/>
          <w:color w:val="auto"/>
        </w:rPr>
      </w:pPr>
      <w:r>
        <w:rPr>
          <w:rFonts w:ascii="Arial" w:cs="Arial" w:eastAsia="Arial" w:hAnsi="Arial"/>
          <w:sz w:val="17"/>
          <w:szCs w:val="17"/>
          <w:color w:val="auto"/>
        </w:rPr>
        <w:t>In addition, as of the date of our board meeting following our annual meeting of stockholders, each non-employee director will receive an annual grant of restricted stock units having a dollar value of $120,000, based on the fair market value of the Company’s common stock on the date of grant. The restricted stock units vest fully on the first anniversary of the date of grant, pursuant to the Company’s 2016 Omnibus Incentive Plan, unless deferred by the director until either a specified date or the end of the director’s service on the Board of Directors. Directors will not receive fees for attending meetings.</w:t>
      </w:r>
    </w:p>
    <w:p>
      <w:pPr>
        <w:spacing w:after="0" w:line="135" w:lineRule="exact"/>
        <w:rPr>
          <w:sz w:val="20"/>
          <w:szCs w:val="20"/>
          <w:color w:val="auto"/>
        </w:rPr>
      </w:pPr>
    </w:p>
    <w:p>
      <w:pPr>
        <w:ind w:left="700" w:right="239"/>
        <w:spacing w:after="0" w:line="272" w:lineRule="auto"/>
        <w:rPr>
          <w:sz w:val="20"/>
          <w:szCs w:val="20"/>
          <w:color w:val="auto"/>
        </w:rPr>
      </w:pPr>
      <w:r>
        <w:rPr>
          <w:rFonts w:ascii="Arial" w:cs="Arial" w:eastAsia="Arial" w:hAnsi="Arial"/>
          <w:sz w:val="18"/>
          <w:szCs w:val="18"/>
          <w:color w:val="auto"/>
        </w:rPr>
        <w:t>The following table sets forth the 2022 annual base salaries and the fiscal 2021 short-term incentive compensation provided to the Company’s Chief Executive Officer, the Company’s Chief Financial Officer and the three other most highly compensated executive officers to be named in the Company’s proxy statement to be filed in connection with the 2022 annual meeting of stockholders (the “Named Executive Officers” or the “NEOs”).</w:t>
      </w:r>
    </w:p>
    <w:p>
      <w:pPr>
        <w:spacing w:after="0" w:line="128"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104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3"/>
          </w:tcPr>
          <w:p>
            <w:pPr>
              <w:spacing w:after="0"/>
              <w:rPr>
                <w:sz w:val="20"/>
                <w:szCs w:val="20"/>
                <w:color w:val="auto"/>
              </w:rPr>
            </w:pPr>
            <w:r>
              <w:rPr>
                <w:rFonts w:ascii="Arial" w:cs="Arial" w:eastAsia="Arial" w:hAnsi="Arial"/>
                <w:sz w:val="14"/>
                <w:szCs w:val="14"/>
                <w:b w:val="1"/>
                <w:bCs w:val="1"/>
                <w:color w:val="auto"/>
              </w:rPr>
              <w:t>Fiscal 2021</w:t>
            </w:r>
          </w:p>
        </w:tc>
      </w:tr>
      <w:tr>
        <w:trPr>
          <w:trHeight w:val="185"/>
        </w:trPr>
        <w:tc>
          <w:tcPr>
            <w:tcW w:w="10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2022 Salary</w:t>
            </w:r>
          </w:p>
        </w:tc>
        <w:tc>
          <w:tcPr>
            <w:tcW w:w="340" w:type="dxa"/>
            <w:vAlign w:val="bottom"/>
          </w:tcPr>
          <w:p>
            <w:pPr>
              <w:spacing w:after="0"/>
              <w:rPr>
                <w:sz w:val="16"/>
                <w:szCs w:val="16"/>
                <w:color w:val="auto"/>
              </w:rPr>
            </w:pPr>
          </w:p>
        </w:tc>
        <w:tc>
          <w:tcPr>
            <w:tcW w:w="2020" w:type="dxa"/>
            <w:vAlign w:val="bottom"/>
            <w:gridSpan w:val="4"/>
          </w:tcPr>
          <w:p>
            <w:pPr>
              <w:jc w:val="right"/>
              <w:ind w:right="1120"/>
              <w:spacing w:after="0"/>
              <w:rPr>
                <w:sz w:val="20"/>
                <w:szCs w:val="20"/>
                <w:color w:val="auto"/>
              </w:rPr>
            </w:pPr>
            <w:r>
              <w:rPr>
                <w:rFonts w:ascii="Arial" w:cs="Arial" w:eastAsia="Arial" w:hAnsi="Arial"/>
                <w:sz w:val="14"/>
                <w:szCs w:val="14"/>
                <w:b w:val="1"/>
                <w:bCs w:val="1"/>
                <w:color w:val="auto"/>
                <w:w w:val="87"/>
              </w:rPr>
              <w:t>Bonus Amount</w:t>
            </w:r>
          </w:p>
        </w:tc>
      </w:tr>
      <w:tr>
        <w:trPr>
          <w:trHeight w:val="223"/>
        </w:trPr>
        <w:tc>
          <w:tcPr>
            <w:tcW w:w="1040" w:type="dxa"/>
            <w:vAlign w:val="bottom"/>
          </w:tcPr>
          <w:p>
            <w:pPr>
              <w:spacing w:after="0"/>
              <w:rPr>
                <w:sz w:val="19"/>
                <w:szCs w:val="19"/>
                <w:color w:val="auto"/>
              </w:rPr>
            </w:pPr>
          </w:p>
        </w:tc>
        <w:tc>
          <w:tcPr>
            <w:tcW w:w="2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Colin Reed</w:t>
            </w:r>
          </w:p>
        </w:tc>
        <w:tc>
          <w:tcPr>
            <w:tcW w:w="15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1,100,000</w:t>
            </w:r>
          </w:p>
        </w:tc>
        <w:tc>
          <w:tcPr>
            <w:tcW w:w="3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3,300,000</w:t>
            </w: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104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Mark Fioravanti</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750,000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1,525,390</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1040" w:type="dxa"/>
            <w:vAlign w:val="bottom"/>
          </w:tcPr>
          <w:p>
            <w:pPr>
              <w:spacing w:after="0"/>
              <w:rPr>
                <w:sz w:val="19"/>
                <w:szCs w:val="19"/>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Patrick Chaffin</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966,081</w:t>
            </w:r>
          </w:p>
        </w:tc>
        <w:tc>
          <w:tcPr>
            <w:tcW w:w="80" w:type="dxa"/>
            <w:vAlign w:val="bottom"/>
            <w:shd w:val="clear" w:color="auto" w:fill="CCEEFF"/>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104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Scott Lynn</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424,360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813,540</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1040" w:type="dxa"/>
            <w:vAlign w:val="bottom"/>
          </w:tcPr>
          <w:p>
            <w:pPr>
              <w:spacing w:after="0"/>
              <w:rPr>
                <w:sz w:val="19"/>
                <w:szCs w:val="19"/>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Jennifer Hutcheson</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518,632</w:t>
            </w:r>
          </w:p>
        </w:tc>
        <w:tc>
          <w:tcPr>
            <w:tcW w:w="80" w:type="dxa"/>
            <w:vAlign w:val="bottom"/>
            <w:shd w:val="clear" w:color="auto" w:fill="CCEEFF"/>
          </w:tcPr>
          <w:p>
            <w:pPr>
              <w:spacing w:after="0"/>
              <w:rPr>
                <w:sz w:val="19"/>
                <w:szCs w:val="19"/>
                <w:color w:val="auto"/>
              </w:rPr>
            </w:pPr>
          </w:p>
        </w:tc>
        <w:tc>
          <w:tcPr>
            <w:tcW w:w="1020" w:type="dxa"/>
            <w:vAlign w:val="bottom"/>
          </w:tcPr>
          <w:p>
            <w:pPr>
              <w:spacing w:after="0"/>
              <w:rPr>
                <w:sz w:val="19"/>
                <w:szCs w:val="19"/>
                <w:color w:val="auto"/>
              </w:rPr>
            </w:pPr>
          </w:p>
        </w:tc>
      </w:tr>
      <w:tr>
        <w:trPr>
          <w:trHeight w:val="803"/>
        </w:trPr>
        <w:tc>
          <w:tcPr>
            <w:tcW w:w="10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35" w:right="1440" w:bottom="1440" w:gutter="0" w:footer="0" w:header="0"/>
        </w:sectPr>
      </w:pPr>
    </w:p>
    <w:bookmarkStart w:id="120" w:name="page121"/>
    <w:bookmarkEnd w:id="120"/>
    <w:p>
      <w:pPr>
        <w:ind w:left="620" w:right="299"/>
        <w:spacing w:after="0" w:line="279" w:lineRule="auto"/>
        <w:rPr>
          <w:sz w:val="20"/>
          <w:szCs w:val="20"/>
          <w:color w:val="auto"/>
        </w:rPr>
      </w:pPr>
      <w:r>
        <w:rPr>
          <w:rFonts w:ascii="Arial" w:cs="Arial" w:eastAsia="Arial" w:hAnsi="Arial"/>
          <w:sz w:val="18"/>
          <w:szCs w:val="18"/>
          <w:color w:val="auto"/>
        </w:rPr>
        <w:t>Certain performance-based restricted stock unit awards under the Company’s 2016 Omnibus Incentive Plan with respect to performance periods ended December 31, 2021 will vest on March 15, 2022, as will be reflected in Form 4 filings to be made with the SEC.</w:t>
      </w:r>
    </w:p>
    <w:p>
      <w:pPr>
        <w:spacing w:after="0" w:line="183" w:lineRule="exact"/>
        <w:rPr>
          <w:sz w:val="20"/>
          <w:szCs w:val="20"/>
          <w:color w:val="auto"/>
        </w:rPr>
      </w:pPr>
    </w:p>
    <w:p>
      <w:pPr>
        <w:ind w:left="620" w:right="439"/>
        <w:spacing w:after="0" w:line="293" w:lineRule="auto"/>
        <w:rPr>
          <w:sz w:val="20"/>
          <w:szCs w:val="20"/>
          <w:color w:val="auto"/>
        </w:rPr>
      </w:pPr>
      <w:r>
        <w:rPr>
          <w:rFonts w:ascii="Arial" w:cs="Arial" w:eastAsia="Arial" w:hAnsi="Arial"/>
          <w:sz w:val="18"/>
          <w:szCs w:val="18"/>
          <w:color w:val="auto"/>
        </w:rPr>
        <w:t>The following table sets forth the fiscal 2022 cash incentive compensation targets as a percentage of 2022 base salary set for the NEOs:</w:t>
      </w:r>
    </w:p>
    <w:p>
      <w:pPr>
        <w:spacing w:after="0" w:line="233" w:lineRule="exact"/>
        <w:rPr>
          <w:sz w:val="20"/>
          <w:szCs w:val="20"/>
          <w:color w:val="auto"/>
        </w:rPr>
      </w:pPr>
    </w:p>
    <w:tbl>
      <w:tblPr>
        <w:tblLayout w:type="fixed"/>
        <w:tblInd w:w="1220" w:type="dxa"/>
        <w:tblCellMar>
          <w:top w:w="0" w:type="dxa"/>
          <w:left w:w="0" w:type="dxa"/>
          <w:bottom w:w="0" w:type="dxa"/>
          <w:right w:w="0" w:type="dxa"/>
        </w:tblCellMar>
      </w:tblPr>
      <w:tr>
        <w:trPr>
          <w:trHeight w:val="234"/>
        </w:trPr>
        <w:tc>
          <w:tcPr>
            <w:tcW w:w="296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87"/>
              </w:rPr>
              <w:t>Threshold</w:t>
            </w:r>
          </w:p>
        </w:tc>
        <w:tc>
          <w:tcPr>
            <w:tcW w:w="6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Target</w:t>
            </w:r>
          </w:p>
        </w:tc>
        <w:tc>
          <w:tcPr>
            <w:tcW w:w="62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3"/>
              </w:rPr>
              <w:t>Maximum</w:t>
            </w:r>
          </w:p>
        </w:tc>
        <w:tc>
          <w:tcPr>
            <w:tcW w:w="220" w:type="dxa"/>
            <w:vAlign w:val="bottom"/>
            <w:tcBorders>
              <w:bottom w:val="single" w:sz="8" w:color="CCEEFF"/>
            </w:tcBorders>
          </w:tcPr>
          <w:p>
            <w:pPr>
              <w:spacing w:after="0"/>
              <w:rPr>
                <w:sz w:val="20"/>
                <w:szCs w:val="20"/>
                <w:color w:val="auto"/>
              </w:rPr>
            </w:pPr>
          </w:p>
        </w:tc>
      </w:tr>
      <w:tr>
        <w:trPr>
          <w:trHeight w:val="223"/>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Colin V. Reed</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75%</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150%</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w:t>
            </w:r>
          </w:p>
        </w:tc>
      </w:tr>
      <w:tr>
        <w:trPr>
          <w:trHeight w:val="229"/>
        </w:trPr>
        <w:tc>
          <w:tcPr>
            <w:tcW w:w="2960" w:type="dxa"/>
            <w:vAlign w:val="bottom"/>
          </w:tcPr>
          <w:p>
            <w:pPr>
              <w:spacing w:after="0"/>
              <w:rPr>
                <w:sz w:val="20"/>
                <w:szCs w:val="20"/>
                <w:color w:val="auto"/>
              </w:rPr>
            </w:pPr>
            <w:r>
              <w:rPr>
                <w:rFonts w:ascii="Arial" w:cs="Arial" w:eastAsia="Arial" w:hAnsi="Arial"/>
                <w:sz w:val="18"/>
                <w:szCs w:val="18"/>
                <w:color w:val="auto"/>
              </w:rPr>
              <w:t>Mark Fioravanti</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75%</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150%</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300%</w:t>
            </w:r>
          </w:p>
        </w:tc>
      </w:tr>
      <w:tr>
        <w:trPr>
          <w:trHeight w:val="230"/>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Patrick Chaffin</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100%</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r>
      <w:tr>
        <w:trPr>
          <w:trHeight w:val="229"/>
        </w:trPr>
        <w:tc>
          <w:tcPr>
            <w:tcW w:w="2960" w:type="dxa"/>
            <w:vAlign w:val="bottom"/>
          </w:tcPr>
          <w:p>
            <w:pPr>
              <w:spacing w:after="0"/>
              <w:rPr>
                <w:sz w:val="20"/>
                <w:szCs w:val="20"/>
                <w:color w:val="auto"/>
              </w:rPr>
            </w:pPr>
            <w:r>
              <w:rPr>
                <w:rFonts w:ascii="Arial" w:cs="Arial" w:eastAsia="Arial" w:hAnsi="Arial"/>
                <w:sz w:val="18"/>
                <w:szCs w:val="18"/>
                <w:color w:val="auto"/>
              </w:rPr>
              <w:t>Scott Lynn</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50%</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100%</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200%</w:t>
            </w:r>
          </w:p>
        </w:tc>
      </w:tr>
      <w:tr>
        <w:trPr>
          <w:trHeight w:val="230"/>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Jennifer Hutcheson</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62.5%</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125%</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w:t>
            </w:r>
          </w:p>
        </w:tc>
      </w:tr>
    </w:tbl>
    <w:p>
      <w:pPr>
        <w:spacing w:after="0" w:line="215" w:lineRule="exact"/>
        <w:rPr>
          <w:sz w:val="20"/>
          <w:szCs w:val="20"/>
          <w:color w:val="auto"/>
        </w:rPr>
      </w:pPr>
    </w:p>
    <w:p>
      <w:pPr>
        <w:ind w:left="620" w:right="259"/>
        <w:spacing w:after="0" w:line="329" w:lineRule="auto"/>
        <w:rPr>
          <w:sz w:val="20"/>
          <w:szCs w:val="20"/>
          <w:color w:val="auto"/>
        </w:rPr>
      </w:pPr>
      <w:r>
        <w:rPr>
          <w:rFonts w:ascii="Arial" w:cs="Arial" w:eastAsia="Arial" w:hAnsi="Arial"/>
          <w:sz w:val="16"/>
          <w:szCs w:val="16"/>
          <w:color w:val="auto"/>
        </w:rPr>
        <w:t>The fiscal 2022 short-term cash incentive compensation will be determined based upon the achievement of a combination of certain financial goals and designated strategic objectives, and, if earned, will be paid pursuant to the Company’s cash incentive compensation program under the Company’s 2016 Omnibus Incentive Plan.</w:t>
      </w:r>
    </w:p>
    <w:p>
      <w:pPr>
        <w:spacing w:after="0" w:line="148" w:lineRule="exact"/>
        <w:rPr>
          <w:sz w:val="20"/>
          <w:szCs w:val="20"/>
          <w:color w:val="auto"/>
        </w:rPr>
      </w:pPr>
    </w:p>
    <w:p>
      <w:pPr>
        <w:ind w:left="620" w:right="579"/>
        <w:spacing w:after="0" w:line="279" w:lineRule="auto"/>
        <w:rPr>
          <w:sz w:val="20"/>
          <w:szCs w:val="20"/>
          <w:color w:val="auto"/>
        </w:rPr>
      </w:pPr>
      <w:r>
        <w:rPr>
          <w:rFonts w:ascii="Arial" w:cs="Arial" w:eastAsia="Arial" w:hAnsi="Arial"/>
          <w:sz w:val="18"/>
          <w:szCs w:val="18"/>
          <w:color w:val="auto"/>
        </w:rPr>
        <w:t>On February 24, 2022, as part of an annual grant to designated management-level employees, including the NEOs, the NEOs received the following long-term incentive awards pursuant to the Company’s stockholder-approved equity incentive plans:</w:t>
      </w:r>
    </w:p>
    <w:p>
      <w:pPr>
        <w:spacing w:after="0" w:line="169" w:lineRule="exact"/>
        <w:rPr>
          <w:sz w:val="20"/>
          <w:szCs w:val="20"/>
          <w:color w:val="auto"/>
        </w:rPr>
      </w:pPr>
    </w:p>
    <w:p>
      <w:pPr>
        <w:ind w:left="1260" w:right="239" w:hanging="322"/>
        <w:spacing w:after="0" w:line="239" w:lineRule="auto"/>
        <w:tabs>
          <w:tab w:leader="none" w:pos="1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Awards of time-based vesting restricted stock units, as listed in the table below, vesting ratably over four years beginning on March 15, 2023 (the “Time-Based RSUs”). The form of Time-Based RSU agreement is filed as Exhibit 10.35 to this Annual Report on Form 10-K and is incorporated herein by this reference.</w:t>
      </w:r>
    </w:p>
    <w:p>
      <w:pPr>
        <w:spacing w:after="0" w:line="1" w:lineRule="exact"/>
        <w:rPr>
          <w:rFonts w:ascii="Arial" w:cs="Arial" w:eastAsia="Arial" w:hAnsi="Arial"/>
          <w:sz w:val="18"/>
          <w:szCs w:val="18"/>
          <w:color w:val="auto"/>
        </w:rPr>
      </w:pPr>
    </w:p>
    <w:p>
      <w:pPr>
        <w:ind w:left="1260" w:right="239" w:hanging="322"/>
        <w:spacing w:after="0" w:line="274" w:lineRule="auto"/>
        <w:tabs>
          <w:tab w:leader="none" w:pos="12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Awards of performance-vesting restricted stock units for the 2022-2024 performance period (of which up to 150% will vest on March 15, 2025 based on the achievement of Total Stockholder Return, or TSR, against a designated peer group), pursuant to the Company’s 2016 Omnibus Incentive Plan (the “Performance-Based RSUs”). The form of Performance-Based RSU agreement is filed as Exhibit 10.36 to this Annual Report on Form 10-K and is incorporated herein by this reference.</w:t>
      </w:r>
    </w:p>
    <w:p>
      <w:pPr>
        <w:spacing w:after="0" w:line="176" w:lineRule="exact"/>
        <w:rPr>
          <w:sz w:val="20"/>
          <w:szCs w:val="20"/>
          <w:color w:val="auto"/>
        </w:rPr>
      </w:pPr>
    </w:p>
    <w:tbl>
      <w:tblPr>
        <w:tblLayout w:type="fixed"/>
        <w:tblInd w:w="620" w:type="dxa"/>
        <w:tblCellMar>
          <w:top w:w="0" w:type="dxa"/>
          <w:left w:w="0" w:type="dxa"/>
          <w:bottom w:w="0" w:type="dxa"/>
          <w:right w:w="0" w:type="dxa"/>
        </w:tblCellMar>
      </w:tblPr>
      <w:tr>
        <w:trPr>
          <w:trHeight w:val="230"/>
        </w:trPr>
        <w:tc>
          <w:tcPr>
            <w:tcW w:w="4780" w:type="dxa"/>
            <w:vAlign w:val="bottom"/>
            <w:gridSpan w:val="2"/>
          </w:tcPr>
          <w:p>
            <w:pPr>
              <w:spacing w:after="0"/>
              <w:rPr>
                <w:sz w:val="20"/>
                <w:szCs w:val="20"/>
                <w:color w:val="auto"/>
              </w:rPr>
            </w:pPr>
            <w:r>
              <w:rPr>
                <w:rFonts w:ascii="Arial" w:cs="Arial" w:eastAsia="Arial" w:hAnsi="Arial"/>
                <w:sz w:val="18"/>
                <w:szCs w:val="18"/>
                <w:color w:val="auto"/>
                <w:w w:val="96"/>
              </w:rPr>
              <w:t>The long-term incentive awards to each NEO were as follows:</w:t>
            </w: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87"/>
        </w:trPr>
        <w:tc>
          <w:tcPr>
            <w:tcW w:w="8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920" w:type="dxa"/>
            <w:vAlign w:val="bottom"/>
            <w:gridSpan w:val="2"/>
          </w:tcPr>
          <w:p>
            <w:pPr>
              <w:ind w:left="60"/>
              <w:spacing w:after="0"/>
              <w:rPr>
                <w:sz w:val="20"/>
                <w:szCs w:val="20"/>
                <w:color w:val="auto"/>
              </w:rPr>
            </w:pPr>
            <w:r>
              <w:rPr>
                <w:rFonts w:ascii="Arial" w:cs="Arial" w:eastAsia="Arial" w:hAnsi="Arial"/>
                <w:sz w:val="18"/>
                <w:szCs w:val="18"/>
                <w:b w:val="1"/>
                <w:bCs w:val="1"/>
                <w:color w:val="auto"/>
              </w:rPr>
              <w:t>Time-</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Performance-</w:t>
            </w:r>
          </w:p>
        </w:tc>
      </w:tr>
      <w:tr>
        <w:trPr>
          <w:trHeight w:val="230"/>
        </w:trPr>
        <w:tc>
          <w:tcPr>
            <w:tcW w:w="88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920" w:type="dxa"/>
            <w:vAlign w:val="bottom"/>
            <w:gridSpan w:val="2"/>
          </w:tcPr>
          <w:p>
            <w:pPr>
              <w:ind w:left="60"/>
              <w:spacing w:after="0"/>
              <w:rPr>
                <w:sz w:val="20"/>
                <w:szCs w:val="20"/>
                <w:color w:val="auto"/>
              </w:rPr>
            </w:pPr>
            <w:r>
              <w:rPr>
                <w:rFonts w:ascii="Arial" w:cs="Arial" w:eastAsia="Arial" w:hAnsi="Arial"/>
                <w:sz w:val="18"/>
                <w:szCs w:val="18"/>
                <w:b w:val="1"/>
                <w:bCs w:val="1"/>
                <w:color w:val="auto"/>
              </w:rPr>
              <w:t>Based</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Based</w:t>
            </w:r>
          </w:p>
        </w:tc>
      </w:tr>
      <w:tr>
        <w:trPr>
          <w:trHeight w:val="234"/>
        </w:trPr>
        <w:tc>
          <w:tcPr>
            <w:tcW w:w="88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b w:val="1"/>
                <w:bCs w:val="1"/>
                <w:color w:val="auto"/>
              </w:rPr>
              <w:t>RSUs</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RSUs</w:t>
            </w:r>
          </w:p>
        </w:tc>
      </w:tr>
      <w:tr>
        <w:trPr>
          <w:trHeight w:val="223"/>
        </w:trPr>
        <w:tc>
          <w:tcPr>
            <w:tcW w:w="880" w:type="dxa"/>
            <w:vAlign w:val="bottom"/>
          </w:tcPr>
          <w:p>
            <w:pPr>
              <w:spacing w:after="0"/>
              <w:rPr>
                <w:sz w:val="19"/>
                <w:szCs w:val="19"/>
                <w:color w:val="auto"/>
              </w:rPr>
            </w:pPr>
          </w:p>
        </w:tc>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Colin V. Reed</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18,707</w:t>
            </w:r>
          </w:p>
        </w:tc>
        <w:tc>
          <w:tcPr>
            <w:tcW w:w="36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22,334</w:t>
            </w:r>
          </w:p>
        </w:tc>
        <w:tc>
          <w:tcPr>
            <w:tcW w:w="120" w:type="dxa"/>
            <w:vAlign w:val="bottom"/>
            <w:tcBorders>
              <w:top w:val="single" w:sz="8" w:color="CCEEFF"/>
            </w:tcBorders>
            <w:shd w:val="clear" w:color="auto" w:fill="CCEEFF"/>
          </w:tcPr>
          <w:p>
            <w:pPr>
              <w:spacing w:after="0"/>
              <w:rPr>
                <w:sz w:val="19"/>
                <w:szCs w:val="19"/>
                <w:color w:val="auto"/>
              </w:rPr>
            </w:pPr>
          </w:p>
        </w:tc>
      </w:tr>
      <w:tr>
        <w:trPr>
          <w:trHeight w:val="230"/>
        </w:trPr>
        <w:tc>
          <w:tcPr>
            <w:tcW w:w="88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Mark Fioravanti</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8,503</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10,152</w:t>
            </w:r>
          </w:p>
        </w:tc>
      </w:tr>
      <w:tr>
        <w:trPr>
          <w:trHeight w:val="229"/>
        </w:trPr>
        <w:tc>
          <w:tcPr>
            <w:tcW w:w="880" w:type="dxa"/>
            <w:vAlign w:val="bottom"/>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Patrick Chaffin</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3,118</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3,722</w:t>
            </w:r>
          </w:p>
        </w:tc>
      </w:tr>
      <w:tr>
        <w:trPr>
          <w:trHeight w:val="230"/>
        </w:trPr>
        <w:tc>
          <w:tcPr>
            <w:tcW w:w="88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Scott Lynn</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2,406</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2,872</w:t>
            </w:r>
          </w:p>
        </w:tc>
      </w:tr>
      <w:tr>
        <w:trPr>
          <w:trHeight w:val="230"/>
        </w:trPr>
        <w:tc>
          <w:tcPr>
            <w:tcW w:w="880" w:type="dxa"/>
            <w:vAlign w:val="bottom"/>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Jennifer Hutcheson</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3,827</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4,568</w:t>
            </w:r>
          </w:p>
        </w:tc>
      </w:tr>
    </w:tbl>
    <w:p>
      <w:pPr>
        <w:spacing w:after="0" w:line="200" w:lineRule="exact"/>
        <w:rPr>
          <w:sz w:val="20"/>
          <w:szCs w:val="20"/>
          <w:color w:val="auto"/>
        </w:rPr>
      </w:pPr>
    </w:p>
    <w:p>
      <w:pPr>
        <w:spacing w:after="0" w:line="227" w:lineRule="exact"/>
        <w:rPr>
          <w:sz w:val="20"/>
          <w:szCs w:val="20"/>
          <w:color w:val="auto"/>
        </w:rPr>
      </w:pPr>
    </w:p>
    <w:p>
      <w:pPr>
        <w:jc w:val="both"/>
        <w:ind w:left="640" w:right="239" w:hanging="431"/>
        <w:spacing w:after="0" w:line="332" w:lineRule="auto"/>
        <w:tabs>
          <w:tab w:leader="none" w:pos="640" w:val="left"/>
        </w:tabs>
        <w:numPr>
          <w:ilvl w:val="0"/>
          <w:numId w:val="50"/>
        </w:numPr>
        <w:rPr>
          <w:rFonts w:ascii="Arial" w:cs="Arial" w:eastAsia="Arial" w:hAnsi="Arial"/>
          <w:sz w:val="16"/>
          <w:szCs w:val="16"/>
          <w:color w:val="auto"/>
        </w:rPr>
      </w:pPr>
      <w:r>
        <w:rPr>
          <w:rFonts w:ascii="Arial" w:cs="Arial" w:eastAsia="Arial" w:hAnsi="Arial"/>
          <w:sz w:val="16"/>
          <w:szCs w:val="16"/>
          <w:b w:val="1"/>
          <w:bCs w:val="1"/>
          <w:color w:val="auto"/>
        </w:rPr>
        <w:t>Additional Information</w:t>
      </w:r>
      <w:r>
        <w:rPr>
          <w:rFonts w:ascii="Arial" w:cs="Arial" w:eastAsia="Arial" w:hAnsi="Arial"/>
          <w:sz w:val="16"/>
          <w:szCs w:val="16"/>
          <w:color w:val="auto"/>
        </w:rPr>
        <w:t>. The foregoing information is summary in nature. Additional information regarding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of directors and named executive officers may be provided in the Company’s filings with the SEC, including the proxy statement to be filed in connection with the 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546735</wp:posOffset>
            </wp:positionV>
            <wp:extent cx="545211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9" w:right="1440" w:bottom="1440" w:gutter="0" w:footer="0" w:header="0"/>
        </w:sectPr>
      </w:pPr>
    </w:p>
    <w:bookmarkStart w:id="121" w:name="page122"/>
    <w:bookmarkEnd w:id="121"/>
    <w:p>
      <w:pPr>
        <w:jc w:val="right"/>
        <w:ind w:right="219"/>
        <w:spacing w:after="0"/>
        <w:rPr>
          <w:sz w:val="20"/>
          <w:szCs w:val="20"/>
          <w:color w:val="auto"/>
        </w:rPr>
      </w:pPr>
      <w:r>
        <w:rPr>
          <w:rFonts w:ascii="Arial" w:cs="Arial" w:eastAsia="Arial" w:hAnsi="Arial"/>
          <w:sz w:val="18"/>
          <w:szCs w:val="18"/>
          <w:color w:val="auto"/>
        </w:rPr>
        <w:t>Exhibit 21</w:t>
      </w:r>
    </w:p>
    <w:p>
      <w:pPr>
        <w:spacing w:after="0" w:line="230" w:lineRule="exact"/>
        <w:rPr>
          <w:sz w:val="20"/>
          <w:szCs w:val="20"/>
          <w:color w:val="auto"/>
        </w:rPr>
      </w:pPr>
    </w:p>
    <w:tbl>
      <w:tblPr>
        <w:tblLayout w:type="fixed"/>
        <w:tblInd w:w="220" w:type="dxa"/>
        <w:tblCellMar>
          <w:top w:w="0" w:type="dxa"/>
          <w:left w:w="0" w:type="dxa"/>
          <w:bottom w:w="0" w:type="dxa"/>
          <w:right w:w="0" w:type="dxa"/>
        </w:tblCellMar>
      </w:tblPr>
      <w:tr>
        <w:trPr>
          <w:trHeight w:val="191"/>
        </w:trPr>
        <w:tc>
          <w:tcPr>
            <w:tcW w:w="4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Subsidiary Name</w:t>
            </w:r>
          </w:p>
        </w:tc>
        <w:tc>
          <w:tcPr>
            <w:tcW w:w="4200" w:type="dxa"/>
            <w:vAlign w:val="bottom"/>
            <w:gridSpan w:val="2"/>
          </w:tcPr>
          <w:p>
            <w:pPr>
              <w:ind w:left="160"/>
              <w:spacing w:after="0"/>
              <w:rPr>
                <w:sz w:val="20"/>
                <w:szCs w:val="20"/>
                <w:color w:val="auto"/>
              </w:rPr>
            </w:pPr>
            <w:r>
              <w:rPr>
                <w:rFonts w:ascii="Arial" w:cs="Arial" w:eastAsia="Arial" w:hAnsi="Arial"/>
                <w:sz w:val="14"/>
                <w:szCs w:val="14"/>
                <w:b w:val="1"/>
                <w:bCs w:val="1"/>
                <w:color w:val="auto"/>
              </w:rPr>
              <w:t>Jurisdiction of Organization</w:t>
            </w:r>
          </w:p>
        </w:tc>
      </w:tr>
      <w:tr>
        <w:trPr>
          <w:trHeight w:val="189"/>
        </w:trPr>
        <w:tc>
          <w:tcPr>
            <w:tcW w:w="4380" w:type="dxa"/>
            <w:vAlign w:val="bottom"/>
          </w:tcPr>
          <w:p>
            <w:pPr>
              <w:spacing w:after="0" w:line="189" w:lineRule="exact"/>
              <w:rPr>
                <w:sz w:val="20"/>
                <w:szCs w:val="20"/>
                <w:color w:val="auto"/>
              </w:rPr>
            </w:pPr>
            <w:r>
              <w:rPr>
                <w:rFonts w:ascii="Arial" w:cs="Arial" w:eastAsia="Arial" w:hAnsi="Arial"/>
                <w:sz w:val="18"/>
                <w:szCs w:val="18"/>
                <w:color w:val="auto"/>
              </w:rPr>
              <w:t>2644 McGavock, LLC</w:t>
            </w:r>
          </w:p>
        </w:tc>
        <w:tc>
          <w:tcPr>
            <w:tcW w:w="160" w:type="dxa"/>
            <w:vAlign w:val="bottom"/>
          </w:tcPr>
          <w:p>
            <w:pPr>
              <w:spacing w:after="0"/>
              <w:rPr>
                <w:sz w:val="16"/>
                <w:szCs w:val="16"/>
                <w:color w:val="auto"/>
              </w:rPr>
            </w:pPr>
          </w:p>
        </w:tc>
        <w:tc>
          <w:tcPr>
            <w:tcW w:w="40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300 Broadway,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300 Broadway Holdings,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300 Broadway MidCo,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300 Broadway Operations, Inc.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Attractions IP,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Aurora 10,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Aurora Convention Center Hotel,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Aurora Convention Center Hotel Investors,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Aurora Convention Center Hotel Lessee,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Aurora Convention Center Hotel Lessee HoldCo,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Country Music Television International,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Cumberland Depot,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GN Bond Holdings,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GOO Broadway,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GOOSPK 1604 Broadway,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New York</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GPSI, Inc.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Grand Ole Opry,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Grand Ole Opry IP,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GSD River North,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GSD River South,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RHP Corporate Properties,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RHP Creative Group,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RHP Finance Corporation</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RHP High Point Land,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RHP Hotel Properties, LP</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RHP Hotels,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RHP Operations DC,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RHP Operations GP,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RHP Operations GT,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RHP Operations Inn at Opryland,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RHP Operations NH,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RHP Operations OH,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RHP Partner,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RHP Property DC,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RHP Property GP, LP</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Florida</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RHP Property GT, LP</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RHP Property GT,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RHP Property NH,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Maryland</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RHP Sub Holdings,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RHPA Management,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RHPAHP,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RHPAHO,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Ryman Corporate Properties,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Ryman Hotel Operations HoldCo,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OEG Attractions Holdings,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OEG HoldCo,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Ole Red Gatlinburg,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Tennessee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Ole Red Holdings, Inc.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Ole Red Las Vegas,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Ole Red Nashville Airport,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Ole Red Orlando, LLC</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OLH,GP</w:t>
            </w: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Tennessee</w:t>
            </w:r>
          </w:p>
        </w:tc>
      </w:tr>
      <w:tr>
        <w:trPr>
          <w:trHeight w:val="561"/>
        </w:trPr>
        <w:tc>
          <w:tcPr>
            <w:tcW w:w="4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122" w:name="page123"/>
    <w:bookmarkEnd w:id="122"/>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OLH Holdings, LLC</w:t>
            </w:r>
          </w:p>
        </w:tc>
        <w:tc>
          <w:tcPr>
            <w:tcW w:w="4580" w:type="dxa"/>
            <w:vAlign w:val="bottom"/>
          </w:tcPr>
          <w:p>
            <w:pPr>
              <w:ind w:left="540"/>
              <w:spacing w:after="0"/>
              <w:rPr>
                <w:sz w:val="20"/>
                <w:szCs w:val="20"/>
                <w:color w:val="auto"/>
              </w:rPr>
            </w:pPr>
            <w:r>
              <w:rPr>
                <w:rFonts w:ascii="Arial" w:cs="Arial" w:eastAsia="Arial" w:hAnsi="Arial"/>
                <w:sz w:val="18"/>
                <w:szCs w:val="18"/>
                <w:color w:val="auto"/>
              </w:rPr>
              <w:t>Delaware</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Opry Attractions HoldCo, LLC</w:t>
            </w:r>
          </w:p>
        </w:tc>
        <w:tc>
          <w:tcPr>
            <w:tcW w:w="4580" w:type="dxa"/>
            <w:vAlign w:val="bottom"/>
          </w:tcPr>
          <w:p>
            <w:pPr>
              <w:ind w:left="540"/>
              <w:spacing w:after="0"/>
              <w:rPr>
                <w:sz w:val="20"/>
                <w:szCs w:val="20"/>
                <w:color w:val="auto"/>
              </w:rPr>
            </w:pPr>
            <w:r>
              <w:rPr>
                <w:rFonts w:ascii="Arial" w:cs="Arial" w:eastAsia="Arial" w:hAnsi="Arial"/>
                <w:sz w:val="18"/>
                <w:szCs w:val="18"/>
                <w:color w:val="auto"/>
              </w:rPr>
              <w:t>Delaware</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Opry Entertainment Group Holdings, LLC</w:t>
            </w:r>
          </w:p>
        </w:tc>
        <w:tc>
          <w:tcPr>
            <w:tcW w:w="4580" w:type="dxa"/>
            <w:vAlign w:val="bottom"/>
          </w:tcPr>
          <w:p>
            <w:pPr>
              <w:ind w:left="540"/>
              <w:spacing w:after="0"/>
              <w:rPr>
                <w:sz w:val="20"/>
                <w:szCs w:val="20"/>
                <w:color w:val="auto"/>
              </w:rPr>
            </w:pPr>
            <w:r>
              <w:rPr>
                <w:rFonts w:ascii="Arial" w:cs="Arial" w:eastAsia="Arial" w:hAnsi="Arial"/>
                <w:sz w:val="18"/>
                <w:szCs w:val="18"/>
                <w:color w:val="auto"/>
              </w:rPr>
              <w:t>Delaware</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Opryland Attractions, LLC</w:t>
            </w:r>
          </w:p>
        </w:tc>
        <w:tc>
          <w:tcPr>
            <w:tcW w:w="4580" w:type="dxa"/>
            <w:vAlign w:val="bottom"/>
          </w:tcPr>
          <w:p>
            <w:pPr>
              <w:ind w:left="540"/>
              <w:spacing w:after="0"/>
              <w:rPr>
                <w:sz w:val="20"/>
                <w:szCs w:val="20"/>
                <w:color w:val="auto"/>
              </w:rPr>
            </w:pPr>
            <w:r>
              <w:rPr>
                <w:rFonts w:ascii="Arial" w:cs="Arial" w:eastAsia="Arial" w:hAnsi="Arial"/>
                <w:sz w:val="18"/>
                <w:szCs w:val="18"/>
                <w:color w:val="auto"/>
              </w:rPr>
              <w:t>Delaware</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Opryland Hospitality, LLC</w:t>
            </w:r>
          </w:p>
        </w:tc>
        <w:tc>
          <w:tcPr>
            <w:tcW w:w="4580" w:type="dxa"/>
            <w:vAlign w:val="bottom"/>
          </w:tcPr>
          <w:p>
            <w:pPr>
              <w:ind w:left="540"/>
              <w:spacing w:after="0"/>
              <w:rPr>
                <w:sz w:val="20"/>
                <w:szCs w:val="20"/>
                <w:color w:val="auto"/>
              </w:rPr>
            </w:pPr>
            <w:r>
              <w:rPr>
                <w:rFonts w:ascii="Arial" w:cs="Arial" w:eastAsia="Arial" w:hAnsi="Arial"/>
                <w:sz w:val="18"/>
                <w:szCs w:val="18"/>
                <w:color w:val="auto"/>
              </w:rPr>
              <w:t>Tennessee</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Park Holdings, LLC</w:t>
            </w:r>
          </w:p>
        </w:tc>
        <w:tc>
          <w:tcPr>
            <w:tcW w:w="4580" w:type="dxa"/>
            <w:vAlign w:val="bottom"/>
          </w:tcPr>
          <w:p>
            <w:pPr>
              <w:ind w:left="540"/>
              <w:spacing w:after="0"/>
              <w:rPr>
                <w:sz w:val="20"/>
                <w:szCs w:val="20"/>
                <w:color w:val="auto"/>
              </w:rPr>
            </w:pPr>
            <w:r>
              <w:rPr>
                <w:rFonts w:ascii="Arial" w:cs="Arial" w:eastAsia="Arial" w:hAnsi="Arial"/>
                <w:sz w:val="18"/>
                <w:szCs w:val="18"/>
                <w:color w:val="auto"/>
              </w:rPr>
              <w:t>Delaware</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Springhouse Golf, LLC</w:t>
            </w:r>
          </w:p>
        </w:tc>
        <w:tc>
          <w:tcPr>
            <w:tcW w:w="4580" w:type="dxa"/>
            <w:vAlign w:val="bottom"/>
          </w:tcPr>
          <w:p>
            <w:pPr>
              <w:ind w:left="540"/>
              <w:spacing w:after="0"/>
              <w:rPr>
                <w:sz w:val="20"/>
                <w:szCs w:val="20"/>
                <w:color w:val="auto"/>
              </w:rPr>
            </w:pPr>
            <w:r>
              <w:rPr>
                <w:rFonts w:ascii="Arial" w:cs="Arial" w:eastAsia="Arial" w:hAnsi="Arial"/>
                <w:sz w:val="18"/>
                <w:szCs w:val="18"/>
                <w:color w:val="auto"/>
              </w:rPr>
              <w:t>Delaware</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Wildhorse Saloon Entertainment Ventures, LLC</w:t>
            </w:r>
          </w:p>
        </w:tc>
        <w:tc>
          <w:tcPr>
            <w:tcW w:w="4580" w:type="dxa"/>
            <w:vAlign w:val="bottom"/>
          </w:tcPr>
          <w:p>
            <w:pPr>
              <w:ind w:left="540"/>
              <w:spacing w:after="0"/>
              <w:rPr>
                <w:sz w:val="20"/>
                <w:szCs w:val="20"/>
                <w:color w:val="auto"/>
              </w:rPr>
            </w:pPr>
            <w:r>
              <w:rPr>
                <w:rFonts w:ascii="Arial" w:cs="Arial" w:eastAsia="Arial" w:hAnsi="Arial"/>
                <w:sz w:val="18"/>
                <w:szCs w:val="18"/>
                <w:color w:val="auto"/>
              </w:rPr>
              <w:t>Tennessee</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NCV Holdings, LLC</w:t>
            </w:r>
          </w:p>
        </w:tc>
        <w:tc>
          <w:tcPr>
            <w:tcW w:w="4580" w:type="dxa"/>
            <w:vAlign w:val="bottom"/>
          </w:tcPr>
          <w:p>
            <w:pPr>
              <w:ind w:left="540"/>
              <w:spacing w:after="0"/>
              <w:rPr>
                <w:sz w:val="20"/>
                <w:szCs w:val="20"/>
                <w:color w:val="auto"/>
              </w:rPr>
            </w:pPr>
            <w:r>
              <w:rPr>
                <w:rFonts w:ascii="Arial" w:cs="Arial" w:eastAsia="Arial" w:hAnsi="Arial"/>
                <w:sz w:val="18"/>
                <w:szCs w:val="18"/>
                <w:color w:val="auto"/>
              </w:rPr>
              <w:t>Delaware</w:t>
            </w:r>
          </w:p>
        </w:tc>
      </w:tr>
      <w:tr>
        <w:trPr>
          <w:trHeight w:val="776"/>
        </w:trPr>
        <w:tc>
          <w:tcPr>
            <w:tcW w:w="400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123" w:name="page124"/>
    <w:bookmarkEnd w:id="123"/>
    <w:p>
      <w:pPr>
        <w:jc w:val="right"/>
        <w:ind w:right="219"/>
        <w:spacing w:after="0"/>
        <w:rPr>
          <w:sz w:val="20"/>
          <w:szCs w:val="20"/>
          <w:color w:val="auto"/>
        </w:rPr>
      </w:pPr>
      <w:r>
        <w:rPr>
          <w:rFonts w:ascii="Arial" w:cs="Arial" w:eastAsia="Arial" w:hAnsi="Arial"/>
          <w:sz w:val="22"/>
          <w:szCs w:val="22"/>
          <w:b w:val="1"/>
          <w:bCs w:val="1"/>
          <w:color w:val="auto"/>
        </w:rPr>
        <w:t>Exhibit 22</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List of Parent and Subsidiary Guarantors</w:t>
      </w:r>
    </w:p>
    <w:p>
      <w:pPr>
        <w:spacing w:after="0" w:line="266" w:lineRule="exact"/>
        <w:rPr>
          <w:sz w:val="20"/>
          <w:szCs w:val="20"/>
          <w:color w:val="auto"/>
        </w:rPr>
      </w:pPr>
    </w:p>
    <w:p>
      <w:pPr>
        <w:ind w:left="200" w:right="239"/>
        <w:spacing w:after="0" w:line="250" w:lineRule="auto"/>
        <w:rPr>
          <w:sz w:val="20"/>
          <w:szCs w:val="20"/>
          <w:color w:val="auto"/>
        </w:rPr>
      </w:pPr>
      <w:r>
        <w:rPr>
          <w:rFonts w:ascii="Arial" w:cs="Arial" w:eastAsia="Arial" w:hAnsi="Arial"/>
          <w:sz w:val="22"/>
          <w:szCs w:val="22"/>
          <w:color w:val="auto"/>
        </w:rPr>
        <w:t>As of February 25, 2022, Ryman Hospitality Properties, Inc., a Delaware corporation (the “Company”), as the parent company, serves as guarantor, and each of the below listed subsidiaries of the Company serves as an issuer or guarantor, as applicable, for the Company’s (i) 4.75% Senior Notes due 2027 and (ii) 4.50% Senior Notes due 2029.</w:t>
      </w:r>
    </w:p>
    <w:p>
      <w:pPr>
        <w:spacing w:after="0" w:line="199"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80" w:type="dxa"/>
            <w:vAlign w:val="bottom"/>
          </w:tcPr>
          <w:p>
            <w:pPr>
              <w:spacing w:after="0"/>
              <w:rPr>
                <w:sz w:val="21"/>
                <w:szCs w:val="21"/>
                <w:color w:val="auto"/>
              </w:rPr>
            </w:pPr>
          </w:p>
        </w:tc>
        <w:tc>
          <w:tcPr>
            <w:tcW w:w="2420" w:type="dxa"/>
            <w:vAlign w:val="bottom"/>
          </w:tcPr>
          <w:p>
            <w:pPr>
              <w:spacing w:after="0"/>
              <w:rPr>
                <w:sz w:val="20"/>
                <w:szCs w:val="20"/>
                <w:color w:val="auto"/>
              </w:rPr>
            </w:pPr>
            <w:r>
              <w:rPr>
                <w:rFonts w:ascii="Arial" w:cs="Arial" w:eastAsia="Arial" w:hAnsi="Arial"/>
                <w:sz w:val="22"/>
                <w:szCs w:val="22"/>
                <w:b w:val="1"/>
                <w:bCs w:val="1"/>
                <w:color w:val="auto"/>
                <w:w w:val="88"/>
              </w:rPr>
              <w:t>Exact Name of Subsidiary</w:t>
            </w:r>
          </w:p>
        </w:tc>
        <w:tc>
          <w:tcPr>
            <w:tcW w:w="720" w:type="dxa"/>
            <w:vAlign w:val="bottom"/>
          </w:tcPr>
          <w:p>
            <w:pPr>
              <w:spacing w:after="0"/>
              <w:rPr>
                <w:sz w:val="21"/>
                <w:szCs w:val="21"/>
                <w:color w:val="auto"/>
              </w:rPr>
            </w:pPr>
          </w:p>
        </w:tc>
        <w:tc>
          <w:tcPr>
            <w:tcW w:w="2620" w:type="dxa"/>
            <w:vAlign w:val="bottom"/>
          </w:tcPr>
          <w:p>
            <w:pPr>
              <w:spacing w:after="0"/>
              <w:rPr>
                <w:sz w:val="20"/>
                <w:szCs w:val="20"/>
                <w:color w:val="auto"/>
              </w:rPr>
            </w:pPr>
            <w:r>
              <w:rPr>
                <w:rFonts w:ascii="Arial" w:cs="Arial" w:eastAsia="Arial" w:hAnsi="Arial"/>
                <w:sz w:val="22"/>
                <w:szCs w:val="22"/>
                <w:b w:val="1"/>
                <w:bCs w:val="1"/>
                <w:color w:val="auto"/>
                <w:w w:val="88"/>
              </w:rPr>
              <w:t>Jurisdiction of Organization</w:t>
            </w:r>
          </w:p>
        </w:tc>
        <w:tc>
          <w:tcPr>
            <w:tcW w:w="540" w:type="dxa"/>
            <w:vAlign w:val="bottom"/>
          </w:tcPr>
          <w:p>
            <w:pPr>
              <w:spacing w:after="0"/>
              <w:rPr>
                <w:sz w:val="21"/>
                <w:szCs w:val="21"/>
                <w:color w:val="auto"/>
              </w:rPr>
            </w:pPr>
          </w:p>
        </w:tc>
        <w:tc>
          <w:tcPr>
            <w:tcW w:w="2200" w:type="dxa"/>
            <w:vAlign w:val="bottom"/>
            <w:gridSpan w:val="3"/>
          </w:tcPr>
          <w:p>
            <w:pPr>
              <w:ind w:left="560"/>
              <w:spacing w:after="0"/>
              <w:rPr>
                <w:sz w:val="20"/>
                <w:szCs w:val="20"/>
                <w:color w:val="auto"/>
              </w:rPr>
            </w:pPr>
            <w:r>
              <w:rPr>
                <w:rFonts w:ascii="Arial" w:cs="Arial" w:eastAsia="Arial" w:hAnsi="Arial"/>
                <w:sz w:val="22"/>
                <w:szCs w:val="22"/>
                <w:b w:val="1"/>
                <w:bCs w:val="1"/>
                <w:color w:val="auto"/>
                <w:w w:val="99"/>
              </w:rPr>
              <w:t>Type of Obligor</w:t>
            </w:r>
          </w:p>
        </w:tc>
      </w:tr>
      <w:tr>
        <w:trPr>
          <w:trHeight w:val="20"/>
        </w:trPr>
        <w:tc>
          <w:tcPr>
            <w:tcW w:w="80" w:type="dxa"/>
            <w:vAlign w:val="bottom"/>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69"/>
        </w:trPr>
        <w:tc>
          <w:tcPr>
            <w:tcW w:w="80" w:type="dxa"/>
            <w:vAlign w:val="bottom"/>
          </w:tcPr>
          <w:p>
            <w:pPr>
              <w:spacing w:after="0"/>
              <w:rPr>
                <w:sz w:val="23"/>
                <w:szCs w:val="23"/>
                <w:color w:val="auto"/>
              </w:rPr>
            </w:pPr>
          </w:p>
        </w:tc>
        <w:tc>
          <w:tcPr>
            <w:tcW w:w="2420" w:type="dxa"/>
            <w:vAlign w:val="bottom"/>
          </w:tcPr>
          <w:p>
            <w:pPr>
              <w:spacing w:after="0"/>
              <w:rPr>
                <w:sz w:val="20"/>
                <w:szCs w:val="20"/>
                <w:color w:val="auto"/>
              </w:rPr>
            </w:pPr>
            <w:r>
              <w:rPr>
                <w:rFonts w:ascii="Arial" w:cs="Arial" w:eastAsia="Arial" w:hAnsi="Arial"/>
                <w:sz w:val="22"/>
                <w:szCs w:val="22"/>
                <w:color w:val="auto"/>
                <w:w w:val="96"/>
              </w:rPr>
              <w:t>RHP Hotel Properties, LP</w:t>
            </w:r>
          </w:p>
        </w:tc>
        <w:tc>
          <w:tcPr>
            <w:tcW w:w="720" w:type="dxa"/>
            <w:vAlign w:val="bottom"/>
          </w:tcPr>
          <w:p>
            <w:pPr>
              <w:spacing w:after="0"/>
              <w:rPr>
                <w:sz w:val="23"/>
                <w:szCs w:val="23"/>
                <w:color w:val="auto"/>
              </w:rPr>
            </w:pPr>
          </w:p>
        </w:tc>
        <w:tc>
          <w:tcPr>
            <w:tcW w:w="2620" w:type="dxa"/>
            <w:vAlign w:val="bottom"/>
          </w:tcPr>
          <w:p>
            <w:pPr>
              <w:spacing w:after="0"/>
              <w:rPr>
                <w:sz w:val="20"/>
                <w:szCs w:val="20"/>
                <w:color w:val="auto"/>
              </w:rPr>
            </w:pPr>
            <w:r>
              <w:rPr>
                <w:rFonts w:ascii="Arial" w:cs="Arial" w:eastAsia="Arial" w:hAnsi="Arial"/>
                <w:sz w:val="22"/>
                <w:szCs w:val="22"/>
                <w:color w:val="auto"/>
              </w:rPr>
              <w:t>Delaware</w:t>
            </w:r>
          </w:p>
        </w:tc>
        <w:tc>
          <w:tcPr>
            <w:tcW w:w="540" w:type="dxa"/>
            <w:vAlign w:val="bottom"/>
          </w:tcPr>
          <w:p>
            <w:pPr>
              <w:spacing w:after="0"/>
              <w:rPr>
                <w:sz w:val="23"/>
                <w:szCs w:val="23"/>
                <w:color w:val="auto"/>
              </w:rPr>
            </w:pPr>
          </w:p>
        </w:tc>
        <w:tc>
          <w:tcPr>
            <w:tcW w:w="2200" w:type="dxa"/>
            <w:vAlign w:val="bottom"/>
            <w:gridSpan w:val="3"/>
          </w:tcPr>
          <w:p>
            <w:pPr>
              <w:ind w:left="560"/>
              <w:spacing w:after="0"/>
              <w:rPr>
                <w:sz w:val="20"/>
                <w:szCs w:val="20"/>
                <w:color w:val="auto"/>
              </w:rPr>
            </w:pPr>
            <w:r>
              <w:rPr>
                <w:rFonts w:ascii="Arial" w:cs="Arial" w:eastAsia="Arial" w:hAnsi="Arial"/>
                <w:sz w:val="22"/>
                <w:szCs w:val="22"/>
                <w:color w:val="auto"/>
              </w:rPr>
              <w:t>Issuer</w:t>
            </w:r>
          </w:p>
        </w:tc>
      </w:tr>
      <w:tr>
        <w:trPr>
          <w:trHeight w:val="256"/>
        </w:trPr>
        <w:tc>
          <w:tcPr>
            <w:tcW w:w="80" w:type="dxa"/>
            <w:vAlign w:val="bottom"/>
          </w:tcPr>
          <w:p>
            <w:pPr>
              <w:spacing w:after="0"/>
              <w:rPr>
                <w:sz w:val="22"/>
                <w:szCs w:val="22"/>
                <w:color w:val="auto"/>
              </w:rPr>
            </w:pPr>
          </w:p>
        </w:tc>
        <w:tc>
          <w:tcPr>
            <w:tcW w:w="3140" w:type="dxa"/>
            <w:vAlign w:val="bottom"/>
            <w:gridSpan w:val="2"/>
          </w:tcPr>
          <w:p>
            <w:pPr>
              <w:spacing w:after="0"/>
              <w:rPr>
                <w:sz w:val="20"/>
                <w:szCs w:val="20"/>
                <w:color w:val="auto"/>
              </w:rPr>
            </w:pPr>
            <w:r>
              <w:rPr>
                <w:rFonts w:ascii="Arial" w:cs="Arial" w:eastAsia="Arial" w:hAnsi="Arial"/>
                <w:sz w:val="22"/>
                <w:szCs w:val="22"/>
                <w:color w:val="auto"/>
              </w:rPr>
              <w:t>RHP Finance Corporation</w:t>
            </w:r>
          </w:p>
        </w:tc>
        <w:tc>
          <w:tcPr>
            <w:tcW w:w="3160" w:type="dxa"/>
            <w:vAlign w:val="bottom"/>
            <w:gridSpan w:val="2"/>
          </w:tcPr>
          <w:p>
            <w:pPr>
              <w:spacing w:after="0"/>
              <w:rPr>
                <w:sz w:val="20"/>
                <w:szCs w:val="20"/>
                <w:color w:val="auto"/>
              </w:rPr>
            </w:pPr>
            <w:r>
              <w:rPr>
                <w:rFonts w:ascii="Arial" w:cs="Arial" w:eastAsia="Arial" w:hAnsi="Arial"/>
                <w:sz w:val="22"/>
                <w:szCs w:val="22"/>
                <w:color w:val="auto"/>
              </w:rPr>
              <w:t>Delaware</w:t>
            </w:r>
          </w:p>
        </w:tc>
        <w:tc>
          <w:tcPr>
            <w:tcW w:w="2200" w:type="dxa"/>
            <w:vAlign w:val="bottom"/>
            <w:gridSpan w:val="3"/>
          </w:tcPr>
          <w:p>
            <w:pPr>
              <w:ind w:left="560"/>
              <w:spacing w:after="0"/>
              <w:rPr>
                <w:sz w:val="20"/>
                <w:szCs w:val="20"/>
                <w:color w:val="auto"/>
              </w:rPr>
            </w:pPr>
            <w:r>
              <w:rPr>
                <w:rFonts w:ascii="Arial" w:cs="Arial" w:eastAsia="Arial" w:hAnsi="Arial"/>
                <w:sz w:val="22"/>
                <w:szCs w:val="22"/>
                <w:color w:val="auto"/>
              </w:rPr>
              <w:t>Issuer</w:t>
            </w:r>
          </w:p>
        </w:tc>
      </w:tr>
      <w:tr>
        <w:trPr>
          <w:trHeight w:val="257"/>
        </w:trPr>
        <w:tc>
          <w:tcPr>
            <w:tcW w:w="80" w:type="dxa"/>
            <w:vAlign w:val="bottom"/>
          </w:tcPr>
          <w:p>
            <w:pPr>
              <w:spacing w:after="0"/>
              <w:rPr>
                <w:sz w:val="22"/>
                <w:szCs w:val="22"/>
                <w:color w:val="auto"/>
              </w:rPr>
            </w:pPr>
          </w:p>
        </w:tc>
        <w:tc>
          <w:tcPr>
            <w:tcW w:w="3140" w:type="dxa"/>
            <w:vAlign w:val="bottom"/>
            <w:gridSpan w:val="2"/>
          </w:tcPr>
          <w:p>
            <w:pPr>
              <w:spacing w:after="0"/>
              <w:rPr>
                <w:sz w:val="20"/>
                <w:szCs w:val="20"/>
                <w:color w:val="auto"/>
              </w:rPr>
            </w:pPr>
            <w:r>
              <w:rPr>
                <w:rFonts w:ascii="Arial" w:cs="Arial" w:eastAsia="Arial" w:hAnsi="Arial"/>
                <w:sz w:val="22"/>
                <w:szCs w:val="22"/>
                <w:color w:val="auto"/>
              </w:rPr>
              <w:t>Opryland Hospitality, LLC</w:t>
            </w:r>
          </w:p>
        </w:tc>
        <w:tc>
          <w:tcPr>
            <w:tcW w:w="3160" w:type="dxa"/>
            <w:vAlign w:val="bottom"/>
            <w:gridSpan w:val="2"/>
          </w:tcPr>
          <w:p>
            <w:pPr>
              <w:spacing w:after="0"/>
              <w:rPr>
                <w:sz w:val="20"/>
                <w:szCs w:val="20"/>
                <w:color w:val="auto"/>
              </w:rPr>
            </w:pPr>
            <w:r>
              <w:rPr>
                <w:rFonts w:ascii="Arial" w:cs="Arial" w:eastAsia="Arial" w:hAnsi="Arial"/>
                <w:sz w:val="22"/>
                <w:szCs w:val="22"/>
                <w:color w:val="auto"/>
              </w:rPr>
              <w:t>Tennessee</w:t>
            </w:r>
          </w:p>
        </w:tc>
        <w:tc>
          <w:tcPr>
            <w:tcW w:w="2200" w:type="dxa"/>
            <w:vAlign w:val="bottom"/>
            <w:gridSpan w:val="3"/>
          </w:tcPr>
          <w:p>
            <w:pPr>
              <w:ind w:left="560"/>
              <w:spacing w:after="0"/>
              <w:rPr>
                <w:sz w:val="20"/>
                <w:szCs w:val="20"/>
                <w:color w:val="auto"/>
              </w:rPr>
            </w:pPr>
            <w:r>
              <w:rPr>
                <w:rFonts w:ascii="Arial" w:cs="Arial" w:eastAsia="Arial" w:hAnsi="Arial"/>
                <w:sz w:val="22"/>
                <w:szCs w:val="22"/>
                <w:color w:val="auto"/>
              </w:rPr>
              <w:t>Guarantor</w:t>
            </w:r>
          </w:p>
        </w:tc>
      </w:tr>
      <w:tr>
        <w:trPr>
          <w:trHeight w:val="257"/>
        </w:trPr>
        <w:tc>
          <w:tcPr>
            <w:tcW w:w="80" w:type="dxa"/>
            <w:vAlign w:val="bottom"/>
          </w:tcPr>
          <w:p>
            <w:pPr>
              <w:spacing w:after="0"/>
              <w:rPr>
                <w:sz w:val="22"/>
                <w:szCs w:val="22"/>
                <w:color w:val="auto"/>
              </w:rPr>
            </w:pPr>
          </w:p>
        </w:tc>
        <w:tc>
          <w:tcPr>
            <w:tcW w:w="3140" w:type="dxa"/>
            <w:vAlign w:val="bottom"/>
            <w:gridSpan w:val="2"/>
          </w:tcPr>
          <w:p>
            <w:pPr>
              <w:spacing w:after="0"/>
              <w:rPr>
                <w:sz w:val="20"/>
                <w:szCs w:val="20"/>
                <w:color w:val="auto"/>
              </w:rPr>
            </w:pPr>
            <w:r>
              <w:rPr>
                <w:rFonts w:ascii="Arial" w:cs="Arial" w:eastAsia="Arial" w:hAnsi="Arial"/>
                <w:sz w:val="22"/>
                <w:szCs w:val="22"/>
                <w:color w:val="auto"/>
              </w:rPr>
              <w:t>RHP Hotels, LLC</w:t>
            </w:r>
          </w:p>
        </w:tc>
        <w:tc>
          <w:tcPr>
            <w:tcW w:w="3160" w:type="dxa"/>
            <w:vAlign w:val="bottom"/>
            <w:gridSpan w:val="2"/>
          </w:tcPr>
          <w:p>
            <w:pPr>
              <w:spacing w:after="0"/>
              <w:rPr>
                <w:sz w:val="20"/>
                <w:szCs w:val="20"/>
                <w:color w:val="auto"/>
              </w:rPr>
            </w:pPr>
            <w:r>
              <w:rPr>
                <w:rFonts w:ascii="Arial" w:cs="Arial" w:eastAsia="Arial" w:hAnsi="Arial"/>
                <w:sz w:val="22"/>
                <w:szCs w:val="22"/>
                <w:color w:val="auto"/>
              </w:rPr>
              <w:t>Delaware</w:t>
            </w:r>
          </w:p>
        </w:tc>
        <w:tc>
          <w:tcPr>
            <w:tcW w:w="2200" w:type="dxa"/>
            <w:vAlign w:val="bottom"/>
            <w:gridSpan w:val="3"/>
          </w:tcPr>
          <w:p>
            <w:pPr>
              <w:ind w:left="560"/>
              <w:spacing w:after="0"/>
              <w:rPr>
                <w:sz w:val="20"/>
                <w:szCs w:val="20"/>
                <w:color w:val="auto"/>
              </w:rPr>
            </w:pPr>
            <w:r>
              <w:rPr>
                <w:rFonts w:ascii="Arial" w:cs="Arial" w:eastAsia="Arial" w:hAnsi="Arial"/>
                <w:sz w:val="22"/>
                <w:szCs w:val="22"/>
                <w:color w:val="auto"/>
              </w:rPr>
              <w:t>Guarantor</w:t>
            </w:r>
          </w:p>
        </w:tc>
      </w:tr>
      <w:tr>
        <w:trPr>
          <w:trHeight w:val="257"/>
        </w:trPr>
        <w:tc>
          <w:tcPr>
            <w:tcW w:w="80" w:type="dxa"/>
            <w:vAlign w:val="bottom"/>
          </w:tcPr>
          <w:p>
            <w:pPr>
              <w:spacing w:after="0"/>
              <w:rPr>
                <w:sz w:val="22"/>
                <w:szCs w:val="22"/>
                <w:color w:val="auto"/>
              </w:rPr>
            </w:pPr>
          </w:p>
        </w:tc>
        <w:tc>
          <w:tcPr>
            <w:tcW w:w="3140" w:type="dxa"/>
            <w:vAlign w:val="bottom"/>
            <w:gridSpan w:val="2"/>
          </w:tcPr>
          <w:p>
            <w:pPr>
              <w:spacing w:after="0"/>
              <w:rPr>
                <w:sz w:val="20"/>
                <w:szCs w:val="20"/>
                <w:color w:val="auto"/>
              </w:rPr>
            </w:pPr>
            <w:r>
              <w:rPr>
                <w:rFonts w:ascii="Arial" w:cs="Arial" w:eastAsia="Arial" w:hAnsi="Arial"/>
                <w:sz w:val="22"/>
                <w:szCs w:val="22"/>
                <w:color w:val="auto"/>
              </w:rPr>
              <w:t>RHP Partner, LLC</w:t>
            </w:r>
          </w:p>
        </w:tc>
        <w:tc>
          <w:tcPr>
            <w:tcW w:w="3160" w:type="dxa"/>
            <w:vAlign w:val="bottom"/>
            <w:gridSpan w:val="2"/>
          </w:tcPr>
          <w:p>
            <w:pPr>
              <w:spacing w:after="0"/>
              <w:rPr>
                <w:sz w:val="20"/>
                <w:szCs w:val="20"/>
                <w:color w:val="auto"/>
              </w:rPr>
            </w:pPr>
            <w:r>
              <w:rPr>
                <w:rFonts w:ascii="Arial" w:cs="Arial" w:eastAsia="Arial" w:hAnsi="Arial"/>
                <w:sz w:val="22"/>
                <w:szCs w:val="22"/>
                <w:color w:val="auto"/>
              </w:rPr>
              <w:t>Delaware</w:t>
            </w:r>
          </w:p>
        </w:tc>
        <w:tc>
          <w:tcPr>
            <w:tcW w:w="2200" w:type="dxa"/>
            <w:vAlign w:val="bottom"/>
            <w:gridSpan w:val="3"/>
          </w:tcPr>
          <w:p>
            <w:pPr>
              <w:ind w:left="560"/>
              <w:spacing w:after="0"/>
              <w:rPr>
                <w:sz w:val="20"/>
                <w:szCs w:val="20"/>
                <w:color w:val="auto"/>
              </w:rPr>
            </w:pPr>
            <w:r>
              <w:rPr>
                <w:rFonts w:ascii="Arial" w:cs="Arial" w:eastAsia="Arial" w:hAnsi="Arial"/>
                <w:sz w:val="22"/>
                <w:szCs w:val="22"/>
                <w:color w:val="auto"/>
              </w:rPr>
              <w:t>Guarantor</w:t>
            </w:r>
          </w:p>
        </w:tc>
      </w:tr>
      <w:tr>
        <w:trPr>
          <w:trHeight w:val="256"/>
        </w:trPr>
        <w:tc>
          <w:tcPr>
            <w:tcW w:w="80" w:type="dxa"/>
            <w:vAlign w:val="bottom"/>
          </w:tcPr>
          <w:p>
            <w:pPr>
              <w:spacing w:after="0"/>
              <w:rPr>
                <w:sz w:val="22"/>
                <w:szCs w:val="22"/>
                <w:color w:val="auto"/>
              </w:rPr>
            </w:pPr>
          </w:p>
        </w:tc>
        <w:tc>
          <w:tcPr>
            <w:tcW w:w="3140" w:type="dxa"/>
            <w:vAlign w:val="bottom"/>
            <w:gridSpan w:val="2"/>
          </w:tcPr>
          <w:p>
            <w:pPr>
              <w:spacing w:after="0"/>
              <w:rPr>
                <w:sz w:val="20"/>
                <w:szCs w:val="20"/>
                <w:color w:val="auto"/>
              </w:rPr>
            </w:pPr>
            <w:r>
              <w:rPr>
                <w:rFonts w:ascii="Arial" w:cs="Arial" w:eastAsia="Arial" w:hAnsi="Arial"/>
                <w:sz w:val="22"/>
                <w:szCs w:val="22"/>
                <w:color w:val="auto"/>
              </w:rPr>
              <w:t>RHP Property GP, LP</w:t>
            </w:r>
          </w:p>
        </w:tc>
        <w:tc>
          <w:tcPr>
            <w:tcW w:w="3160" w:type="dxa"/>
            <w:vAlign w:val="bottom"/>
            <w:gridSpan w:val="2"/>
          </w:tcPr>
          <w:p>
            <w:pPr>
              <w:spacing w:after="0"/>
              <w:rPr>
                <w:sz w:val="20"/>
                <w:szCs w:val="20"/>
                <w:color w:val="auto"/>
              </w:rPr>
            </w:pPr>
            <w:r>
              <w:rPr>
                <w:rFonts w:ascii="Arial" w:cs="Arial" w:eastAsia="Arial" w:hAnsi="Arial"/>
                <w:sz w:val="22"/>
                <w:szCs w:val="22"/>
                <w:color w:val="auto"/>
              </w:rPr>
              <w:t>Florida</w:t>
            </w:r>
          </w:p>
        </w:tc>
        <w:tc>
          <w:tcPr>
            <w:tcW w:w="2200" w:type="dxa"/>
            <w:vAlign w:val="bottom"/>
            <w:gridSpan w:val="3"/>
          </w:tcPr>
          <w:p>
            <w:pPr>
              <w:ind w:left="560"/>
              <w:spacing w:after="0"/>
              <w:rPr>
                <w:sz w:val="20"/>
                <w:szCs w:val="20"/>
                <w:color w:val="auto"/>
              </w:rPr>
            </w:pPr>
            <w:r>
              <w:rPr>
                <w:rFonts w:ascii="Arial" w:cs="Arial" w:eastAsia="Arial" w:hAnsi="Arial"/>
                <w:sz w:val="22"/>
                <w:szCs w:val="22"/>
                <w:color w:val="auto"/>
              </w:rPr>
              <w:t>Guarantor</w:t>
            </w:r>
          </w:p>
        </w:tc>
      </w:tr>
      <w:tr>
        <w:trPr>
          <w:trHeight w:val="257"/>
        </w:trPr>
        <w:tc>
          <w:tcPr>
            <w:tcW w:w="80" w:type="dxa"/>
            <w:vAlign w:val="bottom"/>
          </w:tcPr>
          <w:p>
            <w:pPr>
              <w:spacing w:after="0"/>
              <w:rPr>
                <w:sz w:val="22"/>
                <w:szCs w:val="22"/>
                <w:color w:val="auto"/>
              </w:rPr>
            </w:pPr>
          </w:p>
        </w:tc>
        <w:tc>
          <w:tcPr>
            <w:tcW w:w="3140" w:type="dxa"/>
            <w:vAlign w:val="bottom"/>
            <w:gridSpan w:val="2"/>
          </w:tcPr>
          <w:p>
            <w:pPr>
              <w:spacing w:after="0"/>
              <w:rPr>
                <w:sz w:val="20"/>
                <w:szCs w:val="20"/>
                <w:color w:val="auto"/>
              </w:rPr>
            </w:pPr>
            <w:r>
              <w:rPr>
                <w:rFonts w:ascii="Arial" w:cs="Arial" w:eastAsia="Arial" w:hAnsi="Arial"/>
                <w:sz w:val="22"/>
                <w:szCs w:val="22"/>
                <w:color w:val="auto"/>
              </w:rPr>
              <w:t>RHP Property GT, LLC</w:t>
            </w:r>
          </w:p>
        </w:tc>
        <w:tc>
          <w:tcPr>
            <w:tcW w:w="3160" w:type="dxa"/>
            <w:vAlign w:val="bottom"/>
            <w:gridSpan w:val="2"/>
          </w:tcPr>
          <w:p>
            <w:pPr>
              <w:spacing w:after="0"/>
              <w:rPr>
                <w:sz w:val="20"/>
                <w:szCs w:val="20"/>
                <w:color w:val="auto"/>
              </w:rPr>
            </w:pPr>
            <w:r>
              <w:rPr>
                <w:rFonts w:ascii="Arial" w:cs="Arial" w:eastAsia="Arial" w:hAnsi="Arial"/>
                <w:sz w:val="22"/>
                <w:szCs w:val="22"/>
                <w:color w:val="auto"/>
              </w:rPr>
              <w:t>Delaware</w:t>
            </w:r>
          </w:p>
        </w:tc>
        <w:tc>
          <w:tcPr>
            <w:tcW w:w="2200" w:type="dxa"/>
            <w:vAlign w:val="bottom"/>
            <w:gridSpan w:val="3"/>
          </w:tcPr>
          <w:p>
            <w:pPr>
              <w:ind w:left="560"/>
              <w:spacing w:after="0"/>
              <w:rPr>
                <w:sz w:val="20"/>
                <w:szCs w:val="20"/>
                <w:color w:val="auto"/>
              </w:rPr>
            </w:pPr>
            <w:r>
              <w:rPr>
                <w:rFonts w:ascii="Arial" w:cs="Arial" w:eastAsia="Arial" w:hAnsi="Arial"/>
                <w:sz w:val="22"/>
                <w:szCs w:val="22"/>
                <w:color w:val="auto"/>
              </w:rPr>
              <w:t>Guarantor</w:t>
            </w:r>
          </w:p>
        </w:tc>
      </w:tr>
      <w:tr>
        <w:trPr>
          <w:trHeight w:val="257"/>
        </w:trPr>
        <w:tc>
          <w:tcPr>
            <w:tcW w:w="80" w:type="dxa"/>
            <w:vAlign w:val="bottom"/>
          </w:tcPr>
          <w:p>
            <w:pPr>
              <w:spacing w:after="0"/>
              <w:rPr>
                <w:sz w:val="22"/>
                <w:szCs w:val="22"/>
                <w:color w:val="auto"/>
              </w:rPr>
            </w:pPr>
          </w:p>
        </w:tc>
        <w:tc>
          <w:tcPr>
            <w:tcW w:w="3140" w:type="dxa"/>
            <w:vAlign w:val="bottom"/>
            <w:gridSpan w:val="2"/>
          </w:tcPr>
          <w:p>
            <w:pPr>
              <w:spacing w:after="0"/>
              <w:rPr>
                <w:sz w:val="20"/>
                <w:szCs w:val="20"/>
                <w:color w:val="auto"/>
              </w:rPr>
            </w:pPr>
            <w:r>
              <w:rPr>
                <w:rFonts w:ascii="Arial" w:cs="Arial" w:eastAsia="Arial" w:hAnsi="Arial"/>
                <w:sz w:val="22"/>
                <w:szCs w:val="22"/>
                <w:color w:val="auto"/>
              </w:rPr>
              <w:t>RHP Property GT, LP</w:t>
            </w:r>
          </w:p>
        </w:tc>
        <w:tc>
          <w:tcPr>
            <w:tcW w:w="3160" w:type="dxa"/>
            <w:vAlign w:val="bottom"/>
            <w:gridSpan w:val="2"/>
          </w:tcPr>
          <w:p>
            <w:pPr>
              <w:spacing w:after="0"/>
              <w:rPr>
                <w:sz w:val="20"/>
                <w:szCs w:val="20"/>
                <w:color w:val="auto"/>
              </w:rPr>
            </w:pPr>
            <w:r>
              <w:rPr>
                <w:rFonts w:ascii="Arial" w:cs="Arial" w:eastAsia="Arial" w:hAnsi="Arial"/>
                <w:sz w:val="22"/>
                <w:szCs w:val="22"/>
                <w:color w:val="auto"/>
              </w:rPr>
              <w:t>Delaware</w:t>
            </w:r>
          </w:p>
        </w:tc>
        <w:tc>
          <w:tcPr>
            <w:tcW w:w="2200" w:type="dxa"/>
            <w:vAlign w:val="bottom"/>
            <w:gridSpan w:val="3"/>
          </w:tcPr>
          <w:p>
            <w:pPr>
              <w:ind w:left="560"/>
              <w:spacing w:after="0"/>
              <w:rPr>
                <w:sz w:val="20"/>
                <w:szCs w:val="20"/>
                <w:color w:val="auto"/>
              </w:rPr>
            </w:pPr>
            <w:r>
              <w:rPr>
                <w:rFonts w:ascii="Arial" w:cs="Arial" w:eastAsia="Arial" w:hAnsi="Arial"/>
                <w:sz w:val="22"/>
                <w:szCs w:val="22"/>
                <w:color w:val="auto"/>
              </w:rPr>
              <w:t>Guarantor</w:t>
            </w:r>
          </w:p>
        </w:tc>
      </w:tr>
      <w:tr>
        <w:trPr>
          <w:trHeight w:val="274"/>
        </w:trPr>
        <w:tc>
          <w:tcPr>
            <w:tcW w:w="80" w:type="dxa"/>
            <w:vAlign w:val="bottom"/>
          </w:tcPr>
          <w:p>
            <w:pPr>
              <w:spacing w:after="0"/>
              <w:rPr>
                <w:sz w:val="23"/>
                <w:szCs w:val="23"/>
                <w:color w:val="auto"/>
              </w:rPr>
            </w:pPr>
          </w:p>
        </w:tc>
        <w:tc>
          <w:tcPr>
            <w:tcW w:w="3140" w:type="dxa"/>
            <w:vAlign w:val="bottom"/>
            <w:gridSpan w:val="2"/>
          </w:tcPr>
          <w:p>
            <w:pPr>
              <w:spacing w:after="0"/>
              <w:rPr>
                <w:sz w:val="20"/>
                <w:szCs w:val="20"/>
                <w:color w:val="auto"/>
              </w:rPr>
            </w:pPr>
            <w:r>
              <w:rPr>
                <w:rFonts w:ascii="Arial" w:cs="Arial" w:eastAsia="Arial" w:hAnsi="Arial"/>
                <w:sz w:val="22"/>
                <w:szCs w:val="22"/>
                <w:color w:val="auto"/>
              </w:rPr>
              <w:t>RHP Property NH, LLC</w:t>
            </w:r>
          </w:p>
        </w:tc>
        <w:tc>
          <w:tcPr>
            <w:tcW w:w="3160" w:type="dxa"/>
            <w:vAlign w:val="bottom"/>
            <w:gridSpan w:val="2"/>
          </w:tcPr>
          <w:p>
            <w:pPr>
              <w:spacing w:after="0"/>
              <w:rPr>
                <w:sz w:val="20"/>
                <w:szCs w:val="20"/>
                <w:color w:val="auto"/>
              </w:rPr>
            </w:pPr>
            <w:r>
              <w:rPr>
                <w:rFonts w:ascii="Arial" w:cs="Arial" w:eastAsia="Arial" w:hAnsi="Arial"/>
                <w:sz w:val="22"/>
                <w:szCs w:val="22"/>
                <w:color w:val="auto"/>
              </w:rPr>
              <w:t>Maryland</w:t>
            </w:r>
          </w:p>
        </w:tc>
        <w:tc>
          <w:tcPr>
            <w:tcW w:w="2200" w:type="dxa"/>
            <w:vAlign w:val="bottom"/>
            <w:gridSpan w:val="3"/>
          </w:tcPr>
          <w:p>
            <w:pPr>
              <w:ind w:left="560"/>
              <w:spacing w:after="0"/>
              <w:rPr>
                <w:sz w:val="20"/>
                <w:szCs w:val="20"/>
                <w:color w:val="auto"/>
              </w:rPr>
            </w:pPr>
            <w:r>
              <w:rPr>
                <w:rFonts w:ascii="Arial" w:cs="Arial" w:eastAsia="Arial" w:hAnsi="Arial"/>
                <w:sz w:val="22"/>
                <w:szCs w:val="22"/>
                <w:color w:val="auto"/>
              </w:rPr>
              <w:t>Guarantor</w:t>
            </w:r>
          </w:p>
        </w:tc>
      </w:tr>
      <w:tr>
        <w:trPr>
          <w:trHeight w:val="807"/>
        </w:trPr>
        <w:tc>
          <w:tcPr>
            <w:tcW w:w="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6" w:right="1440"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660" w:right="6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Registration Statement (Form S-4 No. 333-238530-09) pertaining to the $700,000,000 4.75% Senior Notes Due 2027 of Ryman Hospitality Properties, Inc.;</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Registration Statement (Form S-3 No. 333-235419) pertaining to the Shelf Registration for common stock of Ryman Hospitality Properties, Inc.;</w:t>
      </w:r>
    </w:p>
    <w:p>
      <w:pPr>
        <w:spacing w:after="0" w:line="170" w:lineRule="exact"/>
        <w:rPr>
          <w:sz w:val="20"/>
          <w:szCs w:val="20"/>
          <w:color w:val="auto"/>
        </w:rPr>
      </w:pPr>
    </w:p>
    <w:p>
      <w:pPr>
        <w:ind w:left="660" w:right="660" w:hanging="328"/>
        <w:spacing w:after="0" w:line="277" w:lineRule="auto"/>
        <w:tabs>
          <w:tab w:leader="none" w:pos="681"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Registration Statement (Form S-8 No. 333-211214) pertaining to the Ryman Hospitality Properties, Inc. 2016 Omnibus Incentive Plan;</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81"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Registration Statement (Form S-8 No. 333-37051) pertaining to the Amended and Restated Gaylord Entertainment Company 401(K) Savings Plan;</w:t>
      </w:r>
    </w:p>
    <w:p>
      <w:pPr>
        <w:spacing w:after="0" w:line="17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of our reports dated February 25, 2022 with respect to the consolidated financial statements and schedules of Ryman Hospitality Properties, Inc. and subsidiaries and the effectiveness of internal control over financial reporting of Ryman Hospitality Properties, Inc. and subsidiaries, included in this Annual Report (Form 10-K) of Ryman Hospitality Properties, Inc. for the year ended December 31, 2021.</w:t>
      </w:r>
    </w:p>
    <w:p>
      <w:pPr>
        <w:spacing w:after="0" w:line="20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 Colin V. Reed, certify that:</w:t>
      </w:r>
    </w:p>
    <w:p>
      <w:pPr>
        <w:spacing w:after="0" w:line="211" w:lineRule="exact"/>
        <w:rPr>
          <w:sz w:val="20"/>
          <w:szCs w:val="20"/>
          <w:color w:val="auto"/>
        </w:rPr>
      </w:pPr>
    </w:p>
    <w:p>
      <w:pPr>
        <w:ind w:left="820" w:hanging="488"/>
        <w:spacing w:after="0"/>
        <w:tabs>
          <w:tab w:leader="none" w:pos="8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Ryman Hospitality Properties, Inc.;</w:t>
      </w:r>
    </w:p>
    <w:p>
      <w:pPr>
        <w:spacing w:after="0" w:line="225" w:lineRule="exact"/>
        <w:rPr>
          <w:rFonts w:ascii="Arial" w:cs="Arial" w:eastAsia="Arial" w:hAnsi="Arial"/>
          <w:sz w:val="18"/>
          <w:szCs w:val="18"/>
          <w:color w:val="auto"/>
        </w:rPr>
      </w:pPr>
    </w:p>
    <w:p>
      <w:pPr>
        <w:ind w:left="820" w:right="40" w:hanging="488"/>
        <w:spacing w:after="0" w:line="263" w:lineRule="auto"/>
        <w:tabs>
          <w:tab w:leader="none" w:pos="823"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820" w:right="120" w:hanging="488"/>
        <w:spacing w:after="0" w:line="263" w:lineRule="auto"/>
        <w:tabs>
          <w:tab w:leader="none" w:pos="823"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820" w:right="460" w:hanging="488"/>
        <w:spacing w:after="0" w:line="286" w:lineRule="auto"/>
        <w:tabs>
          <w:tab w:leader="none" w:pos="819"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ind w:left="1440" w:right="40" w:hanging="356"/>
        <w:spacing w:after="0" w:line="259" w:lineRule="auto"/>
        <w:tabs>
          <w:tab w:leader="none" w:pos="1442"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440" w:right="80" w:hanging="356"/>
        <w:spacing w:after="0" w:line="259" w:lineRule="auto"/>
        <w:tabs>
          <w:tab w:leader="none" w:pos="1452"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ind w:left="1440" w:right="120" w:hanging="356"/>
        <w:spacing w:after="0" w:line="263" w:lineRule="auto"/>
        <w:tabs>
          <w:tab w:leader="none" w:pos="1442" w:val="left"/>
        </w:tabs>
        <w:numPr>
          <w:ilvl w:val="1"/>
          <w:numId w:val="5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440" w:right="20" w:hanging="356"/>
        <w:spacing w:after="0" w:line="259" w:lineRule="auto"/>
        <w:tabs>
          <w:tab w:leader="none" w:pos="1452"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820" w:right="200" w:hanging="488"/>
        <w:spacing w:after="0" w:line="263" w:lineRule="auto"/>
        <w:tabs>
          <w:tab w:leader="none" w:pos="819"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440" w:right="300" w:hanging="356"/>
        <w:spacing w:after="0" w:line="263" w:lineRule="auto"/>
        <w:tabs>
          <w:tab w:leader="none" w:pos="1432"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440" w:right="160" w:hanging="356"/>
        <w:spacing w:after="0" w:line="277" w:lineRule="auto"/>
        <w:tabs>
          <w:tab w:leader="none" w:pos="1397"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Date: February 25, 2022</w:t>
            </w:r>
          </w:p>
        </w:tc>
        <w:tc>
          <w:tcPr>
            <w:tcW w:w="6540" w:type="dxa"/>
            <w:vAlign w:val="bottom"/>
            <w:gridSpan w:val="2"/>
          </w:tcPr>
          <w:p>
            <w:pPr>
              <w:ind w:left="1600"/>
              <w:spacing w:after="0"/>
              <w:rPr>
                <w:sz w:val="20"/>
                <w:szCs w:val="20"/>
                <w:color w:val="auto"/>
              </w:rPr>
            </w:pPr>
            <w:r>
              <w:rPr>
                <w:rFonts w:ascii="Arial" w:cs="Arial" w:eastAsia="Arial" w:hAnsi="Arial"/>
                <w:sz w:val="18"/>
                <w:szCs w:val="18"/>
                <w:color w:val="auto"/>
              </w:rPr>
              <w:t>By: /s/ Colin V. Reed</w:t>
            </w:r>
          </w:p>
        </w:tc>
      </w:tr>
      <w:tr>
        <w:trPr>
          <w:trHeight w:val="195"/>
        </w:trPr>
        <w:tc>
          <w:tcPr>
            <w:tcW w:w="33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Colin V. Reed</w:t>
            </w:r>
          </w:p>
        </w:tc>
      </w:tr>
      <w:tr>
        <w:trPr>
          <w:trHeight w:val="216"/>
        </w:trPr>
        <w:tc>
          <w:tcPr>
            <w:tcW w:w="33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Chairman of the Board of Directors and</w:t>
            </w:r>
          </w:p>
        </w:tc>
      </w:tr>
      <w:tr>
        <w:trPr>
          <w:trHeight w:val="230"/>
        </w:trPr>
        <w:tc>
          <w:tcPr>
            <w:tcW w:w="33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776"/>
        </w:trPr>
        <w:tc>
          <w:tcPr>
            <w:tcW w:w="33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 Mark Fioravanti, certify that:</w:t>
      </w:r>
    </w:p>
    <w:p>
      <w:pPr>
        <w:spacing w:after="0" w:line="211" w:lineRule="exact"/>
        <w:rPr>
          <w:sz w:val="20"/>
          <w:szCs w:val="20"/>
          <w:color w:val="auto"/>
        </w:rPr>
      </w:pPr>
    </w:p>
    <w:p>
      <w:pPr>
        <w:ind w:left="820" w:hanging="488"/>
        <w:spacing w:after="0"/>
        <w:tabs>
          <w:tab w:leader="none" w:pos="8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Ryman Hospitality Properties, Inc.;</w:t>
      </w:r>
    </w:p>
    <w:p>
      <w:pPr>
        <w:spacing w:after="0" w:line="225" w:lineRule="exact"/>
        <w:rPr>
          <w:rFonts w:ascii="Arial" w:cs="Arial" w:eastAsia="Arial" w:hAnsi="Arial"/>
          <w:sz w:val="18"/>
          <w:szCs w:val="18"/>
          <w:color w:val="auto"/>
        </w:rPr>
      </w:pPr>
    </w:p>
    <w:p>
      <w:pPr>
        <w:ind w:left="820" w:right="40" w:hanging="488"/>
        <w:spacing w:after="0" w:line="263" w:lineRule="auto"/>
        <w:tabs>
          <w:tab w:leader="none" w:pos="823"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820" w:right="120" w:hanging="488"/>
        <w:spacing w:after="0" w:line="263" w:lineRule="auto"/>
        <w:tabs>
          <w:tab w:leader="none" w:pos="823"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820" w:right="460" w:hanging="488"/>
        <w:spacing w:after="0" w:line="286" w:lineRule="auto"/>
        <w:tabs>
          <w:tab w:leader="none" w:pos="819"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ind w:left="1440" w:right="40" w:hanging="356"/>
        <w:spacing w:after="0" w:line="259" w:lineRule="auto"/>
        <w:tabs>
          <w:tab w:leader="none" w:pos="1442"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440" w:right="80" w:hanging="356"/>
        <w:spacing w:after="0" w:line="259" w:lineRule="auto"/>
        <w:tabs>
          <w:tab w:leader="none" w:pos="1452"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ind w:left="1440" w:right="120" w:hanging="356"/>
        <w:spacing w:after="0" w:line="263" w:lineRule="auto"/>
        <w:tabs>
          <w:tab w:leader="none" w:pos="1442" w:val="left"/>
        </w:tabs>
        <w:numPr>
          <w:ilvl w:val="1"/>
          <w:numId w:val="5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440" w:right="20" w:hanging="356"/>
        <w:spacing w:after="0" w:line="259" w:lineRule="auto"/>
        <w:tabs>
          <w:tab w:leader="none" w:pos="1452"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820" w:right="200" w:hanging="488"/>
        <w:spacing w:after="0" w:line="263" w:lineRule="auto"/>
        <w:tabs>
          <w:tab w:leader="none" w:pos="819"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440" w:right="300" w:hanging="356"/>
        <w:spacing w:after="0" w:line="263" w:lineRule="auto"/>
        <w:tabs>
          <w:tab w:leader="none" w:pos="1432"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440" w:right="160" w:hanging="356"/>
        <w:spacing w:after="0" w:line="277" w:lineRule="auto"/>
        <w:tabs>
          <w:tab w:leader="none" w:pos="1397"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Date: February 25, 2022</w:t>
            </w:r>
          </w:p>
        </w:tc>
        <w:tc>
          <w:tcPr>
            <w:tcW w:w="6540" w:type="dxa"/>
            <w:vAlign w:val="bottom"/>
            <w:gridSpan w:val="2"/>
          </w:tcPr>
          <w:p>
            <w:pPr>
              <w:ind w:left="1600"/>
              <w:spacing w:after="0"/>
              <w:rPr>
                <w:sz w:val="20"/>
                <w:szCs w:val="20"/>
                <w:color w:val="auto"/>
              </w:rPr>
            </w:pPr>
            <w:r>
              <w:rPr>
                <w:rFonts w:ascii="Arial" w:cs="Arial" w:eastAsia="Arial" w:hAnsi="Arial"/>
                <w:sz w:val="18"/>
                <w:szCs w:val="18"/>
                <w:color w:val="auto"/>
              </w:rPr>
              <w:t>By: /s/ Mark Fioravanti</w:t>
            </w:r>
          </w:p>
        </w:tc>
      </w:tr>
      <w:tr>
        <w:trPr>
          <w:trHeight w:val="195"/>
        </w:trPr>
        <w:tc>
          <w:tcPr>
            <w:tcW w:w="33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Mark Fioravanti</w:t>
            </w:r>
          </w:p>
        </w:tc>
      </w:tr>
      <w:tr>
        <w:trPr>
          <w:trHeight w:val="230"/>
        </w:trPr>
        <w:tc>
          <w:tcPr>
            <w:tcW w:w="33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President and Chief Financial Officer</w:t>
            </w:r>
          </w:p>
        </w:tc>
      </w:tr>
      <w:tr>
        <w:trPr>
          <w:trHeight w:val="776"/>
        </w:trPr>
        <w:tc>
          <w:tcPr>
            <w:tcW w:w="33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Annual Report of Ryman Hospitality Properties, Inc. (the "Company") on Form 10-K for the period ended December 31, 2021, as filed with the Securities and Exchange Commission on the date hereof (the "Report"), I, Colin V. Reed, Chairman of the Board of Directors and Chief Executive Officer of the Company, certify, pursuant to 18 U.S.C. Section 1350, as adopted pursuant to Section 906 of the Sarbanes-Oxley Act of 2002, to the best of my knowledge, that:</w:t>
      </w:r>
    </w:p>
    <w:p>
      <w:pPr>
        <w:spacing w:after="0" w:line="187" w:lineRule="exact"/>
        <w:rPr>
          <w:sz w:val="20"/>
          <w:szCs w:val="20"/>
          <w:color w:val="auto"/>
        </w:rPr>
      </w:pPr>
    </w:p>
    <w:p>
      <w:pPr>
        <w:ind w:left="860" w:hanging="528"/>
        <w:spacing w:after="0"/>
        <w:tabs>
          <w:tab w:leader="none" w:pos="8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880" w:right="660" w:hanging="548"/>
        <w:spacing w:after="0" w:line="277" w:lineRule="auto"/>
        <w:tabs>
          <w:tab w:leader="none" w:pos="857"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Colin V.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Colin V. Reed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of Directors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2022</w:t>
      </w:r>
    </w:p>
    <w:p>
      <w:pPr>
        <w:spacing w:after="0" w:line="21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 signed original of this certification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323215</wp:posOffset>
            </wp:positionV>
            <wp:extent cx="629221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Annual Report of Ryman Hospitality Properties, Inc. (the "Company") on Form 10-K for the period ended December 31, 2021, as filed with the Securities and Exchange Commission on the date hereof (the "Report"), I, Mark Fioravanti, President and Chief Financial Officer of the Company, certify, pursuant to 18 U.S.C. Section 1350, as adopted pursuant to Section 906 of the Sarbanes-Oxley Act of 2002, to the best of my knowledge, that:</w:t>
      </w:r>
    </w:p>
    <w:p>
      <w:pPr>
        <w:spacing w:after="0" w:line="187" w:lineRule="exact"/>
        <w:rPr>
          <w:sz w:val="20"/>
          <w:szCs w:val="20"/>
          <w:color w:val="auto"/>
        </w:rPr>
      </w:pPr>
    </w:p>
    <w:p>
      <w:pPr>
        <w:ind w:left="860" w:hanging="528"/>
        <w:spacing w:after="0"/>
        <w:tabs>
          <w:tab w:leader="none" w:pos="8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880" w:right="660" w:hanging="548"/>
        <w:spacing w:after="0" w:line="277" w:lineRule="auto"/>
        <w:tabs>
          <w:tab w:leader="none" w:pos="857"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Mark Fioravanti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Mark Fioravanti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2022</w:t>
      </w:r>
    </w:p>
    <w:p>
      <w:pPr>
        <w:spacing w:after="0" w:line="21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 signed original of this certification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323215</wp:posOffset>
            </wp:positionV>
            <wp:extent cx="629221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1)"/>
      <w:numFmt w:val="lowerRoman"/>
      <w:start w:val="3"/>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1)"/>
      <w:numFmt w:val="decimal"/>
      <w:start w:val="1"/>
    </w:lvl>
  </w:abstractNum>
  <w:abstractNum w:abstractNumId="26">
    <w:nsid w:val="3855585C"/>
    <w:multiLevelType w:val="hybridMultilevel"/>
    <w:lvl w:ilvl="0">
      <w:lvlJc w:val="left"/>
      <w:lvlText w:val="(%1)"/>
      <w:numFmt w:val="decimal"/>
      <w:start w:val="1"/>
    </w:lvl>
  </w:abstractNum>
  <w:abstractNum w:abstractNumId="27">
    <w:nsid w:val="70A64E2A"/>
    <w:multiLevelType w:val="hybridMultilevel"/>
    <w:lvl w:ilvl="0">
      <w:lvlJc w:val="left"/>
      <w:lvlText w:val="(%1)"/>
      <w:numFmt w:val="decimal"/>
      <w:start w:val="1"/>
    </w:lvl>
  </w:abstractNum>
  <w:abstractNum w:abstractNumId="28">
    <w:nsid w:val="6A2342EC"/>
    <w:multiLevelType w:val="hybridMultilevel"/>
    <w:lvl w:ilvl="0">
      <w:lvlJc w:val="left"/>
      <w:lvlText w:val="(%1)"/>
      <w:numFmt w:val="decimal"/>
      <w:start w:val="1"/>
    </w:lvl>
  </w:abstractNum>
  <w:abstractNum w:abstractNumId="29">
    <w:nsid w:val="2A487CB0"/>
    <w:multiLevelType w:val="hybridMultilevel"/>
    <w:lvl w:ilvl="0">
      <w:lvlJc w:val="left"/>
      <w:lvlText w:val="(%1)"/>
      <w:numFmt w:val="decimal"/>
      <w:start w:val="1"/>
    </w:lvl>
  </w:abstractNum>
  <w:abstractNum w:abstractNumId="30">
    <w:nsid w:val="1D4ED43B"/>
    <w:multiLevelType w:val="hybridMultilevel"/>
    <w:lvl w:ilvl="0">
      <w:lvlJc w:val="left"/>
      <w:lvlText w:val="(%1)"/>
      <w:numFmt w:val="decimal"/>
      <w:start w:val="1"/>
    </w:lvl>
  </w:abstractNum>
  <w:abstractNum w:abstractNumId="31">
    <w:nsid w:val="725A06FB"/>
    <w:multiLevelType w:val="hybridMultilevel"/>
    <w:lvl w:ilvl="0">
      <w:lvlJc w:val="left"/>
      <w:lvlText w:val="(%1)"/>
      <w:numFmt w:val="decimal"/>
      <w:start w:val="2"/>
    </w:lvl>
  </w:abstractNum>
  <w:abstractNum w:abstractNumId="32">
    <w:nsid w:val="2CD89A32"/>
    <w:multiLevelType w:val="hybridMultilevel"/>
    <w:lvl w:ilvl="0">
      <w:lvlJc w:val="left"/>
      <w:lvlText w:val="(%1)"/>
      <w:numFmt w:val="decimal"/>
      <w:start w:val="1"/>
    </w:lvl>
  </w:abstractNum>
  <w:abstractNum w:abstractNumId="33">
    <w:nsid w:val="57E4CCAF"/>
    <w:multiLevelType w:val="hybridMultilevel"/>
    <w:lvl w:ilvl="0">
      <w:lvlJc w:val="left"/>
      <w:lvlText w:val="(%1)"/>
      <w:numFmt w:val="decimal"/>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
      <w:numFmt w:val="bullet"/>
      <w:start w:val="1"/>
    </w:lvl>
  </w:abstractNum>
  <w:abstractNum w:abstractNumId="44">
    <w:nsid w:val="3DC240FB"/>
    <w:multiLevelType w:val="hybridMultilevel"/>
    <w:lvl w:ilvl="0">
      <w:lvlJc w:val="left"/>
      <w:lvlText w:val="●"/>
      <w:numFmt w:val="bullet"/>
      <w:start w:val="1"/>
    </w:lvl>
  </w:abstractNum>
  <w:abstractNum w:abstractNumId="45">
    <w:nsid w:val="1BA026FA"/>
    <w:multiLevelType w:val="hybridMultilevel"/>
    <w:lvl w:ilvl="0">
      <w:lvlJc w:val="left"/>
      <w:lvlText w:val="(%1)"/>
      <w:numFmt w:val="decimal"/>
      <w:start w:val="1"/>
    </w:lvl>
  </w:abstractNum>
  <w:abstractNum w:abstractNumId="46">
    <w:nsid w:val="79A1DEAA"/>
    <w:multiLevelType w:val="hybridMultilevel"/>
    <w:lvl w:ilvl="0">
      <w:lvlJc w:val="left"/>
      <w:lvlText w:val="(%1)"/>
      <w:numFmt w:val="decimal"/>
      <w:start w:val="1"/>
    </w:lvl>
  </w:abstractNum>
  <w:abstractNum w:abstractNumId="47">
    <w:nsid w:val="75C6C33A"/>
    <w:multiLevelType w:val="hybridMultilevel"/>
    <w:lvl w:ilvl="0">
      <w:lvlJc w:val="left"/>
      <w:lvlText w:val="%1."/>
      <w:numFmt w:val="upperLetter"/>
      <w:start w:val="9"/>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1."/>
      <w:numFmt w:val="upperLetter"/>
      <w:start w:val="61"/>
    </w:lvl>
  </w:abstractNum>
  <w:abstractNum w:abstractNumId="50">
    <w:nsid w:val="520EEDD1"/>
    <w:multiLevelType w:val="hybridMultilevel"/>
    <w:lvl w:ilvl="0">
      <w:lvlJc w:val="left"/>
      <w:lvlText w:val="(%1)"/>
      <w:numFmt w:val="decimal"/>
      <w:start w:val="1"/>
    </w:lvl>
  </w:abstractNum>
  <w:abstractNum w:abstractNumId="51">
    <w:nsid w:val="374A3FE6"/>
    <w:multiLevelType w:val="hybridMultilevel"/>
    <w:lvl w:ilvl="0">
      <w:lvlJc w:val="left"/>
      <w:lvlText w:val="(%1)"/>
      <w:numFmt w:val="decimal"/>
      <w:start w:val="4"/>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125" Type="http://schemas.openxmlformats.org/officeDocument/2006/relationships/image" Target="media/image76.png"/><Relationship Id="rId126" Type="http://schemas.openxmlformats.org/officeDocument/2006/relationships/image" Target="media/image77.png"/><Relationship Id="rId127" Type="http://schemas.openxmlformats.org/officeDocument/2006/relationships/image" Target="media/image78.png"/><Relationship Id="rId128" Type="http://schemas.openxmlformats.org/officeDocument/2006/relationships/image" Target="media/image79.png"/><Relationship Id="rId129" Type="http://schemas.openxmlformats.org/officeDocument/2006/relationships/image" Target="media/image80.png"/><Relationship Id="rId130" Type="http://schemas.openxmlformats.org/officeDocument/2006/relationships/image" Target="media/image81.png"/><Relationship Id="rId131" Type="http://schemas.openxmlformats.org/officeDocument/2006/relationships/image" Target="media/image82.png"/><Relationship Id="rId132" Type="http://schemas.openxmlformats.org/officeDocument/2006/relationships/image" Target="media/image83.png"/><Relationship Id="rId133" Type="http://schemas.openxmlformats.org/officeDocument/2006/relationships/image" Target="media/image84.png"/><Relationship Id="rId134" Type="http://schemas.openxmlformats.org/officeDocument/2006/relationships/image" Target="media/image85.png"/><Relationship Id="rId135" Type="http://schemas.openxmlformats.org/officeDocument/2006/relationships/image" Target="media/image86.png"/><Relationship Id="rId136" Type="http://schemas.openxmlformats.org/officeDocument/2006/relationships/image" Target="media/image87.png"/><Relationship Id="rId137" Type="http://schemas.openxmlformats.org/officeDocument/2006/relationships/image" Target="media/image88.png"/><Relationship Id="rId138" Type="http://schemas.openxmlformats.org/officeDocument/2006/relationships/image" Target="media/image89.png"/><Relationship Id="rId139" Type="http://schemas.openxmlformats.org/officeDocument/2006/relationships/image" Target="media/image90.png"/><Relationship Id="rId140" Type="http://schemas.openxmlformats.org/officeDocument/2006/relationships/image" Target="media/image91.png"/><Relationship Id="rId141" Type="http://schemas.openxmlformats.org/officeDocument/2006/relationships/image" Target="media/image92.png"/><Relationship Id="rId142" Type="http://schemas.openxmlformats.org/officeDocument/2006/relationships/image" Target="media/image93.png"/><Relationship Id="rId143" Type="http://schemas.openxmlformats.org/officeDocument/2006/relationships/image" Target="media/image94.png"/><Relationship Id="rId144" Type="http://schemas.openxmlformats.org/officeDocument/2006/relationships/image" Target="media/image95.png"/><Relationship Id="rId145" Type="http://schemas.openxmlformats.org/officeDocument/2006/relationships/image" Target="media/image96.png"/><Relationship Id="rId146" Type="http://schemas.openxmlformats.org/officeDocument/2006/relationships/image" Target="media/image97.png"/><Relationship Id="rId147" Type="http://schemas.openxmlformats.org/officeDocument/2006/relationships/image" Target="media/image98.png"/><Relationship Id="rId148" Type="http://schemas.openxmlformats.org/officeDocument/2006/relationships/image" Target="media/image99.png"/><Relationship Id="rId149" Type="http://schemas.openxmlformats.org/officeDocument/2006/relationships/image" Target="media/image100.png"/><Relationship Id="rId150" Type="http://schemas.openxmlformats.org/officeDocument/2006/relationships/image" Target="media/image101.png"/><Relationship Id="rId151" Type="http://schemas.openxmlformats.org/officeDocument/2006/relationships/image" Target="media/image102.png"/><Relationship Id="rId152" Type="http://schemas.openxmlformats.org/officeDocument/2006/relationships/image" Target="media/image103.png"/><Relationship Id="rId153" Type="http://schemas.openxmlformats.org/officeDocument/2006/relationships/image" Target="media/image104.png"/><Relationship Id="rId154" Type="http://schemas.openxmlformats.org/officeDocument/2006/relationships/image" Target="media/image105.png"/><Relationship Id="rId155" Type="http://schemas.openxmlformats.org/officeDocument/2006/relationships/image" Target="media/image106.png"/><Relationship Id="rId156" Type="http://schemas.openxmlformats.org/officeDocument/2006/relationships/image" Target="media/image107.png"/><Relationship Id="rId157" Type="http://schemas.openxmlformats.org/officeDocument/2006/relationships/image" Target="media/image108.png"/><Relationship Id="rId158" Type="http://schemas.openxmlformats.org/officeDocument/2006/relationships/image" Target="media/image109.png"/><Relationship Id="rId159" Type="http://schemas.openxmlformats.org/officeDocument/2006/relationships/image" Target="media/image110.png"/><Relationship Id="rId160" Type="http://schemas.openxmlformats.org/officeDocument/2006/relationships/image" Target="media/image111.png"/><Relationship Id="rId161" Type="http://schemas.openxmlformats.org/officeDocument/2006/relationships/image" Target="media/image112.png"/><Relationship Id="rId162" Type="http://schemas.openxmlformats.org/officeDocument/2006/relationships/image" Target="media/image113.png"/><Relationship Id="rId163" Type="http://schemas.openxmlformats.org/officeDocument/2006/relationships/image" Target="media/image114.png"/><Relationship Id="rId164" Type="http://schemas.openxmlformats.org/officeDocument/2006/relationships/image" Target="media/image115.png"/><Relationship Id="rId165" Type="http://schemas.openxmlformats.org/officeDocument/2006/relationships/image" Target="media/image116.png"/><Relationship Id="rId166" Type="http://schemas.openxmlformats.org/officeDocument/2006/relationships/image" Target="media/image117.png"/><Relationship Id="rId167" Type="http://schemas.openxmlformats.org/officeDocument/2006/relationships/image" Target="media/image118.png"/><Relationship Id="rId168" Type="http://schemas.openxmlformats.org/officeDocument/2006/relationships/image" Target="media/image119.png"/><Relationship Id="rId169" Type="http://schemas.openxmlformats.org/officeDocument/2006/relationships/image" Target="media/image120.png"/><Relationship Id="rId170" Type="http://schemas.openxmlformats.org/officeDocument/2006/relationships/image" Target="media/image121.png"/><Relationship Id="rId171" Type="http://schemas.openxmlformats.org/officeDocument/2006/relationships/image" Target="media/image122.png"/><Relationship Id="rId172" Type="http://schemas.openxmlformats.org/officeDocument/2006/relationships/image" Target="media/image123.png"/><Relationship Id="rId83" Type="http://schemas.openxmlformats.org/officeDocument/2006/relationships/hyperlink" Target="http://www.sec.gov/Archives/edgar/data/1040829/000119312512410191/d419132dex31.htm" TargetMode="External"/><Relationship Id="rId84" Type="http://schemas.openxmlformats.org/officeDocument/2006/relationships/hyperlink" Target="http://www.sec.gov/Archives/edgar/data/1040829/000119312512410191/d419132dex32.htm" TargetMode="External"/><Relationship Id="rId85" Type="http://schemas.openxmlformats.org/officeDocument/2006/relationships/hyperlink" Target="http://www.sec.gov/Archives/edgar/data/1040829/000119312512401709/d415216dex41.htm" TargetMode="External"/><Relationship Id="rId86" Type="http://schemas.openxmlformats.org/officeDocument/2006/relationships/hyperlink" Target="https://www.sec.gov/Archives/edgar/data/1040829/000155837020001342/ex-4d3.htm" TargetMode="External"/><Relationship Id="rId87" Type="http://schemas.openxmlformats.org/officeDocument/2006/relationships/hyperlink" Target="http://www.sec.gov/Archives/edgar/data/1040829/000141057819001323/tv529738_ex4-1.htm" TargetMode="External"/><Relationship Id="rId88" Type="http://schemas.openxmlformats.org/officeDocument/2006/relationships/hyperlink" Target="http://www.sec.gov/Archives/edgar/data/1040829/000141057819001570/tv530763_ex4-3.htm" TargetMode="External"/><Relationship Id="rId89" Type="http://schemas.openxmlformats.org/officeDocument/2006/relationships/hyperlink" Target="https://www.sec.gov/Archives/edgar/data/1040829/000114036121005258/nt10019727x5_ex4-1.htm" TargetMode="External"/><Relationship Id="rId90" Type="http://schemas.openxmlformats.org/officeDocument/2006/relationships/hyperlink" Target="http://www.sec.gov/Archives/edgar/data/1040829/000110465919059038/tm1921656d1_ex10-1.htm" TargetMode="External"/><Relationship Id="rId91" Type="http://schemas.openxmlformats.org/officeDocument/2006/relationships/hyperlink" Target="https://www.sec.gov/Archives/edgar/data/1040829/000110465920050678/tm2016629d1_ex10-1.htm" TargetMode="External"/><Relationship Id="rId92" Type="http://schemas.openxmlformats.org/officeDocument/2006/relationships/hyperlink" Target="https://www.sec.gov/Archives/edgar/data/1040829/000110465920138604/tm2039111d1_ex10-1.htm" TargetMode="External"/><Relationship Id="rId93" Type="http://schemas.openxmlformats.org/officeDocument/2006/relationships/hyperlink" Target="https://www.sec.gov/Archives/edgar/data/1040829/000155837021009927/rhp-20210630xex10d4.htm" TargetMode="External"/><Relationship Id="rId94" Type="http://schemas.openxmlformats.org/officeDocument/2006/relationships/hyperlink" Target="https://www.sec.gov/Archives/edgar/data/1040829/000110465921130093/tm2131031d1_ex10-1.htm" TargetMode="External"/><Relationship Id="rId95" Type="http://schemas.openxmlformats.org/officeDocument/2006/relationships/hyperlink" Target="http://www.sec.gov/Archives/edgar/data/1040829/0000950144-00-004089-index.html" TargetMode="External"/><Relationship Id="rId96" Type="http://schemas.openxmlformats.org/officeDocument/2006/relationships/hyperlink" Target="http://www.sec.gov/Archives/edgar/data/1040829/000095014403004173/g81512exv10w21.txt" TargetMode="External"/><Relationship Id="rId97" Type="http://schemas.openxmlformats.org/officeDocument/2006/relationships/hyperlink" Target="http://www.sec.gov/Archives/edgar/data/1040829/000095014403004173/g81512exv10w22.txt" TargetMode="External"/><Relationship Id="rId98" Type="http://schemas.openxmlformats.org/officeDocument/2006/relationships/hyperlink" Target="http://www.sec.gov/Archives/edgar/data/1040829/000119312519003774/d682468dex101.htm" TargetMode="External"/><Relationship Id="rId99" Type="http://schemas.openxmlformats.org/officeDocument/2006/relationships/hyperlink" Target="http://www.sec.gov/Archives/edgar/data/1040829/000119312519189493/d758656dex101.htm" TargetMode="External"/><Relationship Id="rId100" Type="http://schemas.openxmlformats.org/officeDocument/2006/relationships/hyperlink" Target="https://www.sec.gov/Archives/edgar/data/1040829/000155837020009570/rhp-20200630xex10d2.htm" TargetMode="External"/><Relationship Id="rId101" Type="http://schemas.openxmlformats.org/officeDocument/2006/relationships/hyperlink" Target="https://www.sec.gov/Archives/edgar/data/1040829/000155837021009927/rhp-20210630xex10d2.htm" TargetMode="External"/><Relationship Id="rId102" Type="http://schemas.openxmlformats.org/officeDocument/2006/relationships/hyperlink" Target="https://www.sec.gov/Archives/edgar/data/1040829/000114036121019096/nt10025017x2_ex1-1.htm" TargetMode="External"/><Relationship Id="rId103" Type="http://schemas.openxmlformats.org/officeDocument/2006/relationships/hyperlink" Target="https://www.sec.gov/Archives/edgar/data/1040829/000155837021009927/rhp-20210630xex10d3.htm" TargetMode="External"/><Relationship Id="rId104" Type="http://schemas.openxmlformats.org/officeDocument/2006/relationships/hyperlink" Target="http://www.sec.gov/Archives/edgar/data/1040829/000095014401004631/g68099ex10-19.txt" TargetMode="External"/><Relationship Id="rId105" Type="http://schemas.openxmlformats.org/officeDocument/2006/relationships/hyperlink" Target="http://www.sec.gov/Archives/edgar/data/1040829/000095014408001431/g11970exv10w1.htm" TargetMode="External"/><Relationship Id="rId106" Type="http://schemas.openxmlformats.org/officeDocument/2006/relationships/hyperlink" Target="http://www.sec.gov/Archives/edgar/data/1040829/000095014408009526/g17124exv10w3.htm" TargetMode="External"/><Relationship Id="rId107" Type="http://schemas.openxmlformats.org/officeDocument/2006/relationships/hyperlink" Target="http://www.sec.gov/Archives/edgar/data/1040829/000095012310101559/g25095exv10w2.htm" TargetMode="External"/><Relationship Id="rId108" Type="http://schemas.openxmlformats.org/officeDocument/2006/relationships/hyperlink" Target="http://www.sec.gov/Archives/edgar/data/1040829/000119312512456947/d412761dex105.htm" TargetMode="External"/><Relationship Id="rId109" Type="http://schemas.openxmlformats.org/officeDocument/2006/relationships/hyperlink" Target="https://www.sec.gov/Archives/edgar/data/1040829/000155837021001956/rhp-20201231xex10d17.htm" TargetMode="External"/><Relationship Id="rId110" Type="http://schemas.openxmlformats.org/officeDocument/2006/relationships/hyperlink" Target="http://www.sec.gov/Archives/edgar/data/1040829/000095014402003186/g74977ex10-30.txt" TargetMode="External"/><Relationship Id="rId111" Type="http://schemas.openxmlformats.org/officeDocument/2006/relationships/hyperlink" Target="http://www.sec.gov/Archives/edgar/data/1040829/000095014408001431/g11970exv10w3.htm" TargetMode="External"/><Relationship Id="rId112" Type="http://schemas.openxmlformats.org/officeDocument/2006/relationships/hyperlink" Target="http://www.sec.gov/Archives/edgar/data/1040829/000095012310017849/g22218exv10w38.htm" TargetMode="External"/><Relationship Id="rId113" Type="http://schemas.openxmlformats.org/officeDocument/2006/relationships/hyperlink" Target="http://www.sec.gov/Archives/edgar/data/1040829/000095012310101559/g25095exv10w5.htm" TargetMode="External"/><Relationship Id="rId114" Type="http://schemas.openxmlformats.org/officeDocument/2006/relationships/hyperlink" Target="http://www.sec.gov/Archives/edgar/data/1040829/000119312512456947/d412761dex106.htm" TargetMode="External"/><Relationship Id="rId115" Type="http://schemas.openxmlformats.org/officeDocument/2006/relationships/hyperlink" Target="http://www.sec.gov/Archives/edgar/data/1040829/000119312518060772/d503192dex1021.htm" TargetMode="External"/><Relationship Id="rId116" Type="http://schemas.openxmlformats.org/officeDocument/2006/relationships/hyperlink" Target="http://www.sec.gov/Archives/edgar/data/1040829/000119312518060772/d503192dex1022.htm" TargetMode="External"/><Relationship Id="rId117" Type="http://schemas.openxmlformats.org/officeDocument/2006/relationships/hyperlink" Target="http://www.sec.gov/Archives/edgar/data/1040829/000119312518060772/d503192dex1023.htm" TargetMode="External"/><Relationship Id="rId118" Type="http://schemas.openxmlformats.org/officeDocument/2006/relationships/hyperlink" Target="http://www.sec.gov/Archives/edgar/data/1040829/000095014403004173/g81512exv10w36.txt" TargetMode="External"/><Relationship Id="rId119" Type="http://schemas.openxmlformats.org/officeDocument/2006/relationships/hyperlink" Target="http://www.sec.gov/Archives/edgar/data/1040829/000119312516582078/d92622dex101.htm" TargetMode="External"/><Relationship Id="rId120" Type="http://schemas.openxmlformats.org/officeDocument/2006/relationships/hyperlink" Target="http://www.sec.gov/Archives/edgar/data/1040829/000119312517061161/d285683dex1043.htm" TargetMode="External"/><Relationship Id="rId121" Type="http://schemas.openxmlformats.org/officeDocument/2006/relationships/hyperlink" Target="http://www.sec.gov/Archives/edgar/data/1040829/000119312516671549/d199388dex101.htm" TargetMode="External"/><Relationship Id="rId122" Type="http://schemas.openxmlformats.org/officeDocument/2006/relationships/hyperlink" Target="http://www.sec.gov/Archives/edgar/data/1040829/000119312516671549/d199388dex102.htm" TargetMode="External"/><Relationship Id="rId123" Type="http://schemas.openxmlformats.org/officeDocument/2006/relationships/hyperlink" Target="http://www.sec.gov/Archives/edgar/data/1040829/000119312516671549/d199388dex103.htm" TargetMode="External"/><Relationship Id="rId124" Type="http://schemas.openxmlformats.org/officeDocument/2006/relationships/hyperlink" Target="https://www.sec.gov/Archives/edgar/data/1040829/000155837021001956/rhp-20201231xex10d4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2022-02-25T12:20:31Z</dcterms:created>
  <dcterms:modified xsi:type="dcterms:W3CDTF">2022-02-25T12:20:31Z</dcterms:modified>
</cp:coreProperties>
</file>