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134620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04" w:lineRule="exact"/>
        <w:rPr>
          <w:sz w:val="24"/>
          <w:szCs w:val="24"/>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346"/>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04"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46" w:type="dxa"/>
        <w:tblCellMar>
          <w:top w:w="0" w:type="dxa"/>
          <w:left w:w="0" w:type="dxa"/>
          <w:bottom w:w="0" w:type="dxa"/>
          <w:right w:w="0" w:type="dxa"/>
        </w:tblCellMar>
      </w:tblP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2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40" w:type="dxa"/>
            <w:vAlign w:val="bottom"/>
            <w:gridSpan w:val="5"/>
          </w:tcPr>
          <w:p>
            <w:pPr>
              <w:jc w:val="center"/>
              <w:ind w:left="715"/>
              <w:spacing w:after="0"/>
              <w:rPr>
                <w:sz w:val="20"/>
                <w:szCs w:val="20"/>
                <w:color w:val="auto"/>
              </w:rPr>
            </w:pPr>
            <w:r>
              <w:rPr>
                <w:rFonts w:ascii="Times New Roman" w:cs="Times New Roman" w:eastAsia="Times New Roman" w:hAnsi="Times New Roman"/>
                <w:sz w:val="18"/>
                <w:szCs w:val="18"/>
                <w:b w:val="1"/>
                <w:bCs w:val="1"/>
                <w:color w:val="auto"/>
                <w:w w:val="99"/>
              </w:rPr>
              <w:t>Commission File No. 1-13079</w:t>
            </w:r>
          </w:p>
        </w:tc>
        <w:tc>
          <w:tcPr>
            <w:tcW w:w="2440" w:type="dxa"/>
            <w:vAlign w:val="bottom"/>
          </w:tcPr>
          <w:p>
            <w:pPr>
              <w:spacing w:after="0"/>
              <w:rPr>
                <w:sz w:val="20"/>
                <w:szCs w:val="20"/>
                <w:color w:val="auto"/>
              </w:rPr>
            </w:pPr>
          </w:p>
        </w:tc>
      </w:tr>
      <w:tr>
        <w:trPr>
          <w:trHeight w:val="295"/>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r>
      <w:tr>
        <w:trPr>
          <w:trHeight w:val="212"/>
        </w:trPr>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80" w:type="dxa"/>
            <w:vAlign w:val="bottom"/>
            <w:gridSpan w:val="6"/>
          </w:tcPr>
          <w:p>
            <w:pPr>
              <w:jc w:val="center"/>
              <w:ind w:right="1555"/>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r>
      <w:tr>
        <w:trPr>
          <w:trHeight w:val="301"/>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gridSpan w:val="2"/>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535"/>
              <w:spacing w:after="0"/>
              <w:rPr>
                <w:sz w:val="20"/>
                <w:szCs w:val="20"/>
                <w:color w:val="auto"/>
              </w:rPr>
            </w:pPr>
            <w:r>
              <w:rPr>
                <w:rFonts w:ascii="Times New Roman" w:cs="Times New Roman" w:eastAsia="Times New Roman" w:hAnsi="Times New Roman"/>
                <w:sz w:val="16"/>
                <w:szCs w:val="16"/>
                <w:b w:val="1"/>
                <w:bCs w:val="1"/>
                <w:color w:val="auto"/>
              </w:rPr>
              <w:t>73-0664379</w:t>
            </w:r>
          </w:p>
        </w:tc>
      </w:tr>
      <w:tr>
        <w:trPr>
          <w:trHeight w:val="212"/>
        </w:trPr>
        <w:tc>
          <w:tcPr>
            <w:tcW w:w="4880" w:type="dxa"/>
            <w:vAlign w:val="bottom"/>
            <w:gridSpan w:val="5"/>
          </w:tcPr>
          <w:p>
            <w:pPr>
              <w:jc w:val="center"/>
              <w:ind w:left="475"/>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87"/>
        </w:trPr>
        <w:tc>
          <w:tcPr>
            <w:tcW w:w="720" w:type="dxa"/>
            <w:vAlign w:val="bottom"/>
          </w:tcPr>
          <w:p>
            <w:pPr>
              <w:spacing w:after="0"/>
              <w:rPr>
                <w:sz w:val="24"/>
                <w:szCs w:val="24"/>
                <w:color w:val="auto"/>
              </w:rPr>
            </w:pPr>
          </w:p>
        </w:tc>
        <w:tc>
          <w:tcPr>
            <w:tcW w:w="3660" w:type="dxa"/>
            <w:vAlign w:val="bottom"/>
            <w:gridSpan w:val="3"/>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One Gaylord Drive, Nashville, Tennessee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715"/>
              <w:spacing w:after="0"/>
              <w:rPr>
                <w:sz w:val="20"/>
                <w:szCs w:val="20"/>
                <w:color w:val="auto"/>
              </w:rPr>
            </w:pPr>
            <w:r>
              <w:rPr>
                <w:rFonts w:ascii="Times New Roman" w:cs="Times New Roman" w:eastAsia="Times New Roman" w:hAnsi="Times New Roman"/>
                <w:sz w:val="16"/>
                <w:szCs w:val="16"/>
                <w:b w:val="1"/>
                <w:bCs w:val="1"/>
                <w:color w:val="auto"/>
              </w:rPr>
              <w:t>37214</w:t>
            </w:r>
          </w:p>
        </w:tc>
      </w:tr>
      <w:tr>
        <w:trPr>
          <w:trHeight w:val="212"/>
        </w:trPr>
        <w:tc>
          <w:tcPr>
            <w:tcW w:w="720" w:type="dxa"/>
            <w:vAlign w:val="bottom"/>
          </w:tcPr>
          <w:p>
            <w:pPr>
              <w:spacing w:after="0"/>
              <w:rPr>
                <w:sz w:val="18"/>
                <w:szCs w:val="18"/>
                <w:color w:val="auto"/>
              </w:rPr>
            </w:pPr>
          </w:p>
        </w:tc>
        <w:tc>
          <w:tcPr>
            <w:tcW w:w="3660" w:type="dxa"/>
            <w:vAlign w:val="bottom"/>
            <w:gridSpan w:val="3"/>
          </w:tcPr>
          <w:p>
            <w:pPr>
              <w:jc w:val="center"/>
              <w:ind w:left="275"/>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center"/>
              <w:ind w:right="1495"/>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97"/>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(615) 316-6000</w:t>
            </w:r>
          </w:p>
        </w:tc>
      </w:tr>
      <w:tr>
        <w:trPr>
          <w:trHeight w:val="297"/>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98"/>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720" w:type="dxa"/>
            <w:vAlign w:val="bottom"/>
          </w:tcPr>
          <w:p>
            <w:pPr>
              <w:spacing w:after="0"/>
              <w:rPr>
                <w:sz w:val="20"/>
                <w:szCs w:val="20"/>
                <w:color w:val="auto"/>
              </w:rPr>
            </w:pPr>
          </w:p>
        </w:tc>
        <w:tc>
          <w:tcPr>
            <w:tcW w:w="36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Title of Each Class</w:t>
            </w:r>
          </w:p>
        </w:tc>
        <w:tc>
          <w:tcPr>
            <w:tcW w:w="2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20" w:type="dxa"/>
            <w:vAlign w:val="bottom"/>
          </w:tcPr>
          <w:p>
            <w:pPr>
              <w:spacing w:after="0"/>
              <w:rPr>
                <w:sz w:val="19"/>
                <w:szCs w:val="19"/>
                <w:color w:val="auto"/>
              </w:rPr>
            </w:pPr>
          </w:p>
        </w:tc>
        <w:tc>
          <w:tcPr>
            <w:tcW w:w="3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RHP</w:t>
            </w:r>
          </w:p>
        </w:tc>
        <w:tc>
          <w:tcPr>
            <w:tcW w:w="34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6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70" w:lineRule="exact"/>
        <w:rPr>
          <w:sz w:val="24"/>
          <w:szCs w:val="24"/>
          <w:color w:val="auto"/>
        </w:rPr>
      </w:pPr>
    </w:p>
    <w:p>
      <w:pPr>
        <w:ind w:left="6" w:right="3000"/>
        <w:spacing w:after="0" w:line="22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56" w:lineRule="exact"/>
        <w:rPr>
          <w:sz w:val="24"/>
          <w:szCs w:val="24"/>
          <w:color w:val="auto"/>
        </w:rPr>
      </w:pPr>
    </w:p>
    <w:p>
      <w:pPr>
        <w:ind w:left="6" w:right="2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2" w:lineRule="exact"/>
        <w:rPr>
          <w:sz w:val="24"/>
          <w:szCs w:val="24"/>
          <w:color w:val="auto"/>
        </w:rPr>
      </w:pPr>
    </w:p>
    <w:p>
      <w:pPr>
        <w:ind w:left="6"/>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56" w:lineRule="exact"/>
        <w:rPr>
          <w:sz w:val="24"/>
          <w:szCs w:val="24"/>
          <w:color w:val="auto"/>
        </w:rPr>
      </w:pPr>
    </w:p>
    <w:p>
      <w:pPr>
        <w:ind w:left="6"/>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22"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23" w:lineRule="exact"/>
        <w:rPr>
          <w:sz w:val="24"/>
          <w:szCs w:val="24"/>
          <w:color w:val="auto"/>
        </w:rPr>
      </w:pPr>
    </w:p>
    <w:p>
      <w:pPr>
        <w:sectPr>
          <w:pgSz w:w="11900" w:h="16838" w:orient="portrait"/>
          <w:cols w:equalWidth="0" w:num="2">
            <w:col w:w="3466" w:space="720"/>
            <w:col w:w="6040"/>
          </w:cols>
          <w:pgMar w:left="834" w:top="661" w:right="839" w:bottom="1440" w:gutter="0" w:footer="0" w:header="0"/>
          <w:type w:val="continuous"/>
        </w:sect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2">
            <w:col w:w="3466" w:space="720"/>
            <w:col w:w="6040"/>
          </w:cols>
          <w:pgMar w:left="834" w:top="661" w:right="839" w:bottom="1440" w:gutter="0" w:footer="0" w:header="0"/>
          <w:type w:val="continuous"/>
        </w:sectPr>
      </w:pPr>
    </w:p>
    <w:p>
      <w:pPr>
        <w:jc w:val="both"/>
        <w:ind w:left="6"/>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jc w:val="both"/>
        <w:ind w:left="6"/>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6"/>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92" w:lineRule="exact"/>
        <w:rPr>
          <w:sz w:val="24"/>
          <w:szCs w:val="24"/>
          <w:color w:val="auto"/>
        </w:rPr>
      </w:pPr>
    </w:p>
    <w:p>
      <w:pPr>
        <w:jc w:val="both"/>
        <w:ind w:left="6"/>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shares of Common Stock held by non-affiliates of the registrant based on the closing price of the Common Stock on the New York Stock Exchange on June 30, 2022 of $76.03 per share was approximately $4,059,031,553 (assuming for this purpose that shares beneficially owned by persons other than officers or directors of the registrant, and their affiliates, are held by non-affiliates).</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January 31, 2023 there were 55,166,920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6" w:lineRule="exact"/>
        <w:rPr>
          <w:sz w:val="24"/>
          <w:szCs w:val="24"/>
          <w:color w:val="auto"/>
        </w:rPr>
      </w:pPr>
    </w:p>
    <w:p>
      <w:pPr>
        <w:jc w:val="both"/>
        <w:ind w:left="6"/>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2023 Annual Meeting of Stockholders to be filed with the Securities and Exchange Commission are incorporated by reference into Part III of this Form 10-K</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631190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99695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2022 ANNUAL REPORT ON FORM 10-K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4"/>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3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tcPr>
          <w:p>
            <w:pPr>
              <w:spacing w:after="0"/>
              <w:rPr>
                <w:sz w:val="24"/>
                <w:szCs w:val="24"/>
                <w:color w:val="auto"/>
              </w:rPr>
            </w:pPr>
          </w:p>
        </w:tc>
        <w:tc>
          <w:tcPr>
            <w:tcW w:w="34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1A.Risk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1B.Unresolved Staff Comments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7"/>
                <w:szCs w:val="17"/>
                <w:color w:val="auto"/>
              </w:rPr>
            </w:pPr>
          </w:p>
        </w:tc>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38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3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7A.Quantitative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3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0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9A.Controls and Procedures</w:t>
            </w:r>
          </w:p>
        </w:tc>
        <w:tc>
          <w:tcPr>
            <w:tcW w:w="56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9B.Other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9C.Disclosure Regarding Foreign Jurisdictions that Prevent Inspections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820" w:type="dxa"/>
            <w:vAlign w:val="bottom"/>
            <w:tcBorders>
              <w:top w:val="single" w:sz="8" w:color="0000EE"/>
            </w:tcBorders>
            <w:gridSpan w:val="3"/>
          </w:tcPr>
          <w:p>
            <w:pPr>
              <w:spacing w:after="0"/>
              <w:rPr>
                <w:sz w:val="24"/>
                <w:szCs w:val="24"/>
                <w:color w:val="auto"/>
              </w:rPr>
            </w:pPr>
          </w:p>
        </w:tc>
        <w:tc>
          <w:tcPr>
            <w:tcW w:w="25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40" w:type="dxa"/>
            <w:vAlign w:val="bottom"/>
          </w:tcPr>
          <w:p>
            <w:pPr>
              <w:spacing w:after="0"/>
              <w:rPr>
                <w:sz w:val="24"/>
                <w:szCs w:val="24"/>
                <w:color w:val="auto"/>
              </w:rPr>
            </w:pPr>
          </w:p>
        </w:tc>
        <w:tc>
          <w:tcPr>
            <w:tcW w:w="4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40" w:type="dxa"/>
            <w:vAlign w:val="bottom"/>
          </w:tcPr>
          <w:p>
            <w:pPr>
              <w:spacing w:after="0"/>
              <w:rPr>
                <w:sz w:val="17"/>
                <w:szCs w:val="17"/>
                <w:color w:val="auto"/>
              </w:rPr>
            </w:pPr>
          </w:p>
        </w:tc>
        <w:tc>
          <w:tcPr>
            <w:tcW w:w="73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4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6"/>
          </w:tcPr>
          <w:p>
            <w:pPr>
              <w:jc w:val="center"/>
              <w:ind w:right="334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40" w:type="dxa"/>
            <w:vAlign w:val="bottom"/>
          </w:tcPr>
          <w:p>
            <w:pPr>
              <w:spacing w:after="0"/>
              <w:rPr>
                <w:sz w:val="24"/>
                <w:szCs w:val="24"/>
                <w:color w:val="auto"/>
              </w:rPr>
            </w:pPr>
          </w:p>
        </w:tc>
        <w:tc>
          <w:tcPr>
            <w:tcW w:w="3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5"/>
          </w:tcPr>
          <w:p>
            <w:pPr>
              <w:spacing w:after="0"/>
              <w:rPr>
                <w:sz w:val="24"/>
                <w:szCs w:val="24"/>
                <w:color w:val="auto"/>
              </w:rPr>
            </w:pPr>
          </w:p>
        </w:tc>
        <w:tc>
          <w:tcPr>
            <w:tcW w:w="336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42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243"/>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recovery of travel, transient and group demand from periods affected by COVID-19, and potential effects of COVID-19 on our results of operations and liquidity; (ii) the effect of our election to be taxed as a real estate investment trust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2023; (x) our ability to borrow available funds under our credit facility; (xi) our expectations about successfully amending the agreements governing our indebtedness should the need arise; (xii) the effects of inflation and increased costs on our business and on our customers, including group customers at our hotels; and (xiii) any other business or operational matters. We have based these forward-looking statements on our current expectations and projections about future events.</w:t>
      </w:r>
    </w:p>
    <w:p>
      <w:pPr>
        <w:spacing w:after="0" w:line="200" w:lineRule="exact"/>
        <w:rPr>
          <w:sz w:val="20"/>
          <w:szCs w:val="20"/>
          <w:color w:val="auto"/>
        </w:rPr>
      </w:pPr>
    </w:p>
    <w:p>
      <w:pPr>
        <w:spacing w:after="0" w:line="201"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Item 1A, “Risk Factors,” Item 7, “Management’s Discussion and Analysis of Financial Condition and Results of Operations,” and elsewhere in this report.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has had, and widespread or severe outbreaks of COVID-19, including new variants, may in the future have, a material adverse effect on our financial condition, results of operations, cash flows and our ability to make distributions to our shareholders.</w:t>
      </w:r>
    </w:p>
    <w:p>
      <w:pPr>
        <w:spacing w:after="0" w:line="67"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of our Hospitality segment revenue, is concentrated in Marriott.</w:t>
      </w:r>
    </w:p>
    <w:p>
      <w:pPr>
        <w:spacing w:after="0" w:line="75"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6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the hospitality industry, and in particular the group-oriented meetings sector of the hospitality industry, exposes us to certain risks outside of our and Marriott’s control. In addition, the geographic concentration of our current hotel properties subjects us to a greater degree of risk to certain factors.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TRS lessee structure subjects us to the risk of increased hotel operating expenses and the inability of our TRS lessees to make lease payments to us.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hotel manager rely on information technology in our operations, and any material failure, inadequacy, interruption, or security failure could harm our business. In addition, changes in privacy and data security laws could increase our operating costs and increase our exposure to fines and litigation, and cyber security incidents could have a disruptive effect on our business.</w:t>
      </w:r>
    </w:p>
    <w:p>
      <w:pPr>
        <w:spacing w:after="0" w:line="71" w:lineRule="exact"/>
        <w:rPr>
          <w:rFonts w:ascii="Times New Roman" w:cs="Times New Roman" w:eastAsia="Times New Roman" w:hAnsi="Times New Roman"/>
          <w:sz w:val="18"/>
          <w:szCs w:val="18"/>
          <w:color w:val="auto"/>
        </w:rPr>
      </w:pPr>
    </w:p>
    <w:p>
      <w:pPr>
        <w:jc w:val="both"/>
        <w:ind w:left="720" w:right="5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are subject to numerous risks, including environmental regulations that could impose significant financial liability on us and illiquidity of real estate investments. Moreover, compliance with the Americans with Disabilities Act could require us to incur substantial costs.</w:t>
      </w:r>
    </w:p>
    <w:p>
      <w:pPr>
        <w:spacing w:after="0" w:line="6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of hotel properties and operator of leisure businesses, we are subject to risks relating to acts of God, outbreaks of pandemic disease, terrorist activity and war. Our operating results and ability to service debt and make distributions to stockholders may be adversely affected by operating risks common to the lodging industry.</w:t>
      </w:r>
    </w:p>
    <w:p>
      <w:pPr>
        <w:spacing w:after="0" w:line="67" w:lineRule="exact"/>
        <w:rPr>
          <w:rFonts w:ascii="Times New Roman" w:cs="Times New Roman" w:eastAsia="Times New Roman" w:hAnsi="Times New Roman"/>
          <w:sz w:val="18"/>
          <w:szCs w:val="18"/>
          <w:color w:val="auto"/>
        </w:rPr>
      </w:pPr>
    </w:p>
    <w:p>
      <w:pPr>
        <w:ind w:left="720" w:right="179" w:hanging="319"/>
        <w:spacing w:after="0" w:line="277"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associated with our hotel managers’ employment of hotel personnel, particularly with hotels whose managers employ unionized labor, which could increase our hotels’ operating costs, including, but not limited to, an increase in wages and benefit costs, reduce the flexibility of our third-party hotel managers to adjust the size of the workforce at our hotel properties and impair our ability to make distributions to our stockholders. Our business could suffer if we or our hotel managers cannot attract and retain qualified personnel.</w:t>
      </w:r>
    </w:p>
    <w:p>
      <w:pPr>
        <w:spacing w:after="0" w:line="59" w:lineRule="exact"/>
        <w:rPr>
          <w:rFonts w:ascii="Times New Roman" w:cs="Times New Roman" w:eastAsia="Times New Roman" w:hAnsi="Times New Roman"/>
          <w:sz w:val="17"/>
          <w:szCs w:val="17"/>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the trademarks and intellectual property used in our business could reduce the value of our brand names and harm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intended long-term economic benefits of the OEG Transaction or the Block 21 acquisition.</w:t>
      </w:r>
    </w:p>
    <w:p>
      <w:pPr>
        <w:spacing w:after="0" w:line="53" w:lineRule="exact"/>
        <w:rPr>
          <w:rFonts w:ascii="Times New Roman" w:cs="Times New Roman" w:eastAsia="Times New Roman" w:hAnsi="Times New Roman"/>
          <w:sz w:val="18"/>
          <w:szCs w:val="18"/>
          <w:color w:val="auto"/>
        </w:rPr>
      </w:pPr>
    </w:p>
    <w:p>
      <w:pPr>
        <w:jc w:val="both"/>
        <w:ind w:left="720" w:right="1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67"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pacing w:after="0" w:line="67"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67" w:lineRule="exact"/>
        <w:rPr>
          <w:rFonts w:ascii="Times New Roman" w:cs="Times New Roman" w:eastAsia="Times New Roman" w:hAnsi="Times New Roman"/>
          <w:sz w:val="18"/>
          <w:szCs w:val="18"/>
          <w:color w:val="auto"/>
        </w:rPr>
      </w:pPr>
    </w:p>
    <w:p>
      <w:pPr>
        <w:ind w:left="720" w:right="3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w:t>
      </w:r>
    </w:p>
    <w:p>
      <w:pPr>
        <w:spacing w:after="0" w:line="67"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revoke our REIT qualification, without stockholder approval, may cause adverse consequences to our stockholders.</w:t>
      </w:r>
    </w:p>
    <w:p>
      <w:pPr>
        <w:spacing w:after="0" w:line="53"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TRSs may cause us to fail to qualify as a REIT, and if our leases of our hotel properties to TRS lessees are not true leases for federal income tax purposes, we may fail to qualify as a REIT.</w:t>
      </w:r>
    </w:p>
    <w:p>
      <w:pPr>
        <w:spacing w:after="0" w:line="53"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fails to qualify as an “eligible independent contractor,” or if our hotels are not “qualified lodging facilities,” we may fail to qualify as a REIT.</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distributions are not guaranteed and may fluctuate.</w:t>
      </w:r>
    </w:p>
    <w:p>
      <w:pPr>
        <w:spacing w:after="0" w:line="117"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in, and in the future may invest in, mortgage loans, mezzanine debt, joint ventures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7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67"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our subsidiaries’ cash flow to meet our debt service obligations. To service our debt and pay other obligations, we will require a significant amount of cash, which may not be available to us.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various covenants that may limit our ability to operate our business and impair our ability to make distributions to our stockholders in accordance with our announced intended dividend policy or otherwise.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limitations in our charter may restrict or prevent stockholders from engaging in certain transfers of our common stock.</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general risks, including, but not limited to, risks related to our environmental, social and governance practices, class actions and other lawsuits, the market price of our common stock, and our board of directors’ ability to change our major policies.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federal and state corporate income taxes.</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owned assets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97 years; the Ryman Auditorium, the storied live music venue and former home of the Grand Ole Opry located in downtown Nashville; WSM-AM, the Opry’s radio home; Ole Red, a brand of Blake Shelton-themed bar, music venue and event spaces; two Nashville-based assets – the Wildhorse Saloon and the General Jackson Showboat (“General Jackson”); and as of May 31, 2022, Block 21, a mixed-use entertainment, lodging, office, and retail complex located in Austin, Texas (“Block 21”). Prior to June 16, 2022, we owned 100% of OEG. We also own a 50% interest in a joint venture that creates and distributes a linear multicast and over-the-top channel dedicated to the country music lifestyle (“Circle”).</w:t>
      </w:r>
    </w:p>
    <w:p>
      <w:pPr>
        <w:spacing w:after="0" w:line="18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operations are organized into three principal business segments: (i) Hospitality, which includes our Gaylord Hotels properties, the Inn at Opryland and the AC Hotel; (ii) Entertainment, which includes the entertainment and media assets comprising OEG; and (iii) Corporate and Other, which includes corporate expenses. These three business segments — Hospitality, Entertainment, and Corporate and Other — represented approximately 85%, 15% and 0%, respectively, of our total revenues for the fiscal year ended December 31, 2022.</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Financial information by business segment and for each of our Gaylord Hotels properties as of December 31, 2022 and for each of the three years then ended appears in Item 7, “Management’s Discussion and Analysis of Financial Condition and Results of Operations,” and in “Note 13 – Financial Reporting by Business Segments” to our consolidated financial statements included in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Long-Term Strategic Plan</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0" w:lineRule="exact"/>
        <w:rPr>
          <w:sz w:val="20"/>
          <w:szCs w:val="20"/>
          <w:color w:val="auto"/>
        </w:rPr>
      </w:pPr>
    </w:p>
    <w:p>
      <w:pPr>
        <w:ind w:left="720" w:right="11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Existing Hotel Property Design. </w:t>
      </w:r>
      <w:r>
        <w:rPr>
          <w:rFonts w:ascii="Times New Roman" w:cs="Times New Roman" w:eastAsia="Times New Roman" w:hAnsi="Times New Roman"/>
          <w:sz w:val="18"/>
          <w:szCs w:val="18"/>
          <w:color w:val="auto"/>
        </w:rPr>
        <w:t>Our Gaylord Hotels properties focus on the large group meetings and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leisure transient markets in the 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82"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Hotel Asset Portfolio. </w:t>
      </w:r>
      <w:r>
        <w:rPr>
          <w:rFonts w:ascii="Times New Roman" w:cs="Times New Roman" w:eastAsia="Times New Roman" w:hAnsi="Times New Roman"/>
          <w:sz w:val="18"/>
          <w:szCs w:val="18"/>
          <w:color w:val="auto"/>
        </w:rPr>
        <w:t>Part of our long-term growth strategy includes acquisitions or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w:t>
      </w:r>
    </w:p>
    <w:p>
      <w:pPr>
        <w:spacing w:after="0" w:line="188"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Investment in Our Existing Properties. </w:t>
      </w:r>
      <w:r>
        <w:rPr>
          <w:rFonts w:ascii="Times New Roman" w:cs="Times New Roman" w:eastAsia="Times New Roman" w:hAnsi="Times New Roman"/>
          <w:sz w:val="18"/>
          <w:szCs w:val="18"/>
          <w:color w:val="auto"/>
        </w:rPr>
        <w:t>We continuously evaluate and invest in our current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 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w:t>
      </w:r>
    </w:p>
    <w:p>
      <w:pPr>
        <w:spacing w:after="0" w:line="182"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Brand Name Awareness. </w:t>
      </w:r>
      <w:r>
        <w:rPr>
          <w:rFonts w:ascii="Times New Roman" w:cs="Times New Roman" w:eastAsia="Times New Roman" w:hAnsi="Times New Roman"/>
          <w:sz w:val="18"/>
          <w:szCs w:val="18"/>
          <w:color w:val="auto"/>
        </w:rPr>
        <w:t>We believe the Grand Ole Opry is one of the most recognized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in Circle, and purchased Block 21. Further, in 2022, we completed a strategic transaction to sell a minority interest in OEG to an affiliate of Atairos Group, Inc. (“Atairos”) and its strategic partner NBCUniversal, who we believe will be able to help us expand the distribution of our OEG brands.</w:t>
      </w:r>
    </w:p>
    <w:p>
      <w:pPr>
        <w:spacing w:after="0" w:line="191"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through the payment of dividends, in addition to investing in our assets and operations. Due to the COVID-19 pandemic, we previously suspended our regular quarterly dividend payments. We reinstated our cash dividend in September 2022, and our interim dividend policy provides that we will make minimum dividends of 100% of REIT taxable income annually, subject to our board of directors’ future determinations as to the amount of any distributions and the timing thereof. See Item 7, “Management’s Discussion and Analysis of Financial Condition and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Hotel Portfolio</w:t>
      </w:r>
    </w:p>
    <w:p>
      <w:pPr>
        <w:spacing w:after="0" w:line="229" w:lineRule="exact"/>
        <w:rPr>
          <w:sz w:val="20"/>
          <w:szCs w:val="20"/>
          <w:color w:val="auto"/>
        </w:rPr>
      </w:pPr>
    </w:p>
    <w:p>
      <w:pPr>
        <w:jc w:val="both"/>
        <w:ind w:left="60" w:right="379"/>
        <w:spacing w:after="0" w:line="289" w:lineRule="auto"/>
        <w:rPr>
          <w:sz w:val="20"/>
          <w:szCs w:val="20"/>
          <w:color w:val="auto"/>
        </w:rPr>
      </w:pPr>
      <w:r>
        <w:rPr>
          <w:rFonts w:ascii="Times New Roman" w:cs="Times New Roman" w:eastAsia="Times New Roman" w:hAnsi="Times New Roman"/>
          <w:sz w:val="17"/>
          <w:szCs w:val="17"/>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country. Our Gaylord Hotels properties are routinely recognized by many industry and commercial publications, including being named a 2021 STELLA Award Finalist for best hotel chain by Northstar Meetings Group.</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Marriott is responsible for the day-to-day management of our Gaylord Hotels properties, the Inn at Opryland, and the AC Hotel. We believe that our Gaylord Hotels properties have benefitted and will continue to benefit from Marriott’s expansive sales force and popular frequent traveler program, as well as its ability to manage group business.</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Based on our information, publicly available information, and information and data obtained from Smith Travel Research, the top 10 hotels within the United States with the highest square footage of self-contained exhibit and meeting space as of January 2023 are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Exhibit and</w:t>
            </w: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(1)</w:t>
            </w:r>
          </w:p>
        </w:tc>
        <w:tc>
          <w:tcPr>
            <w:tcW w:w="16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 Space</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(sq. ft.)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Venetian Resort &amp; Casino</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NV</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Mandalay Bay Resort &amp; Casino</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Las Vegas, NV</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Opryland Resort &amp; Convention Center</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Nashville, TN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MGM Grand Las Vegas</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Las Vegas, NV</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National Resort &amp; Convention Center</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National Harbor, MD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Palms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Kissimmee,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Texan Resort &amp; Convention Center</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Grapevine,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Marriott Orlando World Center Resort</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Rosen Shingle Creek Resort</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Rockies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Aurora, CO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wp:posOffset>
            </wp:positionV>
            <wp:extent cx="1414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Bolded facilities are owned by the Company.</w:t>
      </w:r>
    </w:p>
    <w:p>
      <w:pPr>
        <w:spacing w:after="0" w:line="22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Opryland Resort and Convention Center — Nashville, Tennessee. </w:t>
      </w:r>
      <w:r>
        <w:rPr>
          <w:rFonts w:ascii="Times New Roman" w:cs="Times New Roman" w:eastAsia="Times New Roman" w:hAnsi="Times New Roman"/>
          <w:sz w:val="18"/>
          <w:szCs w:val="18"/>
          <w:color w:val="auto"/>
        </w:rPr>
        <w:t>Gaylord Opryland is one of the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Gaylord Springs Golf Links (“Gaylord Springs”) – our 18-hole championship golf course with a 40,000 square-foot antebellum-style clubhouse offering meeting space for up to 500 guests – and other attractions in the Nashville area. Gaylord Opryland has 2,888 signature guest rooms, four ballrooms with approximately 127,000 square feet, 111 banquet/meeting rooms, and total meeting, exhibit and pre-function space of approximately 640,000 square feet. Gaylord Opryland was named a 2021 STELLA Award Gold Winner for best sustainability initiative by Northstar Meetings Group, a 2022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 Conventions</w:t>
      </w:r>
      <w:r>
        <w:rPr>
          <w:rFonts w:ascii="Times New Roman" w:cs="Times New Roman" w:eastAsia="Times New Roman" w:hAnsi="Times New Roman"/>
          <w:sz w:val="18"/>
          <w:szCs w:val="18"/>
          <w:color w:val="auto"/>
        </w:rPr>
        <w:t>’ Hall of Fame. We opened the indoor sections of SoundWaves, a $90 million luxury indoor/outdoor waterpark with over 200,000 square feet of water attractions and amenities adjacent to Gaylord Opryland in December 2018 and the outdoor sections in May 2019.</w:t>
      </w:r>
    </w:p>
    <w:p>
      <w:pPr>
        <w:spacing w:after="0" w:line="18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Palms Resort and Convention Center — Kissimmee, Florida. </w:t>
      </w:r>
      <w:r>
        <w:rPr>
          <w:rFonts w:ascii="Times New Roman" w:cs="Times New Roman" w:eastAsia="Times New Roman" w:hAnsi="Times New Roman"/>
          <w:sz w:val="18"/>
          <w:szCs w:val="18"/>
          <w:color w:val="auto"/>
        </w:rPr>
        <w:t>Gaylord Palms has 1,718 signature guest rooms,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five ballrooms with approximately 115,000 square feet, 111 banquet/meeting rooms, and total meeting, exhibit and pre-function space of approximately 496,000 square feet. The resort is situated on a 65-acre site in Osceola County, Florida, which we have leased pursuant to a 75-year ground lease with a 24-year renewal option. The resort is approximately a five-minute drive from the main gate of the Walt Disney World® Resort complex. Gaylord Palms has a number of themed restaurants, retail outlets, a new resort rapid river, and a full-service spa with 20,000 square feet of dedicated space. Hotel guests also have golf privileges at Celebration Golf Club, located approximately two miles from the property. Gaylord Palms is rated as a AAA Four-Diamond Hotel, was named a 2021 STELLA Award Silver Winner for each of best hotel resort event space, best food and beverage, and best sustainability initiative by Northstar Meetings Group, a 2020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Conventions </w:t>
      </w:r>
      <w:r>
        <w:rPr>
          <w:rFonts w:ascii="Times New Roman" w:cs="Times New Roman" w:eastAsia="Times New Roman" w:hAnsi="Times New Roman"/>
          <w:sz w:val="18"/>
          <w:szCs w:val="18"/>
          <w:color w:val="auto"/>
        </w:rPr>
        <w:t>Hall of Fame. In 2021, we completed construction of a $158 million expansion of Gaylord Palms,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an additional 302 guest rooms and 96,000 square feet of meeting space, an expanded resort pool and events lawn, and a new multi-level parking structure.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Texan Resort and Convention Center — Grapevine, Texas. </w:t>
      </w:r>
      <w:r>
        <w:rPr>
          <w:rFonts w:ascii="Times New Roman" w:cs="Times New Roman" w:eastAsia="Times New Roman" w:hAnsi="Times New Roman"/>
          <w:sz w:val="18"/>
          <w:szCs w:val="18"/>
          <w:color w:val="auto"/>
        </w:rPr>
        <w:t>Gaylord Texan is situated on approximately 85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 and was named a 2021 STELLA Award Silver Winner for best convention center and a Bronze Winner for best décor/design by Northstar Meetings Group and a 2020 Award of Excellence Recipient from </w:t>
      </w:r>
      <w:r>
        <w:rPr>
          <w:rFonts w:ascii="Times New Roman" w:cs="Times New Roman" w:eastAsia="Times New Roman" w:hAnsi="Times New Roman"/>
          <w:sz w:val="18"/>
          <w:szCs w:val="18"/>
          <w:i w:val="1"/>
          <w:iCs w:val="1"/>
          <w:color w:val="auto"/>
        </w:rPr>
        <w:t>Corporate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Incentive Travel </w:t>
      </w:r>
      <w:r>
        <w:rPr>
          <w:rFonts w:ascii="Times New Roman" w:cs="Times New Roman" w:eastAsia="Times New Roman" w:hAnsi="Times New Roman"/>
          <w:sz w:val="18"/>
          <w:szCs w:val="18"/>
          <w:color w:val="auto"/>
        </w:rPr>
        <w:t>magazine.</w:t>
      </w:r>
    </w:p>
    <w:p>
      <w:pPr>
        <w:spacing w:after="0" w:line="18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National Resort and Convention Center — National Harbor, Maryland. </w:t>
      </w:r>
      <w:r>
        <w:rPr>
          <w:rFonts w:ascii="Times New Roman" w:cs="Times New Roman" w:eastAsia="Times New Roman" w:hAnsi="Times New Roman"/>
          <w:sz w:val="18"/>
          <w:szCs w:val="18"/>
          <w:color w:val="auto"/>
        </w:rPr>
        <w:t>Gaylord National is situated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500,000 square feet. The hotel complex includes an 18-story glass atrium, a 20,000 square foot spa and fitness center, a freestanding 24,000-square foot ballroom building offering 16,000 square feet of meeting space on the banks of the Potomac River that opened in May 2017, and entertainment options such as restaurants, shops, and a two-story rooftop nightclub. Gaylord National is rated as a AAA Four-Diamond Hotel, was named a 2021 STELLA Award Gold Winner for best food and beverage, a Silver Award Winner for best on-site support staff, and a Bronze Award Winner for best décor/design by Northstar Meetings Group, and a 2020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In 2021, we completed our renovation of all of the guestrooms at Gaylord National, and in 2022 we completed a re-concepting of the food and beverage options at Gaylord National.</w:t>
      </w:r>
    </w:p>
    <w:p>
      <w:pPr>
        <w:spacing w:after="0" w:line="1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Rockies Resort and Convention Center — Aurora, Colorado. </w:t>
      </w:r>
      <w:r>
        <w:rPr>
          <w:rFonts w:ascii="Times New Roman" w:cs="Times New Roman" w:eastAsia="Times New Roman" w:hAnsi="Times New Roman"/>
          <w:sz w:val="18"/>
          <w:szCs w:val="18"/>
          <w:color w:val="auto"/>
        </w:rPr>
        <w:t>Gaylord Rockies is situated on approximately 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Gaylord Rockies is rated as a AAA Four-Diamond Hotel and was awarded a 2021 STELLA Award Finalist for best convention center by Northstar Meetings Group. In 2022, we began a $98 million multi-year interior and exterior enhancement project at Gaylord Rockies to better position the property for our group customers.</w:t>
      </w:r>
    </w:p>
    <w:p>
      <w:pPr>
        <w:spacing w:after="0" w:line="18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The Inn at Opryland is located across the street from Gaylord Opryland. The hotel has 303 rooms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square feet of meeting space.</w:t>
      </w:r>
    </w:p>
    <w:p>
      <w:pPr>
        <w:spacing w:after="0" w:line="15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The AC Hotel is located near Gaylord National. The hotel has 192 rooms and approximately 3,700 square feet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meeting space.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Entertainment Portfolio</w:t>
      </w:r>
    </w:p>
    <w:p>
      <w:pPr>
        <w:spacing w:after="0" w:line="221" w:lineRule="exact"/>
        <w:rPr>
          <w:sz w:val="20"/>
          <w:szCs w:val="20"/>
          <w:color w:val="auto"/>
        </w:rPr>
      </w:pPr>
    </w:p>
    <w:p>
      <w:pPr>
        <w:ind w:left="60" w:right="9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Grand Ole Opry. </w:t>
      </w:r>
      <w:r>
        <w:rPr>
          <w:rFonts w:ascii="Times New Roman" w:cs="Times New Roman" w:eastAsia="Times New Roman" w:hAnsi="Times New Roman"/>
          <w:sz w:val="18"/>
          <w:szCs w:val="18"/>
          <w:color w:val="auto"/>
        </w:rPr>
        <w:t>The Grand Ole Opry, which celebrated its 97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anniversary in 2022, is one of the most widely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for country music in the world. The Opry features a live country music show with performances every Friday and Saturday night, as well as additional weekly performances on a seasonal basis. The Grand Ole Opry House, home of the Grand Ole Opry, seats approximately 4,400 and is located in the Opryland complex.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In 2019, we completed construction of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approximately $20 million expansion to the Grand Ole Opry House, which includes a larger retail space, additional food and beverage options, a redesigned box office, VIP lounge area with a backstage tour theater, and additional parking.</w:t>
      </w:r>
    </w:p>
    <w:p>
      <w:pPr>
        <w:spacing w:after="0" w:line="136"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Ryman Auditorium. </w:t>
      </w:r>
      <w:r>
        <w:rPr>
          <w:rFonts w:ascii="Times New Roman" w:cs="Times New Roman" w:eastAsia="Times New Roman" w:hAnsi="Times New Roman"/>
          <w:sz w:val="18"/>
          <w:szCs w:val="18"/>
          <w:color w:val="auto"/>
        </w:rPr>
        <w:t>The Ryman Auditorium, which was built in 1892 and seats approximately 2,300, is designated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Historic Landmark. The former home of the Grand Ole Opry, the Ryman Auditorium was renovated and re-opened in 1994 for concerts and musical productions. The Grand Ole Opry returns to the Ryman Auditorium periodically, most recently in January 2023. Ryman Auditorium has won numerous awards, including “Theatre of the Year” by Pollstar Concert Industry Awards, “Venue of the Year” by the Country Music Association, and “Venue of the Year – Small Capacity” by the Academy of Country Music, winning each on several occasions.</w:t>
      </w:r>
    </w:p>
    <w:p>
      <w:pPr>
        <w:spacing w:after="0" w:line="182" w:lineRule="exact"/>
        <w:rPr>
          <w:sz w:val="20"/>
          <w:szCs w:val="20"/>
          <w:color w:val="auto"/>
        </w:rPr>
      </w:pPr>
    </w:p>
    <w:p>
      <w:pPr>
        <w:ind w:left="60" w:right="5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Block 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May 31, 2022, we purchased Block 21, a mixed-use entertainment, lodging, office, and retail complex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located in Austin, Texas. Block 21 is the home of the Austin City Limits Live at the Moody Theater (“ACL Live”), a</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2,750-seat entertainment venue that serves as the filming location for the Austin City Limits television series. The Block 21 complex also includes the 251-room W Austin, which Marriott manages, the 3TEN at ACL Live club and approximately 53,000 square feet of other Class A commercial space.</w:t>
      </w:r>
    </w:p>
    <w:p>
      <w:pPr>
        <w:spacing w:after="0" w:line="182"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 Red. </w:t>
      </w:r>
      <w:r>
        <w:rPr>
          <w:rFonts w:ascii="Times New Roman" w:cs="Times New Roman" w:eastAsia="Times New Roman" w:hAnsi="Times New Roman"/>
          <w:sz w:val="18"/>
          <w:szCs w:val="18"/>
          <w:color w:val="auto"/>
        </w:rPr>
        <w:t>In May 2018, we opened our flagship Ole Red location, a multi-level entertainment venue in downtown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Nashville. We own additional Ole Red locations in Gatlinburg, Tennessee; Orlando, Florida; Tishomingo, Oklahoma; and at the Nashville International Airport, and have announced a new location in Las Vegas, Nevada (scheduled to open in 2023). Each of these restaurant, bar and live music venues showcase curated country music talent alongside concert-quality production and sound capabilities.</w:t>
      </w:r>
    </w:p>
    <w:p>
      <w:pPr>
        <w:spacing w:after="0" w:line="179"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WSM-AM. </w:t>
      </w:r>
      <w:r>
        <w:rPr>
          <w:rFonts w:ascii="Times New Roman" w:cs="Times New Roman" w:eastAsia="Times New Roman" w:hAnsi="Times New Roman"/>
          <w:sz w:val="18"/>
          <w:szCs w:val="18"/>
          <w:color w:val="auto"/>
        </w:rPr>
        <w:t>WSM-AM commenced broadcasting in 1925. The involvement of Ryman’s predecessors with country music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General Jackson Showboat. </w:t>
      </w:r>
      <w:r>
        <w:rPr>
          <w:rFonts w:ascii="Times New Roman" w:cs="Times New Roman" w:eastAsia="Times New Roman" w:hAnsi="Times New Roman"/>
          <w:sz w:val="18"/>
          <w:szCs w:val="18"/>
          <w:color w:val="auto"/>
        </w:rPr>
        <w:t>We own the General Jackson Showboat, a 300-foot, four-deck paddle wheel showboat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8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Wildhorse Saloon. </w:t>
      </w:r>
      <w:r>
        <w:rPr>
          <w:rFonts w:ascii="Times New Roman" w:cs="Times New Roman" w:eastAsia="Times New Roman" w:hAnsi="Times New Roman"/>
          <w:sz w:val="18"/>
          <w:szCs w:val="18"/>
          <w:color w:val="auto"/>
        </w:rPr>
        <w:t>Since 1994, we have owned the Wildhorse Saloon, a country music performance venue on historic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Avenue in downtown Nashville. The three-story facility includes a dance floor of approximately 2,000 square feet, as well as a restaurant and banquet facility that can accommodate up to 2,000 guests. Marriott manages the day-to-day operations of the Wildhorse Saloon.</w:t>
      </w:r>
    </w:p>
    <w:p>
      <w:pPr>
        <w:spacing w:after="0" w:line="1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Circle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2019, we acquired a 50% equity interest in Circle, a media network dedicated to the country lifestyle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Circle offers entertainment news, documentaries, movies, and archival, new and licensed programming, as well as Grand Ole Opry performances. We have made $31.0 million in capital contributions through December 31, 2022, and intend to contribute up to an additional $12.2 million through December 31, 2023 for working capital needs. Circle launched its broadcast network on January 1, 2020, with sixteen original shows and two major distribution partnerships. As of February 2023, Circle is available to more than 70% of U.S. television households via over-the-air and cable television and is available through multiple online streaming services.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Our Corporate and Other segment includes operating and general and administrative expenses related to the overall management of the Company which are not allocated to the other reportable segments, including certain costs for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retirement plans, equity-based compensation plans, information technology, human resources, accounting, and other administrative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All of our assets are held by, and all of our operations are conducted through, RHP Hotel Properties, LP, a Delaware limited partnership (the “Operating Partnership”), of which we own, directly or indirectly, 99.3% of the partnership interests (collectively, the “OP Units”), including all of the general partnership interests. The Operating Partnership’s limited partnership agreement provides that the OP Units held by other persons may be exchanged on a one-for-one basis for shares of our common stock. Under certain circumstances, we may issue such OP Units as consideration to acquire hotel properties. By offering OP Units, the seller of such hotel property could defer federal income tax on any of the seller’s gains on sale, and this tax advantage may enable us to acquire hotel properties in the future which otherwise may not be available for sale.</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94"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 addition, we own our Entertainment businesses in TRSs, and certain of those TRSs have engaged Marriott to manage their assets, as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Status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create unique destination and entertainment experiences for our customers. This work requires a strong, people-centric culture that celebrates diversity, provides opportunities for growth and improves the communities we serve. Providing competitive compensation and benefits to our employees is fundamental to the success of our organization. We believe that caring for the people who work in our businesses and communities leads to a more positive experience for our guests and gives us a competitive advantage in the industries in which we operate.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employ a highly engaged, high-performing and satisfied workforce.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of December 31, 2022, we employed 1,269 people, including 689 full-time and 580 part-time and on-call employees in our Entertainment and Corporate segments. Fifty-four percent of our population identify as female and 46% identify as male. Women held 50% of leadership positions as of December 31, 2022. We do not have any employees in our direct employment represented by collective bargaining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Hotels and Managed Attractions</w:t>
      </w:r>
    </w:p>
    <w:p>
      <w:pPr>
        <w:spacing w:after="0" w:line="22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While our hotel operator, Marriott, is responsible for hiring and managing the workforce at our Gaylord Hotels properties, as well as the Inn at Opryland, the AC Hotel, Gaylord Springs, the General Jackson, the Wildhorse Saloon and the W Austin, we receive periodic updates from Marriott concerning Marriott’s policies, and we believe they reflect our people-first approach.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Philosophy and Culture</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people-first philosophy centers around creating a workplace culture where all employees feel respected, valued and inspired. We prioritize communication to ensure our employees feel connected to our company’s goals and engaged in the communities we serve. Our commitment to an inclusive work environment is a top priority as we continue the work of our diversity council, as well as our enhanced recruiting practices to attract, retain and develop diverse talent. Additionally, our Total Wellbeing benefits philosophy includes resources to help employees live happier, healthier lives, while rewarding performance and encouraging retention. In the last three years, despite rising healthcare costs, we have kept employee healthcare premium increases at or below 5%. This is largely due to our commitment to a people-first culture and our commitment in managing costs to provide attractive benefits.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Programs in place to reinforce our people-centric culture include, among others:</w:t>
      </w:r>
    </w:p>
    <w:p>
      <w:pPr>
        <w:spacing w:after="0" w:line="223" w:lineRule="exact"/>
        <w:rPr>
          <w:sz w:val="20"/>
          <w:szCs w:val="20"/>
          <w:color w:val="auto"/>
        </w:rPr>
      </w:pPr>
    </w:p>
    <w:p>
      <w:pPr>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&amp; Inclusion</w:t>
      </w:r>
      <w:r>
        <w:rPr>
          <w:rFonts w:ascii="Times New Roman" w:cs="Times New Roman" w:eastAsia="Times New Roman" w:hAnsi="Times New Roman"/>
          <w:sz w:val="18"/>
          <w:szCs w:val="18"/>
          <w:color w:val="auto"/>
        </w:rPr>
        <w:t>: We are committed to building a more diversified workforce through enhanced recruitment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to attract, employ and develop diverse candidates. This builds on existing relationships with local, diverse community groups and universities, along with enhancing recruiting protocols to identify candidates for management positions. Additionally, we are focusing on diversity recruitment in our internship program, redesigning both the compensation structure and promotional strategies to recruit often underrepresented students to our workplace. We continue to focus on engaging our existing workforce through policies and programs promoting workplace diversity and inclusion, and we have also implemented a new online learning program that promotes the importance of this work within our organization. Our Diversity Council, which was founded in 2020 and continues to grow and evolve, consists of cross-organizational representatives who advocate for and monitor the Company’s commitment to diversity and inclusion. The OPEN campaign, an idea developed within our Diversity Council, was officially launched in 2022. OPEN is a platform that gives employees the opportunity to share, inspire and have more visibility to our philosophy around diversity and inclusion. We have created additional opportunities for employees to be involved in this important work, including the implementation of an employee Volunteer Paid Time Off Policy where full-time employees can receive up to 8 hours of paid time off to volunteer outside the organization and support areas of the communities that we serve. Further, employees can also participate in our newly instituted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spacing w:after="0" w:line="282" w:lineRule="auto"/>
        <w:rPr>
          <w:sz w:val="20"/>
          <w:szCs w:val="20"/>
          <w:color w:val="auto"/>
        </w:rPr>
      </w:pPr>
      <w:r>
        <w:rPr>
          <w:rFonts w:ascii="Times New Roman" w:cs="Times New Roman" w:eastAsia="Times New Roman" w:hAnsi="Times New Roman"/>
          <w:sz w:val="18"/>
          <w:szCs w:val="18"/>
          <w:color w:val="auto"/>
        </w:rPr>
        <w:t>Employee Resource Groups that allow people with shared interests, backgrounds, passions and cultures to find a sense of belonging through community within our Company.</w:t>
      </w:r>
    </w:p>
    <w:p>
      <w:pPr>
        <w:spacing w:after="0" w:line="160" w:lineRule="exact"/>
        <w:rPr>
          <w:sz w:val="20"/>
          <w:szCs w:val="20"/>
          <w:color w:val="auto"/>
        </w:rPr>
      </w:pPr>
    </w:p>
    <w:p>
      <w:pPr>
        <w:ind w:left="720" w:right="359" w:hanging="319"/>
        <w:spacing w:after="0" w:line="26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Equity</w:t>
      </w:r>
      <w:r>
        <w:rPr>
          <w:rFonts w:ascii="Times New Roman" w:cs="Times New Roman" w:eastAsia="Times New Roman" w:hAnsi="Times New Roman"/>
          <w:sz w:val="18"/>
          <w:szCs w:val="18"/>
          <w:color w:val="auto"/>
        </w:rPr>
        <w:t>: We conduct regular compensation studies with third-party consultants to make our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for the markets in which we operate, and to address such issues as compensation level differences between male and female or minority and non-minority employees.</w:t>
      </w:r>
    </w:p>
    <w:p>
      <w:pPr>
        <w:spacing w:after="0" w:line="173" w:lineRule="exact"/>
        <w:rPr>
          <w:rFonts w:ascii="Times New Roman" w:cs="Times New Roman" w:eastAsia="Times New Roman" w:hAnsi="Times New Roman"/>
          <w:sz w:val="18"/>
          <w:szCs w:val="18"/>
          <w:color w:val="auto"/>
        </w:rPr>
      </w:pPr>
    </w:p>
    <w:p>
      <w:pPr>
        <w:ind w:left="720" w:right="13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Succession Planning and Performance Management</w:t>
      </w:r>
      <w:r>
        <w:rPr>
          <w:rFonts w:ascii="Times New Roman" w:cs="Times New Roman" w:eastAsia="Times New Roman" w:hAnsi="Times New Roman"/>
          <w:sz w:val="18"/>
          <w:szCs w:val="18"/>
          <w:color w:val="auto"/>
        </w:rPr>
        <w:t>: Our employees receive annual performance reviews. Full-time, exempt and non-exempt employees in professional and support roles set annual SMART goals and are evaluated on these goals and core competencies. We also conduct quarterly talent review processes with all departments to identify high-potential individuals and create individualized development plans. Our Performance Management tool allows employees to comment on their progress towards their goals and also allows leaders to track this progress and provide coaching and mentoring in response to their individual needs.</w:t>
      </w:r>
    </w:p>
    <w:p>
      <w:pPr>
        <w:spacing w:after="0" w:line="182" w:lineRule="exact"/>
        <w:rPr>
          <w:rFonts w:ascii="Times New Roman" w:cs="Times New Roman" w:eastAsia="Times New Roman" w:hAnsi="Times New Roman"/>
          <w:sz w:val="18"/>
          <w:szCs w:val="18"/>
          <w:color w:val="auto"/>
        </w:rPr>
      </w:pPr>
    </w:p>
    <w:p>
      <w:pPr>
        <w:ind w:left="720" w:right="9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 and Development</w:t>
      </w:r>
      <w:r>
        <w:rPr>
          <w:rFonts w:ascii="Times New Roman" w:cs="Times New Roman" w:eastAsia="Times New Roman" w:hAnsi="Times New Roman"/>
          <w:sz w:val="18"/>
          <w:szCs w:val="18"/>
          <w:color w:val="auto"/>
        </w:rPr>
        <w:t>: We conduct robust onboarding, training and development for all levels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our guiding principles (Passion, Respect, Winning Attitude, Integrity, Service, Teamwork, Pride, Creativity and Fun). Through our Company-created Ryman Hospitality University, we have a physical training space and online learning portal open to all employees. Courses offered include mandatory annual workplace harassment and safety training for all levels, leadership development programs for various levels of leaders, and numerous professional skills and personal development courses for all employees. We have also introduced the “Perspectives” learning series, which is an opportunity for employees across the organization to network with and learn from our leaders about their unique perspectives and expertise.</w:t>
      </w:r>
    </w:p>
    <w:p>
      <w:pPr>
        <w:spacing w:after="0" w:line="184"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Engagement</w:t>
      </w:r>
      <w:r>
        <w:rPr>
          <w:rFonts w:ascii="Times New Roman" w:cs="Times New Roman" w:eastAsia="Times New Roman" w:hAnsi="Times New Roman"/>
          <w:sz w:val="18"/>
          <w:szCs w:val="18"/>
          <w:color w:val="auto"/>
        </w:rPr>
        <w:t>: The Company provides regular opportunities for employee engagement, including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where full-time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employee satisfaction surveys, senior leader-led Think Tanks and focus groups designed to solicit candid feedback from employees. We have also invested in a new mobile app that allows our venue employees easier access to quick updates and the ability to interact with one another in a centralized location. In addition to our current peer-to-peer recognition program that is celebrated quarterly, we introduced a new tier of employee appreciation which includes the Chairman’s Award and Leadership Excellence Award. Both awards recognize exemplary performance throughout different levels of the organization. Finalists for both awards are selected by our Chairman and are recognized at a reception on the stage of the Grand Ole Opry.</w:t>
      </w:r>
    </w:p>
    <w:p>
      <w:pPr>
        <w:spacing w:after="0" w:line="187"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Wellbeing/Total Rewards</w:t>
      </w:r>
      <w:r>
        <w:rPr>
          <w:rFonts w:ascii="Times New Roman" w:cs="Times New Roman" w:eastAsia="Times New Roman" w:hAnsi="Times New Roman"/>
          <w:sz w:val="18"/>
          <w:szCs w:val="18"/>
          <w:color w:val="auto"/>
        </w:rPr>
        <w:t>: We offer a competitive pay and benefits package that includes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to protect their physical, mental and financial health. Offerings include health plan and retirement options for part- and full-time employees, a competitive 401(k) plan with employer match, employee assistance programs offering counseling services, and financial literacy courses. We also offer tuition reimbursement for full-time employees, on-site wellness events, flu shot clinics and wellness fairs and complimentary tickets for our venue offerings. Additionally, part- and full-time employees are also eligible for annual performance-based financial bonuses.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made ESG and diversity, equity and inclusion (“DEI”) a priority throughout our organization and the communities in which we operate. As our portfolio evolves over time, sustainability will continue to increase in significance as we adapt and develop existing assets. We seek to execute any future changes to our portfolio, including with respect to new development, major renovation and on-going operations, in a socially and environmentally responsible manner. Our asset management team works directly with Marriott for the Marriott-managed properties to develop a short-term and long-term ESG and DEI strategy. We have made firm commitments to strengthen the local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communities in which we operate. The RHP Foundation was established in 2005 to formalize our charitable commitments and to help elevate our impact on local communities.</w:t>
      </w:r>
    </w:p>
    <w:p>
      <w:pPr>
        <w:spacing w:after="0" w:line="16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July 2022, we published our Sustainability Report, which highlights the environmental and social performance of the Company and includes ongoing initiatives and historical performance in accordance with the Global Reporting Initiative Index and the Sustainability Accounting Standards Board Real Estate Infrastructure Segment Standard. This report is available on our website at https://ir.rymanhp.com/sustainability. The information included in, referenced to, or otherwise accessible through our website, is not incorporated by reference in, or considered to be part of, this Report on Form 10-K or any document unless expressly incorporated by reference therein.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those in Orlando, Chicago, Atlanta, Dallas, Nashville, Washington, D.C. and Denver. We believe that our hotels’ expansive spaces and quality meeting and convention facilities and services provide a competitive advantage over other hotels and convention centers.</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jc w:val="both"/>
        <w:ind w:left="60" w:right="179"/>
        <w:spacing w:after="0" w:line="258" w:lineRule="auto"/>
        <w:rPr>
          <w:sz w:val="20"/>
          <w:szCs w:val="20"/>
          <w:color w:val="auto"/>
        </w:rPr>
      </w:pPr>
      <w:r>
        <w:rPr>
          <w:rFonts w:ascii="Times New Roman" w:cs="Times New Roman" w:eastAsia="Times New Roman" w:hAnsi="Times New Roman"/>
          <w:sz w:val="18"/>
          <w:szCs w:val="18"/>
          <w:color w:val="auto"/>
        </w:rPr>
        <w:t>OEG and its entertainment and media assets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and Circle compete with numerous other types of entertainment businesses and advertisement media, and success is often dependent on taste and fashion, which may fluctuate from time to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Hotels. </w:t>
      </w:r>
      <w:r>
        <w:rPr>
          <w:rFonts w:ascii="Times New Roman" w:cs="Times New Roman" w:eastAsia="Times New Roman" w:hAnsi="Times New Roman"/>
          <w:sz w:val="18"/>
          <w:szCs w:val="18"/>
          <w:color w:val="auto"/>
        </w:rPr>
        <w:t>We are a party to a management agreement with Marriott for each of our Gaylord Hotels properties,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a pooling agreement with Marriott with respect to our Gaylord Hotels properties other than Gaylord Rockies, on an aggregate basis. Each of the management agreements other than Gaylord Rockies has a term expiring in 2047, with three automatic 10-year renewal periods (provided the applicable hotel has met certain performance thresholds). Each of these management agreements requires us to pay Marriott a base management fee of approximately 2% of gross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other than Gaylord Rockies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other than Gaylord Rockies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other than Gaylord Rockies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other than Gaylord Rockies if we are then in breach of the applicable management agreement.</w:t>
      </w:r>
    </w:p>
    <w:p>
      <w:pPr>
        <w:spacing w:after="0" w:line="188"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Gaylord Rockies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Gaylord Rockies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3% of gross revenues of Gaylord Rockies for each fiscal year or portion thereof. This management agreement expires in 2049, with two automatic 20-year renewal periods (provided the hotel has met certain performance thresholds). Additionally, this management agreement requires us to pay Marriott an incentive fee of 20% of available cash flow (as defined in the management agreement). The owner’s priority is $81.4 million, plus certain additional amounts, including 10.75% of certain non-routine capital expenditures.</w:t>
      </w:r>
    </w:p>
    <w:p>
      <w:pPr>
        <w:spacing w:after="0" w:line="182" w:lineRule="exact"/>
        <w:rPr>
          <w:sz w:val="20"/>
          <w:szCs w:val="20"/>
          <w:color w:val="auto"/>
        </w:rPr>
      </w:pPr>
    </w:p>
    <w:p>
      <w:pPr>
        <w:ind w:left="60" w:right="13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Inn at Opryland. </w:t>
      </w:r>
      <w:r>
        <w:rPr>
          <w:rFonts w:ascii="Times New Roman" w:cs="Times New Roman" w:eastAsia="Times New Roman" w:hAnsi="Times New Roman"/>
          <w:sz w:val="17"/>
          <w:szCs w:val="17"/>
          <w:color w:val="auto"/>
        </w:rPr>
        <w:t>Marriott manages the day-to-day operations of the Inn at Opryland pursuant to a management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requires us to pay Marriott a base management fee of approximately 2% of gross revenues for each fiscal year or portion thereof. This management agreement expires in 2034,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64"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Marriott manages the day-to-day operations of the AC Hotel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7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Nashville Attractions. </w:t>
      </w:r>
      <w:r>
        <w:rPr>
          <w:rFonts w:ascii="Times New Roman" w:cs="Times New Roman" w:eastAsia="Times New Roman" w:hAnsi="Times New Roman"/>
          <w:sz w:val="18"/>
          <w:szCs w:val="18"/>
          <w:color w:val="auto"/>
        </w:rPr>
        <w:t>Marriott manages the General Jackson, the Wildhorse Saloon, and Gaylord Springs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management agreements. Each of these management agreements requires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 during 2023, and the General Jackson agreement includes indefinite one-year renewal options so long as neither party terminates the agreement. The management agreement for Gaylord Springs expires in 2025.</w:t>
      </w:r>
    </w:p>
    <w:p>
      <w:pPr>
        <w:spacing w:after="0" w:line="183"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Austin. </w:t>
      </w:r>
      <w:r>
        <w:rPr>
          <w:rFonts w:ascii="Times New Roman" w:cs="Times New Roman" w:eastAsia="Times New Roman" w:hAnsi="Times New Roman"/>
          <w:sz w:val="18"/>
          <w:szCs w:val="18"/>
          <w:color w:val="auto"/>
        </w:rPr>
        <w:t>Marriott manages the day-to-day operations of the W Austin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3.5% of gross revenues for the first year post-sale, 3.75% of gross revenues for the second year post-sale, and 4.0% of gross revenues thereafter. This management agreement expires in 2030, with two five-year renewal options so long as neither party terminates the agreement. Additionally, this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management agreement requires us to pay to Marriott an incentive fee of 15% of incentive income (as defined in the management agreement) over a certain threshold.</w:t>
      </w:r>
    </w:p>
    <w:p>
      <w:pPr>
        <w:spacing w:after="0" w:line="16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Total Marriott base management fees incurred for our applicable assets during 2022, 2021 and 2020 were $35.1 million, $17.6 million and $10.3 million, respectively. Total incentive fees incurred during 2022, 2021 and 2020 were $13.5 million, $0.3 million, and $0, respectively. Management fees are presented in the accompanying financial information net of the amortization of the deferred management rights proceeds discussed further in “Note 5 – Deferred Management Rights Proceeds” to our consolidated financial statements included in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Portions of our business are seasonal in nature. The group convention business at our Gaylord Hotels properties is subject to reduced levels of demand during the year-end holiday periods.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Additionally, various federal and state laws, payment card industry security standards, and other information privacy and security standards are applicable to our current hotel properties.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WSM-AM is subject to regulation under the Communications Act of 1934, as amended. Under the Communications Act, the Federal Communications Commission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9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Circle is subject to U.S. federal regulation of broadcast media, including FCC regulations on programming networks and content distributors. These include regulations related to closed captioning, advertising restrictions, obscenity restrictions and pricing, among others.</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Our entertainment attractions are also subject to the requirements of the Americans with Disabilities Act and similar state laws, as well as the laws and regulatory activities and standards associated with information privacy and security and the sale of alcoholic beverages, in each case as described above. Pursuant to management agreements with Marriott, we do not control many of these activities with respect to the W Austin, the General Jackson and the Wildhorse Saloon,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its website at www.sec.gov.</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Company at January 1, 2023. All officers serve at the discretion of the Board of Directors (subject to, in the case of officers who have entered into employment agreements with the Company, the terms of such employment agreements).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220" w:type="dxa"/>
            <w:vAlign w:val="bottom"/>
          </w:tcPr>
          <w:p>
            <w:pPr>
              <w:spacing w:after="0"/>
              <w:rPr>
                <w:sz w:val="15"/>
                <w:szCs w:val="15"/>
                <w:color w:val="auto"/>
              </w:rPr>
            </w:pPr>
          </w:p>
        </w:tc>
        <w:tc>
          <w:tcPr>
            <w:tcW w:w="62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Operating Officer - Hotels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Lynn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Hutcheson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additional information with respect to the above-named executive officers.</w:t>
      </w:r>
    </w:p>
    <w:p>
      <w:pPr>
        <w:spacing w:after="0" w:line="22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Colin V. Reed </w:t>
      </w:r>
      <w:r>
        <w:rPr>
          <w:rFonts w:ascii="Times New Roman" w:cs="Times New Roman" w:eastAsia="Times New Roman" w:hAnsi="Times New Roman"/>
          <w:sz w:val="18"/>
          <w:szCs w:val="18"/>
          <w:color w:val="auto"/>
        </w:rPr>
        <w:t>has served as Executive Chairman of the Board of Directors since January 1, 2023 and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April 2001. Mr. Reed previously served as the Company’s Chief Executive Officer from April 2001 through December 2022, and was first elected Chairman of the Board of Directors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8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 Fioravanti </w:t>
      </w:r>
      <w:r>
        <w:rPr>
          <w:rFonts w:ascii="Times New Roman" w:cs="Times New Roman" w:eastAsia="Times New Roman" w:hAnsi="Times New Roman"/>
          <w:sz w:val="18"/>
          <w:szCs w:val="18"/>
          <w:color w:val="auto"/>
        </w:rPr>
        <w:t>is President and Chief Executive Officer of the Company. Mr. Fioravanti has served as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2015, was appointed Chief Executive Officer as of January 1, 2023, and has served as a director of the Company since February 2022. Mr. Fioravanti previously served as Executive Vice President and Chief Financial Officer of the Company from August 2011 to March 2015 and as Senior Vice President and Chief Financial Officer from June 2009 to August 2011.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92" w:lineRule="exact"/>
        <w:rPr>
          <w:sz w:val="20"/>
          <w:szCs w:val="20"/>
          <w:color w:val="auto"/>
        </w:rPr>
      </w:pPr>
    </w:p>
    <w:p>
      <w:pPr>
        <w:ind w:left="60" w:right="27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Patrick Chaffin </w:t>
      </w:r>
      <w:r>
        <w:rPr>
          <w:rFonts w:ascii="Times New Roman" w:cs="Times New Roman" w:eastAsia="Times New Roman" w:hAnsi="Times New Roman"/>
          <w:sz w:val="17"/>
          <w:szCs w:val="17"/>
          <w:color w:val="auto"/>
        </w:rPr>
        <w:t>is Executive Vice President and Chief Operating Officer – Hotels of the Company, a position he has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May 2019. In this role, Mr. Chaffin leads our asset management function, state and local government relations, product enhancement and site selection for our hotel portfolio’s growth. From April 2018 to May 2019, he was</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Executive Vice President of Asset Management for the Company.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Scott J. Lynn </w:t>
      </w:r>
      <w:r>
        <w:rPr>
          <w:rFonts w:ascii="Times New Roman" w:cs="Times New Roman" w:eastAsia="Times New Roman" w:hAnsi="Times New Roman"/>
          <w:sz w:val="18"/>
          <w:szCs w:val="18"/>
          <w:color w:val="auto"/>
        </w:rPr>
        <w:t>is Executive Vice President, General Counsel and Secretary of the Company, a position he has held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From January 2013 to April 2018, he was the Company’s Senior Vice President, General Counsel and Secretary. From August 2003 to January 2013, he served as the Company’s Associate General Counsel. From May 2002 to</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84"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Jennifer Hutcheson </w:t>
      </w:r>
      <w:r>
        <w:rPr>
          <w:rFonts w:ascii="Times New Roman" w:cs="Times New Roman" w:eastAsia="Times New Roman" w:hAnsi="Times New Roman"/>
          <w:sz w:val="18"/>
          <w:szCs w:val="18"/>
          <w:color w:val="auto"/>
        </w:rPr>
        <w:t>is Executive Vice President, Chief Financial Officer and Chief Accounting Officer. Ms. Hutcheson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Chief Financial Officer since March 2022. Prior to such time, she served as Executive Vice President, Corporate Controller and Chief Accounting Officer of the Company, a position she held since March 2020. From May 2018 to February 2020, she was Senior Vice President, Corporate Controller and Chief Accounting Officer. From January 2013 to April 2018, she was the Senior Vice President and Corporate Controller of the Company. From</w:t>
      </w:r>
    </w:p>
    <w:p>
      <w:pPr>
        <w:spacing w:after="0" w:line="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70"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139"/>
        <w:spacing w:after="0" w:line="272" w:lineRule="auto"/>
        <w:rPr>
          <w:sz w:val="20"/>
          <w:szCs w:val="20"/>
          <w:color w:val="auto"/>
        </w:rPr>
      </w:pPr>
      <w:r>
        <w:rPr>
          <w:rFonts w:ascii="Times New Roman" w:cs="Times New Roman" w:eastAsia="Times New Roman" w:hAnsi="Times New Roman"/>
          <w:sz w:val="17"/>
          <w:szCs w:val="17"/>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COVID-19 has had, and widespread or severe outbreaks of COVID-19, including new variants, may in the future have, a material adverse effect on our financial condition, results of operations, cash flows and our ability to make distributions to our shareholders.</w:t>
      </w:r>
    </w:p>
    <w:p>
      <w:pPr>
        <w:spacing w:after="0" w:line="17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COVID-19 has caused, and widespread or severe outbreaks of COVID-19 may in the future cause, significant disruption to our business. The extent to which COVID-19 may in the future impact our financial condition, results of operations, cash flows and ability to make distributions to our shareholders will likely depend on numerous evolving factors that we may be unable to accurately predict, assess or control, including, but not limited to, the duration and severity of any widespread or severe outbreaks of COVID-19; whether or not a recession or similar economic downturn occurs in the United States or globally as a result of any such outbreaks; disruptive macroeconomic effects, such as worsening inflation, labor shortages and supply chain challenges, and volatility in the financial markets as a result of any such outbreaks, and the length of time it takes for demand and pricing to recover and stabilize, particularly in the large group meetings segment of the lodging industry, and for normal economic and operating conditions to resume; and operational changes we may elect or be required to make in the future in response to such outbreaks, such as measures to reduce operating costs and improve efficiency and measures related to safety, cleaning, vaccines and other related protocols.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Given the uncertainty as to the existence, duration and severity of any future widespread or severe outbreaks of COVID-19, we are presently unable to accurately estimate the impact, if any, to our future business, results of operations, cash flows, financial condition or ability to make distributions to our shareholders.</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Any effects related to COVID-19 that we may experience in the future also could intensify or otherwise affect many of our other risk factors that are included in “Part I, Item 1A, Risk Factors” of this Annual Report on Form 10-K and our subsequent filings, including, but not limited to, risks inherent in the hospitality industry, macroeconomic factors beyond our control, competition for hotel guests and qualified personnel, group customers at our hotels and OEG customers, risks related to doing business with third parties, including vendors and suppliers, performance of our information technology systems and risks related to our indebtedness. We may be unable to accurately predict or assess the other potential impacts to our risk factors contained herein and that are further described in this Annual Report on Form 10-K.</w:t>
      </w:r>
    </w:p>
    <w:p>
      <w:pPr>
        <w:spacing w:after="0" w:line="18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7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Due to federal income tax laws that restrict REITs from operating and managing hotels, we do not operate or manage the day-to-day functions of any of our hotel properties as a REIT. We lease or sublease our hotel properties to our TRS, and such TRS lessees have engaged Marriott as a third-party hotel manager pursuant to hotel management agreements. Marriott manages the day-to-day operations of our Gaylord Hotels properties, as well as the Inn at Opryland, the AC Hotel, Gaylord Springs, the W Austin, the General Jackson and the Wildhorse Saloon.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93"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5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including at any future projects that we do not own an interest in, could harm the brand and damage our business.</w:t>
      </w:r>
    </w:p>
    <w:p>
      <w:pPr>
        <w:spacing w:after="0" w:line="17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Revenue growth, cost synergies and containment strategies for our hotel operations are largely dependent on the efforts of Marriott. Historically,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such improvements in revenue or cost savings achieved by Marriott will continue in future periods.</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Marriott and any future third-party hotel manager may own or operate hotels that compete with our hotel properties.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 Additionally, our group room rates may be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contracted several years in advance, and we are subject to increases in operating costs over time that may not be offset by these group room rates, which may result in reduced margins and lower financial results.</w:t>
      </w:r>
    </w:p>
    <w:p>
      <w:pPr>
        <w:spacing w:after="0" w:line="16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group-oriented meetings sector has suffered, and may in the future suffer, as a result of COVID-19, and while we believe meeting planners would, in the case of widespread or severe outbreaks of COVID-19, rebook large group meetings to future periods, there can be no assurance as to the timing and pace of any recovery.</w:t>
      </w:r>
    </w:p>
    <w:p>
      <w:pPr>
        <w:spacing w:after="0" w:line="1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76" w:lineRule="exact"/>
        <w:rPr>
          <w:sz w:val="20"/>
          <w:szCs w:val="20"/>
          <w:color w:val="auto"/>
        </w:rPr>
      </w:pPr>
    </w:p>
    <w:p>
      <w:pPr>
        <w:ind w:left="720" w:right="7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desirability and perceived attractiveness of the Nashville, Tennessee; Orlando, Florida; Dallas, Texas; Washington D.C. and Denver, Colorado areas as tourist and convention destinations;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national economy, its effects on us and our customers and in the levels of tourism and convention business that affect our current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attract group convention business;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contract for and collect attrition and cancellation fees from groups that do not fulfill minimum stay or spending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other new hotels could impact the group convention business at our current hotel properties;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group business, which has decreased at times in the past due to uncertainty surrounding the U.S. government budget;</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airline and other transportation-related industries and the resulting impact on travel; and</w:t>
      </w:r>
    </w:p>
    <w:p>
      <w:pPr>
        <w:spacing w:after="0" w:line="161"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due to labor costs associated with labor shortages, wage increases, any increases in the federal minimum wage rate, workers’ compensation, healthcare-related costs (including those related to the Affordable Care Act or other health care reform efforts), and organized labor activities, the last of which, in addition to increasing labor costs, could cause a diversion of business from our hotels involved in labor negotiations and loss of group business.</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geographic concentration of our current hotel properties subjects us to a greater degree of risk to certain factors.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Due to the geographic concentration of our current hotel properties, we are subject to a greater degree of risk to factors including:</w:t>
      </w:r>
    </w:p>
    <w:p>
      <w:pPr>
        <w:spacing w:after="0" w:line="16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passenger travel due to higher ticket costs or fears concerning air travel;</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attractiveness of the areas in which our hotels are located as a convention and tourism destination;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Any of these could negatively affect our financial condition, results of operations and our ability to service debt and make distributions to our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from operations.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Inflation, which has risen to levels not experienced in recent decades, has caused, and could continue to cause, broad price increases and rising interest rates. A prolonged inflationary environment, and any fiscal, monetary or other policy interventions by the U.S. government or the Federal Reserve in reaction to such an environment, including increases in federal interest rates, could adversely affect our operating costs, customer spending and bookings, and ability to access the debt markets on favorable terms. If the cost to operate and maintain our hotels and other properties increases faster or at a rate greater than our ability to pass on costs by increasing amounts charged to guests and customers, our financial condition, results of operations and cash flows could be materially and adversely affected.</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15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expansion.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environmental problems;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 including those associated with the availability of material and labor;</w:t>
      </w:r>
    </w:p>
    <w:p>
      <w:pPr>
        <w:spacing w:after="0" w:line="22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revenues will be reduced while rooms, restaurants or other facilities are out of service due to capital improvement projects;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attractive terms;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market demand or a loss of market demand after capital improvements have begun.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58"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TRS lessee structure subjects us to the risk of increased hotel operating expenses and the inability of our TRS lessees to make lease payments to us.</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leases with our TRS lessees require our TRS lessees to make lease payments to us based in part on gross revenues from our hotel properties. Our operating risks include decreases in revenues at our hotel properties and increases in operating expenses at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employee misuse,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CCPA, or with Payment Card Industry (PCI) data security standards, could divert our attention, adversely impact our reputation, result in remedial and other fines or litigation, cause us to incur substantial liabilities or costs, result in a loss of valuable data, or a loss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18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and data security laws could increase our operating costs and increase our exposure to fines and litigation.</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subject to numerous, complex, and frequently changing laws, regulations, and contractual obligations designed to protect personal information. Various U.S. federal and state laws, payment card industry security standards, and other information privacy and security standards are all applicable to us. In 2023, updated laws in California, Colorado, Connecticut, Utah and Virginia will go into effect, each of which requires, among other things, that businesses provide new disclosures and options to consumers about data collection, use and sharing policies. Significant legislative, judicial or regulatory changes have been and could be issued in the future. Violations of these new laws may subject us to civil monetary penalties, and the California Consumer Privacy Act, as amended by the California Privacy Rights Act, provides for a private cause of action. Compliance with changes in applicable data security and privacy laws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regulations and contractual obligations has increased, and may in the future increase, our operating costs and may restrict our business operations, increase our exposure to fines and litigation in the event of alleged noncompliance, and adversely affect our reputation.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could have a disruptive effect on our business.</w:t>
      </w:r>
    </w:p>
    <w:p>
      <w:pPr>
        <w:spacing w:after="0" w:line="22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While we have implemented security measures to safeguard our systems and data, our measures or the measures of our service providers or hotel manager may not be sufficient to maintain the confidentiality, integrity, or availability of the data collected, stored, and used to manage our Gaylord Hotels properties. Efforts to hack or circumvent security measures, efforts to gain unauthorized access to data, failure of systems or software to operate as designed or intended, viruses, “ransomware” or other malware, “supply chain” attacks,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cyber-attacks, and attempts to disrupt access to their systems and data or those of properties our hotel manager manages and the frequency and sophistication of such efforts could continue to increase. We and our third-party service providers, including our third-party hotel manager, have increasingly relied on cloud-based services and on remote access to information systems in recent years, which has increased our exposure to potential cybersecurity incidents. Any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These events may also cause us to incur substantial costs, including but not limited to, costs associated with remediation for or recovery of stolen assets or information, including ransom costs paid to cyber-attackers, costs for sending legally required notifications to customers or other affected individuals, and increased cyber protection costs to guard against opportunities for re-occurrence of a breach. Although we or our manager carry cyber/privacy liability insurance that is designed to protect us against certain losses related to cyber risks, that insurance coverage may not be sufficient to cover all losses or all types of claims that may arise in connection with cyber-attacks, security compromises, and other related incidents. Furthermore, in the future such insurance may not be available on commercially reasonable terms, or at all.</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are subject to numerous risks.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properties are subject to environmental regulations that could impose significant financial liability on us.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could require us to incur substantial costs.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9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operating income and ability to make distributions to our stockholders may be reduced by acts of God, outbreaks of pandemic disease (including COVID-19),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 hotel is now $350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tornado,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58" w:lineRule="auto"/>
        <w:rPr>
          <w:sz w:val="20"/>
          <w:szCs w:val="20"/>
          <w:color w:val="auto"/>
        </w:rPr>
      </w:pPr>
      <w:r>
        <w:rPr>
          <w:rFonts w:ascii="Times New Roman" w:cs="Times New Roman" w:eastAsia="Times New Roman" w:hAnsi="Times New Roman"/>
          <w:sz w:val="18"/>
          <w:szCs w:val="18"/>
          <w:color w:val="auto"/>
        </w:rPr>
        <w:t>revenue from the hotel. In that event, we might nevertheless remain obligated for any mortgage debt or other financial obligations related to the property. Similarly, outbreaks of pandemic disease (including COVID-19), wars or armed conflicts (including the potential for war or armed conflicts), terrorist activity (including threats of terrorist activity), political unrest and other forms of civil strife as well as geopolitical uncertainty, may cause our future results to differ materially from anticipated results.</w:t>
      </w:r>
    </w:p>
    <w:p>
      <w:pPr>
        <w:spacing w:after="0" w:line="179"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90"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costs could increase if we and our hotel managers cannot attract and retain talented personnel or as the result of the loss of the services of our senior executives.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and our third-party hotel managers compete with other companies both within and outside of the hospitality and entertainment industries for personnel. We and our hotel managers have experienced challenges hiring qualified personnel due to various factors, such as increasing wage expectations and competition for labor from other industries, including and continuing after the COVID-19 pandemic and in the current inflationary environment, and these circumstances could continue or worsen in the future to an extent and for durations that we are not able to predict. If we and our hotel managers cannot recruit, train, develop and retain sufficient numbers of associates, we could experience significant negative impacts to our operations, including low employee morale, high employee turnover and low guest satisfaction. Insufficient numbers of personnel could also limit our ability to grow and expand our businesses. Labor shortages have resulted in and could continue to result in higher wages and initial hiring costs, increasing our labor costs and those of our third-party hotel managers, which could reduce our profits and ultimately impair our ability to make distributions to our stockholders. In addition, the efforts and ability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8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trademarks and intellectual property used in our business could reduce the value of our brand names and harm our business.</w:t>
      </w:r>
    </w:p>
    <w:p>
      <w:pPr>
        <w:spacing w:after="0" w:line="159"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Third-party infringement of the Gaylord Hotels marks now owned by Marriott or the marks we own and use in our entertainment business, or the failure to enforce rights to the marks, could be damaging to our business.</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operations and may use the brand at properties that we do not own.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60"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5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capital improvements, particularly in older structures;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God, including earthquakes, tornadoes, floods and other natural disasters, which may result in uninsured losses, and acts of war or terrorism, including the consequences of the terrorist acts.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12" w:lineRule="auto"/>
        <w:rPr>
          <w:sz w:val="20"/>
          <w:szCs w:val="20"/>
          <w:color w:val="auto"/>
        </w:rPr>
      </w:pPr>
      <w:r>
        <w:rPr>
          <w:rFonts w:ascii="Times New Roman" w:cs="Times New Roman" w:eastAsia="Times New Roman" w:hAnsi="Times New Roman"/>
          <w:sz w:val="17"/>
          <w:szCs w:val="17"/>
          <w:color w:val="auto"/>
        </w:rPr>
        <w:t>reimbursements. Moreover, virtually all hotel guests stay at a hotel for only a few nights at a time, so the rate and occupancy at each of our hotel properties may change every day. As a result, we may have highly volatile earnings.</w:t>
      </w:r>
    </w:p>
    <w:p>
      <w:pPr>
        <w:spacing w:after="0" w:line="140"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our hotel properties are subject to various operating risks common to the lodging industry, many of which are beyond our or a manager’s control, including the following:</w:t>
      </w:r>
    </w:p>
    <w:p>
      <w:pPr>
        <w:spacing w:after="0" w:line="162"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 properties and publicly-financed civic convention centers in our markets;</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 of hotels in our markets, which could adversely affect occupancy and revenues at our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and commercial travelers and tourism;</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costs and other expenses affecting travel, which may affect travel patterns and reduce the number of business and commercial travelers and tourists;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but not limited to, wages and food and beverage costs, due to inflation and other factors that may not be offset by increased room rates;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use of Internet travel intermediaries by consumers;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travel-related health concerns including pandemics and epidemics (including a widespread outbreak or worsening of new or existing COVID-19 variants in the United States), political instability, regional hostilities, imposition of taxes or surcharges by regulatory authorities, travel-related accidents and unusual weather patterns, including natural disasters, such as hurricanes, earthquakes and tornadoes;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a downturn in the lodging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associated with the ownership of hotels and real estate.</w:t>
      </w:r>
    </w:p>
    <w:p>
      <w:pPr>
        <w:spacing w:after="0" w:line="22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group room rates may be contracted several years in advance, and we are subject to increases in operating costs over time that may not be offset by these group room rates, which may result in reduced margins. These factors could reduce the net operating profits of our TRS lessees, which in turn could adversely affect the amount and frequency of distributions we make to our stockholders and our ability to service our debt.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intended long-term economic benefits of the OEG Transaction or the Block 21 Acquisition.</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long-term economic benefits of the OEG Transaction or the Block 21 Acquisition (each as defined and as described in Item 7, “Management’s Discussion and Analysis of Financial Condition and Result of Operations,” could have an adverse effect on our business, financial condition, results of operations and our public reputation.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17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limited liability company agreement for OEG gives A-OEG Holdings, LLC, an affiliate of Atairos (the “OEG Investor”), certain rights, including consent rights regarding certain major decisions, which may limit our flexibility with respect to OEG. The OEG Investor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Status as a REIT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5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Internal Revenue Code of 1986, as amended (the “Code”):</w:t>
      </w:r>
    </w:p>
    <w:p>
      <w:pPr>
        <w:spacing w:after="0" w:line="162"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0"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4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when appropriate, cash dividends, the amount of which will be determined, and will be subject to adjustment, by our board of directors. Our board of directors has approved an interim dividend policy pursuant to which we will make minimum dividends of 100% of REIT taxable income annually, subject to the board of directors’ future determinations as to the amount of any distributions and the timing thereof. Our dividend policy may be altered at any time by our board of directors, and certain provisions of our debt agreements may prohibit us from paying dividends in accordance with any policy we may adopt. To qualify as a REIT, we are generally required to distribute at least 90% of our REIT taxable income (determined without regard to the dividends paid deduction and excluding net capital gains)</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76"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75"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64"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 or our stockholders.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5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1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revoke our REIT qualification, without stockholder approval, may cause adverse consequences to our stockholders.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borrow funds, sell assets, or issue equity to satisfy our REIT distribution requirements or maintain the asset ownership tests.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 In addition, we may distribute taxable dividends that are payable in cash and common stock at the election of each stockholder, subject to certain limitations, including that the cash portion be at least 20% of the total distribution. If we make such a taxable dividend payable in cash and common stock, taxable stockholders receiving such dividends generally will be required to include the full amount of the dividend as ordinary income. As a result, taxable stockholders may be required to pay income taxes with respect to such dividends in excess of the cash dividends received. Moreover, if a significant number of our stockholders sold shares of our common stock in order to pay taxes owed on dividends, it may put downward pressure on the trading price of our common stock. We do not currently intend to pay taxable dividends of our common stock, although we may choose to do so in the future.</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20% of the value of the assets of a REIT may be represented by securities of one or more TRSs, and no more than 5% of the value of the assets of a REIT may be represented by other non-qualifying assets. These limitations may affect our ability to make additional investments in our Entertainment segment as historically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planned use of TRSs may cause us to fail to qualify as a REIT.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leases of our hotel properties to TRS lessees are not true leases for federal income tax purposes, we may fail to qualify as a REIT.</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9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88" w:lineRule="exact"/>
        <w:rPr>
          <w:sz w:val="20"/>
          <w:szCs w:val="20"/>
          <w:color w:val="auto"/>
        </w:rPr>
      </w:pPr>
    </w:p>
    <w:p>
      <w:pPr>
        <w:jc w:val="both"/>
        <w:ind w:left="60" w:right="279"/>
        <w:spacing w:after="0" w:line="289" w:lineRule="auto"/>
        <w:rPr>
          <w:sz w:val="20"/>
          <w:szCs w:val="20"/>
          <w:color w:val="auto"/>
        </w:rPr>
      </w:pPr>
      <w:r>
        <w:rPr>
          <w:rFonts w:ascii="Times New Roman" w:cs="Times New Roman" w:eastAsia="Times New Roman" w:hAnsi="Times New Roman"/>
          <w:sz w:val="17"/>
          <w:szCs w:val="17"/>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5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whether to pay a cash dividend and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Following the suspension of our regular quarterly dividend payments in March 2020 in connection with the COVID-19 pandemic, in September 2022, our board of directors approved an interim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 Consequently, our distribution levels may be minimal and may fluctuate.</w:t>
      </w:r>
    </w:p>
    <w:p>
      <w:pPr>
        <w:spacing w:after="0" w:line="186"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invested in, and in the future may invest in, mortgage loans, mezzanine debt, joint ventures, such as our Circle investment,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debt could reduce our cash flow and limit our business activities.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have a significant amount of debt. At December 31, 2022, we had approximately $2.9 billion of total debt. We may incur additional debt in connection with acquisitions of properties or businesses, development, investment in new projects, renovations, or capital improvement.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various projects, including possible expansions of our existing properties and acquisitions of additional properties.</w:t>
      </w:r>
    </w:p>
    <w:p>
      <w:pPr>
        <w:spacing w:after="0" w:line="162" w:lineRule="exact"/>
        <w:rPr>
          <w:sz w:val="20"/>
          <w:szCs w:val="20"/>
          <w:color w:val="auto"/>
        </w:rPr>
      </w:pPr>
    </w:p>
    <w:p>
      <w:pPr>
        <w:ind w:left="60" w:right="399"/>
        <w:spacing w:after="0" w:line="281" w:lineRule="auto"/>
        <w:rPr>
          <w:sz w:val="20"/>
          <w:szCs w:val="20"/>
          <w:color w:val="auto"/>
        </w:rPr>
      </w:pPr>
      <w:r>
        <w:rPr>
          <w:rFonts w:ascii="Times New Roman" w:cs="Times New Roman" w:eastAsia="Times New Roman" w:hAnsi="Times New Roman"/>
          <w:sz w:val="17"/>
          <w:szCs w:val="17"/>
          <w:color w:val="auto"/>
        </w:rPr>
        <w:t>In addition, the terms of our credit agreements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6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5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Rising interest rates may make future refinancing more difficult to obtain on favorable terms. In addition, although we have been successful in negotiating amendments to our credit agreement and in negotiating an amendment to the Gaylord Rockies term loan, we may be unsuccessful in negotiating any further amendments or modifications to the agreements governing our indebtedness as we may deem necessary. To the extent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debt and pay other obligations, we will require a significant amount of cash, which may not be available to us.</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ability to make payments on, or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may not have future borrowings available to us under our credit facility or from other sources in an amount sufficient to enable us to pay our debt or to fund our other liquidity needs.</w:t>
      </w:r>
    </w:p>
    <w:p>
      <w:pPr>
        <w:spacing w:after="0" w:line="15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5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existing financial agreements, including our credit facilities and term loan B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 service coverage ratio and maximum funded debt to asset value ratio, and we expect will require us to comply with these tests in the future. Our financial agreements prohibit or limit our ability to, among other things:</w:t>
      </w:r>
    </w:p>
    <w:p>
      <w:pPr>
        <w:spacing w:after="0" w:line="187"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issue guarantees of debt and issue preferred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equity interests in our restricted subsidiaries;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to our stockholders or repurchase our stock or other equity interests;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lines of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and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40"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Various risks, uncertainties and events beyond our control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Gaylord Hotels properties, other than Gaylord Rockies, in the case of the Gaylord Rockies term loan, Gaylord Rockies, in the case of the OEG term loan, the OEG assets, and in the case of the Block 21 loan, Block 21 assets.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$700 million revolving credit facility and $500 million term loan B are secured by liens on the substantial majority of our assets, including mortgages on each of our Gaylord Hotels properties, other than Gaylord Rockies. The Gaylord Rockies’ $800 million term loan is secured by liens on the substantial majority of Gaylord Rockies assets. The OEG term loan and OEG revolver are secured by substantially all of the assets of OEG Finance, other than Block 21 and Circle. The Block 21 loan is secured by all of the assets of Block 21.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upon our subsidiaries’ cash flow to meet our debt service obligations.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85"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replacement of LIBOR as the basis on which interest on our variable-rate debt is calculated may harm our financial results, profitability and cash flows.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At December 31, 2022, we had $1.2 billion of variable interest rate debt that was indexed to the London Inter-Bank Offered Rate (“LIBOR”). The United Kingdom’s Financial Conduct Authority (“FCA”), which regulates LIBOR, announced on July 27, 2017 that it intends to stop persuading or compelling banks to submit LIBOR quotations after 2021 (the “FCA Announcement”). Following the FCA Announcement, the FCA ceased publication of U.S. dollar LIBOR on December 31, 2021 in the case of one week and two month U.S. dollar LIBOR tenors and announced its intention to phase out LIBOR for all other U.S. dollar tenors immediately after June 30, 2023; accordingly, the continuation of LIBOR on the current basis cannot and will not be assured beyond June 30, 2023, and LIBOR may cease to exist or otherwise be unsuitable for use as a benchmark. Further, the U.S. Federal Reserve (the “Federal Reserve”) has advised banks to cease entering into new contracts that use U.S. dollar LIBOR as a reference rate. The Alternative Reference Rate Committee (“ARRC”), a committee convened by the Federal Reserve recommended the use of the Secured Overnight Financing Rate (“SOFR”), a new index, calculated by short-term repurchase agreements, backed by U.S. Treasury securities, as its preferred alternative rate for LIBOR in the U.S. Emerging LIBOR reforms may result in the establishment of new methods for calculating LIBOR or the establishment of one or more alternative benchmark rates. Although the agreements governing our indebtedness provide for successor base rates, as applicable, the successor base rates may be related to LIBOR, and the consequences of any potential cessation, modification or other reform of LIBOR cannot be predicted at this time. If LIBOR ceases to exist, we may need to amend the agreements governing our indebtedness, and we cannot predict what alternative interest 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could make it difficult for a third party to acquire control of us.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Charter and our Second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76" w:lineRule="exact"/>
        <w:rPr>
          <w:sz w:val="20"/>
          <w:szCs w:val="20"/>
          <w:color w:val="auto"/>
        </w:rPr>
      </w:pPr>
    </w:p>
    <w:p>
      <w:pPr>
        <w:ind w:left="720" w:right="25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transfer and ownership of our common stock that are designed to assist us in maintaining our status as a REIT;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our board of directors and for proposing matters that can be acted upon by stockholders at meetings;</w:t>
      </w:r>
    </w:p>
    <w:p>
      <w:pPr>
        <w:spacing w:after="0" w:line="16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only by our chairman or by a majority of the members of our board of directors;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actions taken on written consent;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of common stock by certain persons (including non-United States persons) due to our ownership of a radio station.</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are subject to anti-takeover provisions under Delaware law, which could also delay or prevent a change of control. Together, our Charter, Second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limitations in our Charter may restrict or prevent stockholders from engaging in certain transfers of our common stock.</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Many factors influence our reputation including the perception held by our customers and other key stakeholders and the communities in which we do business, and the perception held by customers of Marriott or any future third-party hotel manager. The lodging and entertainment industries in which we operate face increasing scrutiny related to environmental, social and governance activities and risk of damage to our reputation if we fail to act responsibly or comply with regulatory requirements in a number of areas, such as safety and security, environmental stewardship and sustainability, climate change, diversity, human rights, philanthropy and support for local communities. The continuing evolution of social media presents new challenges and requires us to keep pace with new developments and trends. Negative posts or comments about us, the properties we own, the businesses we operate, and Marriott or any future third-party hotel manager on any social networking or user-generated review website, including travel and vacation property websites, could affect consumer opinions of us, and we cannot guarantee that we will timely or adequately redress such instances.</w:t>
      </w:r>
    </w:p>
    <w:p>
      <w:pPr>
        <w:spacing w:after="0" w:line="190"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19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change our major policies without the consent of stockholders may not be in our stockholders’ interest.</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83"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 based on changes in market interest rates and other factors.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including in recent quarters, by changes in market interest rates and other factors. One of the factors that may influence 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hotel or real estate industries;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or other securities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hotel managers;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alliances;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 related health concerns including pandemics and epidemics (including widespread or severe outbreaks of new or existing COVID-19 variants in the United States), political instability, regional hostilities, increases in fuel prices, imposition of taxes or surcharges by regulatory authorities, travel related accidents and unusual weather patterns, including natural disasters, such as hurricanes, earthquakes or tornadoes.</w:t>
      </w:r>
    </w:p>
    <w:p>
      <w:pPr>
        <w:spacing w:after="0" w:line="179"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vMerge w:val="restart"/>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40" w:type="dxa"/>
            <w:vAlign w:val="bottom"/>
            <w:vMerge w:val="restart"/>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Meeting, Exhibit and</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Pre-Function Space</w:t>
            </w:r>
          </w:p>
        </w:tc>
        <w:tc>
          <w:tcPr>
            <w:tcW w:w="0" w:type="dxa"/>
            <w:vAlign w:val="bottom"/>
          </w:tcPr>
          <w:p>
            <w:pPr>
              <w:spacing w:after="0"/>
              <w:rPr>
                <w:sz w:val="1"/>
                <w:szCs w:val="1"/>
                <w:color w:val="auto"/>
              </w:rPr>
            </w:pPr>
          </w:p>
        </w:tc>
      </w:tr>
      <w:tr>
        <w:trPr>
          <w:trHeight w:val="42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43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4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Kissimmee, FL (Orlando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40" w:type="dxa"/>
            <w:vAlign w:val="bottom"/>
          </w:tcPr>
          <w:p>
            <w:pPr>
              <w:spacing w:after="0"/>
              <w:rPr>
                <w:sz w:val="24"/>
                <w:szCs w:val="24"/>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Grapevine, TX (Dallas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43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Aurora, CO (Denver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8"/>
              </w:rPr>
              <w:t>Inn at Opryland</w:t>
            </w:r>
          </w:p>
        </w:tc>
        <w:tc>
          <w:tcPr>
            <w:tcW w:w="214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214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We own our Opryland complex in Nashville, Tennessee, which includes the site of Gaylord Opryland (approximately 172 acres) and Gaylord Springs (over 200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We own approximately 85 acres on which Gaylord Rockies is located and approximately 130 acres of undeveloped land adjacent to Gaylord Rockies. Our Gaylord Hotels properties other than Gaylord Rockies secure our credit facility, and Gaylord Rockies assets secure our obligations pursuant to the Gaylord Rockies term loan, as described in the Liquidity and Capital Resources section of Item 7, “Management’s Discussion and Analysis of Financial Condition and Results of Operations.” Each of our hotel properties in the Hospitality segment is leased or subleased to one of our TRSs, and each such TRS has engaged Marriott to manage the day-to-day operations of the hotel. For a description of the management agreements with Marriott, see “Management Agreements” in Item 1, “Business.” For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operating results of our hotels on a property basis, see “Operating Results – Detailed Segment Financial Information” in Item 7, “Management’s Discussion and Analysis of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own the General Jackson’s docking facility and the Grand Ole Opry House, each of which is located within the Opryland complex. In downtown Nashville, we own the Ryman Auditorium, Ole Red Nashville, and the Wildhorse Saloon dance hall and production facility, and an adjacent 17,000 square foot building. In Austin, we own Block 21, which includes the Moody Theater, the 3TEN at ACL Live Club, the W Austin, and approximately 53,000 square feet of other Class A commercial space. Our TRSs have engaged Marriott to manage the day-to-day operations of the General Jackson Showboat, the Wildhorse Saloon and the W Austin. For a description of the management agreements with Marriott, see “Management Agreements” in Item 1,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99"/>
        <w:spacing w:after="0" w:line="274" w:lineRule="auto"/>
        <w:rPr>
          <w:sz w:val="20"/>
          <w:szCs w:val="20"/>
          <w:color w:val="auto"/>
        </w:rPr>
      </w:pPr>
      <w:r>
        <w:rPr>
          <w:rFonts w:ascii="Times New Roman" w:cs="Times New Roman" w:eastAsia="Times New Roman" w:hAnsi="Times New Roman"/>
          <w:sz w:val="17"/>
          <w:szCs w:val="17"/>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7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further discussion of legal proceedings, see “Note 11 – Commitments and Contingencies” to our consolidated financial statements included herein.</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approximately 840 record holders of our common stock at January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months ended December 31,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did not sell any of its securities during the fiscal year ended December 31, 2022 that were not registered under the Securities Act of 1933, as amended (the “Securities 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To maintain our qualification as a REIT for federal income tax purposes, we must distribute at least 90% of our REIT taxable income each year. We plan to pay minimum dividends to shareholders of 100% of REIT taxable income annually. Any future dividend is subject to our board of directors’ determinations as to the amount of distributions and the timing thereof.</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terms of our credit facility restrict our ability to pay dividends. We are not permitted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common stock is authorized for issuance is set forth in Part III, Item 12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This section of this Annual Report on Form 10-K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five upscale, meetings-focused resorts totaling 9,917 rooms that are managed by Marriott International, Inc.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was previously owned by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8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97 years; the Ryman Auditorium, the storied live music venue and former home of the Grand Ole Opry located in downtown Nashville; WSM-AM, the Opry’s radio home; Ole Red, a brand of Blake Shelton-themed bar, music venue and event spaces; two Nashville-based assets managed by Marriott – the Wildhorse Saloon and the General Jackson Showboat (“General Jackson”); and as of May 31, 2022, Block 21, a mixed-use entertainment, lodging, office, and retail complex located in Austin, Texas (“Block 21”). We also own a 50% interest in a joint venture that creates and distributes a linear multicast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and over-the-top channel dedicated to the country music lifestyle (“Circle”). See “OEG Transaction” below for additional disclosure regarding our sale of a 30% interest in OEG effective June 16, 2022.</w:t>
      </w:r>
    </w:p>
    <w:p>
      <w:pPr>
        <w:spacing w:after="0" w:line="16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3"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See “Forward-Looking Statements” and “Risk Factors” under Part I of this Annual Report on Form 10-K for important information regarding forward-looking statements made in this report and risks and uncertainties we face.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Recovery from COVID-19; Current Economic Environment</w:t>
      </w:r>
    </w:p>
    <w:p>
      <w:pPr>
        <w:spacing w:after="0" w:line="229" w:lineRule="exact"/>
        <w:rPr>
          <w:sz w:val="20"/>
          <w:szCs w:val="20"/>
          <w:color w:val="auto"/>
        </w:rPr>
      </w:pPr>
    </w:p>
    <w:p>
      <w:pPr>
        <w:jc w:val="both"/>
        <w:ind w:left="60" w:right="419"/>
        <w:spacing w:after="0" w:line="261" w:lineRule="auto"/>
        <w:rPr>
          <w:sz w:val="20"/>
          <w:szCs w:val="20"/>
          <w:color w:val="auto"/>
        </w:rPr>
      </w:pPr>
      <w:r>
        <w:rPr>
          <w:rFonts w:ascii="Times New Roman" w:cs="Times New Roman" w:eastAsia="Times New Roman" w:hAnsi="Times New Roman"/>
          <w:sz w:val="18"/>
          <w:szCs w:val="18"/>
          <w:color w:val="auto"/>
        </w:rPr>
        <w:t>COVID-19 has caused, and may in the future cause, unprecedented levels of disruption to our business. Although our business levels have generally recovered and improved in 2022, there remains significant uncertainty surrounding the extent to which COVID-19 may in the future impact our results of operations and financial position, as increased labor costs, broad inflationary pressures and rising interest rates continue to impact the economy.</w:t>
      </w:r>
    </w:p>
    <w:p>
      <w:pPr>
        <w:spacing w:after="0" w:line="15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All of our assets were open and fully operational throughout 2022, and most of our businesses were open and operating throughout 2021; however, Gaylord National remained closed during the first half of 2021 and reopened July 1, 2021, the Grand Ole Opry and Ryman Auditorium reopened for full-capacity publicly attended performances in May 2021, and, subsequent to the December 2020 downtown Nashville bombing, the Wildhorse Saloon reopened in April 2021.</w:t>
      </w:r>
    </w:p>
    <w:p>
      <w:pPr>
        <w:spacing w:after="0" w:line="139" w:lineRule="exact"/>
        <w:rPr>
          <w:sz w:val="20"/>
          <w:szCs w:val="20"/>
          <w:color w:val="auto"/>
        </w:rPr>
      </w:pPr>
    </w:p>
    <w:p>
      <w:pPr>
        <w:ind w:left="60" w:right="379"/>
        <w:spacing w:after="0" w:line="289" w:lineRule="auto"/>
        <w:rPr>
          <w:sz w:val="20"/>
          <w:szCs w:val="20"/>
          <w:color w:val="auto"/>
        </w:rPr>
      </w:pPr>
      <w:r>
        <w:rPr>
          <w:rFonts w:ascii="Times New Roman" w:cs="Times New Roman" w:eastAsia="Times New Roman" w:hAnsi="Times New Roman"/>
          <w:sz w:val="17"/>
          <w:szCs w:val="17"/>
          <w:color w:val="auto"/>
        </w:rPr>
        <w:t>Cancelled room nights in 2022 decreased 47.7% from 2021. Occupancy and average daily rate (“ADR”) increased 26.7 points of occupancy and 7.0%, respectively, in 2022, as compared to 2021. Outside-the-room spend in 2022 increased 105.9% from 2021. This improved performance has mitigated increasing costs in the current inflationary environment.</w:t>
      </w:r>
    </w:p>
    <w:p>
      <w:pPr>
        <w:spacing w:after="0" w:line="11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Group stays increased during 2021 and 2022 and group nights on the books at December 31, 2022 for the next five years is approximately 98% of total group room nights that were on the books at December 31, 2019 for the corresponding following five years. In addition, the ADR of group room nights on the books at December 31, 2022 is over 9% higher than the ADR for the corresponding group room nights at December 31, 2019.</w:t>
      </w:r>
    </w:p>
    <w:p>
      <w:pPr>
        <w:spacing w:after="0" w:line="15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Throughout 2020, 2021 and 2022, and continuing to date, we have paid all required debt service payments on our indebtedness, lease payments, taxes and other payables. At December 31, 2022, we had $754.6 million available for borrowing under our revolving credit facility and the OEG revolving credit facility and $334.2 million in unrestricted cash on hand. We reinstated our cash dividend in September 2022. Our interim dividend policy provides that we will make minimum dividends of 100% of REIT taxable income annually, subject to our board of directors’ determinations as to the amount of any distributions and the timing thereof.</w:t>
      </w:r>
    </w:p>
    <w:p>
      <w:pPr>
        <w:spacing w:after="0" w:line="14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risks related to COVID-19, see “Risk Factors” under Part I, Item 1A of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more fully described in the “OEG Transaction” section of Note 1 to the consolidated financial statements included herein, on June 16, 2022, we and certain of our subsidiaries, including OEG Attractions Holdings, LLC, which directly or indirectly owns the assets that comprise our Entertainment segment (“OEG”),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2023 or 2024.</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retained a controlling 70% equity interest in OEG and will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below), to repay the then-outstanding balance of our former $300 million term loan A and to pay down substantially all borrowings then outstanding under our revolving credit facility.</w:t>
      </w:r>
    </w:p>
    <w:p>
      <w:pPr>
        <w:spacing w:after="0" w:line="183"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7"/>
          <w:szCs w:val="17"/>
          <w:color w:val="auto"/>
        </w:rPr>
        <w:t>In connection with the OEG Transaction, OEG Borrower, LLC (“OEG Borrower”) and OEG Finance, LLC (“OEG Finance”), each a wholly owned direct or indirect subsidiary of OEG, entered into a credit agreement (the “OEG Credit Agreement”) with JPMorgan Chase Bank, N.A., as administrative agent, that provides for (i) a senior secured term loan facility in an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(b) Adjusted Term SOFR plus</w:t>
      </w:r>
    </w:p>
    <w:p>
      <w:pPr>
        <w:spacing w:after="0" w:line="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No revolving credit advances were made under the OEG Revolver at closing and none are currently outstanding.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Block 21 Acquisition</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May 31, 2022, we purchased Block 21 for a stated purchase price of $260 million, as subsequently adjusted to $255 million pursuant to the terms of the purchase agreement, which includes the assumption of approximately $136 million of existing mortgage debt (the “Block 21 Acquisition”).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We funded the cash portion of the purchase price with cash on hand and borrowings under our revolving credit facility. Block 21 assets are reflected in our Entertainment segment beginning May 31,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May 2021, we purchased the remaining 35% ownership interest in the Gaylord Rockies joint venture. Prior to May 2021, we had a 65% interest in the Gaylord Rockies joint venture, and we concluded that the Company was the primary beneficiary of the previous variable interest entity (“VIE”). The financial position and results of operations of this previous VIE have been consolidated in the accompanying consolidated financial statements included herein. We also purchased 130 acres of undeveloped land adjacent to Gaylord Rockies in May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229"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In April 2021, we completed a $158 million expansion of Gaylord Palms, which includes an additional 302 guest rooms and 96,000 square feet of meeting space, an expanded resort pool and events lawn, and a new multi-level parking structure.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National Projects</w:t>
      </w:r>
    </w:p>
    <w:p>
      <w:pPr>
        <w:spacing w:after="0" w:line="229"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In 2021, we completed a renovation of all of the guestrooms at Gaylord National, and in 2022 we completed a re-concepting of Gaylord National’s food and beverage options.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Dividend Policy</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Following the suspension of our regular quarterly dividend payments in March 2020 in connection with the COVID-19 pandemic, in September 2022, our board of directors approved an interim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225" w:lineRule="exact"/>
        <w:rPr>
          <w:sz w:val="20"/>
          <w:szCs w:val="20"/>
          <w:color w:val="auto"/>
        </w:rPr>
      </w:pPr>
    </w:p>
    <w:p>
      <w:pPr>
        <w:ind w:left="720" w:right="1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and the AC Hotel, each of which is managed by Marriott.</w:t>
      </w:r>
    </w:p>
    <w:p>
      <w:pPr>
        <w:spacing w:after="0" w:line="161"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our equity investment in Circle, and our other Nashville-based attractions. We own our Entertainment businesses in TRSs, and Marriott manages the General Jackson, Wildhorse Saloon and W Austin.</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our total revenues were divided among these business segments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3"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rooms revenue by the number of rooms sold;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rooms revenue by room nights available to guests for the period;</w:t>
      </w:r>
    </w:p>
    <w:p>
      <w:pPr>
        <w:spacing w:after="0" w:line="161"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7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62"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method of calculation of these indicators has not been changed as a result of impacts related to COVID-19 and the Gaylord National closure and is consistent with prior periods. As such, performance metrics include closed hotel room nights available.</w:t>
      </w:r>
    </w:p>
    <w:p>
      <w:pPr>
        <w:spacing w:after="0" w:line="14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to GAAP measures such as revenues, net income and operating income, we also use certain “non-GAAP financial measures,” which are measures of our historical performance that are not calculated and presented in accordance with GAAP within the meaning of applicable SEC rules. These measures include:</w:t>
      </w:r>
    </w:p>
    <w:p>
      <w:pPr>
        <w:spacing w:after="0" w:line="174" w:lineRule="exact"/>
        <w:rPr>
          <w:sz w:val="20"/>
          <w:szCs w:val="20"/>
          <w:color w:val="auto"/>
        </w:rPr>
      </w:pPr>
    </w:p>
    <w:p>
      <w:pPr>
        <w:jc w:val="both"/>
        <w:ind w:left="720" w:right="159" w:hanging="319"/>
        <w:spacing w:after="0" w:line="26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7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shareholders and unit holders and Adjusted FFO available to common shareholders and unitholders.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For 2021, as compared to 2022 and historical periods prior to 2020, the closure and pandemic-constrained business levels then experienced by our Gaylord Hotels properties resulted in a significant decrease in performance reflected in these key performance indicators and relevant GAAP and non-GAAP financial measures.</w:t>
      </w:r>
    </w:p>
    <w:p>
      <w:pPr>
        <w:spacing w:after="0" w:line="13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Increases in costs, including labor costs, costs of food and other supplies, and energy costs have affected our operations in 2022 and in the future could negatively affect our results, particularly during a continued or prolonged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years ended December 31, 2022, 2021 and 2020 (in thousands, except percentages and per share data):</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$ 1,805,969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$ 939,373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1,478,819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998,048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828,306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(194,801)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(460,821)</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(417,391)</w:t>
            </w:r>
          </w:p>
        </w:tc>
      </w:tr>
      <w:tr>
        <w:trPr>
          <w:trHeight w:val="198"/>
        </w:trPr>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per share - diluted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2022 Results as Compared to 2021 Results</w:t>
      </w:r>
    </w:p>
    <w:p>
      <w:pPr>
        <w:spacing w:after="0" w:line="227"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The increase in our total revenues during 2022, as compared to 2021, is attributable to increases in our Hospitality segment and Entertainment segment revenues of $751.4 million and $115.2 million, respectively, as presented in the tables below.</w:t>
      </w:r>
    </w:p>
    <w:p>
      <w:pPr>
        <w:spacing w:after="0" w:line="14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during 2022, as compared to 2021, is primarily the result of increases in Hospitality segment and Entertainment segment expenses of $416.8 million and $70.8 million, respectively, as presented in the tables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factors resulted in a $385.8 million improvement in operating income for 2022, as compared to 2021.</w:t>
      </w:r>
    </w:p>
    <w:p>
      <w:pPr>
        <w:spacing w:after="0" w:line="225"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Our net income of $134.9 million in 2022, as compared to our net loss of $194.8 million in 2021, was due to the change in our operating income described above, and the following factors, each as described more fully below:</w:t>
      </w:r>
    </w:p>
    <w:p>
      <w:pPr>
        <w:spacing w:after="0" w:line="162"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$33.8 million increase in the provision for income taxes in 2022.</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$23.1 million increase in interest expense in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years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2021 and 2020 (in thousands, except percentages and performance metrics):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595,544</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81.1 %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328,874</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91.5 %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667,009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279,489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49.0 %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275,421</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54.5 %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178,220</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66.9 %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106,789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1,537,974</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95.5 %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786,583</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68.8 %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155,817</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76.6 %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88,244</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381,142</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99.7 %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190,855</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457,291</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327,791</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43,425</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209.5 %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14,031</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189,375</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203,675</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2.8 %</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1,227,050</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48.8 %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824,596</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22.9 %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670,913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 (loss) (1)(2)</w:t>
            </w: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310,924</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917.9 %</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(38,013)</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81.4 %</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(204,868)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 (3):</w:t>
            </w: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2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 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39.5 %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16.3 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236.86</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221.33</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(4)</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79.0 %</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87.53</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88.6 %</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(5)</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404.69</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93.3 %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209.34</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(6)</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1,805,598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50.3 %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1,201,268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253.4 %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(783,304)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99" w:hanging="330"/>
        <w:spacing w:after="0" w:line="255"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income (loss) does not include preopening costs of $0.7 million and $0.3 million in 2021 and 2020, respectively. Hospitality segment operating loss also does not include gain on sale of assets of $0.3 million and $1.2 million in 2021 and 2020, respectively, or credit losses on held-to-maturity securities of $32.8 million in 2020.</w:t>
      </w:r>
    </w:p>
    <w:p>
      <w:pPr>
        <w:spacing w:after="0" w:line="2"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loss for 2021 and 2020 includes approximately $4.6 million in net credits and $34.5 million in expenses, respectively, directly related to the COVID-19 pandemic, which are primarily employment costs. These amounts are net of $4.1 million and $7.9 million, respectively, of payroll tax credits afforded under the 2020 Coronavirus Aid, Relief, and Economic Security Act (the “CARES Act”).</w:t>
      </w:r>
    </w:p>
    <w:p>
      <w:pPr>
        <w:spacing w:after="0" w:line="1" w:lineRule="exact"/>
        <w:rPr>
          <w:rFonts w:ascii="Times New Roman" w:cs="Times New Roman" w:eastAsia="Times New Roman" w:hAnsi="Times New Roman"/>
          <w:sz w:val="18"/>
          <w:szCs w:val="18"/>
          <w:color w:val="auto"/>
        </w:rPr>
      </w:pPr>
    </w:p>
    <w:p>
      <w:pPr>
        <w:ind w:left="380" w:right="299" w:hanging="330"/>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metrics for 2022 and 2021 include the addition of 302 additional guest rooms at Gaylord Palms beginning June 1, 2021.</w:t>
      </w:r>
    </w:p>
    <w:p>
      <w:pPr>
        <w:jc w:val="both"/>
        <w:ind w:left="380" w:right="559" w:hanging="330"/>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RevPAR by dividing rooms revenue by room nights available to guests for the period. Room nights available to guests include nights the hotels are closed. Hospitality segment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jc w:val="both"/>
        <w:ind w:left="380" w:right="139" w:hanging="330"/>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the hotels are closed. Hospitality segment Total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right="159" w:hanging="330"/>
        <w:spacing w:after="0" w:line="26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net definite room nights booked for 2022, 2021 and 2020 includes approximately 0.4 million, 0.8 million and 2.4 million group room cancellations, respectively.</w:t>
      </w:r>
    </w:p>
    <w:p>
      <w:pPr>
        <w:spacing w:after="0" w:line="181"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Total Hospitality revenues in 2022 include $57.3 million in attrition and cancellation fee collections, an $8.8 million increase from 2021. Since the beginning of 2020, we have recorded $138.6 million in attrition and cancellation fee revenue, which due to cancellations resulting from COVID-19, is higher than historical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was approximately as follows: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type of group based on rooms sold for our Hospitality segment for the years ended December 31 was approximately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Associations</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Groups</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following years ended December 31 included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$ 153,882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$ 101,771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33,947</w:t>
            </w:r>
          </w:p>
        </w:tc>
        <w:tc>
          <w:tcPr>
            <w:tcW w:w="10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115,640</w:t>
            </w:r>
          </w:p>
        </w:tc>
      </w:tr>
      <w:tr>
        <w:trPr>
          <w:trHeight w:val="209"/>
        </w:trPr>
        <w:tc>
          <w:tcPr>
            <w:tcW w:w="2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$ 457,291</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$ 327,791</w:t>
            </w: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260,690</w:t>
            </w: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2022, as compared to 2021, primarily due to an increase at Gaylord National, which reopened July 1, 2021, as well as increases at each of our other Gaylord Hotels properties associated with increased business levels. Utility costs increased during 2022, as compared to 2021, primarily due to an increase at Gaylord National, which reopened July 1, 2021, as well as increased utility usage at each of our other Gaylord Hotels properties. Property taxes decreased slightly during 2022, as compared to 2021, as an increase at Gaylord Palms as a result of increased property taxes related to the 2021 expansion was offset by a decrease at Gaylord National due to a settlement of an appeal from prior tax years. Other expenses, which include supplies, advertising, maintenance costs and consulting costs, increased during 2022, as compared to 2021, primarily due to increased levels of operations at each of our Gaylord Hotels properties.</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discussed above, 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fee is based on the profitability of our Gaylord Hotels properties, excluding Gaylord Rockies, calculated on a pooled basis. The Gaylord Rockies’ management agreement with Marriott requires Gaylord Rockies to pay a base management fee of 3% of gross revenues for each fiscal year or portion thereof, as well as an incentive management fee based on the profitability of the hotel. We incurred $33.7 million, $17.1 million and $10.2 million in total base management fees to Marriott related to our Hospitality segment during 2022, 2021 and 2020, respectively. We also incurred $12.8 million in incentive management fees for our Hospitality segment during 2022 and did not incur any such fees in 2021 or 2020. Management fees are presented throughout this Annual Report on Form 10-K net of the amortization of the deferred management rights proceeds discussed in Note 5, “Deferred Management Rights Proceeds,” to the consolidated financial statements included herein.</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Hospitality segment depreciation and amortization expense decreased in 2022, as compared to 2021, primarily as a result of the intangible asset associated with advanced bookings at Gaylord Rockies when we purchased an additional interest in Gaylord Rockies in 2018 becoming fully amortized in 2022. This decrease was partially offset by the expansion of Gaylord Palms and the rooms renovation at Gaylord National and the associated increase in depreciable asset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Property-Level Results. </w:t>
      </w:r>
      <w:r>
        <w:rPr>
          <w:rFonts w:ascii="Times New Roman" w:cs="Times New Roman" w:eastAsia="Times New Roman" w:hAnsi="Times New Roman"/>
          <w:sz w:val="17"/>
          <w:szCs w:val="17"/>
          <w:color w:val="auto"/>
        </w:rPr>
        <w:t>The following presents the property-level financial results for our Gaylord Hotels properties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years ended December 31, 2022, 2021 and 2020. In 2021 and 2020, the Gaylord Hotels properties experienced higher levels of attrition and cancellations and lower occupancy levels, which are directly related to the COVID-19 pandemic, and experienced heavily transient business. Therefore, the property-level financial results for 2021 and 2020 are not comparable to 2022 or to historical periods. Total revenue at each of our Gaylord Hotels properties was lower for 2021 and 2020 than that of historical periods due to the COVID-19 pandemic. Operating costs at each of our Gaylord Hotels properties were lower for 2021 and 2020 as a result of cost containment initiatives and lower variable costs due to lower occupancies and, for 2020, the temporary property closures that began in late-March 2020 due to the COVID-19 pandemic.</w:t>
      </w:r>
    </w:p>
    <w:p>
      <w:pPr>
        <w:spacing w:after="0" w:line="172"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years ended December 31, 2022, 2021 and 2020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177,860</w:t>
            </w:r>
          </w:p>
        </w:tc>
        <w:tc>
          <w:tcPr>
            <w:tcW w:w="16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63.1 %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109,067</w:t>
            </w:r>
          </w:p>
        </w:tc>
        <w:tc>
          <w:tcPr>
            <w:tcW w:w="22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104.7 %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159,359</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56,254</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75.9 %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4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424,188</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238,567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133,333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42,377</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88,122</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89.6 %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46,490</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126,360</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273.7 %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123.3 %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34,406</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35,126</w:t>
            </w:r>
          </w:p>
        </w:tc>
        <w:tc>
          <w:tcPr>
            <w:tcW w:w="1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(1)(2)</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305,293</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204,155</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162,836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69.5 %</w:t>
            </w:r>
          </w:p>
        </w:tc>
        <w:tc>
          <w:tcPr>
            <w:tcW w:w="4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25.3 pts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44.2 %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19.2 pts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25.0 %</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234.15</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6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63.1 %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22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105.3 %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402.41</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77.8 %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226.32</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79.4 %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w:t>
            </w:r>
          </w:p>
        </w:tc>
        <w:tc>
          <w:tcPr>
            <w:tcW w:w="140" w:type="dxa"/>
            <w:vAlign w:val="bottom"/>
            <w:shd w:val="clear" w:color="auto" w:fill="CCEEFF"/>
          </w:tcPr>
          <w:p>
            <w:pPr>
              <w:spacing w:after="0"/>
              <w:rPr>
                <w:sz w:val="17"/>
                <w:szCs w:val="17"/>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3" w:lineRule="exact"/>
        <w:rPr>
          <w:sz w:val="20"/>
          <w:szCs w:val="20"/>
          <w:color w:val="auto"/>
        </w:rPr>
      </w:pPr>
    </w:p>
    <w:p>
      <w:pPr>
        <w:ind w:left="720" w:right="25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a gain on sale of assets of $0.3 million and $1.2 million in 2021 and 2020, respectively.</w:t>
      </w:r>
    </w:p>
    <w:p>
      <w:pPr>
        <w:ind w:left="720" w:right="119" w:hanging="319"/>
        <w:spacing w:after="0" w:line="253"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for 2020 include approximately $7.1 million in expenses directly related to the COVID-19 pandemic, which are primarily employment costs, and is net of $2.1 million in payroll tax credits afforded under the CARES Act. Gaylord Opryland operating expenses for 2021 include approximately $1.0 million in credits directly related to the COVID-19 pandemic, which includes $0.5 million in payroll tax credits afforded under the CARES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Gaylord Palms results include 302 expansion rooms beginning in June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Palms for the years ended December 31, 2022, 2021 and 2020 are as follows (in thousands, except percentages and performance metrics):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103,715</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57,510</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28,455</w:t>
            </w: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122,515</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76.7 %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29,876</w:t>
            </w: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53,348</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85.0 %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48.0 %</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19,488</w:t>
            </w:r>
          </w:p>
        </w:tc>
        <w:tc>
          <w:tcPr>
            <w:tcW w:w="160" w:type="dxa"/>
            <w:vAlign w:val="bottom"/>
            <w:tcBorders>
              <w:bottom w:val="single" w:sz="8" w:color="CCEEFF"/>
            </w:tcBorders>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279,578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139,130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78.8 %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77,819</w:t>
            </w: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61.6 %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68,564</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34,158</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59.4 %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21,434</w:t>
            </w: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22.4 %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52,909</w:t>
            </w: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117.9 %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27.3 %</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16,586</w:t>
            </w:r>
          </w:p>
        </w:tc>
        <w:tc>
          <w:tcPr>
            <w:tcW w:w="160" w:type="dxa"/>
            <w:vAlign w:val="bottom"/>
            <w:shd w:val="clear" w:color="auto" w:fill="CCEEFF"/>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(1)(2)</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215,377</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134,860</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35.2 %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99,748</w:t>
            </w: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68.4 %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23.8 pts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44.6 %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18.4 pts</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26.2 %</w:t>
            </w: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209.22</w:t>
            </w:r>
          </w:p>
        </w:tc>
        <w:tc>
          <w:tcPr>
            <w:tcW w:w="1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165.40</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445.85</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87.2 %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150.15</w:t>
            </w:r>
          </w:p>
        </w:tc>
        <w:tc>
          <w:tcPr>
            <w:tcW w:w="160" w:type="dxa"/>
            <w:vAlign w:val="bottom"/>
            <w:shd w:val="clear" w:color="auto" w:fill="CCEEFF"/>
          </w:tcPr>
          <w:p>
            <w:pPr>
              <w:spacing w:after="0"/>
              <w:rPr>
                <w:sz w:val="17"/>
                <w:szCs w:val="17"/>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3" w:lineRule="exact"/>
        <w:rPr>
          <w:sz w:val="20"/>
          <w:szCs w:val="20"/>
          <w:color w:val="auto"/>
        </w:rPr>
      </w:pPr>
    </w:p>
    <w:p>
      <w:pPr>
        <w:ind w:left="720" w:right="21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do not include preopening costs of $0.7 million and $0.3 million in 2021 and 2020, respectively.</w:t>
      </w:r>
    </w:p>
    <w:p>
      <w:pPr>
        <w:ind w:left="720" w:right="99" w:hanging="319"/>
        <w:spacing w:after="0" w:line="253"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for 2020 include approximately $4.6 million in expenses directly related to the COVID-19 pandemic, which are primarily employment costs, and is net of $1.2 million in payroll tax credits afforded under the CARES Act. Gaylord Palms operating expenses for 2021 include approximately $0.1 million in credits directly related to the COVID-19 pandemic, which includes $0.5 million in payroll tax credits afforded under the CARES Act.</w:t>
      </w:r>
    </w:p>
    <w:p>
      <w:pPr>
        <w:spacing w:after="0" w:line="185"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years ended December 31, 2022, 2021 and 2020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r>
      <w:tr>
        <w:trPr>
          <w:trHeight w:val="196"/>
        </w:trPr>
        <w:tc>
          <w:tcPr>
            <w:tcW w:w="300" w:type="dxa"/>
            <w:vAlign w:val="bottom"/>
          </w:tcPr>
          <w:p>
            <w:pPr>
              <w:spacing w:after="0"/>
              <w:rPr>
                <w:sz w:val="17"/>
                <w:szCs w:val="17"/>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109,017</w:t>
            </w:r>
          </w:p>
        </w:tc>
        <w:tc>
          <w:tcPr>
            <w:tcW w:w="18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51.7 %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71,854</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39,819</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138,750</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61.5 %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43,611</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59,551</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57.8 %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37,748</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35.8 %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27,806</w:t>
            </w:r>
          </w:p>
        </w:tc>
        <w:tc>
          <w:tcPr>
            <w:tcW w:w="140" w:type="dxa"/>
            <w:vAlign w:val="bottom"/>
            <w:tcBorders>
              <w:bottom w:val="single" w:sz="8" w:color="CCEEFF"/>
            </w:tcBorders>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307,318</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180,031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111,236</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78,065</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29,005</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83,569</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51,138</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204.3 %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4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23,800</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14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219,164</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151,083</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117,054</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69.0 %</w:t>
            </w:r>
          </w:p>
        </w:tc>
        <w:tc>
          <w:tcPr>
            <w:tcW w:w="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19.9 pts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49.1 %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19.8 pts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29.3 %</w:t>
            </w:r>
          </w:p>
        </w:tc>
      </w:tr>
      <w:tr>
        <w:trPr>
          <w:trHeight w:val="202"/>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1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221.00</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204.38</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8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51.7 %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81.0 %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464.15</w:t>
            </w:r>
          </w:p>
        </w:tc>
        <w:tc>
          <w:tcPr>
            <w:tcW w:w="1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70.7 %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271.91</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62.3 %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167.54</w:t>
            </w:r>
          </w:p>
        </w:tc>
        <w:tc>
          <w:tcPr>
            <w:tcW w:w="140" w:type="dxa"/>
            <w:vAlign w:val="bottom"/>
            <w:shd w:val="clear" w:color="auto" w:fill="CCEEFF"/>
          </w:tcPr>
          <w:p>
            <w:pPr>
              <w:spacing w:after="0"/>
              <w:rPr>
                <w:sz w:val="17"/>
                <w:szCs w:val="17"/>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3" w:lineRule="exact"/>
        <w:rPr>
          <w:sz w:val="20"/>
          <w:szCs w:val="20"/>
          <w:color w:val="auto"/>
        </w:rPr>
      </w:pPr>
    </w:p>
    <w:p>
      <w:pPr>
        <w:ind w:left="720" w:right="9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Texan operating expenses for 2020 include approximately $3.6 million in expenses directly related to the COVID-19 pandemic, which are primarily employment costs, and is net of $1.3 million in payroll tax credits afforded under the CARES Act. Gaylord Texan operating expenses for 2021 include approximately $0.6 million in credits directly related to the COVID-19 pandemic, which includes $0.4 million in payroll tax credits afforded under the CARES Act.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years ended December 31, 2022, 2021 and 2020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r>
      <w:tr>
        <w:trPr>
          <w:trHeight w:val="196"/>
        </w:trPr>
        <w:tc>
          <w:tcPr>
            <w:tcW w:w="80" w:type="dxa"/>
            <w:vAlign w:val="bottom"/>
          </w:tcPr>
          <w:p>
            <w:pPr>
              <w:spacing w:after="0"/>
              <w:rPr>
                <w:sz w:val="17"/>
                <w:szCs w:val="17"/>
                <w:color w:val="auto"/>
              </w:rPr>
            </w:pPr>
          </w:p>
        </w:tc>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97,950</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206.0 %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2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63.9 %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19,531</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118,119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315.2 %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24,716</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33,780</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78.1 %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18,964</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143.8 %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140" w:type="dxa"/>
            <w:vAlign w:val="bottom"/>
            <w:tcBorders>
              <w:bottom w:val="single" w:sz="8" w:color="CCEEFF"/>
            </w:tcBorders>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249,849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52.7 %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52,026</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13,197</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198.7 %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23,501</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29,626</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43,449</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454.0 %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40" w:type="dxa"/>
            <w:vAlign w:val="bottom"/>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(1)(2)</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230,240</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126,867</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114,129</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56.5 %</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37.4 pts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19.1 %</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6.2 pts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238.13</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230.12</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206.1 %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2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64.3 %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342.94</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53.1 %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140" w:type="dxa"/>
            <w:vAlign w:val="bottom"/>
            <w:shd w:val="clear" w:color="auto" w:fill="CCEEFF"/>
          </w:tcPr>
          <w:p>
            <w:pPr>
              <w:spacing w:after="0"/>
              <w:rPr>
                <w:sz w:val="17"/>
                <w:szCs w:val="17"/>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3" w:lineRule="exact"/>
        <w:rPr>
          <w:sz w:val="20"/>
          <w:szCs w:val="20"/>
          <w:color w:val="auto"/>
        </w:rPr>
      </w:pPr>
    </w:p>
    <w:p>
      <w:pPr>
        <w:ind w:left="720" w:right="13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operating expenses for 2020 do not include credit losses on held-to-maturity securities of $32.8 million.</w:t>
      </w:r>
    </w:p>
    <w:p>
      <w:pPr>
        <w:ind w:left="720" w:right="99" w:hanging="319"/>
        <w:spacing w:after="0" w:line="253"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operating expenses for 2020 include approximately $16.0 million in expenses directly related to the COVID-19 pandemic, which are primarily employment costs, and is net of $2.2 million in payroll tax credits afforded under the CARES Act. Gaylord National operating expenses for 2021 include approximately $2.7 million in credits directly related to the COVID-19 pandemic, which includes $2.5 million in payroll tax credits afforded under the CARES Act.</w:t>
      </w:r>
    </w:p>
    <w:p>
      <w:pPr>
        <w:spacing w:after="0" w:line="185"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Rockies Results. </w:t>
      </w:r>
      <w:r>
        <w:rPr>
          <w:rFonts w:ascii="Times New Roman" w:cs="Times New Roman" w:eastAsia="Times New Roman" w:hAnsi="Times New Roman"/>
          <w:sz w:val="18"/>
          <w:szCs w:val="18"/>
          <w:color w:val="auto"/>
        </w:rPr>
        <w:t>The results of Gaylord Rockies for the years ended December 31, 2022, 2021 and 2020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r>
      <w:tr>
        <w:trPr>
          <w:trHeight w:val="210"/>
        </w:trPr>
        <w:tc>
          <w:tcPr>
            <w:tcW w:w="8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87,587</w:t>
            </w:r>
          </w:p>
        </w:tc>
        <w:tc>
          <w:tcPr>
            <w:tcW w:w="14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47,061</w:t>
            </w:r>
          </w:p>
        </w:tc>
        <w:tc>
          <w:tcPr>
            <w:tcW w:w="14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87.9 %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w:t>
            </w:r>
          </w:p>
        </w:tc>
        <w:tc>
          <w:tcPr>
            <w:tcW w:w="14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124,463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40,224</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41,276</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36,120</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85.7 %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140" w:type="dxa"/>
            <w:vAlign w:val="bottom"/>
            <w:tcBorders>
              <w:bottom w:val="single" w:sz="8" w:color="CCEEFF"/>
            </w:tcBorders>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135,942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60.5 %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84,715</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73,121</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38,662</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34,373</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102.3 %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90,533</w:t>
            </w:r>
          </w:p>
        </w:tc>
        <w:tc>
          <w:tcPr>
            <w:tcW w:w="140" w:type="dxa"/>
            <w:vAlign w:val="bottom"/>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236,148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191,698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165,018</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28.4 pts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16.3 pts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23.6 %</w:t>
            </w: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192.89</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159.87</w:t>
            </w:r>
          </w:p>
        </w:tc>
        <w:tc>
          <w:tcPr>
            <w:tcW w:w="14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4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88.5 %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4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86.3 %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248.13</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60.9 %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40" w:type="dxa"/>
            <w:vAlign w:val="bottom"/>
            <w:shd w:val="clear" w:color="auto" w:fill="CCEEFF"/>
          </w:tcPr>
          <w:p>
            <w:pPr>
              <w:spacing w:after="0"/>
              <w:rPr>
                <w:sz w:val="17"/>
                <w:szCs w:val="17"/>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3" w:lineRule="exact"/>
        <w:rPr>
          <w:sz w:val="20"/>
          <w:szCs w:val="20"/>
          <w:color w:val="auto"/>
        </w:rPr>
      </w:pPr>
    </w:p>
    <w:p>
      <w:pPr>
        <w:ind w:left="720" w:right="7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Rockies operating expenses for 2020 include approximately $3.0 million in expenses directly related to the COVID-19 pandemic, which are primarily employment costs, and is net of $1.1 million in payroll tax credits afforded under the CARES Act. Gaylord Rockies operating expenses for 2021 include approximately $0.2 million in credits directly related to the COVID-19 pandemic, which includes $0.3 million in payroll tax credits afforded under the CARES Act.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jc w:val="both"/>
        <w:ind w:left="60" w:right="379"/>
        <w:spacing w:after="0" w:line="281" w:lineRule="auto"/>
        <w:rPr>
          <w:sz w:val="20"/>
          <w:szCs w:val="20"/>
          <w:color w:val="auto"/>
        </w:rPr>
      </w:pPr>
      <w:r>
        <w:rPr>
          <w:rFonts w:ascii="Times New Roman" w:cs="Times New Roman" w:eastAsia="Times New Roman" w:hAnsi="Times New Roman"/>
          <w:sz w:val="17"/>
          <w:szCs w:val="17"/>
          <w:color w:val="auto"/>
        </w:rPr>
        <w:t>Due to temporary closures and reopenings of various assets related to COVID-19 in 2021 and 2020, the Entertainment segment financial results for 2021 and 2020 are not comparable to 2022 or to historical periods. Entertainment segment financial results for 2022 include Block 21 beginning May 31, 2022. The following presents the financial results of our Entertainment segment for the years ended December 31, 2022, 2021 and 2020 (in thousands, except percentages):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34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r>
      <w:tr>
        <w:trPr>
          <w:trHeight w:val="216"/>
        </w:trPr>
        <w:tc>
          <w:tcPr>
            <w:tcW w:w="34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78,301</w:t>
            </w:r>
          </w:p>
        </w:tc>
      </w:tr>
      <w:tr>
        <w:trPr>
          <w:trHeight w:val="216"/>
        </w:trPr>
        <w:tc>
          <w:tcPr>
            <w:tcW w:w="3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r>
      <w:tr>
        <w:trPr>
          <w:trHeight w:val="209"/>
        </w:trPr>
        <w:tc>
          <w:tcPr>
            <w:tcW w:w="4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income (loss) (1)(2)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(34,242)</w:t>
            </w: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3" w:lineRule="exact"/>
        <w:rPr>
          <w:sz w:val="20"/>
          <w:szCs w:val="20"/>
          <w:color w:val="auto"/>
        </w:rPr>
      </w:pPr>
    </w:p>
    <w:p>
      <w:pPr>
        <w:ind w:left="720" w:right="139" w:hanging="319"/>
        <w:spacing w:after="0" w:line="255"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(loss) does not include preopening costs of $0.5 million and $1.4 million in 2022 and 2020, respectively. Entertainment segment operating income (loss) also does not include loss from unconsolidated joint ventures of $11.0 million, $9.0 million and $6.5 million in 2022, 2021 and 2020, respectively, related to Circle.</w:t>
      </w:r>
    </w:p>
    <w:p>
      <w:pPr>
        <w:spacing w:after="0" w:line="2"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loss for 2020 includes approximately $4.6 million in expenses directly related to the COVID-19 pandemic, which are primarily employment costs.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Corporate and Other segment for the years ended December 31, 2022, 2021 and 2020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2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r>
      <w:tr>
        <w:trPr>
          <w:trHeight w:val="216"/>
        </w:trPr>
        <w:tc>
          <w:tcPr>
            <w:tcW w:w="2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09"/>
        </w:trPr>
        <w:tc>
          <w:tcPr>
            <w:tcW w:w="2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(43,803)</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w:t>
            </w: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96"/>
        </w:trPr>
        <w:tc>
          <w:tcPr>
            <w:tcW w:w="2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loss for 2022 does not include a loss on sale of assets of $0.5 million.</w:t>
      </w:r>
    </w:p>
    <w:p>
      <w:pPr>
        <w:spacing w:after="0" w:line="27" w:lineRule="exact"/>
        <w:rPr>
          <w:rFonts w:ascii="Times New Roman" w:cs="Times New Roman" w:eastAsia="Times New Roman" w:hAnsi="Times New Roman"/>
          <w:sz w:val="18"/>
          <w:szCs w:val="18"/>
          <w:color w:val="auto"/>
        </w:rPr>
      </w:pPr>
    </w:p>
    <w:p>
      <w:pPr>
        <w:ind w:left="720" w:right="99" w:hanging="319"/>
        <w:spacing w:after="0" w:line="26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loss for 2020 includes approximately $0.6 million in expenses directly related to the COVID-19 pandemic, which are primarily employment costs.</w:t>
      </w:r>
    </w:p>
    <w:p>
      <w:pPr>
        <w:spacing w:after="0" w:line="1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which consist primarily of costs associated with senior management salaries and benefits, legal, human resources, accounting, pension and other administrative costs, increased in 2022, as compared to 2021, primarily as a result of an increase in employment expenses associated with the hiring of additional employees and increased wages to support the Company’s growth.</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29"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We expense the costs associated with start-up activities and organization costs as incurred. Our preopening costs for 2022 primarily include costs associated with Ole Red Nashville International Airport, which was completed in May 2022. Our preopening costs for 2021 primarily include costs associated with the Gaylord Palms expansion, which was completed in April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Loss on sale of assets for 2022 includes the sale of a parcel of land in Nashville, Tennessee. Gain on sale of assets during 2021 primarily represents the sale of certain assets at Gaylord Opryland.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(loss) for the years ended December 31, 2022, 2021 and 2020 (in thousands, except percentages):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40" w:type="dxa"/>
            <w:vAlign w:val="bottom"/>
          </w:tcPr>
          <w:p>
            <w:pPr>
              <w:spacing w:after="0"/>
              <w:rPr>
                <w:sz w:val="15"/>
                <w:szCs w:val="15"/>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$ 148,406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$ 125,347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$ 115,783</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(38,775)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Interest expense increased $23.1 million in 2022, as compared to 2021, due primarily to the new OEG Term Loan and the Block 21 CMBS loan. In addition, 2021 included $2.7 million in capitalized interest that did not recur in 2022. Our weighted average interest rate on our borrowings, excluding the write-off of deferred financing costs and capitalized interest, was 5.0% and 4.4% in 2022 and 2021, respectively. Cash interest expense increased $18.0 million to $137.7 million in 2022, as compared to 2021, and non-cash interest expense, which includes amortization and write-off of deferred financing costs and is offset by capitalized interest, increased $5.0 million to $10.7 million in 2022, as compared to 2021.</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Interest income for 2022 and 2021 primarily includes amounts earned on the bonds that we received in 2008 in connection with the development of Gaylord National, which we hold as notes receivable.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of our repayment of our $300 million term loan A with the proceeds from the OEG Term Loan, we recognized a loss on extinguishment of debt of $1.5 million in 2022.</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February 2021, we commenced a cash tender offer for any and all outstanding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2021.</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22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2022 and 2021 represents our equity method share of losses associated with Circle.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27"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Other gains and (losses), net for 2022 primarily includes a gain of $2.9 million from a fund associated with the Gaylord National bonds to reimburse us for certain marketing and maintenance expenses. Other gains and (losses), net for 2021 includes various miscellaneous items.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During 2022 and 2021, we recorded an income tax provision of $38.8 million and $5.0 million, respectively. These results differ from the statutory rate primarily due to the REIT dividends paid deduction and changes to the valuation allowance in both periods.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5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EBITDAre, Adjusted EBITDAre and Adjusted EBITDAre, Excluding Noncontrolling Interest in Consolidated Joint Venture Definition</w:t>
      </w:r>
    </w:p>
    <w:p>
      <w:pPr>
        <w:spacing w:after="0" w:line="15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FFO, Adjusted FFO, and Adjusted FFO available to common shareholders and unit holders Definition</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shareholders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shareholders and unit holders and Adjusted FFO available to common shareholders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years ended December 31, 2022, 2021 and 2020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(460,821)</w:t>
            </w: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108,479</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27,084</w:t>
            </w: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215,082</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03"/>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19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(111,282)</w:t>
            </w:r>
          </w:p>
        </w:tc>
      </w:tr>
      <w:tr>
        <w:trPr>
          <w:trHeight w:val="202"/>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w:t>
            </w: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loss on held-to-maturity securities</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32,784</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w:t>
            </w:r>
          </w:p>
        </w:tc>
      </w:tr>
      <w:tr>
        <w:trPr>
          <w:trHeight w:val="203"/>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15,437</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555,854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(40,279)</w:t>
            </w:r>
          </w:p>
        </w:tc>
      </w:tr>
      <w:tr>
        <w:trPr>
          <w:trHeight w:val="203"/>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(15,309)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540,545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178,356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(44,268)</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years ended December 31, 2022, 2021 and 2020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(460,821)</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42,474</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shareholders and unit holders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(418,347)</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214,933</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(33,213)</w:t>
            </w:r>
          </w:p>
        </w:tc>
      </w:tr>
      <w:tr>
        <w:trPr>
          <w:trHeight w:val="216"/>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shareholders and unit holders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(236,577)</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on held-to-maturity securities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26,526</w:t>
            </w: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shareholders and unit 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363,501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(149,598)</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i w:val="1"/>
          <w:iCs w:val="1"/>
          <w:color w:val="auto"/>
        </w:rPr>
        <w:t>Cash Flows from Operating Activities</w:t>
      </w:r>
      <w:r>
        <w:rPr>
          <w:rFonts w:ascii="Times New Roman" w:cs="Times New Roman" w:eastAsia="Times New Roman" w:hAnsi="Times New Roman"/>
          <w:sz w:val="17"/>
          <w:szCs w:val="17"/>
          <w:color w:val="auto"/>
        </w:rPr>
        <w:t>. Historically, cash flow from operating activities has been the principal source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used to fund our operating expenses, interest payments on debt, maintenance capital expenditures, and dividends to stockholders. During 2022, our net cash flows provided by operating activities were $419.9 million, primarily reflecting our net income before depreciation expense, amortization expense and other non-cash charges of approximately $387.6</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million, and favorable changes in working capital of approximately $32.3 million. The favorable changes in working capital primarily resulted from an increase in deferred revenues associated with increased advanced ticket purchases at our OEG venues and advanced room deposits on future hotel room stays, an increase in general accrued expenses, including an increase in management fees and an increase in incentive compensation, as a result of the increase in business levels, and an increase in accrued dividends payable. These favorable changes in working capital were partially offset by an increase in accounts receivable due to an increase in group business at our Gaylord Hotels properties.</w:t>
      </w:r>
    </w:p>
    <w:p>
      <w:pPr>
        <w:spacing w:after="0" w:line="187"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During 2021, our net cash flows provided by operating activities were $111.3 million, primarily reflecting our net loss before depreciation expense, amortization expense and other non-cash charges of approximately $59.4 million and favorable changes in working capital of approximately $51.8 million. The favorable changes in working capital primarily resulted from an increase in deferred revenues associated with advanced room deposits at our Gaylord Hotels properties and an increase in accrued employment costs and general accrued liabilities as a result of increased business levels, partially offset by an increase in accounts receivable due to an increase in group business at our Gaylord Hotels properties.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2022, our primary use of funds for investing activities were the use of $94.0 million in net cash to fund a portion of the purchase price of Block 21 and purchases of property and equipment, which totaled $89.5 million. Purchases of property and equipment consisted primarily of enhancements at Gaylord Rockies to better position the property for our group customers, a re-concepting of the food and beverage options at Gaylord National, the construction of our Ole Red locations in Las Vegas and the Nashville International Airport, and ongoing maintenance capital expenditures for our existing properties.</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2021, our primary use of funds for investing activities was the $210.0 million purchase of the remaining 35% interest in the Gaylord Rockies joint venture and adjacent, undeveloped land. In addition, we spent $77.4 million for purchases of property and equipment, which consisted primarily of a rooms renovation at Gaylord National, the expansion of Gaylord Palms, and ongoing maintenance capital expenditures for our existing properties.</w:t>
      </w:r>
    </w:p>
    <w:p>
      <w:pPr>
        <w:spacing w:after="0" w:line="17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Our cash flows from financing activities reflect primarily the incurrence 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cash dividends. During 2022, net cash flows provided by financing activities were $50.7 million, primarily reflecting the net proceeds of the OEG Transaction of $285.9 million and the incurrence of the OEG Term Loan and the repayment of our former term loan A, partially offset by the repayment of $195.0 million under our credit facility and the payment of $15.4 million in deferred financing costs.</w:t>
      </w:r>
    </w:p>
    <w:p>
      <w:pPr>
        <w:spacing w:after="0" w:line="18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2021, net cash flows provided by financing activities were $261.7 million, primarily reflecting net senior note borrowing of $200.0 million and net borrowings under our credit facility of $79.0 million, partially offset by the payment of $10.6 million in deferred financing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At December 31, 2022, we had $334.2 million in unrestricted cash and $754.6 million available for borrowing under our revolving credit facility and the OEG revolving debt facility. During 2022, we received net proceeds of $285.9 million related to the OEG Transaction, repaid $497.3 million under our various debt agreements, borrowed $288.0 million under the new OEG Term Loan, paid $94.0 million in net cash for the purchase of Block 21 after the assumption of the Block 21 CMBS loan, and incurred capital expenditures of $89.5 million. These changes, and the cash flows from operations discussed above, were the primary factors in the increase in our cash balance from 2021 to 2022.</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anticipate investing in our operations during 2023 by spending between approximately $225 million and $275 million in capital expenditures, which primarily includes enhancements at Gaylord Rockies, the construction of Ole Red Las Vegas, enhancements to the offerings at Block 21, and ongoing maintenance capital of our current facilities. In addition, we intend to contribute up to an additional $12.2 million in capital to the Circle joint venture for working capital needs. We currently have no debt maturities until July 2023. We believe we will be able to refinance our debt agreements prior to their maturities, including extension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as amended, and the OEG revolving credit facility, as applicable.</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December 31, 2022, there were no defaults under the covenants related to our outstanding debt.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225"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(the “Base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prior credit facility. As amended, our credit facility consists of a $700.0 million senior secured revolving credit facility (the “Revolver”), prior to its repayment on June 16, 2022, a $300.0 million senior secured term loan A (the “Term Loan A”), and a $500.0 million senior secured term loan B (the “Term Loan B”), each as discussed below. In 2020, we entered into two amendments (the “2020 Amendments”) to the Base Credit Agreement among the same parties, as discussed below. Additionally, we further amended the Base Credit Agreement in May 2021 and October 2021 to permit an acquisition during the Credit Agreement’s Restricted Period (as defined below) and an assumption of indebtedness, subject to certain conditions (such amendments, together with the 2020 Amendments, the “Amendments”; the Base Credit Agreement, as amended by the Amendments, the “Existing Credit Agreement”; the Existing Credit Agreement, as amended by the Fifth Amendment (as hereinafter defined), the “Credit Agreement”).</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 properties is sold), in each case, excluding Gaylord Rockies. Assets of Gaylord Rockies and OEG are not subject to the liens of our credit facility.</w:t>
      </w:r>
    </w:p>
    <w:p>
      <w:pPr>
        <w:spacing w:after="0" w:line="19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(the “Compliance Covenants”):</w:t>
      </w:r>
    </w:p>
    <w:p>
      <w:pPr>
        <w:spacing w:after="0" w:line="180" w:lineRule="exact"/>
        <w:rPr>
          <w:sz w:val="20"/>
          <w:szCs w:val="20"/>
          <w:color w:val="auto"/>
        </w:rPr>
      </w:pPr>
    </w:p>
    <w:p>
      <w:pPr>
        <w:ind w:left="720" w:right="4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6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Amendments provided for a waiver of the foregoing Compliance Covenants through March 31, 2022 (the “Temporary Waiver Period”) and modified certain covenants through June 30, 2022. In addition, the Amendments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contain a covenant that we must maintain unrestricted liquidity (in the form of unrestricted cash on hand or undrawn availability under the Revolver) of at least $100 million. In the event we are unable to comply with the Credit Agreement’s Compliance Covenants, we expect to further amend the Credit Agreement or take other mitigating actions prior to a potential breach.</w:t>
      </w:r>
    </w:p>
    <w:p>
      <w:pPr>
        <w:spacing w:after="0" w:line="18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Beginning with the quarter ended June 30, 2022, we calculate compliance with the Compliance Covenants in the Credit Agreement using a designated annualized calculation based on our most recently completed fiscal quarter. Beginning with the quarter ended September 30, 2022, we are required to satisfy the Compliance Covenants at the levels set forth in the Credit Agreement using a designated annualized calculation based on our most recently completed fiscal quarters, as applicable. Pursuant to the Amendments, we were required to use any proceeds from borrowings drawn until we demonstrated financial covenant compliance following the expiration of the Temporary Waiver Period (the “Restricted Period”) to fund operating expenses, debt service of the Company and its subsidiaries, and permitted capital expenditures and investments. We demonstrated such financial compliance in May 2022 and thereby ended the Restricted Period; thereafter, we are required to satisfy the Compliance Covenants set forth in the Credit Agreement and described above.</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4, 2022, we entered into Amendment No. 5 (the “Fifth Amendment”) to the Existing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was effective upon the closing of the OEG Transaction. These amendments include, among others, the exclusion of OEG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Compliance Covenants currently provided for in the Credit Agreement.</w:t>
      </w:r>
    </w:p>
    <w:p>
      <w:pPr>
        <w:spacing w:after="0" w:line="18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Revolving Credit Facility. </w:t>
      </w:r>
      <w:r>
        <w:rPr>
          <w:rFonts w:ascii="Times New Roman" w:cs="Times New Roman" w:eastAsia="Times New Roman" w:hAnsi="Times New Roman"/>
          <w:sz w:val="17"/>
          <w:szCs w:val="17"/>
          <w:color w:val="auto"/>
        </w:rPr>
        <w:t>The maturity date of the Revolver is March 31, 2024, with two additional six-month extension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at our election. Borrowings under the Revolver bear interest at an annual rate equal to, at our option, either</w:t>
      </w:r>
    </w:p>
    <w:p>
      <w:pPr>
        <w:spacing w:after="0" w:line="1" w:lineRule="exact"/>
        <w:rPr>
          <w:sz w:val="20"/>
          <w:szCs w:val="20"/>
          <w:color w:val="auto"/>
        </w:rPr>
      </w:pPr>
    </w:p>
    <w:p>
      <w:pPr>
        <w:ind w:left="60" w:right="99" w:hanging="10"/>
        <w:spacing w:after="0" w:line="277" w:lineRule="auto"/>
        <w:tabs>
          <w:tab w:leader="none" w:pos="27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LIBOR plus the applicable margin ranging from 1.40% to 1.95%, dependent upon our funded debt to total asset value ratio (as defined in the Credit Agreement) or (ii) a base rate as set in the Credit Agreement. At December 31, 2022, the interest rate on LIBOR-based borrowings under the Revolver is LIBOR plus 1.55%. Principal is payable in full at maturity.</w:t>
      </w:r>
    </w:p>
    <w:p>
      <w:pPr>
        <w:spacing w:after="0" w:line="16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At December 31, 2022, no amounts were outstanding under the Revolver, and the lending banks had issued $10.4 million of letters of credit under the Credit Agreement, which left $689.6 million of availability under the Revolver (subject to the satisfaction of debt incurrence tests under the indentures governing our $600 million in aggregate principal amount of senior notes due 2029 (the “$600 Million 4.50% Senior Notes”) and our $700 million in aggregate principal amount of senior notes due 2027 (the “$700 Million 4.75% Senior Notes”), which we met at December 31, 2022).</w:t>
      </w:r>
    </w:p>
    <w:p>
      <w:pPr>
        <w:spacing w:after="0" w:line="181"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Term Loan A Facility. </w:t>
      </w:r>
      <w:r>
        <w:rPr>
          <w:rFonts w:ascii="Times New Roman" w:cs="Times New Roman" w:eastAsia="Times New Roman" w:hAnsi="Times New Roman"/>
          <w:sz w:val="17"/>
          <w:szCs w:val="17"/>
          <w:color w:val="auto"/>
        </w:rPr>
        <w:t>The original maturity date of the Term Loan A was March 31, 2025. Borrowings bore interest at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rate equal to, at our option, either (i) LIBOR plus the applicable margin ranging from 1.35% to 1.90%, dependent upon our funded debt to total asset value ratio (as defined in the Credit Agreement) or (ii) a base rate as set in the Credit Agreement. As discussed below, in June 2022, we paid off the Term Loan A with proceeds from the OEG Term Loan.</w:t>
      </w:r>
    </w:p>
    <w:p>
      <w:pPr>
        <w:spacing w:after="0" w:line="164" w:lineRule="exact"/>
        <w:rPr>
          <w:sz w:val="20"/>
          <w:szCs w:val="20"/>
          <w:color w:val="auto"/>
        </w:rPr>
      </w:pPr>
    </w:p>
    <w:p>
      <w:pPr>
        <w:ind w:left="60" w:right="35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Term Loan B Facility. </w:t>
      </w:r>
      <w:r>
        <w:rPr>
          <w:rFonts w:ascii="Times New Roman" w:cs="Times New Roman" w:eastAsia="Times New Roman" w:hAnsi="Times New Roman"/>
          <w:sz w:val="17"/>
          <w:szCs w:val="17"/>
          <w:color w:val="auto"/>
        </w:rPr>
        <w:t>The Term Loan B has a maturity date of May 11, 2024. The applicable interest rate margins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borrowings under the Term Loan B are, at our option, either (i) LIBOR plus 2.00% or (ii) a base rate as set in the Credit Agreement. At December 31, 2022, the interest rate on the Term Loan B was LIBOR plus 2.00%. In October 2019, we entered into four interest rate swaps with a total notional amount of $350.0 million to fix the LIBOR portion of the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December 31, 2022, $371.3 million in borrowings were outstanding under the Term Loan B.</w:t>
      </w:r>
    </w:p>
    <w:p>
      <w:pPr>
        <w:spacing w:after="0" w:line="18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RHP Finance Corporation (“Finco”)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the private 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70"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3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On February 17, 2021, the Operating Partnership and Finco completed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8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comprising the previous Gaylord Rockies joint venture, entered into a Second Amended and Restated Loan Agreement (the “Gaylord Rockies Loan”) with Wells Fargo Bank, National Association, as administrative agent, which refinanced Gaylord Rockies’s existing $500 million construction loan and $39 million mezzanine loan, which were scheduled to mature in December 2019. The Gaylord Rockies Loan consists of an $800.0 million secured term loan facility, which matures July 2, 2023 with three, one-year extension options, subject to certain requirements in the Gaylord Rockies Loan, and bears interest at LIBOR plus 2.50%. Simultaneous with closing, Gaylord Rockies entered into an interest rate swap to fix the LIBOR portion of the interest rate at 1.65% for the first three years of the loan. Additionally, we have entered into an additional interest rate swap to fix the LIBOR portion of the interest rate at 3.3410% for the fourth year of the loan. We have designated these interest rate swaps as effective cash flow hedges.</w:t>
      </w:r>
    </w:p>
    <w:p>
      <w:pPr>
        <w:spacing w:after="0" w:line="19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which Gaylord Rockies was in beginning in July 2020 through December 2022, (ii) extend the deadline for Hotel Owner to commence construction of an expansion to Gaylord Rockies, and (iii) provide favorable changes to the debt service coverage ratio provisions.</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our subsidiaries that own Gaylord Rockies and requires a certain level of equity financing for a Gaylord Rockies expansion.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16, 2022, OEG Borrower, LLC (“OEG Borrower”) and OEG Finance, LLC (“OEG</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each a wholly owned direct or indirect subsidiary of OEG, entered into a credit agreement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among OEG Borrower, as borrower, OEG Finance, certain subsidiaries of OEG Borrower from time to time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party thereto as guarantors, the lenders party thereto and JPMorgan Chase Bank, N.A., as administrative agent. The OEG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provides for (i) a senior secured term loan facility in the aggregate principal amount of $300.0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and (ii) a senior secured revolving credit facility in an aggregate principal amount not to exceed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$65.0 million (the “OEG Revolver”). The OEG Term Loan matures on June 16, 2029, and the OEG Revolver matures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16, 2027. The OEG Term Loan bears interest at a rate equal to either, at OEG Borrower’s election, (i) the Alternate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Base Rate plus 4.00% or (b) Adjusted Term SOFR plus 5.00% (all as specifically more described in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In November 2022, OEG entered into an interest rate swap to fix the SOFR portion of the interest rate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$100.0 million of borrowings at 4.533% through December 2025. The OEG Revolver bears interest at a rate equal to either,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OEG Borrower’s election, (i) the Alternate Base Rate plus 3.75% or (b) Adjusted Term SOFR plus 4.75%, which shall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 subject to reduction in the applicable margin based upon OEG’s First Lien Leverage Ratio (all as specifically more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described in the OEG Credit Agreement). The OEG Term Loan and OEG Revolver are each secured by substantially all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assets of OEG Finance and each of its subsidiaries (other than Block 21 and Circle, as more specifically described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Credit Agreement). The net proceeds we received from the OEG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were used to repay the outstanding balance of our former Term Loan A. No revolving credit advance was made under the OEG Revolver at closing, and no amounts were outstanding under the OEG Revolver at December 31, 2022.</w:t>
      </w:r>
    </w:p>
    <w:p>
      <w:pPr>
        <w:spacing w:after="0" w:line="16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$136 million, ten-year, non-recourse term loan secured by a mortgage on Block 21 (the “Block 21 CMBS Loan”). The Block 21 CMBS Loan has a fixed interest rate of 5.58% per annum, payable monthly, matures January 5, 2026, and provides for payments due monthly based on a 30-year amortization.</w:t>
      </w:r>
    </w:p>
    <w:p>
      <w:pPr>
        <w:spacing w:after="0" w:line="182"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our purchase date and remains as such as of December 31, 2022. During the Trigger Period, any cash generated in excess of amounts necessary to fund loan obligations, budgeted operating expenses and specified reserves will not be distributed to Block 21.</w:t>
      </w:r>
    </w:p>
    <w:p>
      <w:pPr>
        <w:spacing w:after="0" w:line="166"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December 31, 2022 for our variable-rate date after considering interest rate swaps, our estimated interest obligations over the next five years are $506.6 million. These estimated obligations are $137.8 million in 2023, $104.6 million in 2024, $95.4 million in 2025, $88.0 million in 2026, and $80.8 million in 2027.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2022, 2021 and 2020.</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ind w:left="60" w:right="639"/>
        <w:spacing w:after="0" w:line="312" w:lineRule="auto"/>
        <w:rPr>
          <w:sz w:val="20"/>
          <w:szCs w:val="20"/>
          <w:color w:val="auto"/>
        </w:rPr>
      </w:pPr>
      <w:r>
        <w:rPr>
          <w:rFonts w:ascii="Times New Roman" w:cs="Times New Roman" w:eastAsia="Times New Roman" w:hAnsi="Times New Roman"/>
          <w:sz w:val="17"/>
          <w:szCs w:val="17"/>
          <w:color w:val="auto"/>
        </w:rPr>
        <w:t>Inflation has had a more meaningful impact on our business during 2022 than in recent historical periods. However, favorable occupancy, ADR and outside-the-room spend in our Hospitality segment and business levels in our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Entertainment segment reduced the impact of increased operating costs, including increased wages and food and beverage costs, on our financial position and results of operations. 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Company’s $600 Million 4.50% Senior Notes and $700 Million 4.75% Senior Notes were each issued by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92"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noncontrolling interest</w:t>
            </w: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1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239,283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118,255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107,134</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51,539</w:t>
            </w:r>
          </w:p>
        </w:tc>
        <w:tc>
          <w:tcPr>
            <w:tcW w:w="0" w:type="dxa"/>
            <w:vAlign w:val="bottom"/>
          </w:tcPr>
          <w:p>
            <w:pPr>
              <w:spacing w:after="0"/>
              <w:rPr>
                <w:sz w:val="1"/>
                <w:szCs w:val="1"/>
                <w:color w:val="auto"/>
              </w:rPr>
            </w:pP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48,865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involve a higher degree of judgment and complexity.</w:t>
      </w:r>
    </w:p>
    <w:p>
      <w:pPr>
        <w:spacing w:after="0" w:line="17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Revenues from occupied hotel rooms are recognized over time as the daily hotel stay is provided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hotel groups and guests. Revenues from concessions, food and beverage sales, and group meeting services are recognized over the period or at the time those goods or services are delivered to the hotel group or guest. Revenues from ancillary services at our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We generally recognize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w:t>
      </w:r>
    </w:p>
    <w:p>
      <w:pPr>
        <w:spacing w:after="0" w:line="190" w:lineRule="exact"/>
        <w:rPr>
          <w:sz w:val="20"/>
          <w:szCs w:val="20"/>
          <w:color w:val="auto"/>
        </w:rPr>
      </w:pPr>
    </w:p>
    <w:p>
      <w:pPr>
        <w:ind w:left="6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and other assets. </w:t>
      </w:r>
      <w:r>
        <w:rPr>
          <w:rFonts w:ascii="Times New Roman" w:cs="Times New Roman" w:eastAsia="Times New Roman" w:hAnsi="Times New Roman"/>
          <w:sz w:val="17"/>
          <w:szCs w:val="17"/>
          <w:color w:val="auto"/>
        </w:rPr>
        <w:t>In accounting for our long-lived and other assets, we assess our long-lived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for impairment whenever events or changes in circumstances indicate that the carrying value of the assets or asset group may not be recoverable. Factors we consider when assessing whether impairment indicators exist include (i) significant under-performance relative to historical or projected future operating results, (ii) significant changes in the manner of our use of assets or the strategy for our overall business, or (iii) significant negative industry or economic trends.</w:t>
      </w:r>
    </w:p>
    <w:p>
      <w:pPr>
        <w:spacing w:after="0" w:line="16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 Estimating the total future undiscounted net cash flows, as well as the fair value of assets or asset groups, if necessary, requires management to make assumptions and projections of future cash flows, long-term growth rates, asset holding periods, and other factors. The assumptions used to assess impairment consider historical trends, macroeconomic conditions, and projections consistent with our operating strategy. Changes in these estimates and assumptions can have a significant impact on the assessment, which could result in material impairment losses.</w:t>
      </w:r>
    </w:p>
    <w:p>
      <w:pPr>
        <w:spacing w:after="0" w:line="190"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losses on financial assets. </w:t>
      </w:r>
      <w:r>
        <w:rPr>
          <w:rFonts w:ascii="Times New Roman" w:cs="Times New Roman" w:eastAsia="Times New Roman" w:hAnsi="Times New Roman"/>
          <w:sz w:val="18"/>
          <w:szCs w:val="18"/>
          <w:color w:val="auto"/>
        </w:rPr>
        <w:t>We assess our financial assets, including the bonds we received in 2008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Gaylord National construction (“Gaylord National Bonds”), and our accounts receivable for credit losses utilizing the expected loss model prescribed by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and record a reserve, in the form of an allowance for credit losses, against the amortized cost basis for the portion of the financial asset that will not be recovered due to credit losses.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provide credit loss reserves for the Gaylord National Bonds by comparing the amortized cost basis to their fair value. If the amortized cost basis exceeds the fair value, an expected credit loss exists and the allowance for credit losses is measured as the difference between the bonds’ amortized cost basis and fair value, which is estimated using discounted cash flow analyses that utilize comprehensive cash flow projections over the contractual life of the bonds, as well as observable market data to the extent available. Our estimate of the fair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require significant judgment as the Gaylord National Bonds and related projected cash flows continue for an extended period of time through 2037 and include the uncertainty of the impact of the COVID-19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provide for credit loss reserves for trade receivables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72"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expense is based on the estimated useful life of our fixed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expense for leasehold improvements is based on the shorter of the lease term or the estimated useful life of the related assets, and amortization expense for intangibles acquired as part of a business combination is based on the specific circumstances of each intangible asset.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29"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As a REIT, generally we will not be subject to federal corporate income taxes on ordinary taxable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2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2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2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2022 and 2021, we had no accruals for unrecognized tax benefits. We recognize interest and penalties related to uncertain tax positions, if any, in income tax expense. At December 31, 2022 and 2021, we have accrued no interest or penalties related to uncertain tax positions.</w:t>
      </w:r>
    </w:p>
    <w:p>
      <w:pPr>
        <w:spacing w:after="0" w:line="16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The costs and obligations of our pension plans recognized in our consolidated financial statements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discount rate utilized for determining future benefit obligations is based on the market rate of a broad-based index of high-quality bonds receiving an AA- or better rating from a recognized rating agency on our annual measurement date that is matched to the future expected cash flows of the benefit plans by annual periods. The resulting discount rate for the pension plan increased from 2.42% at December 31, 2021 to 4.85% at December 31, 2022.</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 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return on plan assets assumption used for determining net periodic pension expense for 2022 and 2021 was 6.0%. Actual return on plan assets for 2022 and 2021 was (18.6)% and 13.0%, respectively. Our historical actual return averaged 6.8% for the ten-year period ended December 31, 2022. In the future, we may make additional discretionary contributions to the plan or we could be required to make mandatory cash funding payments.</w:t>
      </w:r>
    </w:p>
    <w:p>
      <w:pPr>
        <w:spacing w:after="0" w:line="180"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mortality rate assumption used for determining future benefit obligations as of December 31, 2022 and 2021 was based on the Pri-2012 Total Dataset Mortality Table.</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While management believes that the assumptions used are appropriate, differences in actual experience or changes in assumptions may affect our pension obligations and expense. For example, holding all other assumptions constant, a 1% increase or decrease in the assumed discount rate related to the retirement plan would increase (decrease) 2022 net periodic pension expense by approximately $0.1 million and $(0.2) million, respectively. Likewise, a 1% increase or decrease in the assumed rate of return on plan assets would (decrease) increase 2021 net periodic pension expense by approximately $0.7 million.</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Purchase Price Allocations. </w:t>
      </w:r>
      <w:r>
        <w:rPr>
          <w:rFonts w:ascii="Times New Roman" w:cs="Times New Roman" w:eastAsia="Times New Roman" w:hAnsi="Times New Roman"/>
          <w:sz w:val="18"/>
          <w:szCs w:val="18"/>
          <w:color w:val="auto"/>
        </w:rPr>
        <w:t>Accounting for the acquisition of an entity as a business combination,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becoming the primary beneficiary of a previously unconsolidated variable interest entity, requires an allocation of the purchase price to the assets acquired and the liabilities assumed in the transaction at their respective estimated fair values, which requires us to make significant estimates and assumptions regarding the fair value of the acquired assets and liabilities assumed. We may engage third parties to provide valuation services to assist in the fair value determinations of the long-lived assets acquired and the liabilities assumed. The most difficult estimations of individual fair values are those involving long-lived assets, such as property, equipment, and intangible assets, that are assumed as part of the transaction, as well as any noncontrolling interests. When making fair value determinations, we consider market data for similar assets, expected cash flows discounted at risk-adjusted rates, and replacement cost for assets, among other information. Management judgment is required when making the significant assumptions used to value long-lived and identifiable intangible assets, which include projected revenue growth, estimated cash flows, discount rates, and other factors.</w:t>
      </w:r>
    </w:p>
    <w:p>
      <w:pPr>
        <w:spacing w:after="0" w:line="182"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Contingencies. </w:t>
      </w:r>
      <w:r>
        <w:rPr>
          <w:rFonts w:ascii="Times New Roman" w:cs="Times New Roman" w:eastAsia="Times New Roman" w:hAnsi="Times New Roman"/>
          <w:sz w:val="18"/>
          <w:szCs w:val="18"/>
          <w:color w:val="auto"/>
        </w:rPr>
        <w:t>We are subject to various legal proceedings and claims, the outcomes of which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uncertainty. We record an accrual for loss contingencies when a loss is probable and the amount of the loss can be reasonably estimated, the determination of which requires significant judgment. We review these accruals each reporting period and make revisions based on changes in facts and circumstances, but resolution of legal matters in a manner inconsistent with our expectations could have a material impact on our financial condition and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1 to our consolidated financial statements included herein.</w:t>
      </w:r>
    </w:p>
    <w:p>
      <w:pPr>
        <w:spacing w:after="0" w:line="158"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319"/>
        <w:spacing w:after="0" w:line="270" w:lineRule="auto"/>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foreign currency exchange rates and commodity prices. Our primary exposures to market risk are from changes in interest rates, including the rising interest rates experienced in 2022, and changes in asset values of investments that fund our pension plan. See Item 7, “Management’s Discussion and Analysis of Financial Condition and Results of Operations,” and</w:t>
      </w:r>
    </w:p>
    <w:p>
      <w:pPr>
        <w:spacing w:after="0" w:line="3"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Item 1A, “Risk Factors,” in this Annual Report on Form 10-K for more discussion on how interest rate increases affect our operations and financial condition.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Interest Rates</w:t>
      </w:r>
    </w:p>
    <w:p>
      <w:pPr>
        <w:spacing w:after="0" w:line="229"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At December 31, 2022, borrowings outstanding under the Term Loan B bore interest at an annual rate of LIBOR plus 2.00%. We have hedged our interest rate exposure on $350.0 million of borrowings under the Term Loan B with interest rate swaps that fix the LIBOR portion of interest payments through May 2023. If we do not enter into an additional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interest rate swap, we will be subject to interest rate risk under the Term Loan B from June 2023 through the May 2024 maturity date.</w:t>
      </w:r>
    </w:p>
    <w:p>
      <w:pPr>
        <w:spacing w:after="0" w:line="16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At December 31, 2022, borrowings outstanding under the Gaylord Rockies Loan bore interest at an annual rate of LIBOR plus 2.50%. We have hedged our interest rate exposure with an interest rate swap that fixes the LIBOR portion of interest payments through August 2023. If we do not enter into an additional interest rate swap, and we extend the maturity date of the Gaylord Rockies Loan beyond August 2023, we will be subject to interest rate risk under the Gaylord Rockies Loan from August 2023 through the extended maturity date.</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At December 31, 2022, borrowings outstanding under the OEG Term Loan bore interest at an annual rate of Adjusted Term SOFR plus 5.00%. We have hedged our interest rate exposure on $100.0 million of borrowings under the OEG Term Loan with an interest rate swap that fixes the SOFR portion of interest payments through December 2025. If Adjusted Term SOFR were to increase by 100 basis points, our annual interest cost on the $199.3 million in borrowings outstanding under the OEG Term Loan that are not hedged at December 31, 2022 would increase by approximately $2.0 million.</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December 31, 2022. As a result, the interest rate market risk implicit in these investments at December 31, 2022, if any, is 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Asset Values that Fund our Pension Plans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2022, the value of the investments in the pension fund was $52.3 million, and an immediate ten percent decrease in the value of the investments in the fund would have reduced the value of the fund by approximately $5.2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Based upon our overall market risk exposures at December 31, 2022, we believe that the effects of changes in interest rates related to our borrowings and asset values of investments that fund our pension plan could be material to our consolidated financial position, results of operations or cash flows.</w:t>
      </w:r>
    </w:p>
    <w:p>
      <w:pPr>
        <w:spacing w:after="0" w:line="17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in the Index beginning on page 76 of this Annual Report on Form 10-K and incorporated by reference herein.</w:t>
      </w:r>
    </w:p>
    <w:p>
      <w:pPr>
        <w:spacing w:after="0" w:line="15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83" w:lineRule="exact"/>
        <w:rPr>
          <w:sz w:val="20"/>
          <w:szCs w:val="20"/>
          <w:color w:val="auto"/>
        </w:rPr>
      </w:pPr>
    </w:p>
    <w:p>
      <w:pPr>
        <w:ind w:left="720" w:right="2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2022. In making this assessment, management used the criteria set forth by the Committee of Sponsoring Organizations of the Treadway Commission (2013 framework) in Internal Control - Integrated Framework.</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those criteria, management believes that, as of December 31, 2022, the Company’s internal control over financial reporting was effective.</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May 31, 2022, we acquired Block 21 through a business combination. We are currently in the process of assessing Block 21’s internal control over financial reporting and integrating Block 21’s internal control over financial reporting with our existing internal control over financial reporting. As permitted by SEC regulations, we have excluded Block 21 from our assessment of internal control over financial reporting as of December 31, 2022 since we acquired Block 21 in May 2022. Block 21 constituted 6.8% and 2.0% of total assets and total revenues, respectively, as of and for the year ended December 31, 2022.</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Effective February 23, 2023, our Board of Directors amended and restated our Amended and Restated Bylaws (as so amended and restated, the “Second Amended and Restated Bylaws”), effective immediately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61"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and submission of stockholder proposals (other than proposals to be included in the Company’s proxy statement pursuant to Rule 14a-8 under the Exchange Act), including by requiring compliance with Exchange Act Rule 14a-19, and;</w:t>
      </w:r>
    </w:p>
    <w:p>
      <w:pPr>
        <w:spacing w:after="0" w:line="179"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technical, ministerial, clarifying and conforming changes related to recent amendments to the Delaware General Corporation Law.</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Second Amended and Restated Bylaws also contain conforming, clarifying, and updating changes to supplement the above amendments, as well as certain other routine, technical, and non-substantive updates and revisions.</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above description of the amendments does not purport to be complete and is qualified in its entirety by reference to the Second Amended and Restated Bylaws, which are filed as Exhibit 3.2 to this Annual Report on Form 10-K and incorporated in this Part II, Item 9B by reference.</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Information about our Board of Directors required by Item 401 of Regulation S-K is incorporated herein by reference to the discussion under the heading “Proposal 1: Election of the Ten (10) Nominees for Director Identified in this Proxy Statement” in our Proxy Statement for the 2023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2024 Annual Meeting” in our Proxy Statement for the 2023 Annual Meeting of Stockholders, to be filed with the SEC.</w:t>
      </w:r>
    </w:p>
    <w:p>
      <w:pPr>
        <w:spacing w:after="0" w:line="17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of the Board of Directors established in accordance with the Exchange Act. Alvin Bowles, Christian Brickman, Fazal Merchant and Christine Pantoya currently serve as members of the Audit Committee, and Mr. Merchant serves as its chairman. Our Board of Directors has determined that Mr. Brickman and Mr. Merchant are “audit committee financial experts” as defined by the SEC and are independent, as that term is defined in the Exchange Act and the listing standards of the New York Stock Exchange.</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Robert S. Prather, Jr. as the lead director at all meetings of non-management directors, which meetings will be held on a regular basis. Stockholders, employees and other interested parties may communicate with Mr. Prather, individual non-management directors, or the non-management directors as a group, by email at boardofdirectors@rymanhp.com.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“Director Compensation,” “Compensation Discussion and Analysis,” “Executive Compensation – 2022 Summary Compensation Table,” “2022 Grants of Plan-Based Awards,” “Outstanding Equity Awards at 2022 Fiscal Year End,” “2022 Option Exercises and Stock Vested,” “Company Information – CEO Pay Ratio,” “2022 Pay Versus Performance,” “Other Compensation Information – Pension Benefits,” “Other Compensation Information – Nonqualified Deferred Compensation,” “Other Compensation Information – 2022 Nonqualified Deferred Compensation Table,” “Potential Payments on Termination or Change of Control,” “Company Information – Committees of the Board – Compensation Committee Interlocks and Insider Participation,” and “Human Resources Committee Report” in our Proxy Statement for the 2023 Annual Meeting of Stockholders, to be filed with the SEC.</w:t>
      </w:r>
    </w:p>
    <w:p>
      <w:pPr>
        <w:spacing w:after="0" w:line="184"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“Stock Ownership” and “Equity Compensation Plan Information” in our Proxy Statement for the 2023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2023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 under the heading “Our Independent Registered Public Accounting Firm” in our Proxy Statement for the 2023 Annual Meeting of Stockholders, to be filed with the SEC.</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7"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accompanying index to financial statements on page 76 of this Annual Report on Form 10-K is provided in response to this Item.</w:t>
      </w:r>
    </w:p>
    <w:p>
      <w:pPr>
        <w:spacing w:after="0" w:line="160"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and are included herein beginning on page 118 of this Annual Report on Form 10-K:</w:t>
      </w:r>
    </w:p>
    <w:p>
      <w:pPr>
        <w:spacing w:after="0" w:line="162"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 – Real Estate and Accumulated Depreciation</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20"/>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20" w:type="dxa"/>
            <w:vAlign w:val="bottom"/>
            <w:tcBorders>
              <w:top w:val="single" w:sz="8" w:color="auto"/>
              <w:bottom w:val="single" w:sz="8" w:color="0000EE"/>
            </w:tcBorders>
            <w:gridSpan w:val="20"/>
          </w:tcPr>
          <w:p>
            <w:pPr>
              <w:spacing w:after="0" w:line="169"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Amended and Restated Certificate of Incorporation of the Company (incorporated by reference to Exhibit</w:t>
              </w:r>
            </w:hyperlink>
          </w:p>
        </w:tc>
        <w:tc>
          <w:tcPr>
            <w:tcW w:w="200" w:type="dxa"/>
            <w:vAlign w:val="bottom"/>
            <w:tcBorders>
              <w:top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October 1, 2012).</w:t>
              </w:r>
            </w:hyperlink>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7"/>
                <w:szCs w:val="17"/>
                <w:color w:val="auto"/>
              </w:rPr>
            </w:pPr>
          </w:p>
        </w:tc>
        <w:tc>
          <w:tcPr>
            <w:tcW w:w="53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Second Amended and Restated Bylaws of the Company.</w:t>
            </w:r>
          </w:p>
        </w:tc>
        <w:tc>
          <w:tcPr>
            <w:tcW w:w="2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7"/>
                <w:szCs w:val="17"/>
                <w:color w:val="auto"/>
              </w:rPr>
            </w:pPr>
          </w:p>
        </w:tc>
        <w:tc>
          <w:tcPr>
            <w:tcW w:w="7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Specimen of Common Stock certificate of the Company (incorporated by reference to Exhibit 4.1 to the</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Company’s Current Report on Form 8-K filed September 24, 2012).</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78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Reference is made to Exhibits 3.1 and 3.2 hereof for instruments defining the rights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stockholders of the Company.</w:t>
            </w: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6"/>
                <w:szCs w:val="16"/>
                <w:color w:val="auto"/>
              </w:rPr>
            </w:pPr>
          </w:p>
        </w:tc>
        <w:tc>
          <w:tcPr>
            <w:tcW w:w="7840" w:type="dxa"/>
            <w:vAlign w:val="bottom"/>
            <w:gridSpan w:val="26"/>
          </w:tcPr>
          <w:p>
            <w:pPr>
              <w:spacing w:after="0" w:line="194"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Description of Securities (incorporated by reference to Exhibit 4.3 to the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10-K filed February 25, 2020).</w:t>
              </w:r>
            </w:hyperlink>
          </w:p>
        </w:tc>
        <w:tc>
          <w:tcPr>
            <w:tcW w:w="4760" w:type="dxa"/>
            <w:vAlign w:val="bottom"/>
            <w:tcBorders>
              <w:top w:val="single" w:sz="8" w:color="0000EE"/>
            </w:tcBorders>
            <w:gridSpan w:val="11"/>
          </w:tcPr>
          <w:p>
            <w:pPr>
              <w:spacing w:after="0"/>
              <w:rPr>
                <w:sz w:val="17"/>
                <w:szCs w:val="17"/>
                <w:color w:val="auto"/>
              </w:rPr>
            </w:pPr>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7"/>
                <w:szCs w:val="17"/>
                <w:color w:val="auto"/>
              </w:rPr>
            </w:pPr>
          </w:p>
        </w:tc>
        <w:tc>
          <w:tcPr>
            <w:tcW w:w="78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Indenture, dated as of September 19, 2019, among RHP Hotel Properties, LP and RHP Finance Corporation,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as the issuers, Ryman Hospitality Properties, Inc., as a guarantor, each of the subsidiary guarantors named</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therein and U.S. Bank National Association, as trustee, relating to the 4.750% Senior Notes due 2027</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(incorporated by reference to Exhibit 4.1 to the Company’s Current Report on Form 8-K filed September 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2019).</w:t>
              </w:r>
            </w:hyperlink>
          </w:p>
        </w:tc>
        <w:tc>
          <w:tcPr>
            <w:tcW w:w="15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4.750% Senior Note due 2027 (incorporated by reference to Exhibit 4.2 to the Company’s Current</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Report on Form 8-K filed September 19, 2019).</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7"/>
                <w:szCs w:val="17"/>
                <w:color w:val="auto"/>
              </w:rPr>
            </w:pPr>
          </w:p>
        </w:tc>
        <w:tc>
          <w:tcPr>
            <w:tcW w:w="76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Supplemental Indenture No. 1, dated as of October 8, 2019, by and among RHP Hotel Properties, LP, and</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RHP Finance Corporation, as the issuers, Ryman Hospitality Properties, Inc., as a guarantor, each of the</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subsidiary guarantors named therein and U.S. Bank National Association, as trustee, relating to the 4.750%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Senior Notes due 2027 (incorporated by reference to Exhibit 4.3 to the Company’s Current Report on Form</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8-K filed October 8, 2019).</w:t>
              </w:r>
            </w:hyperlink>
          </w:p>
        </w:tc>
        <w:tc>
          <w:tcPr>
            <w:tcW w:w="58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Indenture, dated as of February 17, 2021, among RHP Hotel Properties, LP, and RHP Finance Corporation,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as the issuers, Ryman Hospitality Properties, Inc., as a guarantor, each of the guarantors named therein and</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U.S. Bank National Association, as trustee, relating to the 4.500% Senior Notes due 2029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4.1 to the Company’s Current Report on Form 8-K filed February 17, 2021).</w:t>
              </w:r>
            </w:hyperlink>
          </w:p>
        </w:tc>
        <w:tc>
          <w:tcPr>
            <w:tcW w:w="70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4.500% Senior Note due 2029 (incorporated by reference to Exhibit 4.2 to the Company’s Current</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February 17, 2021).</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Sixth Amended and Restated Credit Agreement dated as of October 31, 2019, among Ryman Hospitality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Properties, Inc., as a guarantor, RHP Hotel Properties, LP, as borrower, certain other subsidiaries of Ryman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Hospitality Properties, Inc. party thereto, as guarantors, certain subsidiaries of Ryman Hospitality</w:t>
              </w:r>
            </w:hyperlink>
          </w:p>
        </w:tc>
        <w:tc>
          <w:tcPr>
            <w:tcW w:w="700" w:type="dxa"/>
            <w:vAlign w:val="bottom"/>
            <w:tcBorders>
              <w:top w:val="single" w:sz="8" w:color="0000EE"/>
            </w:tcBorders>
            <w:gridSpan w:val="11"/>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Properties, Inc. party thereto, as pledgors, the lenders party thereto and Wells Fargo Bank National</w:t>
              </w:r>
            </w:hyperlink>
          </w:p>
        </w:tc>
        <w:tc>
          <w:tcPr>
            <w:tcW w:w="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Association, as administrative agent (incorporated by reference to Exhibit 10.1 to the Company’s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Report on Form 8-K filed November 1, 2019).</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4260" w:type="dxa"/>
            <w:vAlign w:val="bottom"/>
            <w:gridSpan w:val="1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Amendment No. 1 to Sixth Amended Credit Agreement, dated April 23, 2020, among Ryman Hospitality</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2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Properties, Inc., as a guarantor, RHP Hotel Properties, LP, as borrower, certain other subsidiaries of Ryman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Hospitality Properties, Inc. party thereto, as guarantors, certain subsidiaries of Ryman Hospitality</w:t>
              </w:r>
            </w:hyperlink>
          </w:p>
        </w:tc>
        <w:tc>
          <w:tcPr>
            <w:tcW w:w="700" w:type="dxa"/>
            <w:vAlign w:val="bottom"/>
            <w:tcBorders>
              <w:top w:val="single" w:sz="8" w:color="0000EE"/>
            </w:tcBorders>
            <w:gridSpan w:val="11"/>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Properties, Inc. party thereto, as pledgors, the lenders party thereto and Wells Fargo Bank National</w:t>
              </w:r>
            </w:hyperlink>
          </w:p>
        </w:tc>
        <w:tc>
          <w:tcPr>
            <w:tcW w:w="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20" w:right="319"/>
        <w:spacing w:after="0" w:line="282" w:lineRule="auto"/>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Association, as administrative agent (incorporated by reference to Exhibit 10.1 to the Company’s Current</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Report on Form 8-K filed April 24, 2020).</w:t>
        </w:r>
      </w:hyperlink>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5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Amendment No. 2 to Sixth Amended and Restated Credit Agreement, dated December 22, 2020, among</w:t>
              </w:r>
            </w:hyperlink>
          </w:p>
        </w:tc>
        <w:tc>
          <w:tcPr>
            <w:tcW w:w="32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subsidiaries of Ryman Hospitality Properties, Inc. party thereto, as guarantors, certain subsidiaries of Ryman</w:t>
              </w:r>
            </w:hyperlink>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Hospitality Properties, Inc. party thereto, as pledgors, the lenders party thereto and Wells Fargo Bank</w:t>
              </w:r>
            </w:hyperlink>
          </w:p>
        </w:tc>
        <w:tc>
          <w:tcPr>
            <w:tcW w:w="56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National Association, as administrative agent (incorporated by reference to Exhibit 10.1 to the Company’s</w:t>
              </w:r>
            </w:hyperlink>
          </w:p>
        </w:tc>
        <w:tc>
          <w:tcPr>
            <w:tcW w:w="1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Current Report on Form 8-K filed December 22, 2020).</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7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Amendment No. 3 to Sixth Amended and Restated Credit Agreement, dated April 30, 2021, among Ryman</w:t>
              </w:r>
            </w:hyperlink>
          </w:p>
        </w:tc>
        <w:tc>
          <w:tcPr>
            <w:tcW w:w="12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Hospitality Properties, Inc., as a guarantor, RHP Hotel Properties, LP, as borrower, certain other subsidiaries</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of Ryman Hospitality Properties, Inc. party thereto, as guarantors, certain subsidiaries of Ryman Hospitality</w:t>
              </w:r>
            </w:hyperlink>
          </w:p>
        </w:tc>
      </w:tr>
      <w:tr>
        <w:trPr>
          <w:trHeight w:val="196"/>
        </w:trPr>
        <w:tc>
          <w:tcPr>
            <w:tcW w:w="108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Properties, Inc. party thereto, as pledgors, the lenders party thereto and Wells Fargo Bank National</w:t>
              </w:r>
            </w:hyperlink>
          </w:p>
        </w:tc>
        <w:tc>
          <w:tcPr>
            <w:tcW w:w="660" w:type="dxa"/>
            <w:vAlign w:val="bottom"/>
            <w:tcBorders>
              <w:top w:val="single" w:sz="8" w:color="0000EE"/>
            </w:tcBorders>
            <w:gridSpan w:val="1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Association, as administrative agent (incorporated by reference to Exhibit 10.4 to the Company’s Quarterly</w:t>
              </w:r>
            </w:hyperlink>
          </w:p>
        </w:tc>
      </w:tr>
      <w:tr>
        <w:trPr>
          <w:trHeight w:val="196"/>
        </w:trPr>
        <w:tc>
          <w:tcPr>
            <w:tcW w:w="10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Report on Form 10-Q filed August 3, 2021).</w:t>
              </w:r>
            </w:hyperlink>
          </w:p>
        </w:tc>
        <w:tc>
          <w:tcPr>
            <w:tcW w:w="4520" w:type="dxa"/>
            <w:vAlign w:val="bottom"/>
            <w:tcBorders>
              <w:top w:val="single" w:sz="8" w:color="0000EE"/>
            </w:tcBorders>
            <w:gridSpan w:val="22"/>
          </w:tcPr>
          <w:p>
            <w:pPr>
              <w:spacing w:after="0"/>
              <w:rPr>
                <w:sz w:val="17"/>
                <w:szCs w:val="17"/>
                <w:color w:val="auto"/>
              </w:rPr>
            </w:pPr>
          </w:p>
        </w:tc>
        <w:tc>
          <w:tcPr>
            <w:tcW w:w="120" w:type="dxa"/>
            <w:vAlign w:val="bottom"/>
            <w:gridSpan w:val="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7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Amendment No. 4 to Sixth Amended and Restated Credit Agreement, dated as of October 26, 2021, among</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subsidiaries of Ryman Hospitality Properties, Inc. party thereto, as guarantors, certain subsidiaries of Ryman</w:t>
              </w:r>
            </w:hyperlink>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Hospitality Properties, Inc. party thereto, as pledgors, the lenders party thereto and Wells Fargo Bank</w:t>
              </w:r>
            </w:hyperlink>
          </w:p>
        </w:tc>
        <w:tc>
          <w:tcPr>
            <w:tcW w:w="56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National Association, as administrative agent (incorporated by reference to Exhibit 10.1 to the Company’s</w:t>
              </w:r>
            </w:hyperlink>
          </w:p>
        </w:tc>
        <w:tc>
          <w:tcPr>
            <w:tcW w:w="1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Current Report on Form 8-K filed October 27, 2021).</w:t>
              </w:r>
            </w:hyperlink>
          </w:p>
        </w:tc>
        <w:tc>
          <w:tcPr>
            <w:tcW w:w="398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7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Amendment No. 5 to Sixth Amended and Restated Credit Agreement, effective as of April 4, 2022, among</w:t>
              </w:r>
            </w:hyperlink>
          </w:p>
        </w:tc>
        <w:tc>
          <w:tcPr>
            <w:tcW w:w="14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subsidiaries of Ryman Hospitality Properties, Inc. party thereto, as guarantors, certain subsidiaries of Ryman</w:t>
              </w:r>
            </w:hyperlink>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Hospitality Properties, Inc. party thereto, as pledgors, the lenders party thereto and Wells Fargo Bank</w:t>
              </w:r>
            </w:hyperlink>
          </w:p>
        </w:tc>
        <w:tc>
          <w:tcPr>
            <w:tcW w:w="56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National Association, as administrative agent (incorporated by reference to Exhibit 10.3 to the Company’s</w:t>
              </w:r>
            </w:hyperlink>
          </w:p>
        </w:tc>
        <w:tc>
          <w:tcPr>
            <w:tcW w:w="1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Current Report on Form 8-K filed April 5, 2022).</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Opryland Hotel-Florida Ground Lease, dated as of March 3, 1999, by and between Xentury City</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0" w:type="dxa"/>
            <w:vAlign w:val="bottom"/>
            <w:tcBorders>
              <w:right w:val="single" w:sz="8" w:color="0000EE"/>
            </w:tcBorders>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Development Company, L.L.C., and Opryland Hotel-Florida Limited Partnership (incorporated by reference</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to Exhibit 10.11 to the Company’s Annual Report on Form 10-K for the year ended December 31, 1999).</w:t>
              </w:r>
            </w:hyperlink>
          </w:p>
        </w:tc>
        <w:tc>
          <w:tcPr>
            <w:tcW w:w="22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0" w:type="dxa"/>
            <w:vAlign w:val="bottom"/>
            <w:tcBorders>
              <w:right w:val="single" w:sz="8" w:color="0000EE"/>
            </w:tcBorders>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Grapevine, Texas and Opryland Hotel-Texas Limited Partnership (incorporated by reference to Exhibit</w:t>
              </w:r>
            </w:hyperlink>
          </w:p>
        </w:tc>
        <w:tc>
          <w:tcPr>
            <w:tcW w:w="42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21</w:t>
              </w:r>
              <w:r>
                <w:rPr>
                  <w:rFonts w:ascii="Times New Roman" w:cs="Times New Roman" w:eastAsia="Times New Roman" w:hAnsi="Times New Roman"/>
                  <w:sz w:val="18"/>
                  <w:szCs w:val="18"/>
                  <w:color w:val="0000EE"/>
                  <w:w w:val="99"/>
                </w:rPr>
                <w:t xml:space="preserve"> to the Company’s Annual Report on Form 10-K for the year ended December 31, 2002).</w:t>
              </w:r>
            </w:hyperlink>
          </w:p>
        </w:tc>
        <w:tc>
          <w:tcPr>
            <w:tcW w:w="1020" w:type="dxa"/>
            <w:vAlign w:val="bottom"/>
            <w:gridSpan w:val="2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Sublease Addendum Number 1, dated July 28, 2000, by and between the City of Grapevine, Texas and</w:t>
              </w:r>
            </w:hyperlink>
          </w:p>
        </w:tc>
        <w:tc>
          <w:tcPr>
            <w:tcW w:w="44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Opryland Hotel-Texas Limited Partnership (incorporated by reference to Exhibit 10.22 to the Company’s</w:t>
              </w:r>
            </w:hyperlink>
          </w:p>
        </w:tc>
        <w:tc>
          <w:tcPr>
            <w:tcW w:w="2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Annual Report on Form 10-K for the year ended December 31, 2002).</w:t>
              </w:r>
            </w:hyperlink>
          </w:p>
        </w:tc>
        <w:tc>
          <w:tcPr>
            <w:tcW w:w="2780" w:type="dxa"/>
            <w:vAlign w:val="bottom"/>
            <w:gridSpan w:val="2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First Amended and Restated Agreement of Limited Partnership of RHP Hotel Properties, LP, dated</w:t>
              </w:r>
            </w:hyperlink>
          </w:p>
        </w:tc>
        <w:tc>
          <w:tcPr>
            <w:tcW w:w="70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December 31, 2018 (incorporated by reference to Exhibit 10.1 to the Company’s Current Report on Form 8-</w:t>
              </w:r>
            </w:hyperlink>
          </w:p>
        </w:tc>
      </w:tr>
      <w:tr>
        <w:trPr>
          <w:trHeight w:val="196"/>
        </w:trPr>
        <w:tc>
          <w:tcPr>
            <w:tcW w:w="1080" w:type="dxa"/>
            <w:vAlign w:val="bottom"/>
          </w:tcPr>
          <w:p>
            <w:pPr>
              <w:spacing w:after="0"/>
              <w:rPr>
                <w:sz w:val="17"/>
                <w:szCs w:val="17"/>
                <w:color w:val="auto"/>
              </w:rPr>
            </w:pPr>
          </w:p>
        </w:tc>
        <w:tc>
          <w:tcPr>
            <w:tcW w:w="77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K filed January 7, 2019).</w:t>
              </w:r>
            </w:hyperlink>
          </w:p>
        </w:tc>
        <w:tc>
          <w:tcPr>
            <w:tcW w:w="6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Second Amended and Restated Loan Agreement entered into as of July 2, 2019, among Aurora Convention</w:t>
              </w:r>
            </w:hyperlink>
          </w:p>
        </w:tc>
        <w:tc>
          <w:tcPr>
            <w:tcW w:w="8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Center Hotel, LLC, Aurora Convention Center Hotel Lessee, LLC, Wells Fargo Bank, National Association,</w:t>
              </w:r>
            </w:hyperlink>
          </w:p>
        </w:tc>
      </w:tr>
      <w:tr>
        <w:trPr>
          <w:trHeight w:val="196"/>
        </w:trPr>
        <w:tc>
          <w:tcPr>
            <w:tcW w:w="1080" w:type="dxa"/>
            <w:vAlign w:val="bottom"/>
          </w:tcPr>
          <w:p>
            <w:pPr>
              <w:spacing w:after="0"/>
              <w:rPr>
                <w:sz w:val="17"/>
                <w:szCs w:val="17"/>
                <w:color w:val="auto"/>
              </w:rPr>
            </w:pPr>
          </w:p>
        </w:tc>
        <w:tc>
          <w:tcPr>
            <w:tcW w:w="78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as administrative agent, and the financial institutions from time to time party thereto (incorporated by</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10.1 to the Company’s Current Report on Form 8-K filed July 5, 2019).</w:t>
              </w:r>
            </w:hyperlink>
          </w:p>
        </w:tc>
        <w:tc>
          <w:tcPr>
            <w:tcW w:w="500" w:type="dxa"/>
            <w:vAlign w:val="bottom"/>
            <w:gridSpan w:val="17"/>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0" w:type="dxa"/>
            <w:vAlign w:val="bottom"/>
            <w:tcBorders>
              <w:right w:val="single" w:sz="8" w:color="0000EE"/>
            </w:tcBorders>
            <w:gridSpan w:val="4"/>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Amendment No. 1 to Second Amended and Restated Loan Agreement and Modification to Loan</w:t>
              </w:r>
            </w:hyperlink>
          </w:p>
        </w:tc>
        <w:tc>
          <w:tcPr>
            <w:tcW w:w="88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Documents, dated as of June 30, 2020, by and among Aurora Convention Center Hotel, LLC, Aurora</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0" w:type="dxa"/>
            <w:vAlign w:val="bottom"/>
            <w:tcBorders>
              <w:right w:val="single" w:sz="8" w:color="0000EE"/>
            </w:tcBorders>
            <w:gridSpan w:val="4"/>
            <w:shd w:val="clear" w:color="auto" w:fill="0000EE"/>
          </w:tcPr>
          <w:p>
            <w:pPr>
              <w:spacing w:after="0" w:line="20" w:lineRule="exact"/>
              <w:rPr>
                <w:sz w:val="1"/>
                <w:szCs w:val="1"/>
                <w:color w:val="auto"/>
              </w:rPr>
            </w:pPr>
          </w:p>
        </w:tc>
        <w:tc>
          <w:tcPr>
            <w:tcW w:w="3280" w:type="dxa"/>
            <w:vAlign w:val="bottom"/>
            <w:gridSpan w:val="8"/>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Convention Center Hotel Lessee, LLC, Wells Fargo Bank National Association, as administrative agent, and</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lenders from time to time party thereto (incorporated by reference to Exhibit 10.2 to the Company’s</w:t>
              </w:r>
            </w:hyperlink>
          </w:p>
        </w:tc>
      </w:tr>
      <w:tr>
        <w:trPr>
          <w:trHeight w:val="196"/>
        </w:trPr>
        <w:tc>
          <w:tcPr>
            <w:tcW w:w="10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Quarterly Report on Form 10-Q filed August 6, 2020).</w:t>
              </w:r>
            </w:hyperlink>
          </w:p>
        </w:tc>
        <w:tc>
          <w:tcPr>
            <w:tcW w:w="3460" w:type="dxa"/>
            <w:vAlign w:val="bottom"/>
            <w:tcBorders>
              <w:top w:val="single" w:sz="8" w:color="0000EE"/>
            </w:tcBorders>
            <w:gridSpan w:val="12"/>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2 to Second Amended and Restated Loan Agreement and Modification to Guaranty, dated</w:t>
              </w:r>
            </w:hyperlink>
          </w:p>
        </w:tc>
      </w:tr>
      <w:tr>
        <w:trPr>
          <w:trHeight w:val="196"/>
        </w:trPr>
        <w:tc>
          <w:tcPr>
            <w:tcW w:w="1080" w:type="dxa"/>
            <w:vAlign w:val="bottom"/>
          </w:tcPr>
          <w:p>
            <w:pPr>
              <w:spacing w:after="0"/>
              <w:rPr>
                <w:sz w:val="17"/>
                <w:szCs w:val="17"/>
                <w:color w:val="auto"/>
              </w:rPr>
            </w:pPr>
          </w:p>
        </w:tc>
        <w:tc>
          <w:tcPr>
            <w:tcW w:w="77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as of May 7, 2021, by and among Aurora Convention Center Hotel, LLC, Aurora Convention Center Hotel</w:t>
              </w:r>
            </w:hyperlink>
          </w:p>
        </w:tc>
        <w:tc>
          <w:tcPr>
            <w:tcW w:w="120" w:type="dxa"/>
            <w:vAlign w:val="bottom"/>
            <w:gridSpan w:val="7"/>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600" w:type="dxa"/>
            <w:vAlign w:val="bottom"/>
            <w:gridSpan w:val="20"/>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Lessee, LLC, Wells Fargo Bank National Association, as administrative agent, and the lenders from time to</w:t>
              </w:r>
            </w:hyperlink>
          </w:p>
        </w:tc>
        <w:tc>
          <w:tcPr>
            <w:tcW w:w="10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time party thereto (incorporated by reference to Exhibit 10.2 to the Company’s Quarterly Report on Form</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10-Q filed August 3, 2021).</w:t>
              </w:r>
            </w:hyperlink>
          </w:p>
        </w:tc>
      </w:tr>
      <w:tr>
        <w:trPr>
          <w:trHeight w:val="668"/>
        </w:trPr>
        <w:tc>
          <w:tcPr>
            <w:tcW w:w="1080" w:type="dxa"/>
            <w:vAlign w:val="bottom"/>
          </w:tcPr>
          <w:p>
            <w:pPr>
              <w:spacing w:after="0"/>
              <w:rPr>
                <w:sz w:val="24"/>
                <w:szCs w:val="24"/>
                <w:color w:val="auto"/>
              </w:rPr>
            </w:pPr>
          </w:p>
        </w:tc>
        <w:tc>
          <w:tcPr>
            <w:tcW w:w="2000" w:type="dxa"/>
            <w:vAlign w:val="bottom"/>
            <w:tcBorders>
              <w:top w:val="single" w:sz="8" w:color="0000EE"/>
            </w:tcBorders>
            <w:gridSpan w:val="2"/>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5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ATM Equity Distribution Agreement, dated May 27, 2021, by and among Ryman Hospitality Properties,</w:t>
              </w:r>
            </w:hyperlink>
          </w:p>
        </w:tc>
        <w:tc>
          <w:tcPr>
            <w:tcW w:w="28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7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Inc. and the sales agents named therein (incorporated by reference to Exhibit 1.1 to the Company’s Current</w:t>
              </w:r>
            </w:hyperlink>
          </w:p>
        </w:tc>
        <w:tc>
          <w:tcPr>
            <w:tcW w:w="10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Report on Form 8-K filed May 27, 2021).</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Purchase Agreement (Joint Venture Interests), dated April 30, 2021, by and among RHPAHO, LLC and</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RHPAHP, LLC, as purchasers, and Aurora Convention Center Hotel Partners, LLC and RIDA Aurora 2018</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Acquisition, LLC, as sellers (incorporated by reference to Exhibit 10.3 to the Company’s Quarterly Report</w:t>
              </w:r>
            </w:hyperlink>
          </w:p>
        </w:tc>
        <w:tc>
          <w:tcPr>
            <w:tcW w:w="14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on Form 10-Q filed August 3, 2021).</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7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Investment Agreement, dated as of April 4, 2022, by and among the Company, OEG Attractions Holdings,</w:t>
              </w:r>
            </w:hyperlink>
          </w:p>
        </w:tc>
        <w:tc>
          <w:tcPr>
            <w:tcW w:w="12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LLC, RHP Hotels, LLC, RHP Hotel Properties, LP, A-OEG Holdings, LLC and Atairos Group, Inc.,</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by reference to Exhibit 10.1 to the Company’s Current Report on Form 8-K filed April 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5">
              <w:r>
                <w:rPr>
                  <w:rFonts w:ascii="Times New Roman" w:cs="Times New Roman" w:eastAsia="Times New Roman" w:hAnsi="Times New Roman"/>
                  <w:sz w:val="18"/>
                  <w:szCs w:val="18"/>
                  <w:color w:val="0000EE"/>
                  <w:w w:val="94"/>
                </w:rPr>
                <w:t>2022).</w:t>
              </w:r>
            </w:hyperlink>
          </w:p>
        </w:tc>
        <w:tc>
          <w:tcPr>
            <w:tcW w:w="1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First Amendment to Investment Agreement, dated as of May 26, 2022, by and among the Company, OEG</w:t>
              </w:r>
            </w:hyperlink>
          </w:p>
        </w:tc>
      </w:tr>
      <w:tr>
        <w:trPr>
          <w:trHeight w:val="196"/>
        </w:trPr>
        <w:tc>
          <w:tcPr>
            <w:tcW w:w="1060" w:type="dxa"/>
            <w:vAlign w:val="bottom"/>
          </w:tcPr>
          <w:p>
            <w:pPr>
              <w:spacing w:after="0"/>
              <w:rPr>
                <w:sz w:val="17"/>
                <w:szCs w:val="17"/>
                <w:color w:val="auto"/>
              </w:rPr>
            </w:pPr>
          </w:p>
        </w:tc>
        <w:tc>
          <w:tcPr>
            <w:tcW w:w="762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Attractions Holdings, LLC, RHP Hotels, LLC, RHP Hotel Properties, LP, A-OEG Holdings, LLC and</w:t>
              </w:r>
            </w:hyperlink>
          </w:p>
        </w:tc>
        <w:tc>
          <w:tcPr>
            <w:tcW w:w="200" w:type="dxa"/>
            <w:vAlign w:val="bottom"/>
            <w:gridSpan w:val="8"/>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Atairos Group, Inc., (incorporated by reference to Exhibit 10.2 to the Company’s Quarterly Report on Form</w:t>
              </w:r>
            </w:hyperlink>
          </w:p>
        </w:tc>
      </w:tr>
      <w:tr>
        <w:trPr>
          <w:trHeight w:val="196"/>
        </w:trPr>
        <w:tc>
          <w:tcPr>
            <w:tcW w:w="10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10-Q filed August 2, 2022).</w:t>
              </w:r>
            </w:hyperlink>
          </w:p>
        </w:tc>
        <w:tc>
          <w:tcPr>
            <w:tcW w:w="5740" w:type="dxa"/>
            <w:vAlign w:val="bottom"/>
            <w:tcBorders>
              <w:top w:val="single" w:sz="8" w:color="0000EE"/>
            </w:tcBorders>
            <w:gridSpan w:val="2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Second Amendment to Investment Agreement, dated as of June 15, 2022, by and among the Company, OEG</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Attractions Holdings, LLC, RHP Hotels, LLC, RHP Hotel Properties, LP, A-OEG Holdings, LLC and</w:t>
              </w:r>
            </w:hyperlink>
          </w:p>
        </w:tc>
      </w:tr>
      <w:tr>
        <w:trPr>
          <w:trHeight w:val="20"/>
        </w:trPr>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Atairos Group, Inc., (incorporated by reference to Exhibit 10.3 to the Company’s Quarterly Report on Form</w:t>
              </w:r>
            </w:hyperlink>
          </w:p>
        </w:tc>
      </w:tr>
      <w:tr>
        <w:trPr>
          <w:trHeight w:val="196"/>
        </w:trPr>
        <w:tc>
          <w:tcPr>
            <w:tcW w:w="10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10-Q filed August 2, 2022).</w:t>
              </w:r>
            </w:hyperlink>
          </w:p>
        </w:tc>
        <w:tc>
          <w:tcPr>
            <w:tcW w:w="5740" w:type="dxa"/>
            <w:vAlign w:val="bottom"/>
            <w:tcBorders>
              <w:top w:val="single" w:sz="8" w:color="0000EE"/>
            </w:tcBorders>
            <w:gridSpan w:val="2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782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Second Amended and Restated Limited Liability Company Agreement for OEG Attractions Holdings, LLC,</w:t>
              </w:r>
            </w:hyperlink>
          </w:p>
        </w:tc>
      </w:tr>
      <w:tr>
        <w:trPr>
          <w:trHeight w:val="20"/>
        </w:trPr>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dated June 16, 2022 (incorporated by reference to Exhibit 10.1 to the Company’s Current Report on Form 8-</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K filed June 16, 2022).</w:t>
              </w:r>
            </w:hyperlink>
          </w:p>
        </w:tc>
      </w:tr>
      <w:tr>
        <w:trPr>
          <w:trHeight w:val="20"/>
        </w:trPr>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The Opryland USA Inc. Supplemental Deferred Compensation Plan (incorporated by reference to Exhibit</w:t>
            </w:r>
          </w:p>
        </w:tc>
      </w:tr>
      <w:tr>
        <w:trPr>
          <w:trHeight w:val="216"/>
        </w:trPr>
        <w:tc>
          <w:tcPr>
            <w:tcW w:w="1060" w:type="dxa"/>
            <w:vAlign w:val="bottom"/>
          </w:tcPr>
          <w:p>
            <w:pPr>
              <w:spacing w:after="0"/>
              <w:rPr>
                <w:sz w:val="18"/>
                <w:szCs w:val="18"/>
                <w:color w:val="auto"/>
              </w:rPr>
            </w:pPr>
          </w:p>
        </w:tc>
        <w:tc>
          <w:tcPr>
            <w:tcW w:w="7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10.11 to the former Gaylord Entertainment Company’s Registration Statement on Form S-1).</w:t>
            </w:r>
          </w:p>
        </w:tc>
      </w:tr>
      <w:tr>
        <w:trPr>
          <w:trHeight w:val="194"/>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7800" w:type="dxa"/>
            <w:vAlign w:val="bottom"/>
            <w:tcBorders>
              <w:bottom w:val="single" w:sz="8" w:color="0000EE"/>
            </w:tcBorders>
            <w:gridSpan w:val="34"/>
          </w:tcPr>
          <w:p>
            <w:pPr>
              <w:spacing w:after="0" w:line="19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Gaylord Entertainment Company Retirement Benefit Restoration Plan (incorporated by reference to Exhibit</w:t>
              </w:r>
            </w:hyperlink>
          </w:p>
        </w:tc>
        <w:tc>
          <w:tcPr>
            <w:tcW w:w="20" w:type="dxa"/>
            <w:vAlign w:val="bottom"/>
          </w:tcPr>
          <w:p>
            <w:pPr>
              <w:spacing w:after="0"/>
              <w:rPr>
                <w:sz w:val="16"/>
                <w:szCs w:val="16"/>
                <w:color w:val="auto"/>
              </w:rPr>
            </w:pPr>
          </w:p>
        </w:tc>
      </w:tr>
      <w:tr>
        <w:trPr>
          <w:trHeight w:val="196"/>
        </w:trPr>
        <w:tc>
          <w:tcPr>
            <w:tcW w:w="1060" w:type="dxa"/>
            <w:vAlign w:val="bottom"/>
          </w:tcPr>
          <w:p>
            <w:pPr>
              <w:spacing w:after="0"/>
              <w:rPr>
                <w:sz w:val="17"/>
                <w:szCs w:val="17"/>
                <w:color w:val="auto"/>
              </w:rPr>
            </w:pPr>
          </w:p>
        </w:tc>
        <w:tc>
          <w:tcPr>
            <w:tcW w:w="6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19</w:t>
              </w:r>
              <w:r>
                <w:rPr>
                  <w:rFonts w:ascii="Times New Roman" w:cs="Times New Roman" w:eastAsia="Times New Roman" w:hAnsi="Times New Roman"/>
                  <w:sz w:val="18"/>
                  <w:szCs w:val="18"/>
                  <w:color w:val="0000EE"/>
                  <w:w w:val="99"/>
                </w:rPr>
                <w:t xml:space="preserve"> to the Company’s Annual Report on Form 10-K for the year ended December 31, 2000).</w:t>
              </w:r>
            </w:hyperlink>
          </w:p>
        </w:tc>
        <w:tc>
          <w:tcPr>
            <w:tcW w:w="1000" w:type="dxa"/>
            <w:vAlign w:val="bottom"/>
            <w:gridSpan w:val="2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Executive Employment Agreement of Colin V. Reed, dated February 25, 2008, with the Company</w:t>
              </w:r>
            </w:hyperlink>
          </w:p>
        </w:tc>
        <w:tc>
          <w:tcPr>
            <w:tcW w:w="760" w:type="dxa"/>
            <w:vAlign w:val="bottom"/>
            <w:gridSpan w:val="2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by reference to Exhibit 10.1 to the Company’s Current Report on Form 8-K filed with the</w:t>
              </w:r>
            </w:hyperlink>
          </w:p>
        </w:tc>
      </w:tr>
      <w:tr>
        <w:trPr>
          <w:trHeight w:val="196"/>
        </w:trPr>
        <w:tc>
          <w:tcPr>
            <w:tcW w:w="10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SEC on February 27, 2008).</w:t>
              </w:r>
            </w:hyperlink>
          </w:p>
        </w:tc>
        <w:tc>
          <w:tcPr>
            <w:tcW w:w="5420" w:type="dxa"/>
            <w:vAlign w:val="bottom"/>
            <w:tcBorders>
              <w:top w:val="single" w:sz="8" w:color="0000EE"/>
            </w:tcBorders>
            <w:gridSpan w:val="14"/>
          </w:tcPr>
          <w:p>
            <w:pPr>
              <w:spacing w:after="0"/>
              <w:rPr>
                <w:sz w:val="17"/>
                <w:szCs w:val="17"/>
                <w:color w:val="auto"/>
              </w:rPr>
            </w:pPr>
          </w:p>
        </w:tc>
        <w:tc>
          <w:tcPr>
            <w:tcW w:w="360" w:type="dxa"/>
            <w:vAlign w:val="bottom"/>
            <w:gridSpan w:val="1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7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First Amendment to Executive Employment Agreement of Colin V. Reed, dated December 18, 2008, with</w:t>
              </w:r>
            </w:hyperlink>
          </w:p>
        </w:tc>
        <w:tc>
          <w:tcPr>
            <w:tcW w:w="18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Company (incorporated by reference to Exhibit 10.3 of the Company’s Current Report on Form 8-K filed</w:t>
              </w:r>
            </w:hyperlink>
          </w:p>
        </w:tc>
        <w:tc>
          <w:tcPr>
            <w:tcW w:w="22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with the SEC on December 23, 2008).</w:t>
              </w:r>
            </w:hyperlink>
          </w:p>
        </w:tc>
        <w:tc>
          <w:tcPr>
            <w:tcW w:w="5060" w:type="dxa"/>
            <w:vAlign w:val="bottom"/>
            <w:gridSpan w:val="27"/>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Second Amendment to Executive Employment Agreement, dated September 3, 2010, by and between the</w:t>
              </w:r>
            </w:hyperlink>
          </w:p>
        </w:tc>
        <w:tc>
          <w:tcPr>
            <w:tcW w:w="22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7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Company and Colin V. Reed (incorporated by reference to Exhibit 10.2 to the Company’s Quarterly Report</w:t>
              </w:r>
            </w:hyperlink>
          </w:p>
        </w:tc>
        <w:tc>
          <w:tcPr>
            <w:tcW w:w="10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on Form 10-Q for the quarter ended September 30, 2010).</w:t>
              </w:r>
            </w:hyperlink>
          </w:p>
        </w:tc>
        <w:tc>
          <w:tcPr>
            <w:tcW w:w="3640" w:type="dxa"/>
            <w:vAlign w:val="bottom"/>
            <w:gridSpan w:val="2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Third Amendment to Executive Employment Agreement, dated as of November 5, 2012, by and between</w:t>
              </w:r>
            </w:hyperlink>
          </w:p>
        </w:tc>
      </w:tr>
      <w:tr>
        <w:trPr>
          <w:trHeight w:val="196"/>
        </w:trPr>
        <w:tc>
          <w:tcPr>
            <w:tcW w:w="1060" w:type="dxa"/>
            <w:vAlign w:val="bottom"/>
          </w:tcPr>
          <w:p>
            <w:pPr>
              <w:spacing w:after="0"/>
              <w:rPr>
                <w:sz w:val="17"/>
                <w:szCs w:val="17"/>
                <w:color w:val="auto"/>
              </w:rPr>
            </w:pPr>
          </w:p>
        </w:tc>
        <w:tc>
          <w:tcPr>
            <w:tcW w:w="75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the Company and Colin V. Reed (incorporated by reference to Exhibit 10.5 to the Company’s Quarterly</w:t>
              </w:r>
            </w:hyperlink>
          </w:p>
        </w:tc>
        <w:tc>
          <w:tcPr>
            <w:tcW w:w="24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Report on Form 10-Q for the quarter ended September 30, 2012).</w:t>
              </w:r>
            </w:hyperlink>
          </w:p>
        </w:tc>
        <w:tc>
          <w:tcPr>
            <w:tcW w:w="36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7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Fourth Amendment to Executive Employment Agreement, dated as of December 31, 2020, by and between</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the Company and Colin V. Reed (incorporated by reference to Exhibit 10.17 to the Company’s Annual</w:t>
              </w:r>
            </w:hyperlink>
          </w:p>
        </w:tc>
        <w:tc>
          <w:tcPr>
            <w:tcW w:w="440" w:type="dxa"/>
            <w:vAlign w:val="bottom"/>
            <w:gridSpan w:val="1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Report on Form 10-K for the year ended December 31, 2020).</w:t>
              </w:r>
            </w:hyperlink>
          </w:p>
        </w:tc>
        <w:tc>
          <w:tcPr>
            <w:tcW w:w="3340" w:type="dxa"/>
            <w:vAlign w:val="bottom"/>
            <w:gridSpan w:val="24"/>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Fifth Amendment to Employment Agreement, dated as of October 11, 2022, by and between the Company</w:t>
              </w:r>
            </w:hyperlink>
          </w:p>
        </w:tc>
      </w:tr>
      <w:tr>
        <w:trPr>
          <w:trHeight w:val="20"/>
        </w:trPr>
        <w:tc>
          <w:tcPr>
            <w:tcW w:w="10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80" w:type="dxa"/>
            <w:vAlign w:val="bottom"/>
            <w:gridSpan w:val="11"/>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and Colin V. Reed (incorporated by reference to Exhibit 10.1 to the Company’s Current Report on Form 8-K</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filed October 11, 2022).</w:t>
              </w:r>
            </w:hyperlink>
          </w:p>
        </w:tc>
      </w:tr>
      <w:tr>
        <w:trPr>
          <w:trHeight w:val="20"/>
        </w:trPr>
        <w:tc>
          <w:tcPr>
            <w:tcW w:w="10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75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Indemnification Agreement, dated as of April 23, 2001, by and between the Company and Colin V. Reed</w:t>
              </w:r>
            </w:hyperlink>
          </w:p>
        </w:tc>
        <w:tc>
          <w:tcPr>
            <w:tcW w:w="26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(incorporated by reference to Exhibit 10.30 to the Company’s Annual Report on Form 10-K for the year</w:t>
              </w:r>
            </w:hyperlink>
          </w:p>
        </w:tc>
        <w:tc>
          <w:tcPr>
            <w:tcW w:w="320" w:type="dxa"/>
            <w:vAlign w:val="bottom"/>
            <w:gridSpan w:val="1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ended December 31, 2001).</w:t>
              </w:r>
            </w:hyperlink>
          </w:p>
        </w:tc>
        <w:tc>
          <w:tcPr>
            <w:tcW w:w="5820" w:type="dxa"/>
            <w:vAlign w:val="bottom"/>
            <w:gridSpan w:val="31"/>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Employment Agreement of Mark Fioravanti, dated February 25, 2008, with the Company</w:t>
              </w:r>
            </w:hyperlink>
          </w:p>
        </w:tc>
      </w:tr>
      <w:tr>
        <w:trPr>
          <w:trHeight w:val="20"/>
        </w:trPr>
        <w:tc>
          <w:tcPr>
            <w:tcW w:w="1060" w:type="dxa"/>
            <w:vAlign w:val="bottom"/>
          </w:tcPr>
          <w:p>
            <w:pPr>
              <w:spacing w:after="0" w:line="20" w:lineRule="exact"/>
              <w:rPr>
                <w:sz w:val="1"/>
                <w:szCs w:val="1"/>
                <w:color w:val="auto"/>
              </w:rPr>
            </w:pPr>
          </w:p>
        </w:tc>
        <w:tc>
          <w:tcPr>
            <w:tcW w:w="7080" w:type="dxa"/>
            <w:vAlign w:val="bottom"/>
            <w:gridSpan w:val="1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(incorporated by reference to Exhibit 10.3 to the Company’s Current Report on Form 8-K filed with the</w:t>
              </w:r>
            </w:hyperlink>
          </w:p>
        </w:tc>
      </w:tr>
      <w:tr>
        <w:trPr>
          <w:trHeight w:val="196"/>
        </w:trPr>
        <w:tc>
          <w:tcPr>
            <w:tcW w:w="10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SEC on February 27, 2008).</w:t>
              </w:r>
            </w:hyperlink>
          </w:p>
        </w:tc>
        <w:tc>
          <w:tcPr>
            <w:tcW w:w="5420" w:type="dxa"/>
            <w:vAlign w:val="bottom"/>
            <w:tcBorders>
              <w:top w:val="single" w:sz="8" w:color="0000EE"/>
            </w:tcBorders>
            <w:gridSpan w:val="14"/>
          </w:tcPr>
          <w:p>
            <w:pPr>
              <w:spacing w:after="0"/>
              <w:rPr>
                <w:sz w:val="17"/>
                <w:szCs w:val="17"/>
                <w:color w:val="auto"/>
              </w:rPr>
            </w:pPr>
          </w:p>
        </w:tc>
        <w:tc>
          <w:tcPr>
            <w:tcW w:w="360" w:type="dxa"/>
            <w:vAlign w:val="bottom"/>
            <w:gridSpan w:val="1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Amendment No. 1 to Employment Agreement of Mark Fioravanti (incorporated by reference to</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Exhibit 10.38 to the Company’s Annual Report on Form 10-K for the year ended December 31, 2009).</w:t>
              </w:r>
            </w:hyperlink>
          </w:p>
        </w:tc>
        <w:tc>
          <w:tcPr>
            <w:tcW w:w="120" w:type="dxa"/>
            <w:vAlign w:val="bottom"/>
            <w:tcBorders>
              <w:top w:val="single" w:sz="8" w:color="0000EE"/>
            </w:tcBorders>
            <w:gridSpan w:val="3"/>
          </w:tcPr>
          <w:p>
            <w:pPr>
              <w:spacing w:after="0"/>
              <w:rPr>
                <w:sz w:val="17"/>
                <w:szCs w:val="17"/>
                <w:color w:val="auto"/>
              </w:rPr>
            </w:pPr>
          </w:p>
        </w:tc>
        <w:tc>
          <w:tcPr>
            <w:tcW w:w="300" w:type="dxa"/>
            <w:vAlign w:val="bottom"/>
            <w:gridSpan w:val="1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7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No. 2 to Employment Agreement, dated September 3, 2010, by and between the Company and</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Mark Fioravanti (incorporated by reference to Exhibit 10.5 to the Company’s Quarterly Report on Form 10-</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Q for the quarter ended September 30, 2010).</w:t>
              </w:r>
            </w:hyperlink>
          </w:p>
        </w:tc>
        <w:tc>
          <w:tcPr>
            <w:tcW w:w="4540" w:type="dxa"/>
            <w:vAlign w:val="bottom"/>
            <w:gridSpan w:val="24"/>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78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Third Amendment to Executive Employment Agreement dated as of November 5, 2012, by and between the</w:t>
              </w:r>
            </w:hyperlink>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Company and Mark Fioravanti (incorporated by reference to Exhibit 10.6 to the Company’s Quarterly</w:t>
              </w:r>
            </w:hyperlink>
          </w:p>
        </w:tc>
      </w:tr>
      <w:tr>
        <w:trPr>
          <w:trHeight w:val="196"/>
        </w:trPr>
        <w:tc>
          <w:tcPr>
            <w:tcW w:w="1060" w:type="dxa"/>
            <w:vAlign w:val="bottom"/>
          </w:tcPr>
          <w:p>
            <w:pPr>
              <w:spacing w:after="0"/>
              <w:rPr>
                <w:sz w:val="17"/>
                <w:szCs w:val="17"/>
                <w:color w:val="auto"/>
              </w:rPr>
            </w:pPr>
          </w:p>
        </w:tc>
        <w:tc>
          <w:tcPr>
            <w:tcW w:w="73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Report on Form 10-Q for the quarter ended September 30, 2012).</w:t>
              </w:r>
            </w:hyperlink>
          </w:p>
        </w:tc>
        <w:tc>
          <w:tcPr>
            <w:tcW w:w="480" w:type="dxa"/>
            <w:vAlign w:val="bottom"/>
            <w:gridSpan w:val="10"/>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Fourth Amendment to Employment Agreement dated as of March 1, 2022, by and between the Company</w:t>
              </w:r>
            </w:hyperlink>
          </w:p>
        </w:tc>
        <w:tc>
          <w:tcPr>
            <w:tcW w:w="24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and Mark Fioravanti (incorporated by reference to Exhibit 10.1 to the Company’s Current Report on Form</w:t>
              </w:r>
            </w:hyperlink>
          </w:p>
        </w:tc>
        <w:tc>
          <w:tcPr>
            <w:tcW w:w="16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8-K filed on March 1, 2022).</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6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Fifth Amendment to Employment Agreement dated as of October 11, 2022, by and between the Company</w:t>
              </w:r>
            </w:hyperlink>
          </w:p>
        </w:tc>
        <w:tc>
          <w:tcPr>
            <w:tcW w:w="18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and Mark Fioravanti (incorporated by reference to Exhibit 10.2 to the Company’s Current Report on Form</w:t>
              </w:r>
            </w:hyperlink>
          </w:p>
        </w:tc>
        <w:tc>
          <w:tcPr>
            <w:tcW w:w="16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8-K filed on October 11, 2022).</w:t>
              </w:r>
            </w:hyperlink>
          </w:p>
        </w:tc>
        <w:tc>
          <w:tcPr>
            <w:tcW w:w="5540" w:type="dxa"/>
            <w:vAlign w:val="bottom"/>
            <w:gridSpan w:val="27"/>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Severance Agreement dated as of February 26, 2018 between the Company and Patrick Chaffin</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(incorporated by reference to Exhibit 10.21 to the Company’s Annual Report on Form 10-K for the year</w:t>
              </w:r>
            </w:hyperlink>
          </w:p>
        </w:tc>
        <w:tc>
          <w:tcPr>
            <w:tcW w:w="3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ended December 31, 2017).</w:t>
              </w:r>
            </w:hyperlink>
          </w:p>
        </w:tc>
        <w:tc>
          <w:tcPr>
            <w:tcW w:w="5820" w:type="dxa"/>
            <w:vAlign w:val="bottom"/>
            <w:gridSpan w:val="30"/>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78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Severance Agreement dated as of February 26, 2018 between the Company and Scott Lynn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reference to Exhibit 10.22 to the Company’s Annual Report on Form 10-K for the year ended December 31,</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25">
              <w:r>
                <w:rPr>
                  <w:rFonts w:ascii="Times New Roman" w:cs="Times New Roman" w:eastAsia="Times New Roman" w:hAnsi="Times New Roman"/>
                  <w:sz w:val="18"/>
                  <w:szCs w:val="18"/>
                  <w:color w:val="0000EE"/>
                  <w:w w:val="94"/>
                </w:rPr>
                <w:t>2017).</w:t>
              </w:r>
            </w:hyperlink>
          </w:p>
        </w:tc>
        <w:tc>
          <w:tcPr>
            <w:tcW w:w="7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Severance Agreement dated as of March 1, 2022, by and between the Company and Jennifer Hutcheson</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(incorporated by reference to Exhibit 10.2 to the Company’s Current Report on Form 8-K filed on March 1,</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26">
              <w:r>
                <w:rPr>
                  <w:rFonts w:ascii="Times New Roman" w:cs="Times New Roman" w:eastAsia="Times New Roman" w:hAnsi="Times New Roman"/>
                  <w:sz w:val="18"/>
                  <w:szCs w:val="18"/>
                  <w:color w:val="0000EE"/>
                  <w:w w:val="94"/>
                </w:rPr>
                <w:t>2022).</w:t>
              </w:r>
            </w:hyperlink>
          </w:p>
        </w:tc>
        <w:tc>
          <w:tcPr>
            <w:tcW w:w="7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7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Indemnification Agreement between the Company and each of its non-employee directors</w:t>
              </w:r>
            </w:hyperlink>
          </w:p>
        </w:tc>
        <w:tc>
          <w:tcPr>
            <w:tcW w:w="700" w:type="dxa"/>
            <w:vAlign w:val="bottom"/>
            <w:gridSpan w:val="1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(incorporated by reference to Exhibit 10.36 to the Company’s Annual Report on Form 10-K for the year</w:t>
              </w:r>
            </w:hyperlink>
          </w:p>
        </w:tc>
        <w:tc>
          <w:tcPr>
            <w:tcW w:w="3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ended December 31, 2002).</w:t>
              </w:r>
            </w:hyperlink>
          </w:p>
        </w:tc>
        <w:tc>
          <w:tcPr>
            <w:tcW w:w="5820" w:type="dxa"/>
            <w:vAlign w:val="bottom"/>
            <w:gridSpan w:val="30"/>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Summary of Director and Executive Officer Compensation.</w:t>
            </w: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Ryman Hospitality Properties, Inc. 2016 Omnibus Incentive Plan (incorporated by reference to Exhibit 10.1</w:t>
              </w:r>
            </w:hyperlink>
          </w:p>
        </w:tc>
      </w:tr>
      <w:tr>
        <w:trPr>
          <w:trHeight w:val="196"/>
        </w:trPr>
        <w:tc>
          <w:tcPr>
            <w:tcW w:w="106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to the Company’s Current Report on Form 8-K filed with the SEC on May 6, 2016).</w:t>
              </w:r>
            </w:hyperlink>
          </w:p>
        </w:tc>
        <w:tc>
          <w:tcPr>
            <w:tcW w:w="1700" w:type="dxa"/>
            <w:vAlign w:val="bottom"/>
            <w:tcBorders>
              <w:top w:val="single" w:sz="8" w:color="0000EE"/>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76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Amendment dated February 10, 2017 to Ryman Hospitality Properties, Inc. 2016 Omnibus Incentive Plan</w:t>
              </w:r>
            </w:hyperlink>
          </w:p>
        </w:tc>
        <w:tc>
          <w:tcPr>
            <w:tcW w:w="20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(incorporated by reference to Exhibit 10.43 to the Company’s Annual Report on Form 10-K for the year</w:t>
              </w:r>
            </w:hyperlink>
          </w:p>
        </w:tc>
        <w:tc>
          <w:tcPr>
            <w:tcW w:w="3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ended December 31, 2016).</w:t>
              </w:r>
            </w:hyperlink>
          </w:p>
        </w:tc>
        <w:tc>
          <w:tcPr>
            <w:tcW w:w="5820" w:type="dxa"/>
            <w:vAlign w:val="bottom"/>
            <w:gridSpan w:val="30"/>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72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Restricted Stock Unit Award Agreement granted pursuant to the Company’s 2016 Omnibus</w:t>
              </w:r>
            </w:hyperlink>
          </w:p>
        </w:tc>
        <w:tc>
          <w:tcPr>
            <w:tcW w:w="60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Incentive Plan (incorporated by reference to Exhibit 10.1 to the Company’s Quarterly Report on Form 10-Q</w:t>
              </w:r>
            </w:hyperlink>
          </w:p>
        </w:tc>
      </w:tr>
      <w:tr>
        <w:trPr>
          <w:trHeight w:val="196"/>
        </w:trPr>
        <w:tc>
          <w:tcPr>
            <w:tcW w:w="1060" w:type="dxa"/>
            <w:vAlign w:val="bottom"/>
          </w:tcPr>
          <w:p>
            <w:pPr>
              <w:spacing w:after="0"/>
              <w:rPr>
                <w:sz w:val="17"/>
                <w:szCs w:val="17"/>
                <w:color w:val="auto"/>
              </w:rPr>
            </w:pPr>
          </w:p>
        </w:tc>
        <w:tc>
          <w:tcPr>
            <w:tcW w:w="77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 the quarter ended June 30, 2016).</w:t>
              </w:r>
            </w:hyperlink>
          </w:p>
        </w:tc>
        <w:tc>
          <w:tcPr>
            <w:tcW w:w="6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Restricted Stock Unit Award Agreement with respect to time-based vesting restricted stock units</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granted pursuant to the Company’s 2016 Omnibus Incentive Plan (incorporated by reference to Exhibit 10.2</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to the Company’s Quarterly Report on Form 10-Q for the quarter ended June 30, 2016).</w:t>
              </w:r>
            </w:hyperlink>
          </w:p>
        </w:tc>
        <w:tc>
          <w:tcPr>
            <w:tcW w:w="1500" w:type="dxa"/>
            <w:vAlign w:val="bottom"/>
            <w:gridSpan w:val="17"/>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77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Restricted Stock Unit Award Agreement with respect to performance-based vesting restricted stock</w:t>
              </w:r>
            </w:hyperlink>
          </w:p>
        </w:tc>
        <w:tc>
          <w:tcPr>
            <w:tcW w:w="4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units granted pursuant to the Company’s 2016 Omnibus Incentive Plan (incorporated by reference to Exhibit</w:t>
              </w:r>
            </w:hyperlink>
          </w:p>
        </w:tc>
      </w:tr>
      <w:tr>
        <w:trPr>
          <w:trHeight w:val="196"/>
        </w:trPr>
        <w:tc>
          <w:tcPr>
            <w:tcW w:w="1060" w:type="dxa"/>
            <w:vAlign w:val="bottom"/>
          </w:tcPr>
          <w:p>
            <w:pPr>
              <w:spacing w:after="0"/>
              <w:rPr>
                <w:sz w:val="17"/>
                <w:szCs w:val="17"/>
                <w:color w:val="auto"/>
              </w:rPr>
            </w:pPr>
          </w:p>
        </w:tc>
        <w:tc>
          <w:tcPr>
            <w:tcW w:w="6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Company’s Quarterly Report on Form 10-Q for the quarter ended June 30, 2016).</w:t>
              </w:r>
            </w:hyperlink>
          </w:p>
        </w:tc>
        <w:tc>
          <w:tcPr>
            <w:tcW w:w="1140" w:type="dxa"/>
            <w:vAlign w:val="bottom"/>
            <w:gridSpan w:val="1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71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Long-Term Stockholder Value Creation Restricted Stock Award Agreement with respect to</w:t>
              </w:r>
            </w:hyperlink>
          </w:p>
        </w:tc>
        <w:tc>
          <w:tcPr>
            <w:tcW w:w="6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restricted stock units granted pursuant to the Company’s 2016 Omnibus Incentive Plan (incorporated by</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90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10.46 to the Company’s Annual Report on Form 10-K for the year ended December 31,</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33">
              <w:r>
                <w:rPr>
                  <w:rFonts w:ascii="Times New Roman" w:cs="Times New Roman" w:eastAsia="Times New Roman" w:hAnsi="Times New Roman"/>
                  <w:sz w:val="18"/>
                  <w:szCs w:val="18"/>
                  <w:color w:val="0000EE"/>
                  <w:w w:val="94"/>
                </w:rPr>
                <w:t>2020).</w:t>
              </w:r>
            </w:hyperlink>
          </w:p>
        </w:tc>
        <w:tc>
          <w:tcPr>
            <w:tcW w:w="7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Company.</w:t>
            </w:r>
          </w:p>
        </w:tc>
        <w:tc>
          <w:tcPr>
            <w:tcW w:w="5700" w:type="dxa"/>
            <w:vAlign w:val="bottom"/>
            <w:gridSpan w:val="28"/>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0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Parent and Subsidiary Guarantors.</w:t>
            </w:r>
          </w:p>
        </w:tc>
        <w:tc>
          <w:tcPr>
            <w:tcW w:w="4820" w:type="dxa"/>
            <w:vAlign w:val="bottom"/>
            <w:gridSpan w:val="2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20" w:type="dxa"/>
            <w:vAlign w:val="bottom"/>
            <w:gridSpan w:val="9"/>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4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Rule 13a - 14(a) and Rule 15d -</w:t>
            </w:r>
          </w:p>
        </w:tc>
        <w:tc>
          <w:tcPr>
            <w:tcW w:w="34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14(a).</w:t>
            </w: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40" w:type="dxa"/>
            <w:vAlign w:val="bottom"/>
            <w:gridSpan w:val="16"/>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Rule 13a - 14(a) and</w:t>
            </w:r>
          </w:p>
        </w:tc>
      </w:tr>
      <w:tr>
        <w:trPr>
          <w:trHeight w:val="196"/>
        </w:trPr>
        <w:tc>
          <w:tcPr>
            <w:tcW w:w="10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 - 14(a).</w:t>
            </w:r>
          </w:p>
        </w:tc>
        <w:tc>
          <w:tcPr>
            <w:tcW w:w="5340" w:type="dxa"/>
            <w:vAlign w:val="bottom"/>
            <w:tcBorders>
              <w:top w:val="single" w:sz="8" w:color="0000EE"/>
            </w:tcBorders>
            <w:gridSpan w:val="15"/>
          </w:tcPr>
          <w:p>
            <w:pPr>
              <w:spacing w:after="0"/>
              <w:rPr>
                <w:sz w:val="17"/>
                <w:szCs w:val="17"/>
                <w:color w:val="auto"/>
              </w:rPr>
            </w:pPr>
          </w:p>
        </w:tc>
        <w:tc>
          <w:tcPr>
            <w:tcW w:w="1240" w:type="dxa"/>
            <w:vAlign w:val="bottom"/>
            <w:gridSpan w:val="16"/>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8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w:t>
            </w: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4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w:t>
            </w:r>
          </w:p>
        </w:tc>
        <w:tc>
          <w:tcPr>
            <w:tcW w:w="40" w:type="dxa"/>
            <w:vAlign w:val="bottom"/>
            <w:tcBorders>
              <w:top w:val="single" w:sz="8" w:color="0000EE"/>
            </w:tcBorders>
          </w:tcPr>
          <w:p>
            <w:pPr>
              <w:spacing w:after="0"/>
              <w:rPr>
                <w:sz w:val="17"/>
                <w:szCs w:val="17"/>
                <w:color w:val="auto"/>
              </w:rPr>
            </w:pPr>
          </w:p>
        </w:tc>
        <w:tc>
          <w:tcPr>
            <w:tcW w:w="2300" w:type="dxa"/>
            <w:vAlign w:val="bottom"/>
            <w:gridSpan w:val="1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8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Credit Agreement, dated as of June 16, 2022, among OEG Borrower, LLC as borrower, OEG Finance, LLC,</w:t>
              </w:r>
            </w:hyperlink>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certain subsidiaries of OEG Borrower, LLC, from time to time party thereto as guarantors, the lenders party</w:t>
              </w:r>
            </w:hyperlink>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thereto and JPMorgan Chase Bank, N.A., as administrative agent (incorporated by reference to Exhibit 99.1</w:t>
              </w:r>
            </w:hyperlink>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to the Company’s Current Report on Form 8-K filed on June 16, 2022).</w:t>
              </w:r>
            </w:hyperlink>
          </w:p>
        </w:tc>
        <w:tc>
          <w:tcPr>
            <w:tcW w:w="2660" w:type="dxa"/>
            <w:vAlign w:val="bottom"/>
            <w:gridSpan w:val="2"/>
          </w:tcPr>
          <w:p>
            <w:pPr>
              <w:spacing w:after="0"/>
              <w:rPr>
                <w:sz w:val="17"/>
                <w:szCs w:val="17"/>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Property, Inc.’s Annual Form on Form 10-K for the year</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December 31, 2022, formatted in Inline XBRL (eXtensible Business Reporting Language): (i)</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2022 and 2021, (ii) Consolidated Statements of Operations</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(iii) Consolidated Statements of Comprehensive</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for the years ended December 31, 2022, 2021 and 2020, (iv) Consolidated Statements of</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Cash Flows for the years ended December 31, 2022, 2021 and 2020, (v) Consolidated Statement of Changes</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Stockholders’ Equity (Deficit) and Noncontrolling Interest for the years ended December 31, 2022, 2021</w:t>
            </w:r>
          </w:p>
        </w:tc>
      </w:tr>
      <w:tr>
        <w:trPr>
          <w:trHeight w:val="216"/>
        </w:trPr>
        <w:tc>
          <w:tcPr>
            <w:tcW w:w="108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2020, and (vi) Notes to Consolidated Financial Statements.</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79" w:lineRule="exact"/>
        <w:rPr>
          <w:sz w:val="20"/>
          <w:szCs w:val="20"/>
          <w:color w:val="auto"/>
        </w:rPr>
      </w:pPr>
    </w:p>
    <w:p>
      <w:pPr>
        <w:ind w:left="360" w:hanging="310"/>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hanging="310"/>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or 601(b)(2) of Regulation S-K, as applicable, certain schedules and exhibits to this</w:t>
      </w:r>
    </w:p>
    <w:p>
      <w:pPr>
        <w:spacing w:after="0" w:line="9" w:lineRule="exact"/>
        <w:rPr>
          <w:sz w:val="20"/>
          <w:szCs w:val="20"/>
          <w:color w:val="auto"/>
        </w:rPr>
      </w:pPr>
    </w:p>
    <w:p>
      <w:pPr>
        <w:ind w:left="380" w:right="159"/>
        <w:spacing w:after="0" w:line="250" w:lineRule="auto"/>
        <w:rPr>
          <w:sz w:val="20"/>
          <w:szCs w:val="20"/>
          <w:color w:val="auto"/>
        </w:rPr>
      </w:pPr>
      <w:r>
        <w:rPr>
          <w:rFonts w:ascii="Times New Roman" w:cs="Times New Roman" w:eastAsia="Times New Roman" w:hAnsi="Times New Roman"/>
          <w:sz w:val="18"/>
          <w:szCs w:val="18"/>
          <w:color w:val="auto"/>
        </w:rPr>
        <w:t>exhibit are omitted from this filing. The Company agrees to furnish supplementally a copy of any omitted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64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20"/>
        </w:trPr>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76"/>
        </w:trPr>
        <w:tc>
          <w:tcPr>
            <w:tcW w:w="3100" w:type="dxa"/>
            <w:vAlign w:val="bottom"/>
          </w:tcPr>
          <w:p>
            <w:pPr>
              <w:spacing w:after="0"/>
              <w:rPr>
                <w:sz w:val="15"/>
                <w:szCs w:val="15"/>
                <w:color w:val="auto"/>
              </w:rPr>
            </w:pPr>
          </w:p>
        </w:tc>
        <w:tc>
          <w:tcPr>
            <w:tcW w:w="5800" w:type="dxa"/>
            <w:vAlign w:val="bottom"/>
            <w:gridSpan w:val="2"/>
          </w:tcPr>
          <w:p>
            <w:pPr>
              <w:ind w:left="1360"/>
              <w:spacing w:after="0" w:line="176"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6"/>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3860" w:type="dxa"/>
            <w:vAlign w:val="bottom"/>
            <w:tcBorders>
              <w:bottom w:val="single" w:sz="8" w:color="auto"/>
            </w:tcBorders>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V. Reed</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Colin V. Reed</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Rachna Bhasin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Rachna Bhasin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Alvin Bowles,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Alvin Bowles,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Christian Brickman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Christian Brickman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Fazal F. Merchant</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Fazal F. Merchant</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Q. Moore</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Patrick Q. Moore</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Pantoya</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Pantoya</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Prather,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S. Prather,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I. Roth</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I. Roth</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Fioravanti</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Fioravanti</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68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gridSpan w:val="2"/>
          </w:tcPr>
          <w:p>
            <w:pPr>
              <w:jc w:val="right"/>
              <w:ind w:right="2428"/>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rPr>
              <w:t>Ryman Hospitality Properties, Inc. and Subsidiaries Audited Consolidated Financial Statements as of December 31, 2022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8580" w:type="dxa"/>
            <w:vAlign w:val="bottom"/>
            <w:gridSpan w:val="10"/>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5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and 2021 and for Each of the Three Years in the Period Ended December 31, 2022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260" w:type="dxa"/>
            <w:vAlign w:val="bottom"/>
            <w:gridSpan w:val="9"/>
          </w:tcPr>
          <w:p>
            <w:pPr>
              <w:spacing w:after="0" w:line="176"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0042)</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4460" w:type="dxa"/>
            <w:vAlign w:val="bottom"/>
            <w:gridSpan w:val="6"/>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Balance Sheets as of December 31, 2022 and 2021</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2022, 2021, and 2020</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(Loss) for the Years ended December 31, 2022, 2021, and 2020</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80" w:type="dxa"/>
            <w:vAlign w:val="bottom"/>
            <w:tcBorders>
              <w:top w:val="single" w:sz="8" w:color="0000EE"/>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2022, 2021, and 2020</w:t>
            </w:r>
          </w:p>
        </w:tc>
        <w:tc>
          <w:tcPr>
            <w:tcW w:w="1220" w:type="dxa"/>
            <w:vAlign w:val="bottom"/>
            <w:tcBorders>
              <w:top w:val="single" w:sz="8" w:color="0000EE"/>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Equity (Deficit) and Noncontrolling Interest for the Years ended December 31, 2022, 2021, and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6"/>
                <w:szCs w:val="16"/>
                <w:color w:val="0000EE"/>
                <w:w w:val="93"/>
              </w:rPr>
              <w:t>2020</w:t>
            </w: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420" w:type="dxa"/>
            <w:vAlign w:val="bottom"/>
            <w:gridSpan w:val="7"/>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Ryman Hospitality Properties, Inc. and subsidiaries (the Company) as of December 31, 2022 and 2021, the related consolidated statements of operations, comprehensive income (loss), equity (deficit) and noncontrolling interest and cash flows for each of the three years in the period ended December 31, 2022,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2" w:lineRule="exact"/>
        <w:rPr>
          <w:sz w:val="20"/>
          <w:szCs w:val="20"/>
          <w:color w:val="auto"/>
        </w:rPr>
      </w:pPr>
    </w:p>
    <w:p>
      <w:pPr>
        <w:jc w:val="both"/>
        <w:ind w:left="60" w:right="5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(2013 framework), and our report dated February 24, 2023,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National bonds credit loss reserves</w:t>
      </w:r>
    </w:p>
    <w:p>
      <w:pPr>
        <w:spacing w:after="0" w:line="225"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2022, the Company holds within Notes Receivable two issuances of</w:t>
      </w:r>
    </w:p>
    <w:p>
      <w:pPr>
        <w:spacing w:after="0" w:line="31" w:lineRule="exact"/>
        <w:rPr>
          <w:sz w:val="20"/>
          <w:szCs w:val="20"/>
          <w:color w:val="auto"/>
        </w:rPr>
      </w:pPr>
    </w:p>
    <w:p>
      <w:pPr>
        <w:ind w:left="1860" w:right="79" w:hanging="1799"/>
        <w:spacing w:after="0" w:line="25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Matter</w:t>
      </w:r>
      <w:r>
        <w:rPr>
          <w:sz w:val="20"/>
          <w:szCs w:val="20"/>
          <w:color w:val="auto"/>
        </w:rPr>
        <w:tab/>
      </w:r>
      <w:r>
        <w:rPr>
          <w:rFonts w:ascii="Times New Roman" w:cs="Times New Roman" w:eastAsia="Times New Roman" w:hAnsi="Times New Roman"/>
          <w:sz w:val="18"/>
          <w:szCs w:val="18"/>
          <w:color w:val="auto"/>
        </w:rPr>
        <w:t>governmental bonds (the Bonds) received in connection with the development of the Gaylord National Resort &amp; Convention Center which are reported at a total carrying value of $67.6 million, net of a credit loss reserve of $38.0 million. At December 31, 2022,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 3 to the consolidated financial statements.</w:t>
      </w:r>
    </w:p>
    <w:p>
      <w:pPr>
        <w:spacing w:after="0" w:line="188" w:lineRule="exact"/>
        <w:rPr>
          <w:sz w:val="20"/>
          <w:szCs w:val="20"/>
          <w:color w:val="auto"/>
        </w:rPr>
      </w:pPr>
    </w:p>
    <w:p>
      <w:pPr>
        <w:ind w:left="1860" w:right="99"/>
        <w:spacing w:after="0" w:line="255" w:lineRule="auto"/>
        <w:rPr>
          <w:sz w:val="20"/>
          <w:szCs w:val="20"/>
          <w:color w:val="auto"/>
        </w:rPr>
      </w:pPr>
      <w:r>
        <w:rPr>
          <w:rFonts w:ascii="Times New Roman" w:cs="Times New Roman" w:eastAsia="Times New Roman" w:hAnsi="Times New Roman"/>
          <w:sz w:val="18"/>
          <w:szCs w:val="18"/>
          <w:color w:val="auto"/>
        </w:rPr>
        <w:t>Auditing management’s assessment of the valuation of the credit loss reserve for the Bonds was complex and judgmental due to the significant estimation required in projecting tax revenues, specifically property tax increments, hotel taxes and special hotel rental taxes generated by the Gaylord National Resort &amp; Convention Center which provide revenues to fund the Bonds. In particular, the estimate of credit losses is impacted by the projections of hotel taxes (which are based on estimated hotel revenues) and property taxes, both of which are judgmental as the Bonds and related projected cash flows continue for an extended period of time through 2037.</w:t>
      </w:r>
    </w:p>
    <w:p>
      <w:pPr>
        <w:spacing w:after="0" w:line="185" w:lineRule="exact"/>
        <w:rPr>
          <w:sz w:val="20"/>
          <w:szCs w:val="20"/>
          <w:color w:val="auto"/>
        </w:rPr>
      </w:pPr>
    </w:p>
    <w:p>
      <w:pPr>
        <w:ind w:left="60" w:right="479"/>
        <w:spacing w:after="0" w:line="263" w:lineRule="auto"/>
        <w:rPr>
          <w:sz w:val="20"/>
          <w:szCs w:val="20"/>
          <w:color w:val="auto"/>
        </w:rPr>
      </w:pPr>
      <w:r>
        <w:rPr>
          <w:rFonts w:ascii="Times New Roman" w:cs="Times New Roman" w:eastAsia="Times New Roman" w:hAnsi="Times New Roman"/>
          <w:sz w:val="18"/>
          <w:szCs w:val="18"/>
          <w:b w:val="1"/>
          <w:bCs w:val="1"/>
          <w:color w:val="auto"/>
        </w:rPr>
        <w:t>How We Addressed the</w:t>
      </w:r>
      <w:r>
        <w:rPr>
          <w:rFonts w:ascii="Times New Roman" w:cs="Times New Roman" w:eastAsia="Times New Roman" w:hAnsi="Times New Roman"/>
          <w:sz w:val="18"/>
          <w:szCs w:val="18"/>
          <w:color w:val="auto"/>
        </w:rPr>
        <w:t>We obtained an understanding, evaluated the design and tested the operating effectiveness of</w:t>
      </w:r>
      <w:r>
        <w:rPr>
          <w:rFonts w:ascii="Times New Roman" w:cs="Times New Roman" w:eastAsia="Times New Roman" w:hAnsi="Times New Roman"/>
          <w:sz w:val="18"/>
          <w:szCs w:val="18"/>
          <w:b w:val="1"/>
          <w:bCs w:val="1"/>
          <w:color w:val="auto"/>
        </w:rPr>
        <w:t xml:space="preserve"> Matter in Our Audit </w:t>
      </w:r>
      <w:r>
        <w:rPr>
          <w:rFonts w:ascii="Times New Roman" w:cs="Times New Roman" w:eastAsia="Times New Roman" w:hAnsi="Times New Roman"/>
          <w:sz w:val="18"/>
          <w:szCs w:val="18"/>
          <w:color w:val="auto"/>
        </w:rPr>
        <w:t>controls over the Company’s estimation of the credit loss reserve for the Bonds, including</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controls over management’s review of the projections described above.</w:t>
      </w:r>
    </w:p>
    <w:p>
      <w:pPr>
        <w:spacing w:after="0" w:line="207" w:lineRule="exact"/>
        <w:rPr>
          <w:sz w:val="20"/>
          <w:szCs w:val="20"/>
          <w:color w:val="auto"/>
        </w:rPr>
      </w:pPr>
    </w:p>
    <w:p>
      <w:pPr>
        <w:ind w:left="1860" w:right="179"/>
        <w:spacing w:after="0" w:line="272" w:lineRule="auto"/>
        <w:rPr>
          <w:sz w:val="20"/>
          <w:szCs w:val="20"/>
          <w:color w:val="auto"/>
        </w:rPr>
      </w:pPr>
      <w:r>
        <w:rPr>
          <w:rFonts w:ascii="Times New Roman" w:cs="Times New Roman" w:eastAsia="Times New Roman" w:hAnsi="Times New Roman"/>
          <w:sz w:val="17"/>
          <w:szCs w:val="17"/>
          <w:color w:val="auto"/>
        </w:rPr>
        <w:t>To test the Company’s determination of credit loss reserve as of December 31, 2022,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credit loss analysis and a property tax specialist to assist in assessing the Company’s property tax projections used in the credit loss analysis.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1899" w:firstLine="1835"/>
        <w:spacing w:after="0" w:line="502" w:lineRule="auto"/>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 To the Stockholders and the Board of Directors of Ryman Hospitality Properties, Inc. Opinion on Internal Control Over Financial Reporting</w:t>
      </w:r>
    </w:p>
    <w:p>
      <w:pPr>
        <w:spacing w:after="0" w:line="2" w:lineRule="exact"/>
        <w:rPr>
          <w:sz w:val="20"/>
          <w:szCs w:val="20"/>
          <w:color w:val="auto"/>
        </w:rPr>
      </w:pPr>
    </w:p>
    <w:p>
      <w:pPr>
        <w:ind w:left="60" w:right="79"/>
        <w:spacing w:after="0" w:line="287" w:lineRule="auto"/>
        <w:rPr>
          <w:sz w:val="20"/>
          <w:szCs w:val="20"/>
          <w:color w:val="auto"/>
        </w:rPr>
      </w:pPr>
      <w:r>
        <w:rPr>
          <w:rFonts w:ascii="Times New Roman" w:cs="Times New Roman" w:eastAsia="Times New Roman" w:hAnsi="Times New Roman"/>
          <w:sz w:val="15"/>
          <w:szCs w:val="15"/>
          <w:color w:val="auto"/>
        </w:rPr>
        <w:t>We have audited Ryman Hospitality Properties,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2022, based on the COSO criteria.</w:t>
      </w:r>
    </w:p>
    <w:p>
      <w:pPr>
        <w:spacing w:after="0" w:line="13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Block 21, which is included in the 2022 consolidated financial statements of the Company and which constituted 6.8% and 2.0% of total assets and total revenues, respectively, as of and for the year ended December 31, 2022. Our audit of internal control over financial reporting of the Company also did not include an evaluation of the internal control over financial reporting of Block 21.</w:t>
      </w:r>
    </w:p>
    <w:p>
      <w:pPr>
        <w:spacing w:after="0" w:line="120" w:lineRule="exact"/>
        <w:rPr>
          <w:sz w:val="20"/>
          <w:szCs w:val="20"/>
          <w:color w:val="auto"/>
        </w:rPr>
      </w:pPr>
    </w:p>
    <w:p>
      <w:pPr>
        <w:ind w:left="60" w:right="119"/>
        <w:spacing w:after="0" w:line="317"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2022 consolidated financial statements of the Company, and our report dated February 24, 2023 expressed an unqualified opinion thereon.</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8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60" w:right="279"/>
        <w:spacing w:after="0" w:line="298"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5" w:lineRule="exact"/>
        <w:rPr>
          <w:sz w:val="20"/>
          <w:szCs w:val="20"/>
          <w:color w:val="auto"/>
        </w:rPr>
      </w:pPr>
    </w:p>
    <w:p>
      <w:pPr>
        <w:ind w:left="60" w:right="79"/>
        <w:spacing w:after="0" w:line="290" w:lineRule="auto"/>
        <w:rPr>
          <w:sz w:val="20"/>
          <w:szCs w:val="20"/>
          <w:color w:val="auto"/>
        </w:rPr>
      </w:pPr>
      <w:r>
        <w:rPr>
          <w:rFonts w:ascii="Times New Roman" w:cs="Times New Roman" w:eastAsia="Times New Roman" w:hAnsi="Times New Roman"/>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96" w:lineRule="exact"/>
        <w:rPr>
          <w:sz w:val="20"/>
          <w:szCs w:val="20"/>
          <w:color w:val="auto"/>
        </w:rPr>
      </w:pPr>
    </w:p>
    <w:p>
      <w:pPr>
        <w:ind w:left="60" w:right="159"/>
        <w:spacing w:after="0" w:line="278"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February 24,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BALANCE SHEETS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3,171,708</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Notes receivable, net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Trade receivables, net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105,951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 (DEFICIT):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2,862,592</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385,159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Dividends payable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64,824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3,632,865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(deficit):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55,167 and 55,072 shares issued and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outstanding, respectively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648 and 648 shares, at cost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(978,619)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 (deficit)</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 (deficit)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171,718</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187,538</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hotel revenue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106,789</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r>
      <w:tr>
        <w:trPr>
          <w:trHeight w:val="209"/>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524,475</w:t>
            </w:r>
          </w:p>
        </w:tc>
      </w:tr>
      <w:tr>
        <w:trPr>
          <w:trHeight w:val="216"/>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58,943</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146,141</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hotel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260,690</w:t>
            </w:r>
          </w:p>
        </w:tc>
      </w:tr>
      <w:tr>
        <w:trPr>
          <w:trHeight w:val="216"/>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Management fees, net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w:t>
            </w:r>
          </w:p>
        </w:tc>
      </w:tr>
      <w:tr>
        <w:trPr>
          <w:trHeight w:val="20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hotel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472,840</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78,301</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Preopening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loss on sale of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Credit loss on held-to-maturity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32,784</w:t>
            </w: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215,082</w:t>
            </w:r>
          </w:p>
        </w:tc>
      </w:tr>
      <w:tr>
        <w:trPr>
          <w:trHeight w:val="210"/>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828,306</w:t>
            </w:r>
          </w:p>
        </w:tc>
      </w:tr>
      <w:tr>
        <w:trPr>
          <w:trHeight w:val="210"/>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(303,831)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Loss from unconsolidated joint ventures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gains and (losses), net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r>
      <w:tr>
        <w:trPr>
          <w:trHeight w:val="209"/>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(433,737)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10"/>
        </w:trPr>
        <w:tc>
          <w:tcPr>
            <w:tcW w:w="5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(460,821)</w:t>
            </w:r>
          </w:p>
        </w:tc>
      </w:tr>
      <w:tr>
        <w:trPr>
          <w:trHeight w:val="216"/>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 in consolidated joint venture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 in Operating Partnership</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49"/>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Net income (loss) available to common stockholders</w:t>
            </w: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(417,391)</w:t>
            </w:r>
          </w:p>
        </w:tc>
      </w:tr>
      <w:tr>
        <w:trPr>
          <w:trHeight w:val="197"/>
        </w:trPr>
        <w:tc>
          <w:tcPr>
            <w:tcW w:w="5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Basic income (loss) per share available to common stockholders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19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income (loss) per share available to common stockholders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(7.59)</w:t>
            </w:r>
          </w:p>
        </w:tc>
      </w:tr>
      <w:tr>
        <w:trPr>
          <w:trHeight w:val="20"/>
        </w:trPr>
        <w:tc>
          <w:tcPr>
            <w:tcW w:w="5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COMPREHENSIVE INCOME (LOSS) For the Years Ended December 31, 2022, 2021 and 2020 (Amounts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134,948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(194,801)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(460,821)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Gain (loss) on minimum pension 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(losses) arising during the period</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10,314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(1,602)</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10,204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Interest rate derivatives: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(losses) arising during period</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1,955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(39,958)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3,541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16,501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19,548</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18,456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(29,453)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Other-than-temporary impairment loss on held-to-maturity securities: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28,871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(31,950)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w:t>
            </w:r>
          </w:p>
        </w:tc>
        <w:tc>
          <w:tcPr>
            <w:tcW w:w="30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153,105</w:t>
            </w:r>
          </w:p>
        </w:tc>
        <w:tc>
          <w:tcPr>
            <w:tcW w:w="280" w:type="dxa"/>
            <w:vAlign w:val="bottom"/>
            <w:gridSpan w:val="2"/>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(165,930)</w:t>
            </w: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(492,771)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 attributable to noncontrolling interest in consolidated joint venture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48,989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 attributable to noncontrolling interest in Operating Partnership</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(1,052)</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1,128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869</w:t>
            </w: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Comprehensive income (loss) available to common stockholders</w:t>
            </w: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147,370</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(149,383)</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420" w:type="dxa"/>
            <w:vAlign w:val="bottom"/>
            <w:gridSpan w:val="2"/>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134,948</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(194,801)</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(460,821)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(used in) operating</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activities: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26,526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208,616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220,357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215,082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9,829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8,790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Credit loss on held-to-maturity securities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32,784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Forfeiture of Block 21 earnest deposit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Write-off of deferred financing costs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10,967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14,985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12,104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8,732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(54,639)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50,501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66,428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(59,828)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6,600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419,931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111,253</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(161,524)</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(89,520)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(77,426)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(165,463)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land adjacent to Gaylord Rockies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Block 21, net of cash acquired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(93,992)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additional interest in Gaylord Rockies joint venture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other joint ventures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(10,358)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5,554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(189,313)</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(289,738)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(172,648)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288,000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noncontrolling interest in Operating Partnership</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noncontrolling interest in OEG</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285,925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(102,331)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Distributions from consolidated joint venture to noncontrolling interest partners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50,712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261,731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(6,470)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281,330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83,246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(340,642)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79,754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420,396</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163,000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79,754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8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420" w:type="dxa"/>
            <w:vAlign w:val="bottom"/>
            <w:gridSpan w:val="2"/>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334,194</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140,688</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56,697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110,136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23,057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163,000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79,754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500"/>
        <w:spacing w:after="0" w:line="265"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EQUITY (DEFICIT) AND NONCONTROLLING INTEREST For the Years Ended December 31, 2022, 2021 and 2020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9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2019</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$ 1,185,168</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(17,315)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(495,514)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221,511</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(417,391)</w:t>
            </w:r>
          </w:p>
        </w:tc>
        <w:tc>
          <w:tcPr>
            <w:tcW w:w="1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(417,391)</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(956)</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8"/>
              </w:rPr>
              <w:t>(418,347)</w:t>
            </w: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(42,474)</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5"/>
        </w:trPr>
        <w:tc>
          <w:tcPr>
            <w:tcW w:w="19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(60,106)</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adoption of ASU 2016-13</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(5,343)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(3,185)</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(31,950)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(31,950)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(31,950)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partnership units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Distributions from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5"/>
        </w:trPr>
        <w:tc>
          <w:tcPr>
            <w:tcW w:w="19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joint venture to noncontrolling</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partners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($0.95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(1,152)</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(51,450)</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(52,467)</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(52,467)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5"/>
        </w:trPr>
        <w:tc>
          <w:tcPr>
            <w:tcW w:w="19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(16,970)</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2020</w:t>
            </w: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$ 1,192,261</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(18,467)</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(911,092)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(57,951)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205,301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14,516</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219,817</w:t>
            </w:r>
          </w:p>
        </w:tc>
        <w:tc>
          <w:tcPr>
            <w:tcW w:w="1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100,969</w:t>
            </w:r>
          </w:p>
        </w:tc>
      </w:tr>
      <w:tr>
        <w:trPr>
          <w:trHeight w:val="135"/>
        </w:trPr>
        <w:tc>
          <w:tcPr>
            <w:tcW w:w="19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(176,966)</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(176,966)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8"/>
              </w:rPr>
              <w:t>(178,300)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(16,501)</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Contribution to consolidated joint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remaining interest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joint venture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(99,107)</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(88,893)</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(1,356)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(2,438)</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12,259</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(12,259)</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(3,294)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(3,340)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(3,340)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2021</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$ 1,112,867</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(1,088,105)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(22,393)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5"/>
        </w:trPr>
        <w:tc>
          <w:tcPr>
            <w:tcW w:w="19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(10,869)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10,869</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 interest in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OEG</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(10,031)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295,956</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($0.35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(19,507)</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(19,453)</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(19,592)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$ 1,102,733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(18,467)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20"/>
        </w:trPr>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Prior to May 2021, Gaylord Rockies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9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consolidated financial statements.</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also owns a controlling 70% equity interest in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managed by Marriott – the Wildhorse Saloon and the General Jackson Showboat (“General Jackson”); and as of May 31, 2022, Block 21, a mixed-use entertainment, lodging, office, and retail complex located in Austin, Texas (“Block 21”). Prior to June 16, 2022, the Company owned 100% of OEG. The Company also owns a 50% interest in a joint venture that creates and distributes a linear multicast and over-the-top channel dedicated to the country music lifestyle (“Circle”), which launched its broadcast network on January 1, 2020. See “OEG Transaction” and “Block 21 Transaction” in this Note 1, as well as Note 11, “Commitments and Contingencies,” for further disclosure.</w:t>
      </w:r>
    </w:p>
    <w:p>
      <w:pPr>
        <w:spacing w:after="0" w:line="19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and the non-controlling operating partnership unit holders discussed in “Income (Loss) Per Share” in this Note 1 are the sole limited partners of the Operating Partnership, and Ryman currently owns, either directly or indirectly, 99.3% of the partnership units of the Operating Partnership. RHP Finance Corporation, a Delaware corporation (“Finco”), was formed as a wholly-owned subsidiary of the Operating Partnership for the sole purpose of being an issuer of debt securities with the Operating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Hospitality segment includes the Gaylord Hotels branded hotels, the Inn at Opryland and the AC Hotel, each of which is managed by Marriott pursuant to a management agreement for each hotel.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Entertainment segment includes the Grand Ole Opry, the Ryman Auditorium, WSM-AM, Ole Red, the General Jackson, the Wildhorse Saloon, Block 21, and the Company’s investment in the Circle joint venture, among various others. Marriott manages the day-to-day operations of the General Jackson, the Wildhorse Saloon and the W Austin, which is part of the Block 21 complex, pursuant to management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For periods prior to its achieving 100% ownership of the Gaylord Rockies joint venture in May 2021, management concluded that the Company was the primary beneficiary of the Gaylord Rockies joint venture, which was a VIE. As such, the Company consolidated the assets, liabilities and results of operations of the Gaylord Rockies joint venture in the accompanying consolidated financial statements. The portion of the Gaylord Rockies joint venture that the Company did not previously own was recorded as noncontrolling interest in consolidated joint venture in the accompanying consolidated balance sheet, and any previous adjustment necessary to reflect the noncontrolling interest at its redemption value was shown in the accompanying consolidated statements of equity (deficit) and noncontrolling interest. As Gaylord Rockies is now wholly-owned by the Company, it is no longer considered a VIE. See “Noncontrolling Interest” below for further discussion.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terms of the Company's joint venture agreement in Circle provide that the Company and its joint venture partner each share the authority to make major decisions in the joint venture, including operating plans, entering into certain contracts, admitting additional members of the joint venture, issuing additional membership interests, and amending the operating agreement. In addition, the officers of Circle are not employees of the Company. Based on management’s analysis of the joint venture agreement, management concluded that the Company is not the primary beneficiary of this variable interest entity and accounts for this investment under the equity method.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“OEG Transaction” in this Note 1 for further discussion.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Recovery from COVID-19; Current Economic Environment</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COVID-19 has caused, and may in the future cause, unprecedented levels of disruption to the Company’s business. Although the Company’s business levels have generally recovered and improved in 2022, there remains significant uncertainty surrounding the extent to which COVID-19 may in the future impact the Company’s results of operations and financial position, as increased labor costs, broad inflationary pressures and rising interest rates continue to impact the economy.</w:t>
      </w:r>
    </w:p>
    <w:p>
      <w:pPr>
        <w:spacing w:after="0" w:line="15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All of the Company’s assets were open and fully operational throughout 2022, and most of our businesses were open and operating throughout 2021; however, Gaylord National remained closed during the first half of 2021 and reopened July 1, 2021, the Grand Ole Opry and Ryman Auditorium reopened for full-capacity publicly attended performances in May 2021, and, subsequent to the December 2020 downtown Nashville bombing, the Wildhorse Saloon reopened in April 2021.</w:t>
      </w:r>
    </w:p>
    <w:p>
      <w:pPr>
        <w:spacing w:after="0" w:line="124"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Throughout 2020, 2021 and 2022, and continuing to date, the Company has paid all required debt service payments on its indebtedness, lease payments, taxes and other payables.</w:t>
      </w:r>
    </w:p>
    <w:p>
      <w:pPr>
        <w:spacing w:after="0" w:line="121"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$689.6 million available for borrowing under its revolving credit facility, $65.0 million available for borrowing under the OEG revolving credit facility, and $334.2 million in unrestricted cash on hand. The Company’s cash dividend, which had been suspended since second quarter 2020, was reinstated in September 2022. The Company’s interim dividend policy provides that the Company will make minimum dividends of 100% of REIT taxable income annually, subject to the Company’s board of directors’ future determinations as to the amount of any distributions and timing thereof.</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OEG Transaction</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June 16, 2022, the Company and certain of its subsidiaries, including OEG Attractions Holdings, LLC (“OEG”), which directly or indirectly owns the assets that comprise the Company’s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payable to the Company for the OEG Transaction may be increased by $30.0 million if OEG achieves certain financial objectives in 2023 or 2024.</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retains a controlling 70% equity interest in OEG and continues to consolidate the assets, liabilities and results of operations of OEG in the accompanying consolidated financial statements. The portion of OEG that the Company does not own is recorded as noncontrolling interest in consolidated joint venture, which is classified as mezzanine equity in the accompanying consolidated balance sheet, and any adjustment necessary to reflect the noncontrolling interest at its redemption value is shown in the accompanying consolidated statements of equity (deficit) and noncontrolling interest. After the payment of transaction expenses, the Company used substantially all of the net proceeds from the OEG Transaction, together with the net proceeds the Company received from the OEG Term Loan (as defined below), to repay the then-outstanding balance of the Company’s former $300 million term loan A and to pay down substantially all borrowings then outstanding under the Company’s revolving credit facility.</w:t>
      </w:r>
    </w:p>
    <w:p>
      <w:pPr>
        <w:spacing w:after="0" w:line="188"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Pursuant to the Second Amended and Restated Limited Liability Company Agreement for OEG entered into at the closing of the OEG Transaction (the “OEG LLC Agreement”), OEG is governed by a Board of Managers (the “Board”),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subject to member consent to certain actions. The Board initially consists of six members, four designated by the Company and two designated by the OEG Investor. Board membership may be modified from time to time to reflect the proportional ownership of outstanding units by each party. Subject to certain ownership thresholds, the approval of both parties will be required with respect to certain “major decisions” affecting OEG, including, but not limited to, approval of OEG’s annual operating budget in the event of changes exceeding certain thresholds, the incurrence of certain debt, the issuance of new equity securities, and mergers, acquisitions or dispositions in excess of a certain dollar threshold.</w:t>
      </w:r>
    </w:p>
    <w:p>
      <w:pPr>
        <w:spacing w:after="0" w:line="18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OEG Investor will have the option to acquire additional common units of OEG from the Company (the “Purchase Option”) in each of the fourth quarters of 2023, 2024 and 2025 in an amount equal to the lesser of $125 million or the maximum amount of proceeds that the Company may receive with respect to its compliance with applicable REIT tests, provided that the OEG Investor may not purchase an amount of common units that would result in the Company owning less than 51% of the outstanding common units after giving effect to the purchase. If the OEG Investor elects to exercise the Purchase Option, then (i) beginning on June 16, 2027 (the fifth anniversary of the OEG Investor’s original investment in OEG (the “Fifth Anniversary”)), the OEG Investor will have the right to demand that OEG undertake a Qualified IPO and (ii) the OEG Investor’s rights with respect to the IPO Request Put Right, the Seven-Year Put Right, an IPO Payment and a Sale Payment, each as defined in the OEG LLC Agreement and described below, will expire. The Purchase Option will terminate upon the occurrence of a Qualified IPO, a Sale of OEG or a Qualified Spinoff, each as defined in the OEG LLC Agreement.</w:t>
      </w:r>
    </w:p>
    <w:p>
      <w:pPr>
        <w:spacing w:after="0" w:line="190"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prior to June 16, 2026 (the fourth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pacing w:after="0" w:line="18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Seven-Year Put Right</w:t>
      </w:r>
      <w:r>
        <w:rPr>
          <w:rFonts w:ascii="Times New Roman" w:cs="Times New Roman" w:eastAsia="Times New Roman" w:hAnsi="Times New Roman"/>
          <w:sz w:val="18"/>
          <w:szCs w:val="18"/>
          <w:color w:val="auto"/>
        </w:rPr>
        <w:t>. If OEG has not completed a Qualified IPO, Sale of OEG or a Qualified Spinoff prior to June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8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 and the IPO Request Put Right and the Seven-Year Put Right will each terminate at the first closing of the Purchase Option.</w:t>
      </w:r>
    </w:p>
    <w:p>
      <w:pPr>
        <w:spacing w:after="0" w:line="174"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 Agreement). If the IPO occurs after the Fourth Anniversary, the IPO Payment will be capped at 50% of the OEG Investor’s investment in OEG (the “Payment Cap”). Any IPO Payment may be satisfied in either cash, OEG equity owned by the Ryman Member, or Company stock.</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 Any Sale Payment may be satisfied in either cash, a preferential cash distribution, additional consideration in the Sale of OEG or Company stock.</w:t>
      </w:r>
    </w:p>
    <w:p>
      <w:pPr>
        <w:spacing w:after="0" w:line="185" w:lineRule="exact"/>
        <w:rPr>
          <w:sz w:val="20"/>
          <w:szCs w:val="20"/>
          <w:color w:val="auto"/>
        </w:rPr>
      </w:pPr>
    </w:p>
    <w:p>
      <w:pPr>
        <w:ind w:left="6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descriptions related to the OEG LLC Agreement do not purport to be complete and are qualified in their entirety by reference to the OEG LLC Agreement filed as </w:t>
      </w:r>
      <w:hyperlink r:id="rId108">
        <w:r>
          <w:rPr>
            <w:rFonts w:ascii="Times New Roman" w:cs="Times New Roman" w:eastAsia="Times New Roman" w:hAnsi="Times New Roman"/>
            <w:sz w:val="18"/>
            <w:szCs w:val="18"/>
            <w:u w:val="single" w:color="auto"/>
            <w:color w:val="0000EE"/>
          </w:rPr>
          <w:t>Exhibit 10.19 to this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herein by reference.</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Also on June 16, 2022, OEG Borrower, LLC (“OEG Borrower”) and OEG Finance, LLC (“OEG Finance”), each a wholly owned direct or indirect subsidiary of OEG, entered into a credit agreement (the “OEG Credit Agreement”)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among OEG Borrower, as borrower, OEG Finance, certain subsidiaries of OEG Borrower from time to time party thereto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guarantors, the lenders party thereto and JPMorgan Chase Bank, N.A., as administrative agent.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provides for (i) a senior secured term loan facility in the aggregate principal amount of $300.0 million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“OEG Term Loan”) and (ii) a senior secured revolving credit facility in an aggregate principal amount not to exceed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$65.0 million (the “OEG Revolver”). The OEG Term Loan matures on June 16, 2029, and the OEG Revolver matures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16, 2027. The OEG Term Loan bears interest at a rate equal to either, at OEG Borrower’s election, (i) the Alternate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Base Rate plus 4.00% or (b) Adjusted Term SOFR plus 5.00% (all as specifically more described in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In November 2022, OEG entered into an interest rate swap to fix the SOFR portion of the interest rate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$100.0 million of borrowings at 4.533% through December 2025. The OEG Revolver bears interest at a rate equal to either,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OEG Borrower’s election, (i) the Alternate Base Rate plus 3.75% or (b) Adjusted Term SOFR plus 4.75%, which shall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 subject to reduction in the applicable margin based upon OEG’s First Lien Leverage Ratio (all as more specifically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described in the OEG Credit Agreement). The OEG Term Loan and OEG Revolver are each secured by substantially all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assets of OEG Finance and each of its subsidiaries (but not Block 21 and Circle, as more specifically described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OEG Credit Agreement). No revolving credit advance was made under the OEG Revolver at closing.</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Block 21 Transaction</w:t>
      </w:r>
    </w:p>
    <w:p>
      <w:pPr>
        <w:spacing w:after="0" w:line="229"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On May 31, 2022, the Company purchased Block 21 for a stated purchase price of $260 million, as subsequently adjusted to $255 million pursuant to the terms of the purchase agreement, which included the assumption of approximately</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beginning May 31, 2022.</w:t>
      </w:r>
    </w:p>
    <w:p>
      <w:pPr>
        <w:spacing w:after="0" w:line="18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performed a preliminary valuation of the fair value of the acquired assets and liabilities as of May 31, 2022.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leases in place and advanced bookings previously received for the hotel. The valuation of assumed debt was principally based on a discounted cash flow approach using market interest rates at the time of the transaction. The Company considers each of these estimates as Level 3 fair value measurements. Other acquired assets were valued at carrying value. Based on the aggregation of fair values as compared to consideration transferred, the Company concluded that there was no goodwill or bargain purchase gain related to the business combination. The Company performed an income approach evaluation of the acquired set which corroborated the conclusion that there was no goodwill related to the acquisition. Such evaluation included assumptions of future projected cash flows, which were based on the future projected occupancy and average daily rate for the W Hotel Austin, future anticipated cash flows at ACL Live, and market discount rates.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Block</w:t>
      </w:r>
    </w:p>
    <w:p>
      <w:pPr>
        <w:spacing w:after="0" w:line="27" w:lineRule="exact"/>
        <w:rPr>
          <w:sz w:val="20"/>
          <w:szCs w:val="20"/>
          <w:color w:val="auto"/>
        </w:rPr>
      </w:pPr>
    </w:p>
    <w:p>
      <w:pPr>
        <w:ind w:left="320" w:hanging="270"/>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 preliminarily allocated the purchase price, adjusted for working capital adjustments as</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the purchase agreement, in the Company’s balance sheet at May 31, 2022 as follows (amounts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(Note 4)</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estimated fair values for the assets acquired and liabilities assumed are preliminary and are subject to change during the one-year measurement period as additional information related to the inputs and assumptions used in determining the fair value of the assets and liabilities becomes available. The Company is in the process of finalizing its review of the underlying inputs and assumptions. Therefore, the purchase price allocation is not yet complete as of the date of this filing but will be complete within the one-year measurement period.</w:t>
      </w:r>
    </w:p>
    <w:p>
      <w:pPr>
        <w:spacing w:after="0" w:line="18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incurred $1.3 million in acquisition-related expenses in 2022, which are included in entertainment expenses in the accompanying consolidated statement of operations.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December 2019, the Company entered into a previous agreement to purchase Block 21. In May 2020, in response to the then-existing capital markets and economic environment caused by the COVID-19 pandemic, the Company determined it was not in the best interest of shareholders to focus resources and capital on the project and terminated the related purchase agreement. The Company forfeited a nonrefundable December 2019 deposit of $15 million and recorded a loss, which is included in other gains and (losses), net in the accompanying consolidated statement of operations for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or at estimated fair value if recorded in connection with purchase accounting.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40 years</w:t>
            </w: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5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 years</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5-8 years</w:t>
            </w:r>
          </w:p>
        </w:tc>
        <w:tc>
          <w:tcPr>
            <w:tcW w:w="20" w:type="dxa"/>
            <w:vAlign w:val="bottom"/>
          </w:tcPr>
          <w:p>
            <w:pPr>
              <w:spacing w:after="0"/>
              <w:rPr>
                <w:sz w:val="18"/>
                <w:szCs w:val="18"/>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shorter of the lease term or useful life</w:t>
            </w:r>
          </w:p>
        </w:tc>
        <w:tc>
          <w:tcPr>
            <w:tcW w:w="20" w:type="dxa"/>
            <w:vAlign w:val="bottom"/>
          </w:tcPr>
          <w:p>
            <w:pPr>
              <w:spacing w:after="0"/>
              <w:rPr>
                <w:sz w:val="20"/>
                <w:szCs w:val="20"/>
                <w:color w:val="auto"/>
              </w:rPr>
            </w:pPr>
          </w:p>
        </w:tc>
      </w:tr>
      <w:tr>
        <w:trPr>
          <w:trHeight w:val="846"/>
        </w:trPr>
        <w:tc>
          <w:tcPr>
            <w:tcW w:w="3400" w:type="dxa"/>
            <w:vAlign w:val="bottom"/>
          </w:tcPr>
          <w:p>
            <w:pPr>
              <w:spacing w:after="0"/>
              <w:rPr>
                <w:sz w:val="24"/>
                <w:szCs w:val="24"/>
                <w:color w:val="auto"/>
              </w:rPr>
            </w:pPr>
          </w:p>
        </w:tc>
        <w:tc>
          <w:tcPr>
            <w:tcW w:w="5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4"/>
                <w:szCs w:val="24"/>
                <w:color w:val="auto"/>
              </w:rPr>
            </w:pPr>
          </w:p>
        </w:tc>
      </w:tr>
      <w:tr>
        <w:trPr>
          <w:trHeight w:val="561"/>
        </w:trPr>
        <w:tc>
          <w:tcPr>
            <w:tcW w:w="34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Unrestricted</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Restricted</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Restricted cash and cash equivalents primarily represent funds held by our property manager for furniture, fixtures and equipment reserves. In addition, the Company holds certificates of deposit with an original maturity of greater than three months in order to secure its Tennessee workers’ compensation self-insurance obligations. Beginning in July 2020, Gaylord Rockies was in a cash sweep period pursuant to the Gaylord Rockies term loan agreement, and such cash amounts are also included in restricted cash. Gaylord Rockies exited this cash sweep period in January 2023. Block 21 was in a Trigger Period (as defined below) as of the date of its purchase by the Company and remains so at December 31, 2022, and such cash amounts are also included in restricted cash.</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Cash paid for interest, net of amounts from interest rate swaps, for the years ended December 31 was comprised of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interest paid</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$ 135,467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$ 113,669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$ 113,743</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$ 135,284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$ 110,747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$ 109,990</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cash payments of income taxes in 2022, 2021 and 2020 were $27.0 million, $0.5 million and $1.7 million, respectively.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 Reserves on Accounts Receivable</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provides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assets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deferred compensation plan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31,183</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rebate receivables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for operating leases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on revolving credit facilities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17,674</w:t>
            </w: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134,170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112,904</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Gaylord Rockies is party to an incentive agreement with the local government that provides that Gaylord Rockies is entitled to receive monthly rebates of certain city and state taxes, including property, sales and lodging taxes. The term of the rebate agreement varies by type of tax but ranges from 25-33 years from commencement of the construction of Gaylord Rockies. Gaylord Rockies earned $38.4 million, $29.1 million and $41.4 million in rebates in 2022, 2021 and 2020, respectively, which are generally recorded as a reduction in other hotel expenses in the accompanying consolidated statements of operations for 2022, 2021 and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purchase price allocation of the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was amortized on a straight-line basis over a period of 3.5 years, which corresponded with the period in which the advanced bookings related, and the value in the trade name is being amortized on a straight-line basis over 30 years, which is the period of the Marriott management agreement.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gross carrying amount of intangible assets at December 31, 2022 and 2021 was $254.7 million and $252.8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respectively. Accumulated amortization of intangible assets at December 31, 2022 and 2021 was $148.7 million and $126.0</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respectively. Amortization expense related to intangible assets during 2022, 2021 and 2020 was $22.7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$40.2 million and $40.2 million, respectively. The estimated amounts of amortization expense for the next five years are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 (amounts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8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2023</w:t>
            </w:r>
          </w:p>
        </w:tc>
        <w:tc>
          <w:tcPr>
            <w:tcW w:w="42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2024</w:t>
            </w: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2025</w:t>
            </w:r>
          </w:p>
        </w:tc>
        <w:tc>
          <w:tcPr>
            <w:tcW w:w="3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2026</w:t>
            </w: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2027</w:t>
            </w:r>
          </w:p>
        </w:tc>
        <w:tc>
          <w:tcPr>
            <w:tcW w:w="38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6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owned minority interest investments in certain businesses. Investments in entities that the Company does not control but in which it exercises significant influence are accounted for using the equity method of accounting.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31,725</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 payable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38,398</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304,719</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Deferred revenues consist primarily of deposits on advance bookings of hotel rooms and advance ticket sales at the Company’s entertainment properties, as well as uncollected attrition and cancellation fees. Other accrued liabilities include accruals for, among others, purchasing, meeting planner commissions and utilities.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if any. The Company recognizes interest and penalties, if any, related to unrecognized tax benefits in income tax expense. See Note 10, “Income Taxes,” for more detail on the Company’s income taxes.</w:t>
      </w:r>
    </w:p>
    <w:p>
      <w:pPr>
        <w:spacing w:after="0" w:line="183"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all available positive and negative evidence in assessing the need for a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Management Rights Proceeds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deferred and amortizes the proceeds received from Marriott that were allocated to the sale of the management rights, as discussed further in Note 5, “Deferred Management Rights Proceeds,” on a straight-line basis over the term of the hotel management agreements, including extensions, as a reduction in management fee expense in the accompanying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31,183</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w:t>
            </w: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71,939</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Deferred financing costs (“DFCs”)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and the OEG revolving credit facility are included in prepaid expenses and other assets when the related revolving credit facility has no outstanding balance. During 2022, 2021 and 2020, DFCs of $9.8 million, $8.8 million and $7.9 million, respectively, were amortized and recorded as interest expense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noncontrolling interest in consolidated joint venture for 2022 represents the minority investor’s proportionate share of the assets and liabilities of OEG, adjusted for changes in the redemption value of the related put rights. The noncontrolling interest is classified in the mezzanine section of the consolidated balance sheets as the related redemption options do not meet the requirements for permanent equity classification because these redemption options may be redeemed by the holder as described above in “OEG Transaction.”</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initial value of the noncontrolling interest in OEG, which included certain put rights, was estimated based on the purchase price received from the OEG Investor. In general, the carrying value will be based on the greater of the accumulated historical cost or the put right redemption value, and at December 31, 2022, approximates the fair value of the noncontrolling interest. An adjustment is also made for the OEG Investor’s proportionate share of income or loss in the accompanying consolidated statement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Gaylord Rockies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Until the Company’s buyout of the minority partners’ interest in the Gaylord Rockies joint venture in 2021, the noncontrolling interest in consolidated joint venture for 2021 and 2020 represents the previous minority partners’ proportionate share of the assets and liabilities of the Gaylord Rockies joint venture. An adjustment was made in 2021 and 2020 for the minority partners’ proportionate share of income or loss in the joint venture in the accompanying consolidated statements of operations.</w:t>
      </w:r>
    </w:p>
    <w:p>
      <w:pPr>
        <w:spacing w:after="0" w:line="18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joint venture agreements for the Gaylord Rockies joint venture, minority partners each had a put right to require the Company to purchase their joint venture interests at a defined appraised value during an annual window period, or under certain other circumstances, in consideration of cash or OP Units of the Operating Partnership. During 2020, put right holders totaling 0.5% ownership in the Gaylord Rockies joint venture exercised their put rights for $2.9 million in cash, and the remaining put right holders, totaling 2.4% ownership in the Gaylord Rockies joint venture, exercised their put rights for approximately $14.0 million in OP Units, which was equivalent to approximately 0.4 million OP Units. Such OP Units have economic terms that are substantially similar to shares of the Company’s common stock and are redeemable at the option of the holders thereof. Redemptions may be paid in cash, or if the Company so elects, in shares of the Company’s common stock on a one-for-one basis, subject to certain adjustments in accordance with the Operating Partnership’s limited partnership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 Units</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 options are redeemable for cash, or if the Company so elects, in unregistered shares of the Company’s common stock on a one-for-one basis, subject to certain adjustments. An adjustment is made for the limited partners’ proportionate share of income or loss in the accompanying consolidated statement of operations. At December 31, 2022, 0.4 million outstanding OP Units, or less than 1% of the outstanding OP Units, were held by the noncontrolling limited partners and are included as a component of equity in the accompanying consolidated balance sheets. The Company owns, directly or indirectly, the remaining 99.3% of the outstanding OP Units.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group rooms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364,835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$ 131,404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transient rooms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other</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1,805,969</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$ 939,373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$ 238,567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$ 133,333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Palms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Texan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National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84,715</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Hotel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 at Opryland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1,537,974</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$ 786,583</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$ 466,045</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and Austin, Texas.</w:t>
      </w:r>
    </w:p>
    <w:p>
      <w:pPr>
        <w:spacing w:after="0" w:line="162" w:lineRule="exact"/>
        <w:rPr>
          <w:sz w:val="20"/>
          <w:szCs w:val="20"/>
          <w:color w:val="auto"/>
        </w:rPr>
      </w:pPr>
    </w:p>
    <w:p>
      <w:pPr>
        <w:ind w:left="60" w:right="45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December 31, 2022 and 2021, the Company had $136.5 million and $116.8 million, respectively, in deferred revenues, which are included in accounts payable and accrued liabilities in the accompanying consolidated balance sheets. Of the amount outstanding at December 31, 2021, approximately $49.4 million was recognized in revenues during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 pays Marriott a base management fee of approximately 2% of revenues for the majority of properties that Marriott manages and a base management fee of approximately 3% of revenues for Gaylord Rockies, as well as an incentive fee for each managed property that is based on profitability. The Company incurred $35.1 million, $17.6 million and $10.3 million in base management fees to Marriott during 2022, 2021 and 2020, respectively. The Company incurred $13.5 million, $0.3 million and $0 in incentive fees to Marriott during 2022, 2021 and 2020, respectively. Management fees are presented in the consolidated statements of operations net of the amortization of the deferred management rights proceeds discussed further in Note 5, “Deferred Management Rights Proceeds.”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$55.1 million, $36.2 million, and $23.0 million for 2022, 2021 and 2020,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described more fully in Note 7, “Stock Plans.” The Company accounts for its stock-based compensation plan under the provisions of Financial Accounting Standards Board (“FASB”)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expenses the costs associated with start-up activities and organization costs associated with its development or reopening of hotels and significant attractions as incurred. The Company’s preopening costs during 2022 include costs associated with Ole Red Nashville International Airport, which was completed in May 2022. The Company’s preopening costs during 2021 include costs associated with the Gaylord Palms expansion, which was completed in April 2021. The Company’s preopening costs during 2020 include costs associated with Ole Red Orlando, which opened in June 2020, and the Gaylord Palms expansion.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entered into and may in the future enter into additional interest rate swap agreements to hedge against interest rate fluctuations.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$11.6 million will be reclassified from accumulated other comprehensive income as a reduction to interest expense in the next twelve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pacing w:after="0" w:line="1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excess of the assets’ carrying amount over their fair value, which is estimated using discounted cash flow analyses that utilize comprehensive cash flow projections, as well as observable market data to the extent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recorded no impairment losses during 2022, 2021 or 2020.</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Income (loss) per share is measured as basic earnings per share and diluted earnings per share. Basic earnings per share is computed by dividing net income (loss) by the weighted average number of common shares outstanding during the year. Diluted earnings per share is computed by dividing net income (loss) by the weighted average number of common shares outstanding after considering the effect of conversion of dilutive instruments, calculated using the treasury stock method or if-converted method, as applicable. Net income (loss) per share amounts are calculated as follows for the years ended December 31 (income (loss) and share amounts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(176,966)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 available to common stockholders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available to common stockholders</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2021 and 2020, the effect of dilutive stock-based compensation was the equivalent of 0.2 million and 0.1 million shares of common stock outstanding, respectively. Because the Company had a loss available to common stockholders in 2021 and 2020, these incremental shares were excluded from the computation of dilutive earnings per share as the effect of their inclusion would have been anti-dilutive.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above in “OEG Transaction,” the OEG Investor will have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to Company stock on the first day of the period or the date of issuance. For 2022, the effect of the OEG Put Rights was the equivalent of 1.9 million shares of Company common stock outstanding. Because the OEG Put Rights were anti-dilutive for 2022, such incremental shares were excluded from the computation of dilutive earnings per share.</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discussed above, certain minority partners in the Gaylord Rockies joint venture each had a put right to require the Company to purchase their joint venture interests in the Gaylord Rockies joint venture in consideration of cash or OP Units of the Operating Partnership. These put rights were exercised in 2020. The OP Units held by the noncontrolling interest holders have been excluded from the denominator of the diluted loss per share calculation for 2022, 2021 and 2020 as there would be no effect on the calculation of diluted earnings per share because the income (loss) attributable to the OP Units held by the noncontrolling interest holders would also be added (subtracted) to derive net income (loss) available to common shareholders.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In December 2022, the FASB issued ASU No.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which extends the transition period for the shift from LIBOR to December 2024.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Property and equipment at December 31 is recorded at cost, with the exception of right-of-use finance leases and assets acquired in an acquisition, and summarized as follows (amounts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3,601,974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981,589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r>
      <w:tr>
        <w:trPr>
          <w:trHeight w:val="209"/>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4,978,111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(2,124,732)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(1,946,267)</w:t>
            </w: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3,171,708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3,031,844</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 obligations, during 2022, 2021 and 2020 was $184.7 million, $178.8 million, and $173.3 million, respectively.</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Notes Receivable</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 in 2008. The interest rate on the Series A Bond and Series B Bond is 8.0% and 10.0%, respectively. The maturity dates of the Series A Bond and the Series B Bond are July 1, 2034 and September 1, 2037, respectively.</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bonds, which have aggregate carrying values and approximate fair values of $67.6 million and $71.2 million at December 31, 2022 and 2021, respectively, net of a credit loss reserve of $38.0 million at each period. The Company is receiving the debt service on the notes receivable, which are payable from tax increments, hotel taxes and special hotel rental taxes generated from the development through the maturity date. The Company’s estimate of credit loss reserves is sensitive to the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extended period of time through 2037 and include uncertainty of the impact of the COVID-19 pandemic.</w:t>
      </w:r>
    </w:p>
    <w:p>
      <w:pPr>
        <w:spacing w:after="0" w:line="18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Company has the intent and ability to hold the Series A Bond and Series B Bond to maturity and had at inception expected to receive all debt service payments due. As a result of reduced long-range tax revenue projections over the remaining life of the Series B Bond, in 2017, the Company no longer believed it would receive all debt service payments due under the note, and the Company considered the Series B Bond to be other-than-temporarily impaired (“OTTI”). The amount of the OTTI related to changing market conditions, or the increase in the discount rate, of $6.5 million was recorded as an increase to other comprehensive loss in 2017 and is amortized as an adjustment to the carrying value of the Series B Bond in the accompanying consolidated balance sheets. The discount rate was determined based on current market interest rates of notes receivable with comparable market ratings and current expectations about the timing of debt service payments under the note.</w:t>
      </w:r>
    </w:p>
    <w:p>
      <w:pPr>
        <w:spacing w:after="0" w:line="18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the first quarter of 2020, in accordance with the adoption of ASU No. 2016-13, as discussed in Note 1, the Company recorded an initial transition adjustment of $5.2 million and has since performed its quarterly assessment of credit losses under the new standard, which considers the estimate of projected tax revenues that will service the bonds over its remaining term. These tax revenue projections were updated each quarter in connection with the Company’s preparation of its quarterly financial statements as a result of the closure of Gaylord National during the COVID-19 pandemic and to reflect updated industry projections as to future anticipated operations of the hotel. As a result of these reduced tax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revenue projections over the remaining life of the bonds, the Company increased its credit loss reserve by $38.0 million in 2020, which includes the initial transition adjustment. At December 31, 2022 and 2021, the Series B Bond is fully reserved. The Series A Bond is of higher priority than other tranches which fall between the Company’s two issuances.</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During 2022, 2021 and 2020, the Company recorded interest income of $5.3 million, $5.5 million and $6.2 million, respectively, on these bonds. The Company received payments of $9.1 million, $6.4 million and $8.8 million during 2022, 2021 and 2020, respectively, relating to these notes receivable, which include principal and interest payments. At each of December 31, 2022 and 2021, before consideration of the credit loss reserve, the Company had accrued interest receivable related to these bonds of $41.0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December 31 consisted of (amounts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 w:type="dxa"/>
            <w:vAlign w:val="bottom"/>
            <w:tcBorders>
              <w:bottom w:val="single" w:sz="8" w:color="CCEEFF"/>
            </w:tcBorders>
          </w:tcPr>
          <w:p>
            <w:pPr>
              <w:spacing w:after="0"/>
              <w:rPr>
                <w:sz w:val="15"/>
                <w:szCs w:val="15"/>
                <w:color w:val="auto"/>
              </w:rPr>
            </w:pPr>
          </w:p>
        </w:tc>
        <w:tc>
          <w:tcPr>
            <w:tcW w:w="6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$700M</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$300M Term Loan A</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$500M Term Loan B</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376,250</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$600M</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$700M</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$800M</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$300M OEG Term Loan (Note 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$65M OEG Revolver (Note 2)</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(30,482)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(32,203)</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premium (discount)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0"/>
        </w:trPr>
        <w:tc>
          <w:tcPr>
            <w:tcW w:w="69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2,862,592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2,936,819</w:t>
            </w: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2022, there were no defaults under the covenants related to the Company’s outstanding 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maturities of long-term debt, excluding finance lease obligations, are as follows (amounts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3"/>
                <w:szCs w:val="13"/>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$500M Term Loan B</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$600M</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$700M</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$800M Gaylord Rockies Term Loan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$300M</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299,250</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$65M OEG Revolver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134,636</w:t>
            </w:r>
          </w:p>
        </w:tc>
        <w:tc>
          <w:tcPr>
            <w:tcW w:w="0" w:type="dxa"/>
            <w:vAlign w:val="bottom"/>
          </w:tcPr>
          <w:p>
            <w:pPr>
              <w:spacing w:after="0"/>
              <w:rPr>
                <w:sz w:val="1"/>
                <w:szCs w:val="1"/>
                <w:color w:val="auto"/>
              </w:rPr>
            </w:pPr>
          </w:p>
        </w:tc>
      </w:tr>
      <w:tr>
        <w:trPr>
          <w:trHeight w:val="210"/>
        </w:trPr>
        <w:tc>
          <w:tcPr>
            <w:tcW w:w="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703,000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2,905,136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85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Gaylord Rockies Term Loan includes three, one-year extension options, subject to certain requirements.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60" w:right="299"/>
        <w:spacing w:after="0" w:line="281" w:lineRule="auto"/>
        <w:rPr>
          <w:sz w:val="20"/>
          <w:szCs w:val="20"/>
          <w:color w:val="auto"/>
        </w:rPr>
      </w:pPr>
      <w:r>
        <w:rPr>
          <w:rFonts w:ascii="Times New Roman" w:cs="Times New Roman" w:eastAsia="Times New Roman" w:hAnsi="Times New Roman"/>
          <w:sz w:val="17"/>
          <w:szCs w:val="17"/>
          <w:color w:val="auto"/>
        </w:rPr>
        <w:t>In October 2019, the Company entered into a Sixth Amended and Restated Credit Agreement (the “Base Credit Agreement”) among the Company, as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prior credit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facility. As amended, the Company’s credit facility consists of a $700.0 million senior secured revolving credit facility (the “Revolver”), prior to its repayment in June 2022, a $300.0 million senior secured term loan A (the “Term Loan A”), and a $500.0 million senior secured term loan B (the “Term Loan B”), each as discussed below. In 2020, the Company entered into three amendments (the “2020 Amendments”) to the Base Credit Agreement among the same parties, as discussed below. Additionally, the Company further amended the Base Credit Agreement in May 2021 and October 2021 to permit an acquisition during the Base Credit Agreement’s restricted period (as defined below) and an associated assumption of indebtedness, subject to certain conditions (such amendments, together with the 2020 Amendments, the “Amendments”; the Base Credit Agreement, as amended by the Amendments, the “Existing Credit Agreement”; the Existing Credit Amendment, as amended by the Fifth Amendment (as hereinafter defined), the “Credit Agreement”).</w:t>
      </w:r>
    </w:p>
    <w:p>
      <w:pPr>
        <w:spacing w:after="0" w:line="188" w:lineRule="exact"/>
        <w:rPr>
          <w:sz w:val="20"/>
          <w:szCs w:val="20"/>
          <w:color w:val="auto"/>
        </w:rPr>
      </w:pPr>
    </w:p>
    <w:p>
      <w:pPr>
        <w:ind w:left="60" w:right="79"/>
        <w:spacing w:after="0" w:line="276" w:lineRule="auto"/>
        <w:rPr>
          <w:sz w:val="20"/>
          <w:szCs w:val="20"/>
          <w:color w:val="auto"/>
        </w:rPr>
      </w:pPr>
      <w:r>
        <w:rPr>
          <w:rFonts w:ascii="Times New Roman" w:cs="Times New Roman" w:eastAsia="Times New Roman" w:hAnsi="Times New Roman"/>
          <w:sz w:val="17"/>
          <w:szCs w:val="17"/>
          <w:color w:val="auto"/>
        </w:rPr>
        <w:t>Each of the Revolver and Term Loan B is guaranteed by the Company, each of the Company’s subsidiaries that own the Gaylord Hotels properties, other than Gaylord Rockies, and certain other of the Company’s subsidiaries. Each is secured by</w:t>
      </w:r>
    </w:p>
    <w:p>
      <w:pPr>
        <w:spacing w:after="0" w:line="1" w:lineRule="exact"/>
        <w:rPr>
          <w:sz w:val="20"/>
          <w:szCs w:val="20"/>
          <w:color w:val="auto"/>
        </w:rPr>
      </w:pPr>
    </w:p>
    <w:p>
      <w:pPr>
        <w:ind w:left="260" w:hanging="210"/>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mortgage lien on the real property of each of the Gaylord Hotels properties, excluding Gaylord Rockies,</w:t>
      </w:r>
    </w:p>
    <w:p>
      <w:pPr>
        <w:spacing w:after="0" w:line="9" w:lineRule="exact"/>
        <w:rPr>
          <w:rFonts w:ascii="Times New Roman" w:cs="Times New Roman" w:eastAsia="Times New Roman" w:hAnsi="Times New Roman"/>
          <w:sz w:val="18"/>
          <w:szCs w:val="18"/>
          <w:color w:val="auto"/>
        </w:rPr>
      </w:pPr>
    </w:p>
    <w:p>
      <w:pPr>
        <w:ind w:left="60" w:right="79" w:hanging="10"/>
        <w:spacing w:after="0" w:line="252"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equity interests in the Company’s subsidiaries that own the Gaylord Hotels properties, excluding Gaylord Rockies, (iii) pledges of equity interests in the Operating Partnership, the subsidiaries that guarantee the Credit Agreement, and certain other of the Company’s subsidiaries, (iv) the personal property of the Company, the Operating Partnership and the subsidiaries that guarantee the Credit Agreement and (v) all proceeds and products from the Company’s Gaylord Hotels properties, excluding Gaylord Rockies. Advances are subject to a 55% borrowing base, based on the appraisal value of the Gaylord Hotels properties (reduced to 50% in the event one of the Gaylord Hotels properties is sold), in each case, excluding Gaylord Rockies. Assets of Gaylord Rockies are not subject to the liens of the credit facility.</w:t>
      </w:r>
    </w:p>
    <w:p>
      <w:pPr>
        <w:spacing w:after="0" w:line="188"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Amendments provided for a waiver of the Credit Agreement’s financial covenants (the “Compliance Covenants”) through March 31, 2022 (the “Temporary Waiver Period”) and modified certain covenants through June 30, 2022. In addition, the Amendments contain a covenant that the Company must maintain unrestricted liquidity (in the form of unrestricted cash on hand or undrawn availability under the Revolver) of at least $100 million. In the event the Company is unable to comply with the Credit Agreement’s Compliance Covenants at any time, it expects to further amend the Credit Agreement or take other mitigating actions prior to a potential breach.</w:t>
      </w:r>
    </w:p>
    <w:p>
      <w:pPr>
        <w:spacing w:after="0" w:line="18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Beginning with the quarter ended June 30, 2022, the Company calculates compliance with the Compliance Covenants in the Credit Agreement using a designated annualized calculation based on the Company’s most recently completed fiscal quarter. Beginning with the quarter ended September 30, 2022, the Company is required to satisfy Compliance Covenants at the levels set forth in the Credit Agreement using a designated annualized calculation based on the Company’s most recently completed fiscal quarters, as applicable. Pursuant to the Amendments, the Company was required to use any proceeds from borrowings drawn until it demonstrated financial covenant compliance following the expiration of the Temporary Waiver Period (the “Restricted Period”) to fund operating expenses, debt service of the Company and its subsidiaries, and permitted capital expenditures and investments. The Company demonstrated such compliance in May 2022 and thereby ended the Restricted Period; thereafter, we are required to satisfy the Compliance Covenants as set forth in the Credit Agreement.</w:t>
      </w:r>
    </w:p>
    <w:p>
      <w:pPr>
        <w:spacing w:after="0" w:line="194"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On April 4, 2022, the Company entered into Amendment No. 5 (the “Fifth Amendment”) to the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Credit Agreement, each of which was effective upon the closing of the OEG Transaction. These amendments include, among others, the exclusion of OEG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Compliance Covenants currently provided for in the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Revolving Credit Facility</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maturity of the Revolver is March 31, 2024, with two additional six-month extension options, at our election. Borrowings under the Revolver bear interest at an annual rate equal to, at the Company’s option, either (i) LIBOR plus the applicable margin ranging from 1.40% to 1.95%, dependent upon the Company’s funded debt to total asset value ratio (as defined in the Credit Agreement) or (ii) a base rate as set in the Credit Agreement. At December 31, 2022, the interest rate on LIBOR-based borrowings under the Revolver is LIBOR plus 1.55%. Principal is payable in full at maturity.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$300 Million Term Loan A</w:t>
      </w:r>
    </w:p>
    <w:p>
      <w:pPr>
        <w:spacing w:after="0" w:line="22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The original maturity date of the Term Loan A was March 31, 2025. Borrowings bore interest at an annual rate equal to, at the Company’s option, either (i) LIBOR plus the applicable margin ranging from 1.35% to 1.90%, dependent upon the Company’s funded debt to total asset value ratio (as defined in the Credit Agreement) or (ii) a base rate as set in the Credit Agreement. As discussed below, in June 2022, we paid off the Term Loan A with proceeds from the OEG Term Loan.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$500 Million Term Loan B</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Term Loan B has a maturity of May 11, 2024. The applicable interest rate margins for borrowings under the Term Loan B are, at the Company’s option, either (i) LIBOR plus 2.00% or (ii) a base rate as set in the Credit Agreement. At December 31, 2022, the interest rate on the Term Loan B was LIBOR plus 2.00%. In October 2019, the Company entered into four interest rate swaps with a total notional amount of $350.0 million to fix the LIBOR portion of the interest rate at rates between 1.2235% and 1.2315%, through May 11, 2023. The Company has designated these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payment of an additional principal payment is required. Amounts borrowed under the Term Loan B that are repaid or prepaid may not be reborrowed.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$600 Million 4.50% Senior Notes Due 2029</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17, 2021, the Operating Partnership and Finco completed the private placement of $600.0 million in aggregate principal amount of 4.50% senior notes due 2029 (the “$600 Million 4.50% Senior Notes”), which are guaranteed by the Company and its subsidiaries that guarantee the Company’s credit agreement.</w:t>
      </w:r>
    </w:p>
    <w:p>
      <w:pPr>
        <w:spacing w:after="0" w:line="14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w:t>
      </w:r>
    </w:p>
    <w:p>
      <w:pPr>
        <w:spacing w:after="0" w:line="14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its previous $400 million 5% senior notes and to repay all of the amounts outstanding under the Revolver at that time. The Company used the remaining net proceeds for general corporate purposes.</w:t>
      </w:r>
    </w:p>
    <w:p>
      <w:pPr>
        <w:spacing w:after="0" w:line="13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4.75% Senior Notes Due 2027</w:t>
      </w:r>
    </w:p>
    <w:p>
      <w:pPr>
        <w:spacing w:after="0" w:line="22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w:t>
      </w:r>
    </w:p>
    <w:p>
      <w:pPr>
        <w:spacing w:after="0" w:line="5"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$500 Million 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w:t>
      </w:r>
    </w:p>
    <w:p>
      <w:pPr>
        <w:spacing w:after="0" w:line="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8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$500 Million 4.75% Senior Notes totaled approximately $493 million, after deducting the initial purchasers’ discounts, commissions and offering expenses. The Company used substantially all of these proceeds to tender and redeem its previous $350 million 5% senior notes and to repay a portion of the amounts then outstanding under the Revolver.</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then outstanding under the Revolver.</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3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completed a registered offer to exchange the $700 Million 4.75% Senior Notes for registered notes with substantially identical terms as the $700 Million 4.75% Senior Notes in July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$800 Million Gaylord Rockies Term Loan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 Gaylord Rockies, entered into a Second Amended and Restated Loan Agreement (the “Gaylord Rockies Loan”)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Wells Fargo Bank, National Association, as administrative agent, which refinanced Gaylord Rockies’ previous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 million construction loan and $39 million mezzanine loan, which were scheduled to mature in December 2019.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Loan consists of an $800.0 million secured term loan facility, matures July 2, 2023 with three, one-year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extension options, subject to certain requirements in the Gaylord Rockies Loan, and bears interest at LIBOR plus 2.50%.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Simultaneous with closing, Gaylord Rockies entered into an interest rate swap to fix the LIBOR portion of the interest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1.65% for the first three years of the loan. Additionally, the Company has entered into an additional interest rate swap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fix the LIBOR portion of the interest rate at 3.3410% for the fourth year of the loan. The Company has designated these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rate swaps as effective cash flow hedges.</w:t>
      </w:r>
    </w:p>
    <w:p>
      <w:pPr>
        <w:spacing w:after="0" w:line="16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The Company has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June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which Gaylord Rockies is in beginning in July 2020 through December 2022, (ii) extend the deadline for the Company to commence construction of an expansion to Gaylord Rockies, and (iii) provide favorable changes to the debt service coverage ratio provisions. The Loan Amendment includes restrictions on distributions to the Company’s subsidiaries that own Gaylord Rockies and requires a certain level of equity financing for a Gaylord Rockies expansion.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the closing of the purchase of Block 21 on May 31, 2022, a subsidiary of the Company assumed a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the date of its purchase by the Company and remains as such as of December 31, 2022. During the Trigger Period, any cash generated by Block 21 in excess of amounts necessary to fund loan obligations, budgeted operating expenses and specified reserves will not be distributed to Block 21.</w:t>
      </w:r>
    </w:p>
    <w:p>
      <w:pPr>
        <w:spacing w:after="0" w:line="18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(2) a letter of credit drawable by the Block 21 lenders in the event of a default of the Block 21 CMBS Loan.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227" w:lineRule="exact"/>
        <w:rPr>
          <w:sz w:val="20"/>
          <w:szCs w:val="20"/>
          <w:color w:val="auto"/>
        </w:rPr>
      </w:pPr>
    </w:p>
    <w:p>
      <w:pPr>
        <w:jc w:val="both"/>
        <w:ind w:left="60" w:right="619"/>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the Term Loan B, the Gaylord Rockies Loan and the OEG Term Loan. Each swap has been designated as a cash flow hedge whereby the Company receives variable-rate amounts in exchange for fixed-rate payments over the life of the agreement without exchange of the underlying principal amount.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values of the Company’s derivative financial instruments at December 31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6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$ 87,500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4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4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4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August 1, 2022</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3.3410%</w:t>
            </w:r>
          </w:p>
        </w:tc>
        <w:tc>
          <w:tcPr>
            <w:tcW w:w="4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August 1, 2023</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$ 800,000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$ 100,000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10,186</w:t>
            </w: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(9,362)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consolidated statements of operations and comprehensive income (loss) for the years ended December 31 is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20" w:type="dxa"/>
            <w:vAlign w:val="bottom"/>
          </w:tcPr>
          <w:p>
            <w:pPr>
              <w:spacing w:after="0"/>
              <w:rPr>
                <w:sz w:val="13"/>
                <w:szCs w:val="13"/>
                <w:color w:val="auto"/>
              </w:rPr>
            </w:pPr>
          </w:p>
        </w:tc>
        <w:tc>
          <w:tcPr>
            <w:tcW w:w="1860" w:type="dxa"/>
            <w:vAlign w:val="bottom"/>
            <w:gridSpan w:val="4"/>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Amount of Gain (Loss)</w:t>
            </w: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9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r>
      <w:tr>
        <w:trPr>
          <w:trHeight w:val="173"/>
        </w:trPr>
        <w:tc>
          <w:tcPr>
            <w:tcW w:w="3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2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8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Pr>
          <w:p>
            <w:pPr>
              <w:spacing w:after="0"/>
              <w:rPr>
                <w:sz w:val="12"/>
                <w:szCs w:val="12"/>
                <w:color w:val="auto"/>
              </w:rPr>
            </w:pPr>
          </w:p>
        </w:tc>
        <w:tc>
          <w:tcPr>
            <w:tcW w:w="840" w:type="dxa"/>
            <w:vAlign w:val="bottom"/>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56"/>
        </w:trPr>
        <w:tc>
          <w:tcPr>
            <w:tcW w:w="3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2"/>
        </w:trPr>
        <w:tc>
          <w:tcPr>
            <w:tcW w:w="36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w:t>
            </w:r>
          </w:p>
        </w:tc>
        <w:tc>
          <w:tcPr>
            <w:tcW w:w="4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1,955</w:t>
            </w:r>
          </w:p>
        </w:tc>
        <w:tc>
          <w:tcPr>
            <w:tcW w:w="120" w:type="dxa"/>
            <w:vAlign w:val="bottom"/>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(3,541)</w:t>
            </w:r>
          </w:p>
        </w:tc>
        <w:tc>
          <w:tcPr>
            <w:tcW w:w="2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(16,501)</w:t>
            </w:r>
          </w:p>
        </w:tc>
      </w:tr>
      <w:tr>
        <w:trPr>
          <w:trHeight w:val="156"/>
        </w:trPr>
        <w:tc>
          <w:tcPr>
            <w:tcW w:w="366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16,007</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1,955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(3,541)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(16,501)</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2022, 2021 and 2020 was $148.4 million, $125.3 million and $115.8 million, respectively.</w:t>
      </w:r>
    </w:p>
    <w:p>
      <w:pPr>
        <w:spacing w:after="0" w:line="13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December 31, 2022, the fair value of derivatives in a net liability position including accrued interest but excluding any adjustment for nonperformance risk related to these agreements was $1.2 million. As of December 31, 2022,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$1.2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Deferred Management Rights Proceeds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such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w:t>
      </w:r>
    </w:p>
    <w:p>
      <w:pPr>
        <w:spacing w:after="0" w:line="192"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In addition, Gaylord Rockies sold its management rights to Marriott for $4.9 million, which was also deferred and is amortized on a straight-line basis over the 70-year term of the hotel management agreement, including extensions, as a reduction in management fee expense in the accompanying consolidated statements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liabilities. The Company’s lease agreements do not contain any material residual value guarantees or material restrictive covenants.</w:t>
      </w:r>
    </w:p>
    <w:p>
      <w:pPr>
        <w:spacing w:after="0" w:line="19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 recorded $3.0 million, $1.8 million and $0.7 million of contingent rental expense related to Gaylord Palms in 2022, 2021 and 2020, respectively.</w:t>
      </w:r>
    </w:p>
    <w:p>
      <w:pPr>
        <w:spacing w:after="0" w:line="18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is as follows (in thousands):</w:t>
      </w: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December 31, 2022 are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4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years</w:t>
            </w: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years</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40" w:type="dxa"/>
            <w:vAlign w:val="bottom"/>
          </w:tcPr>
          <w:p>
            <w:pPr>
              <w:spacing w:after="0"/>
              <w:rPr>
                <w:sz w:val="18"/>
                <w:szCs w:val="18"/>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7.0 %</w:t>
            </w: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 Plans</w:t>
      </w:r>
    </w:p>
    <w:p>
      <w:pPr>
        <w:spacing w:after="0" w:line="229"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2022, approximately 0.7 million shares of common stock remained available for issuance pursuant to future grants of awards under the Plan.</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Restricted stock units granted to employees vest one to four years from the date of grant, subject to any applicable performance targets,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2022, 2021, and 2020 was $82.66, $73.96, and $84.26, respectively.</w:t>
      </w:r>
    </w:p>
    <w:p>
      <w:pPr>
        <w:spacing w:after="0" w:line="19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units as of December 31, 2022 and changes during the year ended December 31, 2022, is presented below:</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left="54"/>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5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January 1, 2022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561,216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585,011</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fair value of all restricted stock units that vested during 2022, 2021 and 2020 was $12.9 million, $10.6 million and $4.9 million, respectively.</w:t>
      </w:r>
    </w:p>
    <w:p>
      <w:pPr>
        <w:spacing w:after="0" w:line="16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2022, there was $23.8 million of total unrecognized compensation cost related to restricted stock units granted under the Company’s equity incentive plans. That cost is expected to be recognized over a weighted-average period of 2.1 years.</w:t>
      </w:r>
    </w:p>
    <w:p>
      <w:pPr>
        <w:spacing w:after="0" w:line="176"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compensation cost that has been charged against pre-tax income for all of the Company’s stock-based compensation plans was $15.0 million, $12.1 million, and $8.7 million for 2022, 2021, and 2020, respectively. The total income tax benefit recognized in the accompanying consolidated statements of operations for all of the Company’s stock-based employee compensation plans was $3.5 million, $2.9 million, and $2.1 million for 2022, 2021, and 2020, respectively.</w:t>
      </w:r>
    </w:p>
    <w:p>
      <w:pPr>
        <w:spacing w:after="0" w:line="164"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actual tax benefit (expense) realized from exercise, vesting or cancellation of the stock-based employee compensation arrangements during 2022, 2021, and 2020 totaled $0.5 million, $0.4 million, and $(0.7) million, respectively, and is reflected as an adjustment to deferred tax liabilities in the accompanying consolidated balance sheets.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97"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As a result of increased lump-sum distributions from the retirement plan during 2022, 2021 and 2020, net settlement losses of $1.9 million, $1.4 million and $1.7 million were recognized in 2022, 2021 and 2020, respectively. These settlement losses have been classified as other gains and (losses), net in the accompanying consolidated statements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funded status of the retirement plan at December 31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76,680</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contributions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72,486</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Funded status and accrued pension cost</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Net periodic pension (income) expense reflected in other gains and (losses), net in the accompanying consolidated statements of operations included the following components for the years ended December 31 (amounts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(income) expense</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assumptions used to determine the benefit obligation at December 31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pension expense for years ended December 31 are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rate of increase in future compensation levels was not applicable for any reported years due to the Company amending the plan to freeze the cash balance benefit as described above.</w:t>
      </w:r>
    </w:p>
    <w:p>
      <w:pPr>
        <w:spacing w:after="0" w:line="16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the Company’s pension obligations and expense.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plan’s overall strategy is to achieve a rate of return necessary to fund benefit payments by utilizing a variety of asset types, investment strategies and investment managers. The plan seeks to achieve a long-term rate of return over inflation resulting from income, capital gains, or both, which assists the plan in meeting its long-term objectives.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allocation of the defined benefit pension plan’s assets at December 31 is as follows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71,551</w:t>
            </w: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72,486</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Expected Contributions and Benefit Payments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does not expect to be required to contribute to its defined benefit pension plan in 2023.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7,242</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2028 - 2032</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2022, the Non-Qualified Plans’ projected benefit obligations and accumulated benefit obligations were $11.1 million.</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Company’s obligation related to its qualified and non-qualified pension plans of $19.8 million and $18.4 million at December 31, 2022 and 2021, respectively, is included in other liabilities in the accompanying consolidated balance sheets. The change in the deferred net loss related to the Company’s retirement plans during 2022, 2021 and 2020 resulted in an increase (decrease) in equity of $(0.6) million, $9.9 million and $(2.3) million, respectively. Each of these adjustments to equity due to the change in the minimum liability is included in other comprehensive loss in the accompanying consolidated statements of stockholders’ equity (deficit) and noncontrolling interest.</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combined net loss, amortization of net loss, and new prior service credit and amortization of prior service credit recognized in other comprehensive income (loss) for the years ended December 31, 2022 and 2021 was $(0.6) million and $9.9 million, respectively. Included in accumulated other comprehensive loss at December 31, 2022 and 2021 are unrecognized actuarial losses of $26.7 million and $26.1 million ($20.0 million and $19.3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During 2020, the Company’s board of directors declared a first quarter dividend of $0.95 per share of common stock, or an aggregate of $52.2 million in cash. Following the payment of the first quarter 2020 cash dividend, the Company suspended its regular quarterly dividend payments due to the COVID-19 pandemic. In September 2022, the Company reinstated its cash dividend, and the Company’s board of directors has subsequently declared total 2022 dividends in the amount of $0.35 per share of common stock or an aggregate of $19.4 million in cash.</w:t>
      </w:r>
    </w:p>
    <w:p>
      <w:pPr>
        <w:spacing w:after="0" w:line="183"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To maintain its qualification as a REIT for federal income tax purposes, the Company must distribute at least 90% of its REIT taxable income each year. The Company’s interim dividend policy provides that the Company will make minimum dividends of 100% of REIT taxable income annually, subject to the Company’s board of directors’ future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determinations as to the amount of any distributions and the timing thereof. The dividend policy may be altered at any time by the Company’s board of directors.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3"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Equity Distribution Agreement</w:t>
      </w:r>
    </w:p>
    <w:p>
      <w:pPr>
        <w:spacing w:after="0" w:line="227"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56"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issued under the ATM Agreement during 2022 or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consisted of the following (amounts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(23,916)</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(5,877)</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(39,958)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(42,859)</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(31,950)</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Transition adjustment related to adoption of ASU 2016-13</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12,269</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16,602</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28,871</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the Company generally will not be subject to federal corporate income taxes on ordinary taxable income and capital gains income from real estate investments that it distributes to its stockholders. The Company pays federal and state corporate income taxes on earnings of its taxable REIT subsidiaries (“TRSs”).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for continuing operations consists of the following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(21,936)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provision</w:t>
            </w:r>
          </w:p>
        </w:tc>
        <w:tc>
          <w:tcPr>
            <w:tcW w:w="10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provision</w:t>
            </w:r>
          </w:p>
        </w:tc>
        <w:tc>
          <w:tcPr>
            <w:tcW w:w="10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(26,526)</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(38,775)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Due to the financial statement impact of the COVID-19 pandemic, and in connection with the preparation of the consolidated financial statements included herein, the Company reassessed the realizability of net deferred tax assets during 2020. As a result, the Company’s tax provision for 2020 includes $26.7 million in expense related to the recording of a valuation allowance on the 2020 beginning net deferred tax assets of its TRSs.</w:t>
      </w:r>
    </w:p>
    <w:p>
      <w:pPr>
        <w:spacing w:after="0" w:line="180"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(loss) reported for financial reporting purposes.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made no cash distributions in 2021. The estimated taxability of cash distributions to common shareholders is shown in the table below (per common share) (unaudited).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0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$ 0.28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$ 0.35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differences between the income tax provision calculated at the statutory U.S. federal income tax rate of 21% and the actual income tax provision recorded for continuing operations are as follows (amounts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(provision) benefit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nontaxable income of the REIT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noncontrolling interest in consolidated joint venture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State tax (provision) benefit (net of federal taxes)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share-based compensation adjustment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valuation allowance (net of federal taxes)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0"/>
        </w:trPr>
        <w:tc>
          <w:tcPr>
            <w:tcW w:w="5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0"/>
        </w:trPr>
        <w:tc>
          <w:tcPr>
            <w:tcW w:w="5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at December 31 are as follows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reserves and accruals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Defined benefit plan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43,009</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105,484</w:t>
            </w: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 and other carryforwards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10"/>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(118,015)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(125,387)</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56,481</w:t>
            </w: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w:t>
            </w:r>
          </w:p>
        </w:tc>
      </w:tr>
      <w:tr>
        <w:trPr>
          <w:trHeight w:val="210"/>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TRS federal net operating loss carryforwards at December 31, 2022 totaled $349.0 million, resulting in a deferred tax asset of $73.3 million. Of the total TRS federal net operating loss carryforwards, $22.2 million were created prior to 2018 and can be used to offset 100% of taxable income in the future. These federal net operating loss carryforwards will expire between 2034 and 2037. The remaining $326.8 million of federal net operating loss carryforwards have no expiration date and can be used to offset 80% of taxable income in the future. All available federal operating loss carryforwards at the REIT were used to reduce taxable REIT income subject to distribution in 2022. As a result, the REIT has no federal net operating losses as of December 31, 2022. The use of certain federal net operating losses, credits and other deferred tax assets is limited to the Company’s future taxable earnings. As a result, a valuation allowance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been provided for certain federal deferred tax assets. The valuation allowance related to federal deferred tax assets increased (decreased) $(1.6) million, $23.0 million and $65.9 million in 2022, 2021 and 2020, respectively.</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State net operating loss carryforwards at December 31, 2022 totaled $494.0 million, resulting in a deferred tax benefit of $24.6 million, which will expire between 2024 and 2037. The use of certain state net operating losses, credits and other state deferred tax assets is limited to the future taxable earnings of separate legal entities. As a result, a valuation allowance has been provided for certain state deferred tax assets, including loss carryforwards. The valuation allowance related to state deferred tax assets increased (decreased) $(5.8) million, $4.7 million and $19.4 million in 2022, 2021 and 2020, respectively.</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has concluded IRS examinations of the TRS through the 2015 tax year. For federal income tax purposes and substantially all the states with which the Company has nexus, the statute of limitations has expired through 2018. However, the Company has state net operating loss carryforwards from closed years, which could be adjusted upon audit. The Company is routinely subject to other various jurisdictional income tax audits; however, there were no outstanding state or local audits at December 31, 2022. In addition, the Company has evaluated the effects of the Inflation Reduction Act and believes that it has no material effect on the Company’s financial statements.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Company had no accruals for unrecognized tax benefits. The Company recognizes interest and penalties related to uncertain tax positions, if any, in income tax expense. At December 31, 2022 and 2021, the Company has accrued no interest or penalties related to uncertain tax positions.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April 2019, a subsidiary of the Company acquired a 50% equity interest in Circle and has made capital contributions of $31.0 million through December 31, 2022. In addition, the Company intends to contribute up to an additional $12.2 million through December 31, 2023 for working capital needs.</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entered into a tax protection agreement in connection with the December 31, 2018 purchase of additional interests in the Gaylord Rockies joint venture, which will generally require the Company to, among other things, indemnify certain minority partners that were members of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189"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(ii) a letter of credit drawable by the Block 21 lenders in the event of a default of the Block 21 CMBS Loan.</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subsequently transitioned to a low or no deductible program. As of January 1, 2022, the Company again became self-insured for certain losses related to employee medical benefits. The Company has purchased stop-loss coverage in order to limit its exposure to any significant levels of claims relating to workers’ compensation, employee medical benefits and general liability for which it is self-insured.</w:t>
      </w:r>
    </w:p>
    <w:p>
      <w:pPr>
        <w:spacing w:after="0" w:line="18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after a change of control.</w:t>
      </w:r>
    </w:p>
    <w:p>
      <w:pPr>
        <w:spacing w:after="0" w:line="16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8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at fair value on a recurring basis at December 31, were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2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December 31, 2022 are not required to be measured at fair value, and the carrying values of these assets and liabilities approximate fair value, except as described below.</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As discussed in Note 4, “Debt,” the Company has outstanding $600.0 million in aggregate principal amount of the $600 Million 4.50% Senior Notes. The carrying value of these notes at December 31, 2022 was $591.8 million, net of unamortized DFCs. The fair value of these notes, based upon quoted market prices (Level 1), was $522.5 million at December 31, 2022.</w:t>
      </w:r>
    </w:p>
    <w:p>
      <w:pPr>
        <w:spacing w:after="0" w:line="180"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As discussed in Note 4, “Debt,” the Company has outstanding $700.0 million in aggregate principal amount of the $700 Million 4.75% Senior Notes. The carrying value of these notes at December 31, 2022 was $693.7 million, net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unamortized DFCs and premiums. The fair value of these notes, based upon quoted market prices (Level 1), was $638.0 million at December 31, 2022.</w:t>
      </w:r>
    </w:p>
    <w:p>
      <w:pPr>
        <w:spacing w:after="0" w:line="16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See the “Block 21 Transaction” section of Note 1 for additional disclosures related to the fair value measurements used in accounting for the purchase of Block 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Financial Reporting By Business 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continuing operations are organized into the following principal business segments:</w:t>
      </w:r>
    </w:p>
    <w:p>
      <w:pPr>
        <w:spacing w:after="0" w:line="223"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and the AC Hotel;</w:t>
      </w:r>
    </w:p>
    <w:p>
      <w:pPr>
        <w:spacing w:after="0" w:line="225" w:lineRule="exact"/>
        <w:rPr>
          <w:rFonts w:ascii="Times New Roman" w:cs="Times New Roman" w:eastAsia="Times New Roman" w:hAnsi="Times New Roman"/>
          <w:sz w:val="18"/>
          <w:szCs w:val="18"/>
          <w:color w:val="auto"/>
        </w:rPr>
      </w:pPr>
    </w:p>
    <w:p>
      <w:pPr>
        <w:ind w:left="720" w:right="539" w:hanging="319"/>
        <w:spacing w:after="0" w:line="267"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Block 21, the Company’s investment in Circle, and the Company’s Nashville-based attractions; and</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information (amounts in thousands) is derived directly from the segments’ internal financial reports used for corporate management purposes.</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1,537,974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786,583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(43,803)</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(40,624)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loss on held-to-maturity securities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(148,406)</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(125,347)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80" w:hanging="306"/>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 for 2020 relates to the Hospitality segment.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unconsolidated joint ventures relates to the Entertainment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5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$ 3,314,444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$ 3,266,679</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502,913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214,270</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99,576</w:t>
            </w: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$ 4,040,623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$ 3,580,525</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capital expenditures by segment for the years ended December 31 (amounts in thousands):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3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$ 70,406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$ 73,199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$ 146,654</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13,697</w:t>
            </w:r>
          </w:p>
        </w:tc>
      </w:tr>
      <w:tr>
        <w:trPr>
          <w:trHeight w:val="216"/>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0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$ 89,520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$ 77,426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$ 165,463</w:t>
            </w:r>
          </w:p>
        </w:tc>
      </w:tr>
      <w:tr>
        <w:trPr>
          <w:trHeight w:val="20"/>
        </w:trPr>
        <w:tc>
          <w:tcPr>
            <w:tcW w:w="3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SCHEDULE II – VALUATION AND QUALIFYING ACCOUNTS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(Deductions)</w:t>
            </w:r>
          </w:p>
        </w:tc>
        <w:tc>
          <w:tcPr>
            <w:tcW w:w="80" w:type="dxa"/>
            <w:vAlign w:val="bottom"/>
          </w:tcPr>
          <w:p>
            <w:pPr>
              <w:spacing w:after="0"/>
              <w:rPr>
                <w:sz w:val="13"/>
                <w:szCs w:val="13"/>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Expenses/Other</w:t>
            </w: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8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reserve on notes receivable: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27,687</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Initial Cost to Company</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Capitalized</w:t>
            </w:r>
          </w:p>
        </w:tc>
        <w:tc>
          <w:tcPr>
            <w:tcW w:w="160" w:type="dxa"/>
            <w:vAlign w:val="bottom"/>
          </w:tcPr>
          <w:p>
            <w:pPr>
              <w:spacing w:after="0"/>
              <w:rPr>
                <w:sz w:val="13"/>
                <w:szCs w:val="13"/>
                <w:color w:val="auto"/>
              </w:rPr>
            </w:pPr>
          </w:p>
        </w:tc>
        <w:tc>
          <w:tcPr>
            <w:tcW w:w="2500" w:type="dxa"/>
            <w:vAlign w:val="bottom"/>
            <w:gridSpan w:val="10"/>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Gross Amount at End of Year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Date Acq/</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Encmbr</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78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Bldgs &amp; Impr</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Subs to Acq</w:t>
            </w:r>
          </w:p>
        </w:tc>
        <w:tc>
          <w:tcPr>
            <w:tcW w:w="1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9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8"/>
              </w:rPr>
              <w:t>Bldgs &amp; Impr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91"/>
              <w:spacing w:after="0" w:line="129" w:lineRule="exact"/>
              <w:rPr>
                <w:sz w:val="20"/>
                <w:szCs w:val="20"/>
                <w:color w:val="auto"/>
              </w:rPr>
            </w:pPr>
            <w:r>
              <w:rPr>
                <w:rFonts w:ascii="Times New Roman" w:cs="Times New Roman" w:eastAsia="Times New Roman" w:hAnsi="Times New Roman"/>
                <w:sz w:val="13"/>
                <w:szCs w:val="13"/>
                <w:b w:val="1"/>
                <w:bCs w:val="1"/>
                <w:color w:val="auto"/>
              </w:rPr>
              <w:t>Total (3)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Acc Depr</w:t>
            </w:r>
          </w:p>
        </w:tc>
        <w:tc>
          <w:tcPr>
            <w:tcW w:w="6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3"/>
              </w:rPr>
              <w:t>Constr</w:t>
            </w: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(yrs)</w:t>
            </w: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Gaylord Opryland</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11,482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693,879</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70,885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711,601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782,486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435,124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ind w:right="29"/>
              <w:spacing w:after="0" w:line="142" w:lineRule="exact"/>
              <w:rPr>
                <w:sz w:val="20"/>
                <w:szCs w:val="20"/>
                <w:color w:val="auto"/>
              </w:rPr>
            </w:pPr>
            <w:r>
              <w:rPr>
                <w:rFonts w:ascii="Times New Roman" w:cs="Times New Roman" w:eastAsia="Times New Roman" w:hAnsi="Times New Roman"/>
                <w:sz w:val="14"/>
                <w:szCs w:val="14"/>
                <w:color w:val="auto"/>
                <w:w w:val="99"/>
              </w:rPr>
              <w:t>1983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Palms</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200,518</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497,550</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536,743</w:t>
            </w:r>
          </w:p>
        </w:tc>
        <w:tc>
          <w:tcPr>
            <w:tcW w:w="2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Texan</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189,543</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549,326</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598,808</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233,419</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National</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840,261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67,145</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47,609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903,009</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950,618</w:t>
            </w:r>
          </w:p>
        </w:tc>
        <w:tc>
          <w:tcPr>
            <w:tcW w:w="2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Rockies</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53,374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9,143</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764,559</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823,415</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92,689</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Inn at Opryland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3,347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26,660</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30,007</w:t>
            </w:r>
          </w:p>
        </w:tc>
        <w:tc>
          <w:tcPr>
            <w:tcW w:w="2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1998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 Hotel</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3,782</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21,102</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30,201</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4,286</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9"/>
              </w:rPr>
              <w:t>2014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Miscellaneous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43,337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8,591</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5,206</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58,645</w:t>
            </w:r>
          </w:p>
        </w:tc>
        <w:tc>
          <w:tcPr>
            <w:tcW w:w="2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205,958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2,412,280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$ 1,192,685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$ 331,910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3,479,013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$ 3,810,923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$ 1,327,833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24"/>
                <w:szCs w:val="24"/>
                <w:color w:val="auto"/>
              </w:rPr>
            </w:pPr>
          </w:p>
        </w:tc>
        <w:tc>
          <w:tcPr>
            <w:tcW w:w="90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$ 3,792,011</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$ 3,642,007</w:t>
            </w:r>
          </w:p>
        </w:tc>
        <w:tc>
          <w:tcPr>
            <w:tcW w:w="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$ 3,615,025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acquisitions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Improvements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146,030</w:t>
            </w:r>
          </w:p>
        </w:tc>
        <w:tc>
          <w:tcPr>
            <w:tcW w:w="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(4,122)</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12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Other deductions (4)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CCEEFF"/>
              <w:bottom w:val="single" w:sz="8" w:color="CCEEFF"/>
            </w:tcBorders>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$ 3,810,923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$ 3,792,011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$ 3,642,007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$ 1,229,727</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$ 1,140,564</w:t>
            </w:r>
          </w:p>
        </w:tc>
        <w:tc>
          <w:tcPr>
            <w:tcW w:w="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$ 1,044,689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99,104</w:t>
            </w:r>
          </w:p>
        </w:tc>
        <w:tc>
          <w:tcPr>
            <w:tcW w:w="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(1,427)</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deductions (4)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$ 1,327,833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$ 1,229,727</w:t>
            </w:r>
          </w:p>
        </w:tc>
        <w:tc>
          <w:tcPr>
            <w:tcW w:w="20" w:type="dxa"/>
            <w:vAlign w:val="bottom"/>
            <w:tcBorders>
              <w:top w:val="single" w:sz="8" w:color="auto"/>
            </w:tcBorders>
          </w:tcPr>
          <w:p>
            <w:pPr>
              <w:spacing w:after="0"/>
              <w:rPr>
                <w:sz w:val="18"/>
                <w:szCs w:val="18"/>
                <w:color w:val="auto"/>
              </w:rPr>
            </w:pPr>
          </w:p>
        </w:tc>
        <w:tc>
          <w:tcPr>
            <w:tcW w:w="200" w:type="dxa"/>
            <w:vAlign w:val="bottom"/>
            <w:gridSpan w:val="3"/>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$ 1,140,564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520" w:hanging="330"/>
        <w:spacing w:after="0" w:line="261"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as collateral under the Company’s credit facility. At December 31, 2022, $381.7 million in borrowings and letters of credit were outstanding under such facility.</w:t>
      </w:r>
    </w:p>
    <w:p>
      <w:pPr>
        <w:ind w:left="580" w:right="300" w:hanging="330"/>
        <w:spacing w:after="0" w:line="250"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as collateral under the Gaylord Rockies term loan. At December 31, 2022, $800.0 million in borrowings were outstanding under such loan.</w:t>
      </w:r>
    </w:p>
    <w:p>
      <w:pPr>
        <w:ind w:left="580" w:right="1020" w:hanging="330"/>
        <w:spacing w:after="0" w:line="250"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properties for federal income tax purposes (unaudited) is approximately $2.7 billion at December 31, 2022.</w:t>
      </w:r>
    </w:p>
    <w:p>
      <w:pPr>
        <w:ind w:left="580" w:hanging="330"/>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deductions represents assets transferred as part of an internal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120" w:name="page121"/>
    <w:bookmarkEnd w:id="120"/>
    <w:p>
      <w:pPr>
        <w:ind w:left="7800"/>
        <w:spacing w:after="0"/>
        <w:rPr>
          <w:sz w:val="20"/>
          <w:szCs w:val="20"/>
          <w:color w:val="auto"/>
        </w:rPr>
      </w:pPr>
      <w:r>
        <w:rPr>
          <w:rFonts w:ascii="Times New Roman" w:cs="Times New Roman" w:eastAsia="Times New Roman" w:hAnsi="Times New Roman"/>
          <w:sz w:val="21"/>
          <w:szCs w:val="21"/>
          <w:b w:val="1"/>
          <w:bCs w:val="1"/>
          <w:color w:val="auto"/>
        </w:rPr>
        <w:t>Exhibit 3.2</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Ryman Hospitality Properties,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 Bylaws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February 23, 2023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224" w:lineRule="exact"/>
        <w:rPr>
          <w:sz w:val="20"/>
          <w:szCs w:val="20"/>
          <w:color w:val="auto"/>
        </w:rPr>
      </w:pPr>
    </w:p>
    <w:p>
      <w:pPr>
        <w:jc w:val="both"/>
        <w:ind w:left="200" w:right="219" w:firstLine="657"/>
        <w:spacing w:after="0" w:line="250" w:lineRule="auto"/>
        <w:tabs>
          <w:tab w:leader="none" w:pos="14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office in the State of Delaware and/or registered agent of Ryman Hospitality Properties, Inc. (the “Corporation”) may be changed from time to time by the Corporation. The Corporation may also have an office in the City of Nashville, State of Tennessee, and also offices at such other places as the Board of Directors may from time to time appoint or the business of the Corporation may require.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224" w:lineRule="exact"/>
        <w:rPr>
          <w:sz w:val="20"/>
          <w:szCs w:val="20"/>
          <w:color w:val="auto"/>
        </w:rPr>
      </w:pPr>
    </w:p>
    <w:p>
      <w:pPr>
        <w:jc w:val="both"/>
        <w:ind w:left="200" w:right="219" w:firstLine="657"/>
        <w:spacing w:after="0" w:line="257" w:lineRule="auto"/>
        <w:tabs>
          <w:tab w:leader="none" w:pos="14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seal shall have inscribed thereon the name of the Corporation, the year of its organization and the words “Corporate Seal, Delaware.” Said seal may be used by causing it or a facsimile thereof to be impressed or affixed or reproduced or otherwise.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 MEETINGS</w:t>
      </w:r>
    </w:p>
    <w:p>
      <w:pPr>
        <w:spacing w:after="0" w:line="224" w:lineRule="exact"/>
        <w:rPr>
          <w:sz w:val="20"/>
          <w:szCs w:val="20"/>
          <w:color w:val="auto"/>
        </w:rPr>
      </w:pPr>
    </w:p>
    <w:p>
      <w:pPr>
        <w:jc w:val="both"/>
        <w:ind w:left="200" w:right="219" w:firstLine="657"/>
        <w:spacing w:after="0" w:line="263"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meetings of the stockholders shall be held at the office of the Corporation in Nashville, Tennessee, or elsewhere, including by means of remote communication, as specified by the Board of Directors in the notice of meeting.</w:t>
      </w:r>
    </w:p>
    <w:p>
      <w:pPr>
        <w:spacing w:after="0" w:line="167"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the stockholders shall be held on such date and at such time and place as shall be designated by the Board of Directors and stated in the notice of the meeting. At the annual meeting, directors shall be elected and any other business properly brought before the meeting may be transacted.</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76" w:lineRule="exact"/>
        <w:rPr>
          <w:sz w:val="20"/>
          <w:szCs w:val="20"/>
          <w:color w:val="auto"/>
        </w:rPr>
      </w:pPr>
    </w:p>
    <w:p>
      <w:pPr>
        <w:jc w:val="both"/>
        <w:ind w:left="200" w:right="219" w:firstLine="1296"/>
        <w:spacing w:after="0" w:line="260" w:lineRule="auto"/>
        <w:rPr>
          <w:sz w:val="20"/>
          <w:szCs w:val="20"/>
          <w:color w:val="auto"/>
        </w:rPr>
      </w:pPr>
      <w:r>
        <w:rPr>
          <w:rFonts w:ascii="Times New Roman" w:cs="Times New Roman" w:eastAsia="Times New Roman" w:hAnsi="Times New Roman"/>
          <w:sz w:val="21"/>
          <w:szCs w:val="21"/>
          <w:color w:val="auto"/>
        </w:rPr>
        <w:t>No business may be transacted at an annual meeting of stockholders, other than business that is properly brought before the meeting. To be properly brought before an annual meeting, business must be either (i) specified in the notice of meeting (or any supplement thereto) given by or at the direction of the Board of Directors (or any duly authorized committee thereof),</w:t>
      </w:r>
    </w:p>
    <w:p>
      <w:pPr>
        <w:spacing w:after="0" w:line="4" w:lineRule="exact"/>
        <w:rPr>
          <w:sz w:val="20"/>
          <w:szCs w:val="20"/>
          <w:color w:val="auto"/>
        </w:rPr>
      </w:pPr>
    </w:p>
    <w:p>
      <w:pPr>
        <w:jc w:val="both"/>
        <w:ind w:left="200" w:right="219" w:firstLine="9"/>
        <w:spacing w:after="0" w:line="257" w:lineRule="auto"/>
        <w:tabs>
          <w:tab w:leader="none" w:pos="54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properly brought before the annual meeting by or at the direction of the Board of Directors (or any duly authorized committee thereof) or (iii) otherwise properly brought before the annual meeting by any stockholder of the Corporation (A) who is a stockholder of record on the date of the giving of the notice provided for in this Paragraph 5 and on the record date for the determination of stockholders entitled to vote at such meeting and (B) who complies with the notice procedures set forth in this Paragraph 5; clause (iii) shall be the exclusive means for a stockholder to submit any matters (other than (1) matters properly brought under Rule 14a-8 under the Securities Exchange Act of 1934, as amended (the “Exchange Act”), and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1" w:name="page122"/>
    <w:bookmarkEnd w:id="121"/>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Corporation’s notice of meeting, and (2) director nominations governed by Paragraph 14 of these Second Amended and Restated Bylaws (as amended from time to time, the “Bylaws”)) before an annual meeting of stockholders.</w:t>
      </w:r>
    </w:p>
    <w:p>
      <w:pPr>
        <w:spacing w:after="0" w:line="173" w:lineRule="exact"/>
        <w:rPr>
          <w:sz w:val="20"/>
          <w:szCs w:val="20"/>
          <w:color w:val="auto"/>
        </w:rPr>
      </w:pPr>
    </w:p>
    <w:p>
      <w:pPr>
        <w:jc w:val="both"/>
        <w:ind w:left="200" w:right="219" w:firstLine="1305"/>
        <w:spacing w:after="0" w:line="252"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other applicable requirements, for business to be properly brought before an annual meeting by a stockholder, such stockholder must have given timely notice thereof in proper written form to the Secretary of the Corporation and such business must be a proper subject for stockholder action.</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a stockholder’s notice to the Secretary must be delivered to or mailed and received by the Secretary of the Corporation at the principal executive offices of the Corporation not less than ninety (90) days nor more than one hundred twenty (120) days prior to the anniversary date of the immediately preceding annual meeting of stockholders; provided, however, in the event that the annual meeting is called for a date that is not within thirty (30) days before or after such anniversary date, notice by the stockholder in order to be timely must be so received no earlier than 5:00 p.m. Central Time on the one hundred twentieth (120th) day prior to such annual meeting and not later than 5:00 p.m. Central Time on the later of the ninetieth (90th) day prior to such annual meeting or the tenth (10th) day following the day on which notice of the date of the annual meeting was mailed or public disclosure of the date of the annual meeting was made, whichever first occurs. In no event will the adjournment or postponement of an annual meeting of stockholders commence a new time period (or extend any time period) for the giving of a stockholder’s notice as described in this Paragraph 5.</w:t>
      </w:r>
    </w:p>
    <w:p>
      <w:pPr>
        <w:spacing w:after="0" w:line="193" w:lineRule="exact"/>
        <w:rPr>
          <w:rFonts w:ascii="Times New Roman" w:cs="Times New Roman" w:eastAsia="Times New Roman" w:hAnsi="Times New Roman"/>
          <w:sz w:val="22"/>
          <w:szCs w:val="22"/>
          <w:color w:val="auto"/>
        </w:rPr>
      </w:pPr>
    </w:p>
    <w:p>
      <w:pPr>
        <w:jc w:val="both"/>
        <w:ind w:left="200" w:right="219" w:firstLine="1305"/>
        <w:spacing w:after="0" w:line="256" w:lineRule="auto"/>
        <w:tabs>
          <w:tab w:leader="none" w:pos="214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written form, a stockholder’s notice (the “</w:t>
      </w:r>
      <w:r>
        <w:rPr>
          <w:rFonts w:ascii="Times New Roman" w:cs="Times New Roman" w:eastAsia="Times New Roman" w:hAnsi="Times New Roman"/>
          <w:sz w:val="21"/>
          <w:szCs w:val="21"/>
          <w:u w:val="single" w:color="auto"/>
          <w:color w:val="auto"/>
        </w:rPr>
        <w:t>Stockholder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Proposal Notice</w:t>
      </w:r>
      <w:r>
        <w:rPr>
          <w:rFonts w:ascii="Times New Roman" w:cs="Times New Roman" w:eastAsia="Times New Roman" w:hAnsi="Times New Roman"/>
          <w:sz w:val="21"/>
          <w:szCs w:val="21"/>
          <w:color w:val="auto"/>
        </w:rPr>
        <w:t>”) to the Secretary must set forth as to each matter such stockholder proposes to bring before the annual meeting (other than director nominations, which are governed by Paragraph 14 of these Bylaws) (i) a brief description of the business desired to be brought before the annual meeting (including the text of any resolutions proposed for consideration) and the reasons for conducting such business at the annual meeting, (ii) the name and record address of such stockholder and any Stockholder Associated Person (as defined below) covered by clauses (iii), (iv) and (v) below, (iii) the class or series and number of shares of capital stock of the Corporation which are owned beneficially or of record by such stockholder and any Stockholder Associated Person and the date(s) on which such stock was acquired, (iv) a description of any economic interest in or any other right with respect to (including from a third party), any securities of the Corporation (or any rights, options or other securities convertible into or exercisable or exchangeable for such securities or any obligations measured by the price or value of any securities of the Corporation, including, without limitation, any swaps or other derivative arrangements), or any short interest in any securities of the Corporation, held by such stockholder and any Stockholder Associated Person, (v) a description of any material direct or indirect interest of such stockholder or any Stockholder Associated Person in any proposal or business set forth in the Stockholder Proposal Notice, (vi) a representation that such stockholder intends to appear in person or through a qualified representative at the annual meeting to bring such proper business before the annual meeting and whether or not such stockholder intends to deliver a proxy statement and/or form of proxy to holders of at least the percentage of the Corporation’s outstanding shares required to approve the proposal and/or otherwise to solicit proxies from stockholders in support of the proposal, (vii) a certification regarding whether or not such stockholder and any Stockholder Associated Persons have complied with all applicable federal, state and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2" w:name="page123"/>
    <w:bookmarkEnd w:id="122"/>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in connection with such stockholder’s and/or Stockholder Associated Persons’ acquisition of stock or other securities of the Corporation and/or such stockholder’s and/or Stockholder Associated Persons’ acts or omissions as a stockholder of the Corporation, and (viii) any other information relating to such stockholder that would be required to be disclosed in a proxy statement or other filings required to be made by the stockholder in connection with solicitations of proxies by the stockholder for a contested election of directors pursuant to Section 14 of the Exchange Act, and the rules and regulations promulgated thereunder.</w:t>
      </w:r>
    </w:p>
    <w:p>
      <w:pPr>
        <w:spacing w:after="0" w:line="182" w:lineRule="exact"/>
        <w:rPr>
          <w:sz w:val="20"/>
          <w:szCs w:val="20"/>
          <w:color w:val="auto"/>
        </w:rPr>
      </w:pPr>
    </w:p>
    <w:p>
      <w:pPr>
        <w:jc w:val="both"/>
        <w:ind w:left="200" w:right="219" w:firstLine="1305"/>
        <w:spacing w:after="0" w:line="258" w:lineRule="auto"/>
        <w:tabs>
          <w:tab w:leader="none" w:pos="214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providing a Stockholder Proposal Notice shall further promptly update and supplement such Stockholder Proposal Notice, if necessary, so that the information provided or required to be provided in such Stockholder Proposal Notice pursuant to Paragraph 5(d) shall be true, and correct and complete in all material respects (including disclosure of all material facts necessary to make the statements made, in light of the circumstances under which they were made, not misleading) (i) as of the record date for the annual meeting, and (ii) as of the date that is five (5) business days prior to the annual meeting or any adjournment, recess, rescheduling or postponement thereof. Such update and supplement shall be delivered to the Secretary at the principal executive offices of the Corporation not later than five (5) business days after the record date for the annual meeting (in the case of the update and supplement required to be made as of the record date) and not later than five (5) business days prior to the date for the annual meeting, if practicable (or, if not practicable, on the first practicable date prior to the annual meeting), or any adjournment, recess, rescheduling or postponement thereof (in the case of the update and supplement required to be made as of five (5) business days prior to the annual meeting or any adjournment, recess, rescheduling or postponement thereof).</w:t>
      </w:r>
    </w:p>
    <w:p>
      <w:pPr>
        <w:spacing w:after="0" w:line="183" w:lineRule="exact"/>
        <w:rPr>
          <w:rFonts w:ascii="Times New Roman" w:cs="Times New Roman" w:eastAsia="Times New Roman" w:hAnsi="Times New Roman"/>
          <w:sz w:val="21"/>
          <w:szCs w:val="21"/>
          <w:color w:val="auto"/>
        </w:rPr>
      </w:pPr>
    </w:p>
    <w:p>
      <w:pPr>
        <w:jc w:val="both"/>
        <w:ind w:left="200" w:right="219" w:firstLine="1305"/>
        <w:spacing w:after="0" w:line="256" w:lineRule="auto"/>
        <w:tabs>
          <w:tab w:leader="none" w:pos="214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business shall be conducted at the annual meeting of stockholders except business properly brought before the annual meeting in accordance with this Paragraph 5 (other than (1) business properly brought under Rule 14a-8 under the Exchange Act, and included in the Corporation’s notice of meeting, and (2) director nominations governed by Paragraph 14 of these Bylaws), provided, however, that, once business has been properly brought before the annual meeting in accordance with this Paragraph 5, nothing in this Paragraph 5 shall be deemed to preclude discussion by any stockholder of such business. If any information submitted pursuant to this Paragraph 5 by any stockholder submitting any proposal for business at a meeting of stockholders is inaccurate in any material respect, such information shall be deemed not to have been provided in accordance with this Paragraph 5. If the presiding officer at an annual meeting determines that business was not properly brought before the annual meeting in accordance with the foregoing procedures, or the stockholder providing the Stockholder Proposal Notice (or a qualified representative thereof) does not appear at the annual or special meeting of stockholders to present business, then the presiding officer shall declare to the meeting that the business was not properly brought before the meeting and such business shall not be transacted and the Corporation shall disregard any proxies solicited for such business notwithstanding that the business is set forth in the notice of meeting or other proxy materials and notwithstanding that proxies in respect of such proposed business may have been received by the Corporation. Notwithstanding the foregoing provisions of this Paragraph 5, a stockholder shall also comply with all applicable requirements of the Exchange Act and the rules and regulations thereunder with respect to the matters set forth in this Paragraph 5. For purposes of these Bylaws, to be considered a qualified representative of a stockholder, a person must be a duly authorized officer, manager or partner of such stockholder or authorized by a writing executed by such stockholder or an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3" w:name="page124"/>
    <w:bookmarkEnd w:id="123"/>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3" w:lineRule="exact"/>
        <w:rPr>
          <w:sz w:val="20"/>
          <w:szCs w:val="20"/>
          <w:color w:val="auto"/>
        </w:rPr>
      </w:pPr>
    </w:p>
    <w:p>
      <w:pPr>
        <w:jc w:val="both"/>
        <w:ind w:left="200" w:right="219" w:firstLine="1305"/>
        <w:spacing w:after="0" w:line="250" w:lineRule="auto"/>
        <w:tabs>
          <w:tab w:leader="none" w:pos="225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Paragraph 5 shall be deemed to affect any rights of stockholders to request inclusion of proposals in the Corporation’s proxy statement pursuant to Rule 14a-8 under the Exchange Act. Any references in these Bylaws to the Exchange Act or the rules promulgated thereunder are not intended to and shall not limit the requirements applicable to proposed business to be considered pursuant to these Bylaws.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these Bylaws, the term “Stockholder Associated Person” means, with respect to any stockholder, (i) any person acting in concert with such stockholder, (ii) any beneficial owner of shares of stock of the Corporation owned of record or beneficially by such stockholder (other than a stockholder that is a depositary) and (iii) any person controlling, controlled by or under common control with any stockholder, or any Stockholder Associated Person identified in clauses (i) or (ii) above.</w:t>
      </w:r>
    </w:p>
    <w:p>
      <w:pPr>
        <w:spacing w:after="0" w:line="186" w:lineRule="exact"/>
        <w:rPr>
          <w:rFonts w:ascii="Times New Roman" w:cs="Times New Roman" w:eastAsia="Times New Roman" w:hAnsi="Times New Roman"/>
          <w:sz w:val="22"/>
          <w:szCs w:val="22"/>
          <w:color w:val="auto"/>
        </w:rPr>
      </w:pPr>
    </w:p>
    <w:p>
      <w:pPr>
        <w:jc w:val="both"/>
        <w:ind w:left="200" w:right="219" w:firstLine="657"/>
        <w:spacing w:after="0" w:line="253" w:lineRule="auto"/>
        <w:tabs>
          <w:tab w:leader="none" w:pos="14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Amended and Restated Certificate of Incorporation (as amended from time to time, the “Certificate of Incorporation”), or by these Bylaws.</w:t>
      </w:r>
    </w:p>
    <w:p>
      <w:pPr>
        <w:spacing w:after="0" w:line="179" w:lineRule="exact"/>
        <w:rPr>
          <w:sz w:val="20"/>
          <w:szCs w:val="20"/>
          <w:color w:val="auto"/>
        </w:rPr>
      </w:pPr>
    </w:p>
    <w:p>
      <w:pPr>
        <w:jc w:val="both"/>
        <w:ind w:left="200" w:right="239" w:firstLine="648"/>
        <w:spacing w:after="0" w:line="276" w:lineRule="auto"/>
        <w:rPr>
          <w:sz w:val="20"/>
          <w:szCs w:val="20"/>
          <w:color w:val="auto"/>
        </w:rPr>
      </w:pPr>
      <w:r>
        <w:rPr>
          <w:rFonts w:ascii="Times New Roman" w:cs="Times New Roman" w:eastAsia="Times New Roman" w:hAnsi="Times New Roman"/>
          <w:sz w:val="22"/>
          <w:szCs w:val="22"/>
          <w:color w:val="auto"/>
        </w:rPr>
        <w:t>Where a separate vote by class or classes is required, a majority of the outstanding shares of such class or classes, present in person or represented by proxy, shall constitute a quorum entitled to take action with respect to that vote on that matter.</w:t>
      </w:r>
    </w:p>
    <w:p>
      <w:pPr>
        <w:spacing w:after="0" w:line="16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1"/>
          <w:szCs w:val="21"/>
          <w:color w:val="auto"/>
        </w:rPr>
        <w:t>When any meeting is convened, the presiding officer may adjourn the meeting if (a) no quorum is present for the transaction of business, or (b) the Board of Directors determines that adjournment is necessary or appropriate to enable the stockholders (i) to consider fully information which the Board of Directors determines has not been made sufficiently or timely available to stockholders or (ii) otherwise to exercise effectively their voting rights. Prior to the time when any meeting is convened, the officer who would be the presiding officer at such meeting, if directed by the Board of Directors, may postpone the meeting if the Board determines that postponement is necessary or appropriate to enable the stockholders (a) to consider fully information which the Board of Directors determines has not been made sufficiently or timely available to stockholders or</w:t>
      </w:r>
    </w:p>
    <w:p>
      <w:pPr>
        <w:spacing w:after="0" w:line="6" w:lineRule="exact"/>
        <w:rPr>
          <w:sz w:val="20"/>
          <w:szCs w:val="20"/>
          <w:color w:val="auto"/>
        </w:rPr>
      </w:pPr>
    </w:p>
    <w:p>
      <w:pPr>
        <w:ind w:left="520" w:hanging="311"/>
        <w:spacing w:after="0"/>
        <w:tabs>
          <w:tab w:leader="none" w:pos="5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to exercise effectively their voting rights.</w:t>
      </w:r>
    </w:p>
    <w:p>
      <w:pPr>
        <w:spacing w:after="0" w:line="234"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meeting of the stockholders every stockholder having the right to vote shall be entitled to vote in person, or by proxy appointed by an instrument in writing subscribed by such stockholder and bearing a date not more than three years prior to said meeting, unless such instrument provides for a longer period. Any stockholder or Stockholder Associated Person directly or indirectly soliciting proxies from other stockholders must use a proxy card color other than white, which shall be reserved for the exclusive use by the Board of Directors. Each stockholder shall have such number of votes for each share of stock as provided in the Certificate of Incorporation that is registered in his, her or its name in the stock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4" w:name="page125"/>
    <w:bookmarkEnd w:id="124"/>
    <w:p>
      <w:pPr>
        <w:jc w:val="both"/>
        <w:ind w:left="200" w:right="219"/>
        <w:spacing w:after="0" w:line="261" w:lineRule="auto"/>
        <w:rPr>
          <w:sz w:val="20"/>
          <w:szCs w:val="20"/>
          <w:color w:val="auto"/>
        </w:rPr>
      </w:pPr>
      <w:r>
        <w:rPr>
          <w:rFonts w:ascii="Times New Roman" w:cs="Times New Roman" w:eastAsia="Times New Roman" w:hAnsi="Times New Roman"/>
          <w:sz w:val="21"/>
          <w:szCs w:val="21"/>
          <w:color w:val="auto"/>
        </w:rPr>
        <w:t>All elections of directors shall be decided by the vote required by Paragraph 13 of these Bylaws and, except as otherwise required by law or the Certificate of Incorporation or these Bylaws, all other matters shall be decided by the affirmative vote of a majority of the shares present in person or represented by proxy at the meeting and entitled to vote on such matter. Where a separate vote by class is required, unless otherwise required by law or the Certificate of Incorporation or these Bylaws, the affirmative vote of a majority of the shares of such class or classes present in person or represented by proxy at the meeting and entitled to vote shall be the act of such class.</w:t>
      </w:r>
    </w:p>
    <w:p>
      <w:pPr>
        <w:spacing w:after="0" w:line="173" w:lineRule="exact"/>
        <w:rPr>
          <w:sz w:val="20"/>
          <w:szCs w:val="20"/>
          <w:color w:val="auto"/>
        </w:rPr>
      </w:pPr>
    </w:p>
    <w:p>
      <w:pPr>
        <w:jc w:val="both"/>
        <w:ind w:left="200" w:right="219" w:firstLine="657"/>
        <w:spacing w:after="0" w:line="246" w:lineRule="auto"/>
        <w:tabs>
          <w:tab w:leader="none" w:pos="1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Secretary shall prepare, no later than the tenth (10th) day before </w:t>
      </w:r>
      <w:r>
        <w:rPr>
          <w:rFonts w:ascii="Times New Roman" w:cs="Times New Roman" w:eastAsia="Times New Roman" w:hAnsi="Times New Roman"/>
          <w:sz w:val="22"/>
          <w:szCs w:val="22"/>
          <w:color w:val="auto"/>
          <w:strike w:val="1"/>
        </w:rPr>
        <w:t>every</w:t>
      </w:r>
      <w:r>
        <w:rPr>
          <w:rFonts w:ascii="Times New Roman" w:cs="Times New Roman" w:eastAsia="Times New Roman" w:hAnsi="Times New Roman"/>
          <w:sz w:val="22"/>
          <w:szCs w:val="22"/>
          <w:color w:val="auto"/>
        </w:rPr>
        <w:t xml:space="preserve"> each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Nothing contained in this Paragraph 8 shall require the Corporation to include electronic mail addresses or other electronic contact information on such list.</w:t>
      </w:r>
    </w:p>
    <w:p>
      <w:pPr>
        <w:spacing w:after="0" w:line="187" w:lineRule="exact"/>
        <w:rPr>
          <w:rFonts w:ascii="Times New Roman" w:cs="Times New Roman" w:eastAsia="Times New Roman" w:hAnsi="Times New Roman"/>
          <w:sz w:val="22"/>
          <w:szCs w:val="22"/>
          <w:color w:val="auto"/>
        </w:rPr>
      </w:pPr>
    </w:p>
    <w:p>
      <w:pPr>
        <w:jc w:val="both"/>
        <w:ind w:left="200" w:right="219" w:firstLine="657"/>
        <w:spacing w:after="0" w:line="248" w:lineRule="auto"/>
        <w:tabs>
          <w:tab w:leader="none" w:pos="1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 of any classes or series of preferred stock, special meetings of the stockholders, for any purpose or purposes, may be called at any time by the Chairperson of the Board of Directors (who shall be the “Chairman” referenced by Section 8.2 of the Certificate of Incorporation) or by a majority of the members of Board of Directors. Such request shall state the purpose or purposes of the proposed meeting. Special meetings of the stockholders of the Corporation may not be called by any other person or persons.</w:t>
      </w:r>
    </w:p>
    <w:p>
      <w:pPr>
        <w:spacing w:after="0" w:line="186"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transacted at all special meetings shall be confined to the objects stated in the notice of the meeting given pursuant to Paragraph 11 of these Bylaws.</w:t>
      </w:r>
    </w:p>
    <w:p>
      <w:pPr>
        <w:spacing w:after="0" w:line="157"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a special meeting of stockholders, stating the time and place and object thereof, shall be given not less than ten (10) nor more than sixty (60) days before the date of such meeting to each stockholder entitled to vote at such meeting at the address as appears in the stock records of the Corporation. If mailed, notice will be deemed given when deposited in the United States mails, postage prepaid. When a meeting is for any reason adjourned to another time or place,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Corporation may transact any business which might have been transacted at the original meeting. However, if after the adjournment the Board of Directors fixes a new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5" w:name="page126"/>
    <w:bookmarkEnd w:id="125"/>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date for the adjourned meeting, a notice of the adjourned meeting shall be given to each stockholder of record on the new record date entitled to vote at such adjourned meeting as of the record date fixed for notice of such adjourned meeting.</w:t>
      </w:r>
    </w:p>
    <w:p>
      <w:pPr>
        <w:spacing w:after="0" w:line="173" w:lineRule="exact"/>
        <w:rPr>
          <w:sz w:val="20"/>
          <w:szCs w:val="20"/>
          <w:color w:val="auto"/>
        </w:rPr>
      </w:pPr>
    </w:p>
    <w:p>
      <w:pPr>
        <w:jc w:val="both"/>
        <w:ind w:left="200" w:right="219" w:firstLine="657"/>
        <w:spacing w:after="0" w:line="252" w:lineRule="auto"/>
        <w:tabs>
          <w:tab w:leader="none" w:pos="14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presiding officer of any meeting of stockholders shall determine the order of business and shall have absolute authority over the procedure at the meeting, including the regulation of the manner of voting and the conduct of business, and there shall be no appeal from the ruling of the presiding officer.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DIRECTORS</w:t>
      </w: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13.</w:t>
      </w:r>
    </w:p>
    <w:p>
      <w:pPr>
        <w:spacing w:after="0" w:line="220" w:lineRule="exact"/>
        <w:rPr>
          <w:sz w:val="20"/>
          <w:szCs w:val="20"/>
          <w:color w:val="auto"/>
        </w:rPr>
      </w:pPr>
    </w:p>
    <w:p>
      <w:pPr>
        <w:jc w:val="both"/>
        <w:ind w:left="200" w:right="219" w:firstLine="1305"/>
        <w:spacing w:after="0" w:line="250"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its Board of Directors. The number of directors shall be determined as provided in the Certificate of Incorporation and they shall be elected in accordance with the provisions of the Certificate of Incorporation and these Bylaws. Each director shall be elected to serve until his or her successor shall be elected and shall qualify.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nominee for director shall be elected to the Board of Directors if the votes cast for such nominee’s election exceed the votes cast against such nominee’s election at any meeting for the election of directors at which a quorum is present (with abstentions and broker non-votes not counted as votes cast either for or against such election); provided, however, that director nominees shall be elected by a plurality of the votes cast at any meeting of the stockholders for which (i) the Secretary of the Corporation receives a notice that a stockholder has nominated a person for election to the Board of Directors pursuant to the advance notice requirements for stockholder nominees for director set forth in these Bylaws and (ii) such nomination has not been withdrawn by such stockholder on or prior to the tenth day preceding the date the Corporation first mails its notice of meeting for such meeting to the stockholders (any such election, a “</w:t>
      </w:r>
      <w:r>
        <w:rPr>
          <w:rFonts w:ascii="Times New Roman" w:cs="Times New Roman" w:eastAsia="Times New Roman" w:hAnsi="Times New Roman"/>
          <w:sz w:val="22"/>
          <w:szCs w:val="22"/>
          <w:u w:val="single" w:color="auto"/>
          <w:color w:val="auto"/>
        </w:rPr>
        <w:t>Contested Election</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regard to director elections (excluding Contested Elections), the Board of Directors has established procedures pursuant to which any director nominee who fails to receive a majority of the votes cast as set forth in Paragraph 13(b) above will tender his or her resignation to the Board of Directors. The Board of Directors (or a committee thereof) will act upon a tendered resignation within 90 days of the date on which the elections results were certified and will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w:t>
      </w:r>
    </w:p>
    <w:p>
      <w:pPr>
        <w:spacing w:after="0" w:line="190"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director’s resignation is accepted by the Board of Directors pursuant to this Paragraph 13, or if a nominee for director is not elected and the nominee is not an incumbent director, then the Board of Directors may fill the resulting vacancy or decrease the size of the Board of Directors pursuant to the provisions of Paragraph 26 of these Bylaws and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792480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6" w:name="page127"/>
    <w:bookmarkEnd w:id="126"/>
    <w:p>
      <w:pPr>
        <w:ind w:left="860"/>
        <w:spacing w:after="0"/>
        <w:rPr>
          <w:sz w:val="20"/>
          <w:szCs w:val="20"/>
          <w:color w:val="auto"/>
        </w:rPr>
      </w:pPr>
      <w:r>
        <w:rPr>
          <w:rFonts w:ascii="Times New Roman" w:cs="Times New Roman" w:eastAsia="Times New Roman" w:hAnsi="Times New Roman"/>
          <w:sz w:val="22"/>
          <w:szCs w:val="22"/>
          <w:color w:val="auto"/>
        </w:rPr>
        <w:t>14.</w:t>
      </w:r>
    </w:p>
    <w:p>
      <w:pPr>
        <w:spacing w:after="0" w:line="220" w:lineRule="exact"/>
        <w:rPr>
          <w:sz w:val="20"/>
          <w:szCs w:val="20"/>
          <w:color w:val="auto"/>
        </w:rPr>
      </w:pPr>
    </w:p>
    <w:p>
      <w:pPr>
        <w:jc w:val="both"/>
        <w:ind w:left="200" w:right="219" w:firstLine="1305"/>
        <w:spacing w:after="0" w:line="257" w:lineRule="auto"/>
        <w:tabs>
          <w:tab w:leader="none" w:pos="214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persons who are nominated in accordance with the procedures set forth in this Paragraph 14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in accordance with Paragraph 9 for the purpose of electing directors, (i) by or at the direction of the Board of Directors (or any duly authorized committee thereof) or (ii) by any stockholder of the Corporation</w:t>
      </w:r>
    </w:p>
    <w:p>
      <w:pPr>
        <w:spacing w:after="0" w:line="7" w:lineRule="exact"/>
        <w:rPr>
          <w:rFonts w:ascii="Times New Roman" w:cs="Times New Roman" w:eastAsia="Times New Roman" w:hAnsi="Times New Roman"/>
          <w:sz w:val="21"/>
          <w:szCs w:val="21"/>
          <w:color w:val="auto"/>
        </w:rPr>
      </w:pPr>
    </w:p>
    <w:p>
      <w:pPr>
        <w:jc w:val="both"/>
        <w:ind w:left="200" w:right="219" w:firstLine="9"/>
        <w:spacing w:after="0" w:line="245" w:lineRule="auto"/>
        <w:tabs>
          <w:tab w:leader="none" w:pos="58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 stockholder of record on the date of the giving of the notice provided for in this Paragraph 14 and on the record date for the determination of stockholders entitled to vote at such meeting and (B) who complies with the notice procedures set forth in this Paragraph 14. The number of nominees a stockholder may nominate for election at an annual or special meeting of the stockholders (or in the case of one or more stockholders giving the notice on behalf of a beneficial owner, the number of nominees such stockholders may collectively nominate for election at the annual meeting on behalf of such beneficial owner) shall not exceed the number of directors to be elected at such annual or special meeting. In addition, no stockholder will be entitled to make any additional or substitute nominations following the expiration of the time periods set forth in this Paragraph 14.</w:t>
      </w:r>
    </w:p>
    <w:p>
      <w:pPr>
        <w:spacing w:after="0" w:line="188" w:lineRule="exact"/>
        <w:rPr>
          <w:rFonts w:ascii="Times New Roman" w:cs="Times New Roman" w:eastAsia="Times New Roman" w:hAnsi="Times New Roman"/>
          <w:sz w:val="22"/>
          <w:szCs w:val="22"/>
          <w:color w:val="auto"/>
        </w:rPr>
      </w:pPr>
    </w:p>
    <w:p>
      <w:pPr>
        <w:jc w:val="both"/>
        <w:ind w:left="200" w:right="239" w:firstLine="1305"/>
        <w:spacing w:after="0" w:line="257" w:lineRule="auto"/>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other applicable requirements, for a nomination to be made by a stockholder, such stockholder must have given timely notice thereof in proper written form to the Secretary of the Corporation.</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a stockholder’s notice to the Secretary must be delivered to or mailed and received by the Secretary of the Corporation at the principal executive offices of the Corporation (i) in the case of an annual meeting, not less than ninety (90) days nor more than one-hundred twenty (120) days prior to the anniversary date of the immediately preceding annual meeting of stockholders; provided, however, in the event that the annual meeting is called for a date that is not within thirty (30) days before or after such anniversary date, notice by the stockholder in order to be timely must be so received no earlier than 5:00 p.m. Central Time on the one-hundred twentieth (120th) day prior to such annual meeting and not later than 5:00 p.m. Central Time on the later of the ninetieth (90th) day prior to such annual meeting or the tenth (10th) day following the day on which notice of the date of the annual meeting was mailed or public disclosure of the date of the annual meeting was made, whichever first occurs; and (ii) in the case of a special meeting of stockholders called for the purpose of electing directors, not earlier than 5:00 p.m. Central Time on the one-hundred twentieth (120th) day prior to such special meeting and not later than 5:00 p.m. Central Time on the later of the ninetieth (90th) day prior to such special meeting or the tenth (10th) day following the day on which notice of the date of the special meeting was mailed or public disclosure of the date of the special meeting was made, whichever first occurs. In no event will the adjournment or postponement of a meeting of stockholders commence a new time period (or extend any time period) for the giving of a stockholder’s notice as described in this Paragraph 14.</w:t>
      </w:r>
    </w:p>
    <w:p>
      <w:pPr>
        <w:spacing w:after="0" w:line="202"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written form, a stockholder’s notice (the “</w:t>
      </w:r>
      <w:r>
        <w:rPr>
          <w:rFonts w:ascii="Times New Roman" w:cs="Times New Roman" w:eastAsia="Times New Roman" w:hAnsi="Times New Roman"/>
          <w:sz w:val="22"/>
          <w:szCs w:val="22"/>
          <w:u w:val="single" w:color="auto"/>
          <w:color w:val="auto"/>
        </w:rPr>
        <w:t>Stockholder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Nomination Notice</w:t>
      </w:r>
      <w:r>
        <w:rPr>
          <w:rFonts w:ascii="Times New Roman" w:cs="Times New Roman" w:eastAsia="Times New Roman" w:hAnsi="Times New Roman"/>
          <w:sz w:val="22"/>
          <w:szCs w:val="22"/>
          <w:color w:val="auto"/>
        </w:rPr>
        <w:t>”) to the Secretary must set forth (i) as to each person whom the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7" w:name="page128"/>
    <w:bookmarkEnd w:id="127"/>
    <w:p>
      <w:pPr>
        <w:jc w:val="both"/>
        <w:ind w:left="200" w:right="219"/>
        <w:spacing w:after="0" w:line="256" w:lineRule="auto"/>
        <w:rPr>
          <w:sz w:val="20"/>
          <w:szCs w:val="20"/>
          <w:color w:val="auto"/>
        </w:rPr>
      </w:pPr>
      <w:r>
        <w:rPr>
          <w:rFonts w:ascii="Times New Roman" w:cs="Times New Roman" w:eastAsia="Times New Roman" w:hAnsi="Times New Roman"/>
          <w:sz w:val="21"/>
          <w:szCs w:val="21"/>
          <w:color w:val="auto"/>
        </w:rPr>
        <w:t>proposes to nominate for election as a director (A) the name, age, business address and residence address of the person, (B) the principal occupation or employment of the person, (C) the class or series and number of shares of capital stock of the Corporation which are owned beneficially or of record by the person, (D) a description of all direct and indirect compensation and other material monetary agreements, arrangements and understandings during the past three years, and any other material relationships, between or among such stockholder or any Stockholder Associated Person of such stockholder, on the one hand, and each proposed nominee, and his or her associates, on the other hand, and (E) any other information relating to the person that would be required to be disclosed in a proxy statement or other filings required to be made by the stockholder in connection with solicitations of proxies by the stockholder for a contested election of directors pursuant to Section 14 of the Exchange Act, and the rules and regulations promulgated thereunder; and (ii) as to the stockholder giving the notice (A) the name and record address of such stockholder and any Stockholder Associated Person covered by clauses (B), (C) and (D) below, (B) the class or series and number of shares of capital stock of the Corporation which are owned beneficially or of record by such stockholder and any Stockholder Associated Person and the date(s) on which such stock was acquired, (C) a description of any economic interest in or any other right with respect to (including from a third party), any securities of the Corporation (or any rights, options or other securities convertible into or exercisable or exchangeable for such securities or any obligations measured by the price or value of any securities of the Corporation, including, without limitation, any swaps or other derivative arrangements), or any short interest in any securities of the Corporation, held by such stockholder and any Stockholder Associated Person, (D) 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(E) a representation that such stockholder intends to appear in person or through a qualified representative at the meeting to nominate the person(s) named in its notice, (F) a representation that such stockholder intends to deliver a proxy statement and/or form of proxy to holders of at least the percentage of the Corporation’s outstanding shares required to approve the nomination(s) and/or otherwise to solicit proxies from stockholders in support of the nomination(s), (G) a representation that such stockholder intends to solicit proxies in support of director nominees other than the Corporation’s director nominees in accordance with Rule 14a-19 promulgated under the Exchange Act, (H) a certification regarding whether or not such stockholder and Stockholder Associated Persons have complied with all applicable federal, state and other legal requirements in connection with such stockholder’s and/or Stockholder Associated Persons’ acquisition of stock or other securities of the Corporation and/or such stockholder’s and/or Stockholder Associated Persons’ acts or omissions as a stockholder of the Corporation and (I) any other information relating to such stockholder and Stockholder Associated Persons that would be required to be disclosed in a proxy statement or other filings required to be made by the stockholder in connection with solicitations of proxies by the stockholder for a contested election of directors pursuant to Section 14 of the Exchange Act, and the rules and regulations promulgated thereunder. Such notice must be accompanied by a written consent of each proposed nominee to being named in the proxy statement as a nominee and to serve as a director if elected, along with a completed written questionnaire with respect to each proposed nominee with respect to the background and qualification of such proposed nominee (which questionnaire shall be provided by the Secretary of the Corporation upon written request). The Corporation may require any proposed nominee to furnish such additional information as the Corporation may reasonably require to determine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491490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8" w:name="page129"/>
    <w:bookmarkEnd w:id="128"/>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eligibility of such proposed nominee to serve as an independent director of the Corporation or that could be material to a reasonable stockholder’s understanding of the independence, or lack thereof, of such nominee or that otherwise relates to such nominee’s potential election to or service on the Board of Directors.</w:t>
      </w:r>
    </w:p>
    <w:p>
      <w:pPr>
        <w:spacing w:after="0" w:line="179" w:lineRule="exact"/>
        <w:rPr>
          <w:sz w:val="20"/>
          <w:szCs w:val="20"/>
          <w:color w:val="auto"/>
        </w:rPr>
      </w:pPr>
    </w:p>
    <w:p>
      <w:pPr>
        <w:jc w:val="both"/>
        <w:ind w:left="200" w:right="219" w:firstLine="1305"/>
        <w:spacing w:after="0" w:line="257" w:lineRule="auto"/>
        <w:tabs>
          <w:tab w:leader="none" w:pos="2144"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providing a Stockholder Nomination Notice shall further promptly update and supplement such Stockholder Nomination Notice, if necessary, so that the information provided or required to be provided in such Stockholder Nomination Notice pursuant to Paragraph 14(d) shall be true, and correct and complete in all material respects (including disclosure of all material facts necessary to make the statements made, in light of the circumstances under which they were made, not misleading) (i) as of the record date for the meeting, and (ii) as of the date that is five (5) business days prior to the meeting or any adjournment, recess, rescheduling or postponement thereof, and (iii) with respect to the representation required pursuant to Paragraph 14(d)(ii)(G), as of immediately prior to the meeting or any adjournment, rescheduling or postponement thereof. Such update and supplement shall be delivered to the Secretary at the principal executive offices of the Corporation not later than five</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59" w:lineRule="auto"/>
        <w:tabs>
          <w:tab w:leader="none" w:pos="52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the record date for the meeting (in the case of the update and supplement required to be made as of the record date) and not later than two (2) business days prior to the date for the meeting, if practicable (or, if not practicable, on the first practicable date prior to the meeting), or any adjournment, recess, rescheduling or postponement thereof (in the case of the update and supplement required to be made as of five (5) business days prior to the meeting or any adjournment, recess, rescheduling or postponement thereof); it being understood that providing any such update and supplement shall not be deemed to cure any defect or limit the Corporation’s right to omit a director nominee from its form of proxy as provided in Paragraph 14(d).</w:t>
      </w:r>
    </w:p>
    <w:p>
      <w:pPr>
        <w:spacing w:after="0" w:line="172" w:lineRule="exact"/>
        <w:rPr>
          <w:rFonts w:ascii="Times New Roman" w:cs="Times New Roman" w:eastAsia="Times New Roman" w:hAnsi="Times New Roman"/>
          <w:sz w:val="21"/>
          <w:szCs w:val="21"/>
          <w:color w:val="auto"/>
        </w:rPr>
      </w:pPr>
    </w:p>
    <w:p>
      <w:pPr>
        <w:jc w:val="both"/>
        <w:ind w:left="200" w:right="219" w:firstLine="1305"/>
        <w:spacing w:after="0" w:line="257" w:lineRule="auto"/>
        <w:tabs>
          <w:tab w:leader="none" w:pos="214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shall be eligible for election as a director of the Corporation unless nominated in accordance with this Paragraph 14. If any information submitted pursuant to this Paragraph 14 by any stockholder proposing a nominee(s) for election as a director at a meeting of stockholders is inaccurate in any material respect, such information shall be deemed not to have been provided in accordance with this Paragraph 14. If the presiding officer of the meeting determines that a nomination was not made in accordance with this Paragraph 14, the presiding officer shall declare to the meeting that the nomination was defective and such defective nomination shall be disregarded. Unless otherwise required by applicable law, if any stockholder</w:t>
      </w:r>
    </w:p>
    <w:p>
      <w:pPr>
        <w:spacing w:after="0" w:line="7" w:lineRule="exact"/>
        <w:rPr>
          <w:rFonts w:ascii="Times New Roman" w:cs="Times New Roman" w:eastAsia="Times New Roman" w:hAnsi="Times New Roman"/>
          <w:sz w:val="21"/>
          <w:szCs w:val="21"/>
          <w:color w:val="auto"/>
        </w:rPr>
      </w:pPr>
    </w:p>
    <w:p>
      <w:pPr>
        <w:jc w:val="both"/>
        <w:ind w:left="200" w:right="21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provides notice pursuant to Rule 14a-19(b) promulgated under the Exchange Act and (ii) subsequently fails to comply with the requirements of Rule 14a-19(a)(2) and Rule 14a-19(a)(3) promulgated under the Exchange Act (or fails to provide reasonable documentation sufficient to satisfy the Corporation that such stockholder has met the requirements of Rule 14a-19(a)(3) promulgated under the Exchange Act in accordance with the following sentence), then the presiding officer shall declare to the meeting that the nomination was defective, such defective nomination shall be disregarded and the Corporation shall disregard any proxies solicited for any director nominee proposed by such stockholder notwithstanding that the nomination is set forth in the notice of meeting or other proxy materials and notwithstanding that proxies in respect of the election of such proposed nominee may have been received by the Corporation. Upon request by the Corporation, any stockholder that has provided notice pursuant to Rule 14a-19(b) promulgated under the Exchange Act shall deliver to the Corporation, no later than five business days prior to the applicable meeting, reasonable evidence that it has met the requirements of Rule 14a-19(a)(3)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29" w:name="page130"/>
    <w:bookmarkEnd w:id="129"/>
    <w:p>
      <w:pPr>
        <w:jc w:val="both"/>
        <w:ind w:left="200" w:right="219" w:firstLine="1305"/>
        <w:spacing w:after="0" w:line="250" w:lineRule="auto"/>
        <w:tabs>
          <w:tab w:leader="none" w:pos="21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14, unless otherwise required by law, if a stockholder providing a Stockholder Nomination Notice (or a qualified representative thereof) does not appear at the annual or special meeting of stockholders of the Corporation to present a nomination, such nomination shall be disregarded, notwithstanding that proxies in respect of such vote may have been received by the Corporation.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14, a stockholder shall also comply with all applicable requirements of the Exchange Act and the rules and regulations thereunder with respect to the matters set forth in this Paragraph 14.</w:t>
      </w:r>
    </w:p>
    <w:p>
      <w:pPr>
        <w:spacing w:after="0" w:line="172" w:lineRule="exact"/>
        <w:rPr>
          <w:rFonts w:ascii="Times New Roman" w:cs="Times New Roman" w:eastAsia="Times New Roman" w:hAnsi="Times New Roman"/>
          <w:sz w:val="22"/>
          <w:szCs w:val="22"/>
          <w:color w:val="auto"/>
        </w:rPr>
      </w:pPr>
    </w:p>
    <w:p>
      <w:pPr>
        <w:jc w:val="both"/>
        <w:ind w:left="200" w:right="239" w:firstLine="657"/>
        <w:spacing w:after="0" w:line="257" w:lineRule="auto"/>
        <w:tabs>
          <w:tab w:leader="none" w:pos="14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directors may hold their meetings and have one or more offices, and keep the books of the Corporation, outside of Delaware, at the office of the Corporation in the City of Nashville, State of Tennessee, or at such other places as they may from time to time determine.</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powers and authorities expressly conferred upon them by these Bylaws, the Board of Directors may exercise all such powers of the Corporation and do all such lawful acts and things as are not by statute or by the Certificate of Incorporation or by these Bylaws directed or required to be exercised or done by the stockholders.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COMMITTEES</w:t>
      </w:r>
    </w:p>
    <w:p>
      <w:pPr>
        <w:spacing w:after="0" w:line="237" w:lineRule="exact"/>
        <w:rPr>
          <w:sz w:val="20"/>
          <w:szCs w:val="20"/>
          <w:color w:val="auto"/>
        </w:rPr>
      </w:pPr>
    </w:p>
    <w:p>
      <w:pPr>
        <w:jc w:val="both"/>
        <w:ind w:left="200" w:right="219" w:firstLine="657"/>
        <w:spacing w:after="0" w:line="245"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(i) may, by resolution or resolutions, passed by a majority of the entire Board of Directors, designate one or more committees, each committee to consist of two or more of the directors of the Corporation, and (ii) shall during such period of time as any securities of the Corporation are listed on the New York Stock Exchange (the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by resolution passed by a majority of the entire Board of Directors, designate all committees required by the rules and regulations of the NYSE. Except to the extent restricted by applicable law or the Certificate of Incorporation, each such committee, to the extent provided in applicable board resolutions, the Corporate Governance Guidelines and/or applicable committee charters, shall have and may exercise all the powers and authority of the Board of Directors. Such committee or committees shall have such name or names as may be stated in these Bylaws or as may be determined from time to time by resolution adopted by the Board of Directors. Each such committee shall serve at the pleasure of the Board of Directors as may be determined from time to time by resolution adopted by the Board of Directors or as required by the rules and regulations of the NYSE, if applicable.</w:t>
      </w:r>
    </w:p>
    <w:p>
      <w:pPr>
        <w:spacing w:after="0" w:line="191"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committees shall keep regular minutes of their proceedings and report the same to the Board of Directors when required.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OF DIRECTORS</w:t>
      </w:r>
    </w:p>
    <w:p>
      <w:pPr>
        <w:spacing w:after="0" w:line="224" w:lineRule="exact"/>
        <w:rPr>
          <w:sz w:val="20"/>
          <w:szCs w:val="20"/>
          <w:color w:val="auto"/>
        </w:rPr>
      </w:pPr>
    </w:p>
    <w:p>
      <w:pPr>
        <w:jc w:val="both"/>
        <w:ind w:left="200" w:right="219" w:firstLine="657"/>
        <w:spacing w:after="0" w:line="248" w:lineRule="auto"/>
        <w:tabs>
          <w:tab w:leader="none" w:pos="14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may, by resolution of the Board, be paid their expenses, if any, of attendance at each regular or special meeting of the Board of Directors and may be paid a fixed sum for attendance at each meeting of the Board of Directors and an annual retainer or a stated salary and/or such other consideration for services as director as determined by the Board of Directors; provided, that nothing herein contained shall be construed to preclude any director from serving the Corporation in any other capacity and receiving compensation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0" w:name="page131"/>
    <w:bookmarkEnd w:id="130"/>
    <w:p>
      <w:pPr>
        <w:ind w:left="200" w:right="219" w:firstLine="657"/>
        <w:spacing w:after="0" w:line="271" w:lineRule="auto"/>
        <w:tabs>
          <w:tab w:leader="none" w:pos="14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special or standing committees may be allowed like compensation for attending committee meetings.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THE BOARD</w:t>
      </w:r>
    </w:p>
    <w:p>
      <w:pPr>
        <w:spacing w:after="0" w:line="224" w:lineRule="exact"/>
        <w:rPr>
          <w:sz w:val="20"/>
          <w:szCs w:val="20"/>
          <w:color w:val="auto"/>
        </w:rPr>
      </w:pPr>
    </w:p>
    <w:p>
      <w:pPr>
        <w:jc w:val="both"/>
        <w:ind w:left="200" w:right="219" w:firstLine="657"/>
        <w:spacing w:after="0" w:line="252"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newly elected Board of Directors shall meet as soon as practicable after any annual meeting of stockholders for the purpose of organization, the election of officers and the transaction of other business, and no notice of such meeting shall be necessary to the newly elected directors.</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meetings of the Board of Directors shall be held at such time and place as may from time to time be determined by the Board of Directors. Notice of the time and place of such regular meetings need not be given.</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the Board of Directors may be called by the Chairperson of the Board, the Chief Executive Officer or the President on two days’ notice to each director, either personally or by telephone, mail, express mail, courier service, confirmed facsimile or electronic mail, or on such shorter notice as the person or persons calling such meeting may deem necessary or appropriate in the circumstances; special meetings shall be called by the Chairperson of the Board, the Chief Executive Officer, the President or the Secretary in like manner and on like notice on the written request of two directors.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w:t>
      </w:r>
    </w:p>
    <w:p>
      <w:pPr>
        <w:spacing w:after="0" w:line="187"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meetings of the Board of Directors or any committee, the presence of a majority of the entire Board of Directors or such committee shall be necessary and sufficient to constitute a quorum for the transaction of business and the act of a majority of the directors present at any meeting at which there is a quorum shall be the act of the Board of Directors or such committee, as applicable, except as may be otherwise provided by law, by the Certificate of Incorporation or by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the proceedings of the Board of Directors or committee. Any or all members of the Board of Directors, or any committee thereof, may participate in a meeting of the Board of Directors or committee by means of conference telephone or similar communications equipment, and such participating shall constitute presence in person at such meeting.</w:t>
      </w:r>
    </w:p>
    <w:p>
      <w:pPr>
        <w:spacing w:after="0" w:line="193" w:lineRule="exact"/>
        <w:rPr>
          <w:rFonts w:ascii="Times New Roman" w:cs="Times New Roman" w:eastAsia="Times New Roman" w:hAnsi="Times New Roman"/>
          <w:sz w:val="22"/>
          <w:szCs w:val="22"/>
          <w:color w:val="auto"/>
        </w:rPr>
      </w:pPr>
    </w:p>
    <w:p>
      <w:pPr>
        <w:jc w:val="both"/>
        <w:ind w:left="200" w:right="219" w:firstLine="657"/>
        <w:spacing w:after="0" w:line="261" w:lineRule="auto"/>
        <w:tabs>
          <w:tab w:leader="none" w:pos="149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1" w:name="page132"/>
    <w:bookmarkEnd w:id="131"/>
    <w:p>
      <w:pPr>
        <w:jc w:val="both"/>
        <w:ind w:left="200" w:right="219"/>
        <w:spacing w:after="0" w:line="258" w:lineRule="auto"/>
        <w:rPr>
          <w:sz w:val="20"/>
          <w:szCs w:val="20"/>
          <w:color w:val="auto"/>
        </w:rPr>
      </w:pPr>
      <w:r>
        <w:rPr>
          <w:rFonts w:ascii="Times New Roman" w:cs="Times New Roman" w:eastAsia="Times New Roman" w:hAnsi="Times New Roman"/>
          <w:sz w:val="21"/>
          <w:szCs w:val="21"/>
          <w:color w:val="auto"/>
        </w:rPr>
        <w:t>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or (ii) the material facts as to his, her or their relationship or interest as to the contract or transaction are disclosed or are known to the stockholders entitled to vote thereon, and the contract or transaction is specifically approved in good faith by vote of the stockholders; or</w:t>
      </w:r>
    </w:p>
    <w:p>
      <w:pPr>
        <w:spacing w:after="0" w:line="5" w:lineRule="exact"/>
        <w:rPr>
          <w:sz w:val="20"/>
          <w:szCs w:val="20"/>
          <w:color w:val="auto"/>
        </w:rPr>
      </w:pPr>
    </w:p>
    <w:p>
      <w:pPr>
        <w:jc w:val="both"/>
        <w:ind w:left="200" w:right="219" w:firstLine="9"/>
        <w:spacing w:after="0" w:line="245" w:lineRule="auto"/>
        <w:tabs>
          <w:tab w:leader="none" w:pos="57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a committee thereof, or the stockholders. Interested directors may be counted in determining the presence of a quorum at a meeting of the Board of Directors or of a committee which authorizes the contract or transaction.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VACANCIES</w:t>
      </w:r>
    </w:p>
    <w:p>
      <w:pPr>
        <w:spacing w:after="0" w:line="224" w:lineRule="exact"/>
        <w:rPr>
          <w:sz w:val="20"/>
          <w:szCs w:val="20"/>
          <w:color w:val="auto"/>
        </w:rPr>
      </w:pPr>
    </w:p>
    <w:p>
      <w:pPr>
        <w:jc w:val="both"/>
        <w:ind w:left="200" w:right="219" w:firstLine="657"/>
        <w:spacing w:after="0" w:line="247" w:lineRule="auto"/>
        <w:tabs>
          <w:tab w:leader="none" w:pos="14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vacancy on the Board of Directors resulting from death, resignation, retirement, disqualification, removal or otherwise and newly created directorships resulting from any increase in the number of directors shall be filled by a majority of the directors then in office, even if less than a quorum, or by a sole remaining director. Any director elected to fill such a vacancy shall hold office until the next annual meeting of stockholders and until his or her successor shall be elected and shall qualify, subject, however, to prior death, resignation, retirement, disqualification or removal from office. Notwithstanding the foregoing, whenever the holders of any one or more class or classes or series of preferred stock of the Corporation shall have the right, voting separately as a class, to elect directors at an annual or special meeting of stockholders, the election, term of office, filling of vacancies and other features of such directorships shall be governed by the resolutions adopted by the Board of Directors pursuant to Article IV of the Certificate of Incorporation.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224" w:lineRule="exact"/>
        <w:rPr>
          <w:sz w:val="20"/>
          <w:szCs w:val="20"/>
          <w:color w:val="auto"/>
        </w:rPr>
      </w:pPr>
    </w:p>
    <w:p>
      <w:pPr>
        <w:jc w:val="both"/>
        <w:ind w:left="200" w:right="219" w:firstLine="657"/>
        <w:spacing w:after="0" w:line="247" w:lineRule="auto"/>
        <w:tabs>
          <w:tab w:leader="none" w:pos="14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of the Corporation shall be chosen by the Board of Directors and shall include, if and when designated by the Board of Directors, an Executive Chairperson (who must be a director), a Chief Executive Officer, a President, one or more Vice-Presidents, a Secretary and a Treasurer. The Board of Directors may also choose additional Assistant Secretaries and Assistant Treasurers and from time to time may create and fill such other offices as it deems necessary. Unless otherwise prohibited by law, any number of offices may be held by the same person. The officers of the Corporation need not be stockholders of the Corporation, and such officers (other than the Executive Chairperson) need not be directors of the Corporation.</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appoint such other officers and agents as it shall deem necessary, who shall hold their offices for such terms and shall exercise such powers and perform such duties as shall be determined from time to time by the Board of Directors. The officers of the Corporation shall hold office until their successors are chosen and qualified.</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elected or appointed by the Board of Directors may be removed at any time by the majority vote of the directors constituting a quorum. If the office of any officer or officers becomes vacant for any reason, the vacancies shall be filled by the affirmative vote of a majority of the directors constituting a quorum. The salaries of all officers shall be fixed by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32" w:name="page133"/>
    <w:bookmarkEnd w:id="132"/>
    <w:p>
      <w:pPr>
        <w:ind w:left="200" w:right="219"/>
        <w:spacing w:after="0" w:line="271" w:lineRule="auto"/>
        <w:rPr>
          <w:sz w:val="20"/>
          <w:szCs w:val="20"/>
          <w:color w:val="auto"/>
        </w:rPr>
      </w:pPr>
      <w:r>
        <w:rPr>
          <w:rFonts w:ascii="Times New Roman" w:cs="Times New Roman" w:eastAsia="Times New Roman" w:hAnsi="Times New Roman"/>
          <w:sz w:val="22"/>
          <w:szCs w:val="22"/>
          <w:color w:val="auto"/>
        </w:rPr>
        <w:t>the manner designated by the Board of Directors or any committee thereof, subject to applicable legal and NYSE requirements.</w:t>
      </w:r>
    </w:p>
    <w:p>
      <w:pPr>
        <w:spacing w:after="0" w:line="158" w:lineRule="exact"/>
        <w:rPr>
          <w:sz w:val="20"/>
          <w:szCs w:val="20"/>
          <w:color w:val="auto"/>
        </w:rPr>
      </w:pPr>
    </w:p>
    <w:p>
      <w:pPr>
        <w:jc w:val="both"/>
        <w:ind w:left="200" w:right="219" w:firstLine="657"/>
        <w:spacing w:after="0" w:line="246" w:lineRule="auto"/>
        <w:tabs>
          <w:tab w:leader="none" w:pos="14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Powers of attorney, proxies, waivers of notice of meeting, consents and other instruments relating to securities owned by the Corporation may be executed in the name of and on behalf of the Corporation by the Chief Executive Officer, the President or any Vice President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7" w:lineRule="exact"/>
        <w:rPr>
          <w:rFonts w:ascii="Times New Roman" w:cs="Times New Roman" w:eastAsia="Times New Roman" w:hAnsi="Times New Roman"/>
          <w:sz w:val="22"/>
          <w:szCs w:val="22"/>
          <w:color w:val="auto"/>
        </w:rPr>
      </w:pPr>
    </w:p>
    <w:p>
      <w:pPr>
        <w:jc w:val="both"/>
        <w:ind w:left="200" w:right="219" w:firstLine="657"/>
        <w:spacing w:after="0" w:line="268" w:lineRule="auto"/>
        <w:tabs>
          <w:tab w:leader="none" w:pos="149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powers otherwise granted to officers pursuant to these Bylaws, the Board of Directors may authorize any officer or officers, or any agent or agents, of the Corporation to enter into any contract or to execute and deliver any instrument in the name of and on behalf of the Corporation, and such authority may be general or confined to specific instances.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CHAIRPERSON OF THE BOARD OF DIRECTORS</w:t>
      </w:r>
    </w:p>
    <w:p>
      <w:pPr>
        <w:spacing w:after="0" w:line="224" w:lineRule="exact"/>
        <w:rPr>
          <w:sz w:val="20"/>
          <w:szCs w:val="20"/>
          <w:color w:val="auto"/>
        </w:rPr>
      </w:pPr>
    </w:p>
    <w:p>
      <w:pPr>
        <w:jc w:val="both"/>
        <w:ind w:left="200" w:right="219" w:firstLine="657"/>
        <w:spacing w:after="0" w:line="250" w:lineRule="auto"/>
        <w:tabs>
          <w:tab w:leader="none" w:pos="14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Board of Directors shall preside at all meetings of the stockholders and of the Board of the Directors, shall perform such other powers and duties customarily and usually associated with the position of Chairperson of the Board of Directors, and shall have such other powers and perform such other duties as may be assigned to him or her by these Bylaws, the Corporation’s Corporate Governance Guidelines, or the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CHIEF EXECUTIVE OFFICER</w:t>
      </w:r>
    </w:p>
    <w:p>
      <w:pPr>
        <w:spacing w:after="0" w:line="224" w:lineRule="exact"/>
        <w:rPr>
          <w:sz w:val="20"/>
          <w:szCs w:val="20"/>
          <w:color w:val="auto"/>
        </w:rPr>
      </w:pPr>
    </w:p>
    <w:p>
      <w:pPr>
        <w:jc w:val="both"/>
        <w:ind w:left="200" w:right="219" w:firstLine="657"/>
        <w:spacing w:after="0" w:line="246" w:lineRule="auto"/>
        <w:tabs>
          <w:tab w:leader="none" w:pos="14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shall have, subject to the supervision, direction and control of the Board of Directors, ultimate authority for decisions relating to the supervision, direction and management of the affairs and business of the Corporation customarily and usually associated with the position of Chief Executive Officer. The Chief Executive Officer shall also have such other powers and perform such other duties as may from time to time be assigned to him or her by these Bylaws or by the Board of Directors. The Chief Executive Officer is authorized to execute bonds, mortgages and other contracts requiring a seal, under the seal of the Corporation, except where required or permitted by law to be otherwise signed and executed and except that the other officers of the Corporation may execute documents when so authorized by these Bylaws, the Board of Directors or the Chief Executive Officer.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PRESIDENT</w:t>
      </w:r>
    </w:p>
    <w:p>
      <w:pPr>
        <w:spacing w:after="0" w:line="224" w:lineRule="exact"/>
        <w:rPr>
          <w:sz w:val="20"/>
          <w:szCs w:val="20"/>
          <w:color w:val="auto"/>
        </w:rPr>
      </w:pPr>
    </w:p>
    <w:p>
      <w:pPr>
        <w:jc w:val="both"/>
        <w:ind w:left="200" w:right="219" w:firstLine="657"/>
        <w:spacing w:after="0" w:line="263" w:lineRule="auto"/>
        <w:tabs>
          <w:tab w:leader="none" w:pos="149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President shall have, subject to the supervision, direction and control of the Board of Directors and the Chief Executive Officer, the general powers and duties of supervision, direction and management of the affairs and business of the Corporation customarily and usually associated with the position of President. The President shall also have such other powers and perform such other duties as from time to time may be assigned to him or her by these Bylaws, by the Board of Directors or by the Chief Executive Officer. In the absence or disability of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33" w:name="page134"/>
    <w:bookmarkEnd w:id="133"/>
    <w:p>
      <w:pPr>
        <w:ind w:left="200" w:right="239"/>
        <w:spacing w:after="0" w:line="271" w:lineRule="auto"/>
        <w:rPr>
          <w:sz w:val="20"/>
          <w:szCs w:val="20"/>
          <w:color w:val="auto"/>
        </w:rPr>
      </w:pPr>
      <w:r>
        <w:rPr>
          <w:rFonts w:ascii="Times New Roman" w:cs="Times New Roman" w:eastAsia="Times New Roman" w:hAnsi="Times New Roman"/>
          <w:sz w:val="22"/>
          <w:szCs w:val="22"/>
          <w:color w:val="auto"/>
        </w:rPr>
        <w:t>Executive Officer, the President shall perform the duties and exercise the powers of the Chief Executive Officer unless otherwise determined by the Board of Directors.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VICE PRESIDENT</w:t>
      </w:r>
    </w:p>
    <w:p>
      <w:pPr>
        <w:spacing w:after="0" w:line="224" w:lineRule="exact"/>
        <w:rPr>
          <w:sz w:val="20"/>
          <w:szCs w:val="20"/>
          <w:color w:val="auto"/>
        </w:rPr>
      </w:pPr>
    </w:p>
    <w:p>
      <w:pPr>
        <w:jc w:val="both"/>
        <w:ind w:left="200" w:right="219" w:firstLine="657"/>
        <w:spacing w:after="0" w:line="257" w:lineRule="auto"/>
        <w:tabs>
          <w:tab w:leader="none" w:pos="14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Vice-President shall have such powers and perform such duties as may from time to time be assigned to him or her by the Board of Directors, the Chief Executive Officer, the President or these Bylaws.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THE SECRETARY AND ASSISTANT SECRETARIES</w:t>
      </w: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36.</w:t>
      </w:r>
    </w:p>
    <w:p>
      <w:pPr>
        <w:spacing w:after="0" w:line="220" w:lineRule="exact"/>
        <w:rPr>
          <w:sz w:val="20"/>
          <w:szCs w:val="20"/>
          <w:color w:val="auto"/>
        </w:rPr>
      </w:pPr>
    </w:p>
    <w:p>
      <w:pPr>
        <w:jc w:val="both"/>
        <w:ind w:left="200" w:right="219" w:firstLine="1305"/>
        <w:spacing w:after="0" w:line="248"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attend all meetings of the Board of Directors and all meetings of the stockholders and record all votes and minutes of all such proceedings in a book or books to be kept for that purpose; and shall perform like duties for the standing committees when required. The Secretary shall have all such further powers and duties as are customarily and usually associated with the position of Secretary or as may from time to time be assigned to him or her by the Board of Directors, the Chief Executive Officer or the President. The Secretary shall keep in safe custody the seal of the Corporation and shall have authority to affix the same to any instrument requiring it, and when so affixed it may be attested by his or her signature, by the signature of the Treasurer or by the signature of any Assistant Secretary.</w:t>
      </w:r>
    </w:p>
    <w:p>
      <w:pPr>
        <w:spacing w:after="0" w:line="185"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Assistant Secretary shall have such powers and perform such duties as may from time to time be assigned to him or her by the Board of Directors, the Chief Executive Officer, the President or the Secretary. In the absence or disability of the Secretary, the Assistant Secretary (or if there shall be more than one, the Assistant Secretaries in the order determined by the Board) shall perform the duties and exercise the powers of the Secretary.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THE TREASURER AND ASSISTANT TREASURERS</w:t>
      </w: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37.</w:t>
      </w:r>
    </w:p>
    <w:p>
      <w:pPr>
        <w:spacing w:after="0" w:line="220" w:lineRule="exact"/>
        <w:rPr>
          <w:sz w:val="20"/>
          <w:szCs w:val="20"/>
          <w:color w:val="auto"/>
        </w:rPr>
      </w:pPr>
    </w:p>
    <w:p>
      <w:pPr>
        <w:jc w:val="both"/>
        <w:ind w:left="200" w:right="219" w:firstLine="1305"/>
        <w:spacing w:after="0" w:line="248"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have the custody of the Corporation’s funds and securities, shall deposit or cause to be deposited moneys or other valuable effects in the name and to the credit of the Corporation, in such depositories as may be designated by any duly authorized officer of the Corporation, and shall have such further powers and perform such further duties as are customarily and usually associated with the position of Treasurer or as may from time to time be assigned to him or her by the Board of Directors, the Chief Executive Officer or the President.</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9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Assistant Treasurer shall have such powers and perform such duties as may from time to time be assigned to him or her by the Board of Directors, the Chief Executive Officer, the President or the Treasurer.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DUTIES OF OFFICERS</w:t>
      </w:r>
    </w:p>
    <w:p>
      <w:pPr>
        <w:spacing w:after="0" w:line="224" w:lineRule="exact"/>
        <w:rPr>
          <w:sz w:val="20"/>
          <w:szCs w:val="20"/>
          <w:color w:val="auto"/>
        </w:rPr>
      </w:pPr>
    </w:p>
    <w:p>
      <w:pPr>
        <w:ind w:left="200" w:right="219" w:firstLine="657"/>
        <w:spacing w:after="0" w:line="295" w:lineRule="auto"/>
        <w:tabs>
          <w:tab w:leader="none" w:pos="149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the absence of any officer of the Corporation, or for any other reason that the Board of Directors may deem sufficient, the Board of Directors may delegate the powers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4" w:name="page135"/>
    <w:bookmarkEnd w:id="134"/>
    <w:p>
      <w:pPr>
        <w:ind w:left="200" w:right="219"/>
        <w:spacing w:after="0" w:line="271" w:lineRule="auto"/>
        <w:rPr>
          <w:sz w:val="20"/>
          <w:szCs w:val="20"/>
          <w:color w:val="auto"/>
        </w:rPr>
      </w:pPr>
      <w:r>
        <w:rPr>
          <w:rFonts w:ascii="Times New Roman" w:cs="Times New Roman" w:eastAsia="Times New Roman" w:hAnsi="Times New Roman"/>
          <w:sz w:val="22"/>
          <w:szCs w:val="22"/>
          <w:color w:val="auto"/>
        </w:rPr>
        <w:t>duties, or any of them, of such officer to any other officer, or to any director, provided a majority of the entire Board of Directors concur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CERTIFICATES OF STOCK</w:t>
      </w: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39.</w:t>
      </w:r>
    </w:p>
    <w:p>
      <w:pPr>
        <w:spacing w:after="0" w:line="220" w:lineRule="exact"/>
        <w:rPr>
          <w:sz w:val="20"/>
          <w:szCs w:val="20"/>
          <w:color w:val="auto"/>
        </w:rPr>
      </w:pPr>
    </w:p>
    <w:p>
      <w:pPr>
        <w:jc w:val="both"/>
        <w:ind w:left="200" w:right="219" w:firstLine="1305"/>
        <w:spacing w:after="0" w:line="246"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of the Corporation shall be represented by certificates, provided that the Board of Directors may provide by resolution or resolutions that some or all of any or all classes or series of stock of the Corporation shall be uncertificated shares of stock. Any such stock certificate shall be signed by, or in the name of, the Corporation by the Chairperson of the Board of Directors, President or a Vice-President and the Treasurer or an Assistant Treasurer, or the Secretary or an Assistant Secretary of the Corporation, representing the number of shares registered in certificate form. Any signature on a certificate of stock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certificates shall be consecutively numbered or otherwise identified. The name of the person to whom the shares represented thereby are issued, with the number of shares and date of issue, shall be entered on the books of the Corporation. Shares of the Corporation’s stock may also be evidenced by registration in the holder’s name in uncertificated book-entry form on the books of the Corporation in accordance with a direct registration system approved by the Securities and Exchange Commission and by the NYSE or any securities exchange on which the stock of the Corporation may from time to time be traded.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LOST, STOLEN OR DESTROYED CERTIFICATES</w:t>
      </w:r>
    </w:p>
    <w:p>
      <w:pPr>
        <w:spacing w:after="0" w:line="224" w:lineRule="exact"/>
        <w:rPr>
          <w:sz w:val="20"/>
          <w:szCs w:val="20"/>
          <w:color w:val="auto"/>
        </w:rPr>
      </w:pPr>
    </w:p>
    <w:p>
      <w:pPr>
        <w:jc w:val="both"/>
        <w:ind w:left="200" w:right="219" w:firstLine="657"/>
        <w:spacing w:after="0" w:line="246" w:lineRule="auto"/>
        <w:tabs>
          <w:tab w:leader="none" w:pos="14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direct the issuance of (i) a new certificate or certificates of stock or (ii) uncertificated shares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uncertificated shares, the Corporation may, in its discretion and as a condition precedent to the issuance thereof, require the owner of such lost, stolen or destroyed certificate, or his or her legal representative, to give the Corporation a bond in such sum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TRANSFERS OF STOCK</w:t>
      </w:r>
    </w:p>
    <w:p>
      <w:pPr>
        <w:spacing w:after="0" w:line="224" w:lineRule="exact"/>
        <w:rPr>
          <w:sz w:val="20"/>
          <w:szCs w:val="20"/>
          <w:color w:val="auto"/>
        </w:rPr>
      </w:pPr>
    </w:p>
    <w:p>
      <w:pPr>
        <w:jc w:val="both"/>
        <w:ind w:left="200" w:right="219" w:firstLine="657"/>
        <w:spacing w:after="0" w:line="248" w:lineRule="auto"/>
        <w:tabs>
          <w:tab w:leader="none" w:pos="14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stock of the Corporation shall only be transferred on the books of the Corporation by the holder of record thereof or by such holder’s attorney duly authorized in writing. Upon surrender to the Corporation of the certificate or certificates for shares endorsed by the appropriate persons, with such evidence of the authenticity of such endorsement, transfer, authorization and other matters as the Corporation may reasonably require, and accompanied by all necessary stock transfer stamps, it shall be the duty of the Corporation to issue (i) a new certificate or certificates of stock or (ii) uncertificated shares to the person entitled thereto, cancel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5" w:name="page136"/>
    <w:bookmarkEnd w:id="135"/>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the old certificate or certificates and record the transaction on its books. Upon the receipt of proper transfer instructions from the registered owner of uncertificated shares, it shall be the duty of the Corporation to issue (i) a new certificate or certificates of stock or (ii) uncertificated shares to the person entitled thereto and record the transaction on its books. The Board of Directors may appoint one or more transfer agents and one or more registrars for the transfer or registration of certificates for shares of stock or uncertificated shares of the Corporation. The Board of Directors may make such additional rules and regulations, not inconsistent with these Bylaws, as it may deem expedient concerning the issue, transfer and registration of certificates for shares of stock or uncertificated shares of the Corporation.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CLOSING OF TRANSFER BOOKS</w:t>
      </w:r>
    </w:p>
    <w:p>
      <w:pPr>
        <w:spacing w:after="0" w:line="224" w:lineRule="exact"/>
        <w:rPr>
          <w:sz w:val="20"/>
          <w:szCs w:val="20"/>
          <w:color w:val="auto"/>
        </w:rPr>
      </w:pPr>
    </w:p>
    <w:p>
      <w:pPr>
        <w:jc w:val="both"/>
        <w:ind w:left="200" w:right="219" w:firstLine="657"/>
        <w:spacing w:after="0" w:line="252" w:lineRule="auto"/>
        <w:tabs>
          <w:tab w:leader="none" w:pos="14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have the power to fix in advance a record date for determining the stockholders entitled to notice of or to vote at any meeting of stockholders or the stockholders entitled to receive payment of any dividend or the allotment or exercise of any rights in accordance with the following provisions: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60" w:lineRule="auto"/>
        <w:tabs>
          <w:tab w:leader="none" w:pos="214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REGISTERED STOCKHOLDERS</w:t>
      </w:r>
    </w:p>
    <w:p>
      <w:pPr>
        <w:spacing w:after="0" w:line="224" w:lineRule="exact"/>
        <w:rPr>
          <w:sz w:val="20"/>
          <w:szCs w:val="20"/>
          <w:color w:val="auto"/>
        </w:rPr>
      </w:pPr>
    </w:p>
    <w:p>
      <w:pPr>
        <w:jc w:val="both"/>
        <w:ind w:left="200" w:right="219" w:firstLine="657"/>
        <w:spacing w:after="0" w:line="250" w:lineRule="auto"/>
        <w:tabs>
          <w:tab w:leader="none" w:pos="14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be entitled to treat the holder of record of any share or shares of stock as the holder in fact thereof and accordingly shall not be bound to recognize any equitable or other claim to or interest in such share on the part of any other person, whether or not the Corporation shall have express or other notice thereof, except as expressly provided by the laws of Delaware.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INSPECTION OF BOOKS</w:t>
      </w:r>
    </w:p>
    <w:p>
      <w:pPr>
        <w:spacing w:after="0" w:line="224" w:lineRule="exact"/>
        <w:rPr>
          <w:sz w:val="20"/>
          <w:szCs w:val="20"/>
          <w:color w:val="auto"/>
        </w:rPr>
      </w:pPr>
    </w:p>
    <w:p>
      <w:pPr>
        <w:jc w:val="both"/>
        <w:ind w:left="200" w:right="219" w:firstLine="657"/>
        <w:spacing w:after="0" w:line="250" w:lineRule="auto"/>
        <w:tabs>
          <w:tab w:leader="none" w:pos="14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determine from time to time whether, and, if allowed, when and under what conditions and regulations the accounts and books of the Corporation (except such as may by statute be specifically open to inspection) or any of them shall be open to the inspection of the stockholders, and the stockholders’ rights in this respect are and shall be restricted and limited accordingly to the fullest extent permitted by law.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CHECKS</w:t>
      </w:r>
    </w:p>
    <w:p>
      <w:pPr>
        <w:spacing w:after="0" w:line="224" w:lineRule="exact"/>
        <w:rPr>
          <w:sz w:val="20"/>
          <w:szCs w:val="20"/>
          <w:color w:val="auto"/>
        </w:rPr>
      </w:pPr>
    </w:p>
    <w:p>
      <w:pPr>
        <w:jc w:val="both"/>
        <w:ind w:left="200" w:right="219" w:firstLine="657"/>
        <w:spacing w:after="0" w:line="257" w:lineRule="auto"/>
        <w:tabs>
          <w:tab w:leader="none" w:pos="14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checks, notes, drafts or other orders for the payment of money of the Corporation shall be signed, endorsed or accepted in the name of the Corporation by such officer, officers, person or persons as the Board of Directors may from time to time designate.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w:t>
      </w:r>
    </w:p>
    <w:p>
      <w:pPr>
        <w:spacing w:after="0" w:line="224" w:lineRule="exact"/>
        <w:rPr>
          <w:sz w:val="20"/>
          <w:szCs w:val="20"/>
          <w:color w:val="auto"/>
        </w:rPr>
      </w:pPr>
    </w:p>
    <w:p>
      <w:pPr>
        <w:ind w:left="200" w:right="219" w:firstLine="657"/>
        <w:spacing w:after="0" w:line="271" w:lineRule="auto"/>
        <w:tabs>
          <w:tab w:leader="none" w:pos="14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fiscal year shall begin the first day of January in each year or such other date as may be fixed by resolution of the Board of Directors.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DIVIDENDS</w:t>
      </w:r>
    </w:p>
    <w:p>
      <w:pPr>
        <w:spacing w:after="0" w:line="224" w:lineRule="exact"/>
        <w:rPr>
          <w:sz w:val="20"/>
          <w:szCs w:val="20"/>
          <w:color w:val="auto"/>
        </w:rPr>
      </w:pPr>
    </w:p>
    <w:p>
      <w:pPr>
        <w:jc w:val="both"/>
        <w:ind w:left="200" w:right="219" w:firstLine="657"/>
        <w:spacing w:after="0" w:line="252" w:lineRule="auto"/>
        <w:tabs>
          <w:tab w:leader="none" w:pos="14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w:t>
      </w:r>
    </w:p>
    <w:p>
      <w:pPr>
        <w:spacing w:after="0" w:line="17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224" w:lineRule="exact"/>
        <w:rPr>
          <w:sz w:val="20"/>
          <w:szCs w:val="20"/>
          <w:color w:val="auto"/>
        </w:rPr>
      </w:pPr>
    </w:p>
    <w:p>
      <w:pPr>
        <w:jc w:val="both"/>
        <w:ind w:left="200" w:right="219" w:firstLine="657"/>
        <w:spacing w:after="0" w:line="263" w:lineRule="auto"/>
        <w:tabs>
          <w:tab w:leader="none" w:pos="149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under the provisions of these Bylaws, the Certificate of Incorporation or by law, written notice is required to be given to any director, officer or stockholder, it shall not be construed to mean personal notice, but such notice will be deemed given by depositing the same in the United States mail, postage prepaid, addressed to such stockholder, officer, or director at such address as appears on the stock book of the Corporation and, such notice shall be deemed to be given at the time when the same shall be deposited in the United States mail.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ind w:left="200" w:right="219"/>
        <w:spacing w:after="0" w:line="271" w:lineRule="auto"/>
        <w:rPr>
          <w:sz w:val="20"/>
          <w:szCs w:val="20"/>
          <w:color w:val="auto"/>
        </w:rPr>
      </w:pPr>
      <w:r>
        <w:rPr>
          <w:rFonts w:ascii="Times New Roman" w:cs="Times New Roman" w:eastAsia="Times New Roman" w:hAnsi="Times New Roman"/>
          <w:sz w:val="22"/>
          <w:szCs w:val="22"/>
          <w:color w:val="auto"/>
        </w:rPr>
        <w:t>permitted by applicable law, written notice may also be given personally or by telephone, express mail, courier service, confirmed facsimile or electronic mail.</w:t>
      </w:r>
    </w:p>
    <w:p>
      <w:pPr>
        <w:spacing w:after="0" w:line="158" w:lineRule="exact"/>
        <w:rPr>
          <w:sz w:val="20"/>
          <w:szCs w:val="20"/>
          <w:color w:val="auto"/>
        </w:rPr>
      </w:pPr>
    </w:p>
    <w:p>
      <w:pPr>
        <w:jc w:val="both"/>
        <w:ind w:left="200" w:right="219" w:firstLine="657"/>
        <w:spacing w:after="0" w:line="252" w:lineRule="auto"/>
        <w:tabs>
          <w:tab w:leader="none" w:pos="14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under the provisions of these Bylaws, the Certificate of Incorporation or by law, notice is required to be given to any director, officer or stockholder, a waiver thereof in writing, signed, by the person or persons entitled to said notice, whether before or after the time stated therein, shall be deemed equivalent thereto.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jc w:val="both"/>
        <w:ind w:left="200" w:right="219" w:firstLine="657"/>
        <w:spacing w:after="0" w:line="250" w:lineRule="auto"/>
        <w:tabs>
          <w:tab w:leader="none" w:pos="14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Bylaws may be adopted, altered, amended or repealed by the affirmative vote of at least sixty-six and two-thirds percent (66 2/3%) of the votes represented by the issued and outstanding shares of capital stock of the Corporation entitled to vote thereon, voting together as a single class, or by the affirmative vote of a majority of the Board of Directors constituting a quorum at any regular or special meeting of the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224" w:lineRule="exact"/>
        <w:rPr>
          <w:sz w:val="20"/>
          <w:szCs w:val="20"/>
          <w:color w:val="auto"/>
        </w:rPr>
      </w:pPr>
    </w:p>
    <w:p>
      <w:pPr>
        <w:jc w:val="both"/>
        <w:ind w:left="200" w:right="219" w:firstLine="657"/>
        <w:spacing w:after="0" w:line="257"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or the President may appoint, or authorize the Vice-President to appoint, such officers and employ such persons as he or she deems necessary for the proper management of the business and property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officers, agents, and employees appointed under Paragraph 51 shall hold their offices or position at the discretion of the officer appointing them, and shall be subject at all times to removal by the Board of Directors with or without cause.</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48" w:lineRule="auto"/>
        <w:tabs>
          <w:tab w:leader="none" w:pos="1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these Bylaws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these Bylaws and the application of such provision to other persons or entities or circumstances shall not in any way be affected or impaired thereby.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54.</w:t>
      </w:r>
    </w:p>
    <w:p>
      <w:pPr>
        <w:spacing w:after="0" w:line="220" w:lineRule="exact"/>
        <w:rPr>
          <w:sz w:val="20"/>
          <w:szCs w:val="20"/>
          <w:color w:val="auto"/>
        </w:rPr>
      </w:pPr>
    </w:p>
    <w:p>
      <w:pPr>
        <w:jc w:val="both"/>
        <w:ind w:left="200" w:right="219" w:firstLine="1305"/>
        <w:spacing w:after="0" w:line="245"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(c) of this Paragraph 54, the Corporation shall indemnify any person who is or was, or is threatened to be made, a party or witness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or on his or her behalf in connection with such action, suit or proceeding if he or she acted in good faith and in a manner he or she reasonably believed to be in or not opposed to the best interests of the Corporation, and, with respect to any criminal action or proceeding, had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8" w:name="page139"/>
    <w:bookmarkEnd w:id="138"/>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87" w:lineRule="exact"/>
        <w:rPr>
          <w:sz w:val="20"/>
          <w:szCs w:val="20"/>
          <w:color w:val="auto"/>
        </w:rPr>
      </w:pPr>
    </w:p>
    <w:p>
      <w:pPr>
        <w:jc w:val="both"/>
        <w:ind w:left="200" w:right="219" w:firstLine="1305"/>
        <w:spacing w:after="0" w:line="246"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(c) of this Paragraph 54, the Corporation shall indemnify any person who is or was, or is threatened to be made, a party or witness to, any threatened, pending or completed action or suit by or in the right of the Corporation to procure a judgment in its favor by reason of the fact that he or she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under this Paragraph 54 or the Certificate of Incorporation (unless ordered by a court) shall be made by the Corporation only as authorized in the specific case upon a determination that indemnification of the present or former director or officer is proper in the circumstances because he or she has met the applicable standard of conduct set forth in clause (a) or (b) of this Paragraph 54 or Section 10.2(b) of the Certificate of Incorporation, as the case may be. Such determination shall be made (i) by the Board of Directors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To the extent, however, that a present or former director or officer of the Corporation has been successful on the merits or otherwise in defense of any action, suit or proceeding described above, or in defense of any claim, issue or matter therein, he or she shall be indemnified against expenses (including attorneys’ fees) actually and reasonably incurred by him or her in connection therewith, without the necessity of authorization in the specific case.</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60" w:lineRule="auto"/>
        <w:tabs>
          <w:tab w:leader="none" w:pos="214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any determination under clause (c) of this Paragraph 54, a person shall be deemed to have acted in good faith and in a manner he or she reasonably believed to be in or not opposed to the best interests of the Corporation, or, with respect to any criminal action or proceeding, to have had no reasonable cause to believe his or her conduct was unlawful, if his or her action is based on the records or books of account of the Corporation or another enterprise, or on information supplied to him or her by the officers of the Corporation or another enterprise in the course of their duties, or on the advice of legal counsel for the Corporation or another enterprise or on information or records given or reports made to the Corporation or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9" w:name="page140"/>
    <w:bookmarkEnd w:id="139"/>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enterprise by an independent certified public accountant or by an appraiser or other expert selected with reasonable care by the Corporation or another enterprise. The term “another enterprise” as used in this clause (d) shall mean any other corporation or any partnership, joint venture, trust, employee benefit plan or other enterprise of which such person is or was serving at the request of the Corporation as a director, officer, employee or agent. The provisions of this clause (d) shall not be deemed to be exclusive or to limit in any way the circumstances in which a person may be deemed to have met the applicable standard of conduct set forth in clauses (a) or (b) of this Paragraph 54 or Section 10.2(b) of the Certificate of Incorporation, as the case may be.</w:t>
      </w:r>
    </w:p>
    <w:p>
      <w:pPr>
        <w:spacing w:after="0" w:line="185" w:lineRule="exact"/>
        <w:rPr>
          <w:sz w:val="20"/>
          <w:szCs w:val="20"/>
          <w:color w:val="auto"/>
        </w:rPr>
      </w:pPr>
    </w:p>
    <w:p>
      <w:pPr>
        <w:jc w:val="both"/>
        <w:ind w:left="200" w:right="219" w:firstLine="1305"/>
        <w:spacing w:after="0" w:line="246"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contrary determination in the specific case under clause (c) of this Paragraph 54, and notwithstanding the absence of any determination thereunder, any director or officer may apply to any court of competent jurisdiction in the State of Delaware for indemnification to the extent otherwise permissible under clauses (a) and (b) of this Paragraph 54 or the Certificate of Incorporation, as the case may be. The basis of such indemnification by a court shall be a determination by such court that indemnification of the director or officer is proper in the circumstances because he or she has met the applicable standards of conduct set forth in clauses (a) and (b) of this Paragraph 54 or applicable to the Certificate of Incorporation, as the case may be. Neither a contrary determination in the specific case under clause (c) of this Paragraph 54 nor the absence of any determination thereunder shall be a defense to such application or create a presumption that the director or officer seeking indemnification has not met any applicable standard of conduct. Notice of any application for indemnification pursuant to this clause (e)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(including attorneys’ fees) incurred by a present or former director or officer in defending or otherwise participating in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Paragraph 54 or in the Certificate of Incorporation or under applicable law. Such expenses (including attorneys’ fees) incurred by former directors and officers may be so paid upon such terms and conditions, if any, as the Corporation deems appropriate.</w:t>
      </w:r>
    </w:p>
    <w:p>
      <w:pPr>
        <w:spacing w:after="0" w:line="190"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or granted pursuant to this Paragraph 54 shall not be deemed exclusive of any other rights to which those seeking indemnification or advancement of expenses may be entitled under the Certificate of Incorporation, Bylaws or any agreement, vote of stockholders or disinterested directors or pursuant to the direction (howsoever embodied) of any court of competent jurisdiction or otherwise, both as to action in his or her official capacity and as to action in another capacity while holding such office, it being the policy of the Corporation that indemnification of the persons specified in clauses (a) and (b) of this Paragraph 54 shall be made to the fullest extent permitted by law. The provisions of this Paragraph 54 shall not be deemed to preclude the indemnification of any person who is not specified in clauses (a) or (b) of this Paragraph 54 but whom the Corporation has the power or obligation to indemnify under the provisions of the General Corporation Law of the State of Delaware,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0" w:name="page141"/>
    <w:bookmarkEnd w:id="140"/>
    <w:p>
      <w:pPr>
        <w:jc w:val="both"/>
        <w:ind w:left="200" w:right="219" w:firstLine="1305"/>
        <w:spacing w:after="0" w:line="248"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Paragraph 54.</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54, references to the “Corporation” shall include, in addition to the resulting corporation or other entity, any constituent corporation or other entity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Paragraph 54 with respect to the resulting or surviving corporation as he or she would have with respect to such constituent corporation if its separate existence had continued. For purposes of this Paragraph 54,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Paragraph 54.</w:t>
      </w:r>
    </w:p>
    <w:p>
      <w:pPr>
        <w:spacing w:after="0" w:line="19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and advancement of expenses provided by, or granted pursuant to, this Paragraph 54 shall, unless otherwise provided when authorized or ratified, continue as to a person who has ceased to be a director or officer and shall inure to the benefit of the heirs, executors and administrators of such a person.</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Paragraph 54 to the contrary, except for proceedings to enforce rights to indemnification (which shall be governed by clause (e) hereof),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to the extent authorized from time to time by the Board of Directors, provide rights to indemnification and to the advancement of expenses to employees and agents of the Corporation similar to those conferred in this Paragraph 54 to directors and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jc w:val="both"/>
        <w:ind w:left="200" w:right="219" w:firstLine="1305"/>
        <w:spacing w:after="0" w:line="275" w:lineRule="auto"/>
        <w:tabs>
          <w:tab w:leader="none" w:pos="214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repeal or modification of this Paragraph 54 will only be prospective and will not affect the rights under this Paragraph 54 in effect at the time of the alleged occurrence of any acts, omissions, facts or circumstances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jc w:val="right"/>
        <w:ind w:right="240"/>
        <w:spacing w:after="0"/>
        <w:rPr>
          <w:sz w:val="20"/>
          <w:szCs w:val="20"/>
          <w:color w:val="auto"/>
        </w:rPr>
      </w:pPr>
      <w:r>
        <w:rPr>
          <w:rFonts w:ascii="Times New Roman" w:cs="Times New Roman" w:eastAsia="Times New Roman" w:hAnsi="Times New Roman"/>
          <w:sz w:val="20"/>
          <w:szCs w:val="20"/>
          <w:color w:val="auto"/>
        </w:rPr>
        <w:t>Exhibit 10.39</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Ryman Hospitality Properties, Inc. (the “Company”)</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Summary of Director and Executive Officer Compensation</w:t>
      </w:r>
    </w:p>
    <w:p>
      <w:pPr>
        <w:spacing w:after="0" w:line="229" w:lineRule="exact"/>
        <w:rPr>
          <w:sz w:val="20"/>
          <w:szCs w:val="20"/>
          <w:color w:val="auto"/>
        </w:rPr>
      </w:pPr>
    </w:p>
    <w:p>
      <w:pPr>
        <w:jc w:val="both"/>
        <w:ind w:left="200" w:right="400" w:firstLine="9"/>
        <w:spacing w:after="0" w:line="256" w:lineRule="auto"/>
        <w:tabs>
          <w:tab w:leader="none" w:pos="848"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 Compensation</w:t>
      </w:r>
      <w:r>
        <w:rPr>
          <w:rFonts w:ascii="Times New Roman" w:cs="Times New Roman" w:eastAsia="Times New Roman" w:hAnsi="Times New Roman"/>
          <w:sz w:val="20"/>
          <w:szCs w:val="20"/>
          <w:color w:val="auto"/>
        </w:rPr>
        <w:t>. Directors who are employees of the Company do not receive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for serving as directors of the Company. The following table sets forth current rates of cash compensation for the Company’s non-employee directors.</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Retainers</w:t>
            </w:r>
          </w:p>
        </w:tc>
        <w:tc>
          <w:tcPr>
            <w:tcW w:w="1600" w:type="dxa"/>
            <w:vAlign w:val="bottom"/>
          </w:tcPr>
          <w:p>
            <w:pPr>
              <w:spacing w:after="0"/>
              <w:rPr>
                <w:sz w:val="19"/>
                <w:szCs w:val="19"/>
                <w:color w:val="auto"/>
              </w:rPr>
            </w:pPr>
          </w:p>
        </w:tc>
        <w:tc>
          <w:tcPr>
            <w:tcW w:w="96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1"/>
        </w:trPr>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Board retainer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w w:val="98"/>
              </w:rPr>
              <w:t>65,000</w:t>
            </w:r>
          </w:p>
        </w:tc>
      </w:tr>
      <w:tr>
        <w:trPr>
          <w:trHeight w:val="230"/>
        </w:trPr>
        <w:tc>
          <w:tcPr>
            <w:tcW w:w="8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Lead Non-Management Director retainer</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w w:val="98"/>
              </w:rPr>
              <w:t>30,000</w:t>
            </w:r>
          </w:p>
        </w:tc>
      </w:tr>
      <w:tr>
        <w:trPr>
          <w:trHeight w:val="229"/>
        </w:trPr>
        <w:tc>
          <w:tcPr>
            <w:tcW w:w="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chair retainer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w w:val="98"/>
              </w:rPr>
              <w:t>25,000</w:t>
            </w:r>
          </w:p>
        </w:tc>
      </w:tr>
      <w:tr>
        <w:trPr>
          <w:trHeight w:val="229"/>
        </w:trPr>
        <w:tc>
          <w:tcPr>
            <w:tcW w:w="8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chair retainer</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w w:val="98"/>
              </w:rPr>
              <w:t>20,000</w:t>
            </w:r>
          </w:p>
        </w:tc>
      </w:tr>
      <w:tr>
        <w:trPr>
          <w:trHeight w:val="230"/>
        </w:trPr>
        <w:tc>
          <w:tcPr>
            <w:tcW w:w="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chair retainer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w w:val="98"/>
              </w:rPr>
              <w:t>15,000</w:t>
            </w:r>
          </w:p>
        </w:tc>
      </w:tr>
      <w:tr>
        <w:trPr>
          <w:trHeight w:val="229"/>
        </w:trPr>
        <w:tc>
          <w:tcPr>
            <w:tcW w:w="8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Audit member retainer</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w w:val="98"/>
              </w:rPr>
              <w:t>10,000</w:t>
            </w:r>
          </w:p>
        </w:tc>
      </w:tr>
      <w:tr>
        <w:trPr>
          <w:trHeight w:val="229"/>
        </w:trPr>
        <w:tc>
          <w:tcPr>
            <w:tcW w:w="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Human Resources member retainer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w w:val="98"/>
              </w:rPr>
              <w:t>10,000</w:t>
            </w:r>
          </w:p>
        </w:tc>
      </w:tr>
      <w:tr>
        <w:trPr>
          <w:trHeight w:val="258"/>
        </w:trPr>
        <w:tc>
          <w:tcPr>
            <w:tcW w:w="8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Nominating and Corporate Governance member retainer</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7,500</w:t>
            </w:r>
          </w:p>
        </w:tc>
      </w:tr>
    </w:tbl>
    <w:p>
      <w:pPr>
        <w:spacing w:after="0" w:line="191" w:lineRule="exact"/>
        <w:rPr>
          <w:sz w:val="20"/>
          <w:szCs w:val="20"/>
          <w:color w:val="auto"/>
        </w:rPr>
      </w:pPr>
    </w:p>
    <w:p>
      <w:pPr>
        <w:ind w:left="200" w:right="300"/>
        <w:spacing w:after="0" w:line="246" w:lineRule="auto"/>
        <w:rPr>
          <w:sz w:val="20"/>
          <w:szCs w:val="20"/>
          <w:color w:val="auto"/>
        </w:rPr>
      </w:pPr>
      <w:r>
        <w:rPr>
          <w:rFonts w:ascii="Times New Roman" w:cs="Times New Roman" w:eastAsia="Times New Roman" w:hAnsi="Times New Roman"/>
          <w:sz w:val="20"/>
          <w:szCs w:val="20"/>
          <w:color w:val="auto"/>
        </w:rPr>
        <w:t>Non-employee directors may elect payments in cash or defer a portion of their cash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198" w:lineRule="exact"/>
        <w:rPr>
          <w:sz w:val="20"/>
          <w:szCs w:val="20"/>
          <w:color w:val="auto"/>
        </w:rPr>
      </w:pPr>
    </w:p>
    <w:p>
      <w:pPr>
        <w:jc w:val="both"/>
        <w:ind w:left="200" w:right="400"/>
        <w:spacing w:after="0" w:line="245" w:lineRule="auto"/>
        <w:rPr>
          <w:sz w:val="20"/>
          <w:szCs w:val="20"/>
          <w:color w:val="auto"/>
        </w:rPr>
      </w:pPr>
      <w:r>
        <w:rPr>
          <w:rFonts w:ascii="Times New Roman" w:cs="Times New Roman" w:eastAsia="Times New Roman" w:hAnsi="Times New Roman"/>
          <w:sz w:val="20"/>
          <w:szCs w:val="20"/>
          <w:color w:val="auto"/>
        </w:rPr>
        <w:t>In addition, each non-employee director receives, as of the date of our board meeting following our annual meeting of stockholders, an annual grant of restricted stock units having a dollar value of $120,000, based upon the fair market value of the Company’s common stock on the date of grant. The restricted stock units vest fully on the first anniversary of the date of grant, pursuant to the Company’s 2016 Omnibus Incentive Plan, unless deferred by the director until a specified date or the end of the director’s service on the Board of Directors. Directors do not receive fees for attending meetings.</w:t>
      </w:r>
    </w:p>
    <w:p>
      <w:pPr>
        <w:spacing w:after="0" w:line="194" w:lineRule="exact"/>
        <w:rPr>
          <w:sz w:val="20"/>
          <w:szCs w:val="20"/>
          <w:color w:val="auto"/>
        </w:rPr>
      </w:pPr>
    </w:p>
    <w:p>
      <w:pPr>
        <w:ind w:left="200" w:right="260" w:firstLine="9"/>
        <w:spacing w:after="0" w:line="247" w:lineRule="auto"/>
        <w:tabs>
          <w:tab w:leader="none" w:pos="848"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Officer Compensation</w:t>
      </w:r>
      <w:r>
        <w:rPr>
          <w:rFonts w:ascii="Times New Roman" w:cs="Times New Roman" w:eastAsia="Times New Roman" w:hAnsi="Times New Roman"/>
          <w:sz w:val="20"/>
          <w:szCs w:val="20"/>
          <w:color w:val="auto"/>
        </w:rPr>
        <w:t>. The following table sets forth the 2023 annual base salaries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fiscal 2022 short-term incentive compensation provided to the Company’s Chief Executive Officer, Chief Financial Officer and the three other most highly compensated executive officers to be named in the Company’s proxy statement to be filed in connection with the 2023 annual meeting of stockholders (the “Named Executive Officers”).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Fiscal 2022</w:t>
            </w:r>
          </w:p>
        </w:tc>
      </w:tr>
      <w:tr>
        <w:trPr>
          <w:trHeight w:val="256"/>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2023 Salary</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Bonus Amount</w:t>
            </w:r>
          </w:p>
        </w:tc>
      </w:tr>
      <w:tr>
        <w:trPr>
          <w:trHeight w:val="223"/>
        </w:trPr>
        <w:tc>
          <w:tcPr>
            <w:tcW w:w="50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Colin Reed(1)</w:t>
            </w:r>
          </w:p>
        </w:tc>
        <w:tc>
          <w:tcPr>
            <w:tcW w:w="3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$500,000</w:t>
            </w:r>
          </w:p>
        </w:tc>
        <w:tc>
          <w:tcPr>
            <w:tcW w:w="2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$3,300,000</w:t>
            </w:r>
          </w:p>
        </w:tc>
      </w:tr>
      <w:tr>
        <w:trPr>
          <w:trHeight w:val="230"/>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Mark Fioravanti(2)</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$850,000</w:t>
            </w:r>
          </w:p>
        </w:tc>
        <w:tc>
          <w:tcPr>
            <w:tcW w:w="2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$2,136,042</w:t>
            </w:r>
          </w:p>
        </w:tc>
      </w:tr>
      <w:tr>
        <w:trPr>
          <w:trHeight w:val="230"/>
        </w:trPr>
        <w:tc>
          <w:tcPr>
            <w:tcW w:w="5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$481,500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$1,028,062</w:t>
            </w:r>
          </w:p>
        </w:tc>
      </w:tr>
      <w:tr>
        <w:trPr>
          <w:trHeight w:val="230"/>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$575,000</w:t>
            </w:r>
          </w:p>
        </w:tc>
        <w:tc>
          <w:tcPr>
            <w:tcW w:w="2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$1,080,360</w:t>
            </w:r>
          </w:p>
        </w:tc>
      </w:tr>
      <w:tr>
        <w:trPr>
          <w:trHeight w:val="229"/>
        </w:trPr>
        <w:tc>
          <w:tcPr>
            <w:tcW w:w="5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$458,309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$925,000</w:t>
            </w:r>
          </w:p>
        </w:tc>
      </w:tr>
    </w:tbl>
    <w:p>
      <w:pPr>
        <w:spacing w:after="0" w:line="220" w:lineRule="exact"/>
        <w:rPr>
          <w:sz w:val="20"/>
          <w:szCs w:val="20"/>
          <w:color w:val="auto"/>
        </w:rPr>
      </w:pPr>
    </w:p>
    <w:p>
      <w:pPr>
        <w:ind w:left="200" w:right="360" w:firstLine="9"/>
        <w:spacing w:after="0" w:line="250" w:lineRule="auto"/>
        <w:tabs>
          <w:tab w:leader="none" w:pos="4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Reed served as our Chief Executive Officer (our principal executive officer) during 2022. Effective as of January 1, 2023, Mr. Reed began serving as Executive Chairman of the Board.</w:t>
      </w:r>
    </w:p>
    <w:p>
      <w:pPr>
        <w:spacing w:after="0" w:line="1" w:lineRule="exact"/>
        <w:rPr>
          <w:rFonts w:ascii="Times New Roman" w:cs="Times New Roman" w:eastAsia="Times New Roman" w:hAnsi="Times New Roman"/>
          <w:sz w:val="20"/>
          <w:szCs w:val="20"/>
          <w:color w:val="auto"/>
        </w:rPr>
      </w:pPr>
    </w:p>
    <w:p>
      <w:pPr>
        <w:ind w:left="200" w:right="720" w:firstLine="9"/>
        <w:spacing w:after="0" w:line="271" w:lineRule="auto"/>
        <w:tabs>
          <w:tab w:leader="none" w:pos="48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Mr. Fioravanti served as our President during 2022. Effective as of January 1, 2023, Mr. Fioravanti began serving as our President and Chief Executive Officer (our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43" w:name="page144"/>
    <w:bookmarkEnd w:id="143"/>
    <w:p>
      <w:pPr>
        <w:jc w:val="right"/>
        <w:ind w:right="219"/>
        <w:spacing w:after="0"/>
        <w:rPr>
          <w:sz w:val="20"/>
          <w:szCs w:val="20"/>
          <w:color w:val="auto"/>
        </w:rPr>
      </w:pPr>
      <w:r>
        <w:rPr>
          <w:rFonts w:ascii="Times New Roman" w:cs="Times New Roman" w:eastAsia="Times New Roman" w:hAnsi="Times New Roman"/>
          <w:sz w:val="20"/>
          <w:szCs w:val="20"/>
          <w:color w:val="auto"/>
        </w:rPr>
        <w:t>Exhibit 10.39</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following table sets forth the fiscal 2023 bonus targets as a percentage of 2023 base salary set for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Company’s Named Executive Officers: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23"/>
        </w:trPr>
        <w:tc>
          <w:tcPr>
            <w:tcW w:w="37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Colin Reed</w:t>
            </w:r>
          </w:p>
        </w:tc>
        <w:tc>
          <w:tcPr>
            <w:tcW w:w="2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75%</w:t>
            </w:r>
          </w:p>
        </w:tc>
        <w:tc>
          <w:tcPr>
            <w:tcW w:w="2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150%</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300%</w:t>
            </w:r>
          </w:p>
        </w:tc>
      </w:tr>
      <w:tr>
        <w:trPr>
          <w:trHeight w:val="230"/>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Mark Fioravanti</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75%</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300%</w:t>
            </w:r>
          </w:p>
        </w:tc>
      </w:tr>
      <w:tr>
        <w:trPr>
          <w:trHeight w:val="229"/>
        </w:trPr>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250%</w:t>
            </w:r>
          </w:p>
        </w:tc>
      </w:tr>
      <w:tr>
        <w:trPr>
          <w:trHeight w:val="230"/>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29"/>
        </w:trPr>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200%</w:t>
            </w:r>
          </w:p>
        </w:tc>
      </w:tr>
    </w:tbl>
    <w:p>
      <w:pPr>
        <w:spacing w:after="0" w:line="220"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20"/>
          <w:szCs w:val="20"/>
          <w:color w:val="auto"/>
        </w:rPr>
        <w:t>The fiscal 2023 bonuses will be determined based upon the achievement of certain financial goals, and, if earned, will be paid pursuant to the Company’s cash incentive compensation program under the Company’s 2016 Omnibus Incentive Plan.</w:t>
      </w:r>
    </w:p>
    <w:p>
      <w:pPr>
        <w:spacing w:after="0" w:line="188"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20"/>
          <w:szCs w:val="20"/>
          <w:color w:val="auto"/>
        </w:rPr>
        <w:t>On February 23, 2023, as part of an annual grant to designated management-level employees, including the Named Executive Officers, the Named Executive Officers received the following long-term incentive awards pursuant to the Company’s 2016 Omnibus Incentive Plan:</w:t>
      </w:r>
    </w:p>
    <w:p>
      <w:pPr>
        <w:spacing w:after="0" w:line="188" w:lineRule="exact"/>
        <w:rPr>
          <w:sz w:val="20"/>
          <w:szCs w:val="20"/>
          <w:color w:val="auto"/>
        </w:rPr>
      </w:pPr>
    </w:p>
    <w:p>
      <w:pPr>
        <w:ind w:left="860" w:right="279" w:hanging="327"/>
        <w:spacing w:after="0" w:line="245" w:lineRule="auto"/>
        <w:tabs>
          <w:tab w:leader="none" w:pos="8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performance-based restricted stock units for the 2023-2025 performance period, as listed in the table below, of which up to 150% will vest on March 15, 2026 based on the achievement of Total Stockholder Return (“TSR”) against a designated peer group (the “Performance-Based RSUs”).</w:t>
      </w:r>
    </w:p>
    <w:p>
      <w:pPr>
        <w:ind w:left="860" w:right="499" w:hanging="327"/>
        <w:spacing w:after="0" w:line="246" w:lineRule="auto"/>
        <w:tabs>
          <w:tab w:leader="none" w:pos="8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time-based restricted stock units, as listed in the table below, vesting ratably over four years beginning on March 15, 2024 (the “Time-Based RSUs”).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long-term incentive awards to each Named Executive Officer were as follows:</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Time-Based</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r>
      <w:tr>
        <w:trPr>
          <w:trHeight w:val="256"/>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6"/>
              </w:rPr>
              <w:t>RSUs</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Based RSUs</w:t>
            </w:r>
          </w:p>
        </w:tc>
      </w:tr>
      <w:tr>
        <w:trPr>
          <w:trHeight w:val="223"/>
        </w:trPr>
        <w:tc>
          <w:tcPr>
            <w:tcW w:w="384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Colin Reed</w:t>
            </w:r>
          </w:p>
        </w:tc>
        <w:tc>
          <w:tcPr>
            <w:tcW w:w="2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10,260</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341"/>
              <w:spacing w:after="0" w:line="223" w:lineRule="exact"/>
              <w:rPr>
                <w:sz w:val="20"/>
                <w:szCs w:val="20"/>
                <w:color w:val="auto"/>
              </w:rPr>
            </w:pPr>
            <w:r>
              <w:rPr>
                <w:rFonts w:ascii="Times New Roman" w:cs="Times New Roman" w:eastAsia="Times New Roman" w:hAnsi="Times New Roman"/>
                <w:sz w:val="20"/>
                <w:szCs w:val="20"/>
                <w:color w:val="auto"/>
              </w:rPr>
              <w:t>10,939</w:t>
            </w:r>
          </w:p>
        </w:tc>
        <w:tc>
          <w:tcPr>
            <w:tcW w:w="220" w:type="dxa"/>
            <w:vAlign w:val="bottom"/>
            <w:tcBorders>
              <w:top w:val="single" w:sz="8" w:color="CCEEFF"/>
            </w:tcBorders>
            <w:shd w:val="clear" w:color="auto" w:fill="CCEEFF"/>
          </w:tcPr>
          <w:p>
            <w:pPr>
              <w:spacing w:after="0"/>
              <w:rPr>
                <w:sz w:val="19"/>
                <w:szCs w:val="19"/>
                <w:color w:val="auto"/>
              </w:rPr>
            </w:pPr>
          </w:p>
        </w:tc>
      </w:tr>
      <w:tr>
        <w:trPr>
          <w:trHeight w:val="230"/>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Mark Fioravanti</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16,180</w:t>
            </w:r>
          </w:p>
        </w:tc>
        <w:tc>
          <w:tcPr>
            <w:tcW w:w="200" w:type="dxa"/>
            <w:vAlign w:val="bottom"/>
          </w:tcPr>
          <w:p>
            <w:pPr>
              <w:spacing w:after="0"/>
              <w:rPr>
                <w:sz w:val="19"/>
                <w:szCs w:val="19"/>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17,336</w:t>
            </w:r>
          </w:p>
        </w:tc>
        <w:tc>
          <w:tcPr>
            <w:tcW w:w="22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4,072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4,400</w:t>
            </w:r>
          </w:p>
        </w:tc>
        <w:tc>
          <w:tcPr>
            <w:tcW w:w="220" w:type="dxa"/>
            <w:vAlign w:val="bottom"/>
            <w:shd w:val="clear" w:color="auto" w:fill="CCEEFF"/>
          </w:tcPr>
          <w:p>
            <w:pPr>
              <w:spacing w:after="0"/>
              <w:rPr>
                <w:sz w:val="19"/>
                <w:szCs w:val="19"/>
                <w:color w:val="auto"/>
              </w:rPr>
            </w:pPr>
          </w:p>
        </w:tc>
      </w:tr>
      <w:tr>
        <w:trPr>
          <w:trHeight w:val="229"/>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3,244</w:t>
            </w:r>
          </w:p>
        </w:tc>
        <w:tc>
          <w:tcPr>
            <w:tcW w:w="200" w:type="dxa"/>
            <w:vAlign w:val="bottom"/>
          </w:tcPr>
          <w:p>
            <w:pPr>
              <w:spacing w:after="0"/>
              <w:rPr>
                <w:sz w:val="19"/>
                <w:szCs w:val="19"/>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3,503</w:t>
            </w:r>
          </w:p>
        </w:tc>
        <w:tc>
          <w:tcPr>
            <w:tcW w:w="22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3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2,584</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2,792</w:t>
            </w:r>
          </w:p>
        </w:tc>
        <w:tc>
          <w:tcPr>
            <w:tcW w:w="22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jc w:val="both"/>
        <w:ind w:left="200" w:right="299"/>
        <w:spacing w:after="0" w:line="274" w:lineRule="auto"/>
        <w:rPr>
          <w:sz w:val="20"/>
          <w:szCs w:val="20"/>
          <w:color w:val="auto"/>
        </w:rPr>
      </w:pPr>
      <w:r>
        <w:rPr>
          <w:rFonts w:ascii="Times New Roman" w:cs="Times New Roman" w:eastAsia="Times New Roman" w:hAnsi="Times New Roman"/>
          <w:sz w:val="19"/>
          <w:szCs w:val="19"/>
          <w:color w:val="auto"/>
        </w:rPr>
        <w:t>Certain performance-based restricted stock unit awards under the Company’s 2016 Omnibus Incentive Plan previously granted to the Named Executive Officers, with respect to performance periods ended December 31, 2022, will vest on March 15, 2023 as will be reflected in Form 4 filings to be made with the SEC.</w:t>
      </w:r>
    </w:p>
    <w:p>
      <w:pPr>
        <w:spacing w:after="0" w:line="166" w:lineRule="exact"/>
        <w:rPr>
          <w:sz w:val="20"/>
          <w:szCs w:val="20"/>
          <w:color w:val="auto"/>
        </w:rPr>
      </w:pPr>
    </w:p>
    <w:p>
      <w:pPr>
        <w:ind w:left="200" w:right="279" w:firstLine="9"/>
        <w:spacing w:after="0" w:line="250" w:lineRule="auto"/>
        <w:tabs>
          <w:tab w:leader="none" w:pos="848"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The foregoing information is summary in nature. Additional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compensation of directors and Named Executive Officers will be provided in the Company’s filings with the SEC, including the proxy statement to be filed in connection with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4" w:name="page145"/>
    <w:bookmarkEnd w:id="144"/>
    <w:p>
      <w:pPr>
        <w:jc w:val="right"/>
        <w:ind w:right="219"/>
        <w:spacing w:after="0"/>
        <w:rPr>
          <w:sz w:val="20"/>
          <w:szCs w:val="20"/>
          <w:color w:val="auto"/>
        </w:rPr>
      </w:pPr>
      <w:r>
        <w:rPr>
          <w:rFonts w:ascii="Times New Roman" w:cs="Times New Roman" w:eastAsia="Times New Roman" w:hAnsi="Times New Roman"/>
          <w:sz w:val="18"/>
          <w:szCs w:val="18"/>
          <w:color w:val="auto"/>
        </w:rPr>
        <w:t>Exhibit 21</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85"/>
        </w:trPr>
        <w:tc>
          <w:tcPr>
            <w:tcW w:w="4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2644 McGavock, LLC</w:t>
            </w:r>
          </w:p>
        </w:tc>
        <w:tc>
          <w:tcPr>
            <w:tcW w:w="160" w:type="dxa"/>
            <w:vAlign w:val="bottom"/>
          </w:tcPr>
          <w:p>
            <w:pPr>
              <w:spacing w:after="0"/>
              <w:rPr>
                <w:sz w:val="16"/>
                <w:szCs w:val="16"/>
                <w:color w:val="auto"/>
              </w:rPr>
            </w:pPr>
          </w:p>
        </w:tc>
        <w:tc>
          <w:tcPr>
            <w:tcW w:w="40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Holdings,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MidCo,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Operations, Inc.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Attractions IP,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Aurora 10,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Aurora Convention Center Hotel,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Aurora Convention Center Hotel Investors,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Aurora Convention Center Hotel Lessee,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Aurora Convention Center Hotel Lessee HoldCo,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Block 21 Service Company,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Country Music Television International,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Cumberland Depot,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GN Bond Holdings,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GOO Broadway,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GOOSPK 1604 Broadway,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GPSI, Inc.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Grand Ole Opry,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Grand Ole Opry IP,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GSD River North,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GSD River South,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Block 21,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Block 21 Holdings,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Corporate Properties,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Creative Group,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Finance Corporation</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High Point Land,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Hotel Properties, LP</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Hotels,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DC,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GP,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GT,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Inn at Opryland,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NH,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OH,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Partner,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DC,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GP, LP</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GT, LP</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GT,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NH,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 Sub Holdings,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RHPA Management,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RHPAHP,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RHPAHO,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Ryman Corporate Properties,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Ryman Hotel Operations HoldCo,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OEG Attractions Holdings,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OEG Borrower,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OEG Finance,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OEG HoldCo,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Ole Red Gatlinburg, LLC</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Tennessee</w:t>
            </w:r>
          </w:p>
        </w:tc>
      </w:tr>
      <w:tr>
        <w:trPr>
          <w:trHeight w:val="560"/>
        </w:trPr>
        <w:tc>
          <w:tcPr>
            <w:tcW w:w="4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5" w:name="page146"/>
    <w:bookmarkEnd w:id="14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Ole Red Holdings, Inc.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Ole Red Las Vegas,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Ole Red Nashville Airport,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Ole Red Orlando,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OLH,GP</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OLH Holdings,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Opry Attractions HoldCo,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Opry Entertainment Group Holdings,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Opryland Attractions,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Opryland Hospitality,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Park Holdings,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Springhouse Golf,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Wildhorse Saloon Entertainment Ventures,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WSM-AM,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NCV Holdings, LLC</w:t>
            </w:r>
          </w:p>
        </w:tc>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Delaware</w:t>
            </w:r>
          </w:p>
        </w:tc>
      </w:tr>
      <w:tr>
        <w:trPr>
          <w:trHeight w:val="803"/>
        </w:trPr>
        <w:tc>
          <w:tcPr>
            <w:tcW w:w="40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6" w:name="page147"/>
    <w:bookmarkEnd w:id="14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264" w:lineRule="exact"/>
        <w:rPr>
          <w:sz w:val="20"/>
          <w:szCs w:val="20"/>
          <w:color w:val="auto"/>
        </w:rPr>
      </w:pPr>
    </w:p>
    <w:p>
      <w:pPr>
        <w:ind w:left="200" w:right="399"/>
        <w:spacing w:after="0" w:line="252" w:lineRule="auto"/>
        <w:rPr>
          <w:sz w:val="20"/>
          <w:szCs w:val="20"/>
          <w:color w:val="auto"/>
        </w:rPr>
      </w:pPr>
      <w:r>
        <w:rPr>
          <w:rFonts w:ascii="Times New Roman" w:cs="Times New Roman" w:eastAsia="Times New Roman" w:hAnsi="Times New Roman"/>
          <w:sz w:val="22"/>
          <w:szCs w:val="22"/>
          <w:color w:val="auto"/>
        </w:rPr>
        <w:t>Ryman Hospitality Properties, Inc., a Delaware corporation (the “Company”), as the parent company, serves as guarantor, and each of the below listed subsidiaries of the Company serves as an issuer or guarantor, as applicable, for the Company’s (i) 4.75% Senior Notes due 2027 and (ii) 4.50% Senior Notes due 2029.</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805"/>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333-238530-09) pertaining to the $700,000,000 4.75% Senior Notes Due 2027 of Ryman Hospitality Properties, Inc.;</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333-235419) pertaining to the Shelf Registration for common stock of Ryman Hospitality Properties, Inc.;</w:t>
      </w:r>
    </w:p>
    <w:p>
      <w:pPr>
        <w:spacing w:after="0" w:line="162" w:lineRule="exact"/>
        <w:rPr>
          <w:sz w:val="20"/>
          <w:szCs w:val="20"/>
          <w:color w:val="auto"/>
        </w:rPr>
      </w:pPr>
    </w:p>
    <w:p>
      <w:pPr>
        <w:ind w:left="660" w:right="660" w:hanging="328"/>
        <w:spacing w:after="0" w:line="282" w:lineRule="auto"/>
        <w:tabs>
          <w:tab w:leader="none" w:pos="6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333-211214) pertaining to the Ryman Hospitality Properties, Inc. 2016 Omnibus Incentive Plan;</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333-37051) pertaining to the Amended and Restated Gaylord Entertainment Company 401(K) Savings Plan;</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our reports dated February 24, 2023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2022.</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07" w:lineRule="exact"/>
        <w:rPr>
          <w:sz w:val="20"/>
          <w:szCs w:val="20"/>
          <w:color w:val="auto"/>
        </w:rPr>
      </w:pPr>
    </w:p>
    <w:p>
      <w:pPr>
        <w:ind w:left="820" w:hanging="488"/>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Mark Fioravanti</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07" w:lineRule="exact"/>
        <w:rPr>
          <w:sz w:val="20"/>
          <w:szCs w:val="20"/>
          <w:color w:val="auto"/>
        </w:rPr>
      </w:pPr>
    </w:p>
    <w:p>
      <w:pPr>
        <w:ind w:left="820" w:hanging="488"/>
        <w:spacing w:after="0"/>
        <w:tabs>
          <w:tab w:leader="none" w:pos="8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Jennifer Hutcheson</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2022, as filed with the Securities and Exchange Commission on the date hereof (the "Report"), I, Mark Fioravanti, President and Chief Executive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2022, as filed with the Securities and Exchange Commission on the date hereof (the "Report"), I, Jennifer Hutcheson, Executive Vice President, Chief Financial Officer and Chief Accounting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lowerRoman"/>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21"/>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lowerRoman"/>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decimal"/>
      <w:start w:val="1"/>
    </w:lvl>
    <w:lvl w:ilvl="1">
      <w:lvlJc w:val="left"/>
      <w:lvlText w:val="(%2)"/>
      <w:numFmt w:val="decimal"/>
      <w:start w:val="2"/>
    </w:lvl>
  </w:abstractNum>
  <w:abstractNum w:abstractNumId="50">
    <w:nsid w:val="14330624"/>
    <w:multiLevelType w:val="hybridMultilevel"/>
    <w:lvl w:ilvl="0">
      <w:lvlJc w:val="left"/>
      <w:lvlText w:val="(%1)"/>
      <w:numFmt w:val="decimal"/>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1."/>
      <w:numFmt w:val="decimal"/>
      <w:start w:val="2"/>
    </w:lvl>
  </w:abstractNum>
  <w:abstractNum w:abstractNumId="53">
    <w:nsid w:val="71EA1109"/>
    <w:multiLevelType w:val="hybridMultilevel"/>
    <w:lvl w:ilvl="0">
      <w:lvlJc w:val="left"/>
      <w:lvlText w:val="%1."/>
      <w:numFmt w:val="decimal"/>
      <w:start w:val="3"/>
    </w:lvl>
  </w:abstractNum>
  <w:abstractNum w:abstractNumId="54">
    <w:nsid w:val="100F59DC"/>
    <w:multiLevelType w:val="hybridMultilevel"/>
    <w:lvl w:ilvl="0">
      <w:lvlJc w:val="left"/>
      <w:lvlText w:val="(%1)"/>
      <w:numFmt w:val="lowerRoman"/>
      <w:start w:val="2"/>
    </w:lvl>
  </w:abstractNum>
  <w:abstractNum w:abstractNumId="55">
    <w:nsid w:val="7FB7E0AA"/>
    <w:multiLevelType w:val="hybridMultilevel"/>
    <w:lvl w:ilvl="0">
      <w:lvlJc w:val="left"/>
      <w:lvlText w:val="(%1)"/>
      <w:numFmt w:val="lowerLetter"/>
      <w:start w:val="2"/>
    </w:lvl>
  </w:abstractNum>
  <w:abstractNum w:abstractNumId="56">
    <w:nsid w:val="6EB5BD4"/>
    <w:multiLevelType w:val="hybridMultilevel"/>
    <w:lvl w:ilvl="0">
      <w:lvlJc w:val="left"/>
      <w:lvlText w:val="(%1)"/>
      <w:numFmt w:val="lowerLetter"/>
      <w:start w:val="5"/>
    </w:lvl>
  </w:abstractNum>
  <w:abstractNum w:abstractNumId="57">
    <w:nsid w:val="6F6DD9AC"/>
    <w:multiLevelType w:val="hybridMultilevel"/>
    <w:lvl w:ilvl="0">
      <w:lvlJc w:val="left"/>
      <w:lvlText w:val="%1"/>
      <w:numFmt w:val="decimal"/>
      <w:start w:val="1"/>
    </w:lvl>
    <w:lvl w:ilvl="1">
      <w:lvlJc w:val="left"/>
      <w:lvlText w:val="(%2)"/>
      <w:numFmt w:val="lowerLetter"/>
      <w:start w:val="7"/>
    </w:lvl>
  </w:abstractNum>
  <w:abstractNum w:abstractNumId="58">
    <w:nsid w:val="94211F2"/>
    <w:multiLevelType w:val="hybridMultilevel"/>
    <w:lvl w:ilvl="0">
      <w:lvlJc w:val="left"/>
      <w:lvlText w:val="%1."/>
      <w:numFmt w:val="decimal"/>
      <w:start w:val="6"/>
    </w:lvl>
    <w:lvl w:ilvl="1">
      <w:lvlJc w:val="left"/>
      <w:lvlText w:val="%2"/>
      <w:numFmt w:val="lowerLetter"/>
      <w:start w:val="1"/>
    </w:lvl>
  </w:abstractNum>
  <w:abstractNum w:abstractNumId="59">
    <w:nsid w:val="885E1B"/>
    <w:multiLevelType w:val="hybridMultilevel"/>
    <w:lvl w:ilvl="0">
      <w:lvlJc w:val="left"/>
      <w:lvlText w:val="(%1)"/>
      <w:numFmt w:val="lowerLetter"/>
      <w:start w:val="2"/>
    </w:lvl>
    <w:lvl w:ilvl="1">
      <w:lvlJc w:val="left"/>
      <w:lvlText w:val="%2."/>
      <w:numFmt w:val="decimal"/>
      <w:start w:val="7"/>
    </w:lvl>
  </w:abstractNum>
  <w:abstractNum w:abstractNumId="60">
    <w:nsid w:val="76272110"/>
    <w:multiLevelType w:val="hybridMultilevel"/>
    <w:lvl w:ilvl="0">
      <w:lvlJc w:val="left"/>
      <w:lvlText w:val="%1."/>
      <w:numFmt w:val="decimal"/>
      <w:start w:val="8"/>
    </w:lvl>
  </w:abstractNum>
  <w:abstractNum w:abstractNumId="61">
    <w:nsid w:val="4C04A8AF"/>
    <w:multiLevelType w:val="hybridMultilevel"/>
    <w:lvl w:ilvl="0">
      <w:lvlJc w:val="left"/>
      <w:lvlText w:val="%1."/>
      <w:numFmt w:val="decimal"/>
      <w:start w:val="12"/>
    </w:lvl>
  </w:abstractNum>
  <w:abstractNum w:abstractNumId="62">
    <w:nsid w:val="1716703B"/>
    <w:multiLevelType w:val="hybridMultilevel"/>
    <w:lvl w:ilvl="0">
      <w:lvlJc w:val="left"/>
      <w:lvlText w:val="(%1)"/>
      <w:numFmt w:val="lowerLetter"/>
      <w:start w:val="1"/>
    </w:lvl>
  </w:abstractNum>
  <w:abstractNum w:abstractNumId="63">
    <w:nsid w:val="14E17E33"/>
    <w:multiLevelType w:val="hybridMultilevel"/>
    <w:lvl w:ilvl="0">
      <w:lvlJc w:val="left"/>
      <w:lvlText w:val="%1"/>
      <w:numFmt w:val="upperLetter"/>
      <w:start w:val="1"/>
    </w:lvl>
    <w:lvl w:ilvl="1">
      <w:lvlJc w:val="left"/>
      <w:lvlText w:val="(%2)"/>
      <w:numFmt w:val="lowerLetter"/>
      <w:start w:val="1"/>
    </w:lvl>
  </w:abstractNum>
  <w:abstractNum w:abstractNumId="64">
    <w:nsid w:val="3222E7CD"/>
    <w:multiLevelType w:val="hybridMultilevel"/>
    <w:lvl w:ilvl="0">
      <w:lvlJc w:val="left"/>
      <w:lvlText w:val="(%1)"/>
      <w:numFmt w:val="upperLetter"/>
      <w:start w:val="1"/>
    </w:lvl>
    <w:lvl w:ilvl="1">
      <w:lvlJc w:val="left"/>
      <w:lvlText w:val="(%2)"/>
      <w:numFmt w:val="lowerLetter"/>
      <w:start w:val="2"/>
    </w:lvl>
  </w:abstractNum>
  <w:abstractNum w:abstractNumId="65">
    <w:nsid w:val="74DE0EE3"/>
    <w:multiLevelType w:val="hybridMultilevel"/>
    <w:lvl w:ilvl="0">
      <w:lvlJc w:val="left"/>
      <w:lvlText w:val="%1"/>
      <w:numFmt w:val="decimal"/>
      <w:start w:val="1"/>
    </w:lvl>
    <w:lvl w:ilvl="1">
      <w:lvlJc w:val="left"/>
      <w:lvlText w:val="(%2)"/>
      <w:numFmt w:val="lowerLetter"/>
      <w:start w:val="5"/>
    </w:lvl>
  </w:abstractNum>
  <w:abstractNum w:abstractNumId="66">
    <w:nsid w:val="68EBC550"/>
    <w:multiLevelType w:val="hybridMultilevel"/>
    <w:lvl w:ilvl="0">
      <w:lvlJc w:val="left"/>
      <w:lvlText w:val="(%1)"/>
      <w:numFmt w:val="decimal"/>
      <w:start w:val="5"/>
    </w:lvl>
    <w:lvl w:ilvl="1">
      <w:lvlJc w:val="left"/>
      <w:lvlText w:val="(%2)"/>
      <w:numFmt w:val="lowerLetter"/>
      <w:start w:val="6"/>
    </w:lvl>
  </w:abstractNum>
  <w:abstractNum w:abstractNumId="67">
    <w:nsid w:val="2DF6D648"/>
    <w:multiLevelType w:val="hybridMultilevel"/>
    <w:lvl w:ilvl="0">
      <w:lvlJc w:val="left"/>
      <w:lvlText w:val="%1"/>
      <w:numFmt w:val="decimal"/>
      <w:start w:val="1"/>
    </w:lvl>
    <w:lvl w:ilvl="1">
      <w:lvlJc w:val="left"/>
      <w:lvlText w:val="(%2)"/>
      <w:numFmt w:val="lowerLetter"/>
      <w:start w:val="7"/>
    </w:lvl>
  </w:abstractNum>
  <w:abstractNum w:abstractNumId="68">
    <w:nsid w:val="46B7D447"/>
    <w:multiLevelType w:val="hybridMultilevel"/>
    <w:lvl w:ilvl="0">
      <w:lvlJc w:val="left"/>
      <w:lvlText w:val="%1."/>
      <w:numFmt w:val="decimal"/>
      <w:start w:val="15"/>
    </w:lvl>
    <w:lvl w:ilvl="1">
      <w:lvlJc w:val="left"/>
      <w:lvlText w:val="%2"/>
      <w:numFmt w:val="lowerLetter"/>
      <w:start w:val="1"/>
    </w:lvl>
  </w:abstractNum>
  <w:abstractNum w:abstractNumId="69">
    <w:nsid w:val="4A2AC315"/>
    <w:multiLevelType w:val="hybridMultilevel"/>
    <w:lvl w:ilvl="0">
      <w:lvlJc w:val="left"/>
      <w:lvlText w:val="%1."/>
      <w:numFmt w:val="decimal"/>
      <w:start w:val="17"/>
    </w:lvl>
  </w:abstractNum>
  <w:abstractNum w:abstractNumId="70">
    <w:nsid w:val="39EE015C"/>
    <w:multiLevelType w:val="hybridMultilevel"/>
    <w:lvl w:ilvl="0">
      <w:lvlJc w:val="left"/>
      <w:lvlText w:val="%1."/>
      <w:numFmt w:val="decimal"/>
      <w:start w:val="19"/>
    </w:lvl>
  </w:abstractNum>
  <w:abstractNum w:abstractNumId="71">
    <w:nsid w:val="57FC4FBB"/>
    <w:multiLevelType w:val="hybridMultilevel"/>
    <w:lvl w:ilvl="0">
      <w:lvlJc w:val="left"/>
      <w:lvlText w:val="%1."/>
      <w:numFmt w:val="decimal"/>
      <w:start w:val="20"/>
    </w:lvl>
  </w:abstractNum>
  <w:abstractNum w:abstractNumId="72">
    <w:nsid w:val="CC1016F"/>
    <w:multiLevelType w:val="hybridMultilevel"/>
    <w:lvl w:ilvl="0">
      <w:lvlJc w:val="left"/>
      <w:lvlText w:val="%1."/>
      <w:numFmt w:val="decimal"/>
      <w:start w:val="21"/>
    </w:lvl>
  </w:abstractNum>
  <w:abstractNum w:abstractNumId="73">
    <w:nsid w:val="43F18422"/>
    <w:multiLevelType w:val="hybridMultilevel"/>
    <w:lvl w:ilvl="0">
      <w:lvlJc w:val="left"/>
      <w:lvlText w:val="(%1)"/>
      <w:numFmt w:val="lowerRoman"/>
      <w:start w:val="3"/>
    </w:lvl>
  </w:abstractNum>
  <w:abstractNum w:abstractNumId="74">
    <w:nsid w:val="60EF0119"/>
    <w:multiLevelType w:val="hybridMultilevel"/>
    <w:lvl w:ilvl="0">
      <w:lvlJc w:val="left"/>
      <w:lvlText w:val="%1."/>
      <w:numFmt w:val="decimal"/>
      <w:start w:val="26"/>
    </w:lvl>
  </w:abstractNum>
  <w:abstractNum w:abstractNumId="75">
    <w:nsid w:val="26F324BA"/>
    <w:multiLevelType w:val="hybridMultilevel"/>
    <w:lvl w:ilvl="0">
      <w:lvlJc w:val="left"/>
      <w:lvlText w:val="%1."/>
      <w:numFmt w:val="decimal"/>
      <w:start w:val="27"/>
    </w:lvl>
  </w:abstractNum>
  <w:abstractNum w:abstractNumId="76">
    <w:nsid w:val="7F01579B"/>
    <w:multiLevelType w:val="hybridMultilevel"/>
    <w:lvl w:ilvl="0">
      <w:lvlJc w:val="left"/>
      <w:lvlText w:val="%1."/>
      <w:numFmt w:val="decimal"/>
      <w:start w:val="30"/>
    </w:lvl>
  </w:abstractNum>
  <w:abstractNum w:abstractNumId="77">
    <w:nsid w:val="49DA307D"/>
    <w:multiLevelType w:val="hybridMultilevel"/>
    <w:lvl w:ilvl="0">
      <w:lvlJc w:val="left"/>
      <w:lvlText w:val="%1."/>
      <w:numFmt w:val="decimal"/>
      <w:start w:val="32"/>
    </w:lvl>
  </w:abstractNum>
  <w:abstractNum w:abstractNumId="78">
    <w:nsid w:val="7055A5F5"/>
    <w:multiLevelType w:val="hybridMultilevel"/>
    <w:lvl w:ilvl="0">
      <w:lvlJc w:val="left"/>
      <w:lvlText w:val="%1."/>
      <w:numFmt w:val="decimal"/>
      <w:start w:val="33"/>
    </w:lvl>
  </w:abstractNum>
  <w:abstractNum w:abstractNumId="79">
    <w:nsid w:val="5FB8370B"/>
    <w:multiLevelType w:val="hybridMultilevel"/>
    <w:lvl w:ilvl="0">
      <w:lvlJc w:val="left"/>
      <w:lvlText w:val="%1."/>
      <w:numFmt w:val="decimal"/>
      <w:start w:val="34"/>
    </w:lvl>
  </w:abstractNum>
  <w:abstractNum w:abstractNumId="80">
    <w:nsid w:val="50801EE1"/>
    <w:multiLevelType w:val="hybridMultilevel"/>
    <w:lvl w:ilvl="0">
      <w:lvlJc w:val="left"/>
      <w:lvlText w:val="%1."/>
      <w:numFmt w:val="decimal"/>
      <w:start w:val="35"/>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decimal"/>
      <w:start w:val="38"/>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decimal"/>
      <w:start w:val="40"/>
    </w:lvl>
  </w:abstractNum>
  <w:abstractNum w:abstractNumId="86">
    <w:nsid w:val="6A5F7029"/>
    <w:multiLevelType w:val="hybridMultilevel"/>
    <w:lvl w:ilvl="0">
      <w:lvlJc w:val="left"/>
      <w:lvlText w:val="%1."/>
      <w:numFmt w:val="decimal"/>
      <w:start w:val="41"/>
    </w:lvl>
  </w:abstractNum>
  <w:abstractNum w:abstractNumId="87">
    <w:nsid w:val="7D5E18F8"/>
    <w:multiLevelType w:val="hybridMultilevel"/>
    <w:lvl w:ilvl="0">
      <w:lvlJc w:val="left"/>
      <w:lvlText w:val="%1."/>
      <w:numFmt w:val="decimal"/>
      <w:start w:val="42"/>
    </w:lvl>
    <w:lvl w:ilvl="1">
      <w:lvlJc w:val="left"/>
      <w:lvlText w:val="(%2)"/>
      <w:numFmt w:val="lowerLetter"/>
      <w:start w:val="1"/>
    </w:lvl>
  </w:abstractNum>
  <w:abstractNum w:abstractNumId="88">
    <w:nsid w:val="5F3534A4"/>
    <w:multiLevelType w:val="hybridMultilevel"/>
    <w:lvl w:ilvl="0">
      <w:lvlJc w:val="left"/>
      <w:lvlText w:val="%1."/>
      <w:numFmt w:val="decimal"/>
      <w:start w:val="43"/>
    </w:lvl>
  </w:abstractNum>
  <w:abstractNum w:abstractNumId="89">
    <w:nsid w:val="73A1821B"/>
    <w:multiLevelType w:val="hybridMultilevel"/>
    <w:lvl w:ilvl="0">
      <w:lvlJc w:val="left"/>
      <w:lvlText w:val="%1."/>
      <w:numFmt w:val="decimal"/>
      <w:start w:val="44"/>
    </w:lvl>
  </w:abstractNum>
  <w:abstractNum w:abstractNumId="90">
    <w:nsid w:val="7DE67713"/>
    <w:multiLevelType w:val="hybridMultilevel"/>
    <w:lvl w:ilvl="0">
      <w:lvlJc w:val="left"/>
      <w:lvlText w:val="%1."/>
      <w:numFmt w:val="decimal"/>
      <w:start w:val="45"/>
    </w:lvl>
  </w:abstractNum>
  <w:abstractNum w:abstractNumId="91">
    <w:nsid w:val="555C55B5"/>
    <w:multiLevelType w:val="hybridMultilevel"/>
    <w:lvl w:ilvl="0">
      <w:lvlJc w:val="left"/>
      <w:lvlText w:val="%1."/>
      <w:numFmt w:val="decimal"/>
      <w:start w:val="46"/>
    </w:lvl>
  </w:abstractNum>
  <w:abstractNum w:abstractNumId="92">
    <w:nsid w:val="3FA62ACA"/>
    <w:multiLevelType w:val="hybridMultilevel"/>
    <w:lvl w:ilvl="0">
      <w:lvlJc w:val="left"/>
      <w:lvlText w:val="%1."/>
      <w:numFmt w:val="decimal"/>
      <w:start w:val="47"/>
    </w:lvl>
  </w:abstractNum>
  <w:abstractNum w:abstractNumId="93">
    <w:nsid w:val="14FCE74E"/>
    <w:multiLevelType w:val="hybridMultilevel"/>
    <w:lvl w:ilvl="0">
      <w:lvlJc w:val="left"/>
      <w:lvlText w:val="%1."/>
      <w:numFmt w:val="decimal"/>
      <w:start w:val="48"/>
    </w:lvl>
  </w:abstractNum>
  <w:abstractNum w:abstractNumId="94">
    <w:nsid w:val="6A3DD3E8"/>
    <w:multiLevelType w:val="hybridMultilevel"/>
    <w:lvl w:ilvl="0">
      <w:lvlJc w:val="left"/>
      <w:lvlText w:val="%1."/>
      <w:numFmt w:val="decimal"/>
      <w:start w:val="49"/>
    </w:lvl>
  </w:abstractNum>
  <w:abstractNum w:abstractNumId="95">
    <w:nsid w:val="71C91298"/>
    <w:multiLevelType w:val="hybridMultilevel"/>
    <w:lvl w:ilvl="0">
      <w:lvlJc w:val="left"/>
      <w:lvlText w:val="%1."/>
      <w:numFmt w:val="decimal"/>
      <w:start w:val="50"/>
    </w:lvl>
  </w:abstractNum>
  <w:abstractNum w:abstractNumId="96">
    <w:nsid w:val="9DAF632"/>
    <w:multiLevelType w:val="hybridMultilevel"/>
    <w:lvl w:ilvl="0">
      <w:lvlJc w:val="left"/>
      <w:lvlText w:val="%1."/>
      <w:numFmt w:val="decimal"/>
      <w:start w:val="51"/>
    </w:lvl>
  </w:abstractNum>
  <w:abstractNum w:abstractNumId="97">
    <w:nsid w:val="53299938"/>
    <w:multiLevelType w:val="hybridMultilevel"/>
    <w:lvl w:ilvl="0">
      <w:lvlJc w:val="left"/>
      <w:lvlText w:val="(%1)"/>
      <w:numFmt w:val="lowerLetter"/>
      <w:start w:val="1"/>
    </w:lvl>
  </w:abstractNum>
  <w:abstractNum w:abstractNumId="98">
    <w:nsid w:val="1FBFE8E0"/>
    <w:multiLevelType w:val="hybridMultilevel"/>
    <w:lvl w:ilvl="0">
      <w:lvlJc w:val="left"/>
      <w:lvlText w:val="(%1)"/>
      <w:numFmt w:val="lowerLetter"/>
      <w:start w:val="2"/>
    </w:lvl>
  </w:abstractNum>
  <w:abstractNum w:abstractNumId="99">
    <w:nsid w:val="5092CA79"/>
    <w:multiLevelType w:val="hybridMultilevel"/>
    <w:lvl w:ilvl="0">
      <w:lvlJc w:val="left"/>
      <w:lvlText w:val="(%1)"/>
      <w:numFmt w:val="lowerLetter"/>
      <w:start w:val="5"/>
    </w:lvl>
  </w:abstractNum>
  <w:abstractNum w:abstractNumId="100">
    <w:nsid w:val="1D545C4D"/>
    <w:multiLevelType w:val="hybridMultilevel"/>
    <w:lvl w:ilvl="0">
      <w:lvlJc w:val="left"/>
      <w:lvlText w:val="(%1)"/>
      <w:numFmt w:val="lowerLetter"/>
      <w:start w:val="8"/>
    </w:lvl>
  </w:abstractNum>
  <w:abstractNum w:abstractNumId="101">
    <w:nsid w:val="59ADEA3D"/>
    <w:multiLevelType w:val="hybridMultilevel"/>
    <w:lvl w:ilvl="0">
      <w:lvlJc w:val="left"/>
      <w:lvlText w:val="(%1)"/>
      <w:numFmt w:val="lowerLetter"/>
      <w:start w:val="13"/>
    </w:lvl>
  </w:abstractNum>
  <w:abstractNum w:abstractNumId="102">
    <w:nsid w:val="288F1A34"/>
    <w:multiLevelType w:val="hybridMultilevel"/>
    <w:lvl w:ilvl="0">
      <w:lvlJc w:val="left"/>
      <w:lvlText w:val="%1."/>
      <w:numFmt w:val="upperLetter"/>
      <w:start w:val="9"/>
    </w:lvl>
  </w:abstractNum>
  <w:abstractNum w:abstractNumId="103">
    <w:nsid w:val="2A155DBC"/>
    <w:multiLevelType w:val="hybridMultilevel"/>
    <w:lvl w:ilvl="0">
      <w:lvlJc w:val="left"/>
      <w:lvlText w:val="%1."/>
      <w:numFmt w:val="upperLetter"/>
      <w:start w:val="35"/>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upperLetter"/>
      <w:start w:val="61"/>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4"/>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1" Type="http://schemas.openxmlformats.org/officeDocument/2006/relationships/image" Target="media/image76.png"/><Relationship Id="rId119" Type="http://schemas.openxmlformats.org/officeDocument/2006/relationships/image" Target="media/image77.png"/><Relationship Id="rId134"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83" Type="http://schemas.openxmlformats.org/officeDocument/2006/relationships/hyperlink" Target="http://www.sec.gov/Archives/edgar/data/1040829/000119312512410191/d419132dex31.htm" TargetMode="External"/><Relationship Id="rId84" Type="http://schemas.openxmlformats.org/officeDocument/2006/relationships/hyperlink" Target="http://www.sec.gov/Archives/edgar/data/1040829/000119312512401709/d415216dex41.htm" TargetMode="External"/><Relationship Id="rId85" Type="http://schemas.openxmlformats.org/officeDocument/2006/relationships/hyperlink" Target="https://www.sec.gov/Archives/edgar/data/1040829/000155837020001342/ex-4d3.htm" TargetMode="External"/><Relationship Id="rId86" Type="http://schemas.openxmlformats.org/officeDocument/2006/relationships/hyperlink" Target="http://www.sec.gov/Archives/edgar/data/1040829/000141057819001323/tv529738_ex4-1.htm" TargetMode="External"/><Relationship Id="rId87" Type="http://schemas.openxmlformats.org/officeDocument/2006/relationships/hyperlink" Target="http://www.sec.gov/Archives/edgar/data/1040829/000141057819001570/tv530763_ex4-3.htm" TargetMode="External"/><Relationship Id="rId88" Type="http://schemas.openxmlformats.org/officeDocument/2006/relationships/hyperlink" Target="https://www.sec.gov/Archives/edgar/data/1040829/000114036121005258/nt10019727x5_ex4-1.htm" TargetMode="External"/><Relationship Id="rId89" Type="http://schemas.openxmlformats.org/officeDocument/2006/relationships/hyperlink" Target="http://www.sec.gov/Archives/edgar/data/1040829/000110465919059038/tm1921656d1_ex10-1.htm" TargetMode="External"/><Relationship Id="rId90" Type="http://schemas.openxmlformats.org/officeDocument/2006/relationships/hyperlink" Target="https://www.sec.gov/Archives/edgar/data/1040829/000110465920050678/tm2016629d1_ex10-1.htm" TargetMode="External"/><Relationship Id="rId92" Type="http://schemas.openxmlformats.org/officeDocument/2006/relationships/hyperlink" Target="https://www.sec.gov/Archives/edgar/data/1040829/000110465920138604/tm2039111d1_ex10-1.htm" TargetMode="External"/><Relationship Id="rId93" Type="http://schemas.openxmlformats.org/officeDocument/2006/relationships/hyperlink" Target="https://www.sec.gov/Archives/edgar/data/1040829/000155837021009927/rhp-20210630xex10d4.htm" TargetMode="External"/><Relationship Id="rId94" Type="http://schemas.openxmlformats.org/officeDocument/2006/relationships/hyperlink" Target="https://www.sec.gov/Archives/edgar/data/1040829/000110465921130093/tm2131031d1_ex10-1.htm" TargetMode="External"/><Relationship Id="rId95" Type="http://schemas.openxmlformats.org/officeDocument/2006/relationships/hyperlink" Target="https://www.sec.gov/Archives/edgar/data/1040829/000110465922042464/tm2211530d1_ex10-3.htm" TargetMode="External"/><Relationship Id="rId96" Type="http://schemas.openxmlformats.org/officeDocument/2006/relationships/hyperlink" Target="http://www.sec.gov/Archives/edgar/data/1040829/0000950144-00-004089-index.html" TargetMode="External"/><Relationship Id="rId97" Type="http://schemas.openxmlformats.org/officeDocument/2006/relationships/hyperlink" Target="http://www.sec.gov/Archives/edgar/data/1040829/000095014403004173/g81512exv10w21.txt" TargetMode="External"/><Relationship Id="rId98" Type="http://schemas.openxmlformats.org/officeDocument/2006/relationships/hyperlink" Target="http://www.sec.gov/Archives/edgar/data/1040829/000095014403004173/g81512exv10w22.txt" TargetMode="External"/><Relationship Id="rId99" Type="http://schemas.openxmlformats.org/officeDocument/2006/relationships/hyperlink" Target="http://www.sec.gov/Archives/edgar/data/1040829/000119312519003774/d682468dex101.htm" TargetMode="External"/><Relationship Id="rId100" Type="http://schemas.openxmlformats.org/officeDocument/2006/relationships/hyperlink" Target="http://www.sec.gov/Archives/edgar/data/1040829/000119312519189493/d758656dex101.htm" TargetMode="External"/><Relationship Id="rId101" Type="http://schemas.openxmlformats.org/officeDocument/2006/relationships/hyperlink" Target="https://www.sec.gov/Archives/edgar/data/1040829/000155837020009570/rhp-20200630xex10d2.htm" TargetMode="External"/><Relationship Id="rId102" Type="http://schemas.openxmlformats.org/officeDocument/2006/relationships/hyperlink" Target="https://www.sec.gov/Archives/edgar/data/1040829/000155837021009927/rhp-20210630xex10d2.htm" TargetMode="External"/><Relationship Id="rId103" Type="http://schemas.openxmlformats.org/officeDocument/2006/relationships/hyperlink" Target="https://www.sec.gov/Archives/edgar/data/1040829/000114036121019096/nt10025017x2_ex1-1.htm" TargetMode="External"/><Relationship Id="rId104" Type="http://schemas.openxmlformats.org/officeDocument/2006/relationships/hyperlink" Target="https://www.sec.gov/Archives/edgar/data/1040829/000155837021009927/rhp-20210630xex10d3.htm" TargetMode="External"/><Relationship Id="rId105" Type="http://schemas.openxmlformats.org/officeDocument/2006/relationships/hyperlink" Target="https://www.sec.gov/Archives/edgar/data/1040829/000110465922042464/tm2211530d1_ex10-1.htm" TargetMode="External"/><Relationship Id="rId106" Type="http://schemas.openxmlformats.org/officeDocument/2006/relationships/hyperlink" Target="https://www.sec.gov/Archives/edgar/data/1040829/000155837022011603/rhp-20220630xex10d2.htm" TargetMode="External"/><Relationship Id="rId107" Type="http://schemas.openxmlformats.org/officeDocument/2006/relationships/hyperlink" Target="https://www.sec.gov/Archives/edgar/data/1040829/000155837022011603/rhp-20220630xex10d3.htm" TargetMode="External"/><Relationship Id="rId108" Type="http://schemas.openxmlformats.org/officeDocument/2006/relationships/hyperlink" Target="https://www.sec.gov/Archives/edgar/data/1040829/000110465922071928/tm2218606d1_ex10-1.htm" TargetMode="External"/><Relationship Id="rId109" Type="http://schemas.openxmlformats.org/officeDocument/2006/relationships/hyperlink" Target="http://www.sec.gov/Archives/edgar/data/1040829/000095014401004631/g68099ex10-19.txt" TargetMode="External"/><Relationship Id="rId110" Type="http://schemas.openxmlformats.org/officeDocument/2006/relationships/hyperlink" Target="http://www.sec.gov/Archives/edgar/data/1040829/000095014408001431/g11970exv10w1.htm" TargetMode="External"/><Relationship Id="rId111" Type="http://schemas.openxmlformats.org/officeDocument/2006/relationships/hyperlink" Target="http://www.sec.gov/Archives/edgar/data/1040829/000095014408009526/g17124exv10w3.htm" TargetMode="External"/><Relationship Id="rId112" Type="http://schemas.openxmlformats.org/officeDocument/2006/relationships/hyperlink" Target="http://www.sec.gov/Archives/edgar/data/1040829/000095012310101559/g25095exv10w2.htm" TargetMode="External"/><Relationship Id="rId113" Type="http://schemas.openxmlformats.org/officeDocument/2006/relationships/hyperlink" Target="http://www.sec.gov/Archives/edgar/data/1040829/000119312512456947/d412761dex105.htm" TargetMode="External"/><Relationship Id="rId114" Type="http://schemas.openxmlformats.org/officeDocument/2006/relationships/hyperlink" Target="https://www.sec.gov/Archives/edgar/data/1040829/000155837021001956/rhp-20201231xex10d17.htm" TargetMode="External"/><Relationship Id="rId115" Type="http://schemas.openxmlformats.org/officeDocument/2006/relationships/hyperlink" Target="https://www.sec.gov/Archives/edgar/data/1040829/000110465922107763/tm2227868d1_ex10-1.htm" TargetMode="External"/><Relationship Id="rId116" Type="http://schemas.openxmlformats.org/officeDocument/2006/relationships/hyperlink" Target="http://www.sec.gov/Archives/edgar/data/1040829/000095014402003186/g74977ex10-30.txt" TargetMode="External"/><Relationship Id="rId117" Type="http://schemas.openxmlformats.org/officeDocument/2006/relationships/hyperlink" Target="http://www.sec.gov/Archives/edgar/data/1040829/000095014408001431/g11970exv10w3.htm" TargetMode="External"/><Relationship Id="rId118" Type="http://schemas.openxmlformats.org/officeDocument/2006/relationships/hyperlink" Target="http://www.sec.gov/Archives/edgar/data/1040829/000095012310017849/g22218exv10w38.htm" TargetMode="External"/><Relationship Id="rId120" Type="http://schemas.openxmlformats.org/officeDocument/2006/relationships/hyperlink" Target="http://www.sec.gov/Archives/edgar/data/1040829/000095012310101559/g25095exv10w5.htm" TargetMode="External"/><Relationship Id="rId121" Type="http://schemas.openxmlformats.org/officeDocument/2006/relationships/hyperlink" Target="http://www.sec.gov/Archives/edgar/data/1040829/000119312512456947/d412761dex106.htm" TargetMode="External"/><Relationship Id="rId122" Type="http://schemas.openxmlformats.org/officeDocument/2006/relationships/hyperlink" Target="https://www.sec.gov/Archives/edgar/data/1040829/000110465922028770/tm227976d1_ex10-1.htm" TargetMode="External"/><Relationship Id="rId123" Type="http://schemas.openxmlformats.org/officeDocument/2006/relationships/hyperlink" Target="https://www.sec.gov/Archives/edgar/data/1040829/000110465922107763/tm2227868d1_ex10-2.htm" TargetMode="External"/><Relationship Id="rId124" Type="http://schemas.openxmlformats.org/officeDocument/2006/relationships/hyperlink" Target="https://www.sec.gov/Archives/edgar/data/1040829/000119312518060772/d503192dex1021.htm" TargetMode="External"/><Relationship Id="rId125" Type="http://schemas.openxmlformats.org/officeDocument/2006/relationships/hyperlink" Target="http://www.sec.gov/Archives/edgar/data/1040829/000119312518060772/d503192dex1022.htm" TargetMode="External"/><Relationship Id="rId126" Type="http://schemas.openxmlformats.org/officeDocument/2006/relationships/hyperlink" Target="https://www.sec.gov/Archives/edgar/data/1040829/000110465922028770/tm227976d1_ex10-2.htm" TargetMode="External"/><Relationship Id="rId127" Type="http://schemas.openxmlformats.org/officeDocument/2006/relationships/hyperlink" Target="http://www.sec.gov/Archives/edgar/data/1040829/000095014403004173/g81512exv10w36.txt" TargetMode="External"/><Relationship Id="rId128" Type="http://schemas.openxmlformats.org/officeDocument/2006/relationships/hyperlink" Target="http://www.sec.gov/Archives/edgar/data/1040829/000119312516582078/d92622dex101.htm" TargetMode="External"/><Relationship Id="rId129" Type="http://schemas.openxmlformats.org/officeDocument/2006/relationships/hyperlink" Target="http://www.sec.gov/Archives/edgar/data/1040829/000119312517061161/d285683dex1043.htm" TargetMode="External"/><Relationship Id="rId130" Type="http://schemas.openxmlformats.org/officeDocument/2006/relationships/hyperlink" Target="http://www.sec.gov/Archives/edgar/data/1040829/000119312516671549/d199388dex101.htm" TargetMode="External"/><Relationship Id="rId131" Type="http://schemas.openxmlformats.org/officeDocument/2006/relationships/hyperlink" Target="http://www.sec.gov/Archives/edgar/data/1040829/000119312516671549/d199388dex102.htm" TargetMode="External"/><Relationship Id="rId132" Type="http://schemas.openxmlformats.org/officeDocument/2006/relationships/hyperlink" Target="http://www.sec.gov/Archives/edgar/data/1040829/000119312516671549/d199388dex103.htm" TargetMode="External"/><Relationship Id="rId133" Type="http://schemas.openxmlformats.org/officeDocument/2006/relationships/hyperlink" Target="https://www.sec.gov/Archives/edgar/data/1040829/000155837021001956/rhp-20201231xex10d46.htm" TargetMode="External"/><Relationship Id="rId135" Type="http://schemas.openxmlformats.org/officeDocument/2006/relationships/hyperlink" Target="https://www.sec.gov/Archives/edgar/data/1040829/000110465922071928/tm221860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2023-02-24T12:35:59Z</dcterms:created>
  <dcterms:modified xsi:type="dcterms:W3CDTF">2023-02-24T12:35:59Z</dcterms:modified>
</cp:coreProperties>
</file>