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Chaffin Patrick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GAYLORD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945</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1,689</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2,895</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6,256</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March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July 15, 2026, the reporting person received additional restricted stock units in an amount based on the amount of the dividend per share and the closing price of the issuer's common stock traded on the NYSE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vests on a one-to-one share basis 50% on March 15, 2027 and 50% on March 15,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 vests on a one-to-one share basis ratably in 1/4 increments for four years beginning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 vests on a one-to-one share basis ratably in 1/4 increments for four years beginning on March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Patrick Chaffin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4312"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3920</Characters>
  <CharactersWithSpaces>4593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